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wp:posOffset>
            </wp:positionH>
            <wp:positionV relativeFrom="paragraph">
              <wp:posOffset>215265</wp:posOffset>
            </wp:positionV>
            <wp:extent cx="681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265430</wp:posOffset>
            </wp:positionV>
            <wp:extent cx="681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3280"/>
        <w:spacing w:after="0"/>
        <w:rPr>
          <w:sz w:val="20"/>
          <w:szCs w:val="20"/>
          <w:color w:val="auto"/>
        </w:rPr>
      </w:pPr>
      <w:r>
        <w:rPr>
          <w:rFonts w:ascii="Arial" w:cs="Arial" w:eastAsia="Arial" w:hAnsi="Arial"/>
          <w:sz w:val="32"/>
          <w:szCs w:val="32"/>
          <w:b w:val="1"/>
          <w:bCs w:val="1"/>
          <w:color w:val="202E39"/>
        </w:rPr>
        <w:t>SCHEDULE 14A INFORMATION</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202E39"/>
        </w:rPr>
        <w:t>Proxy Statement Pursuant to Section 14(a) of the</w:t>
      </w:r>
    </w:p>
    <w:p>
      <w:pPr>
        <w:jc w:val="center"/>
        <w:ind w:right="-1100"/>
        <w:spacing w:after="0"/>
        <w:rPr>
          <w:sz w:val="20"/>
          <w:szCs w:val="20"/>
          <w:color w:val="auto"/>
        </w:rPr>
      </w:pPr>
      <w:r>
        <w:rPr>
          <w:rFonts w:ascii="Arial" w:cs="Arial" w:eastAsia="Arial" w:hAnsi="Arial"/>
          <w:sz w:val="21"/>
          <w:szCs w:val="21"/>
          <w:b w:val="1"/>
          <w:bCs w:val="1"/>
          <w:color w:val="202E39"/>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217805</wp:posOffset>
            </wp:positionV>
            <wp:extent cx="1427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202E39"/>
        </w:rPr>
        <w:t xml:space="preserve">Filed by the Registrant  </w:t>
      </w:r>
      <w:r>
        <w:rPr>
          <w:rFonts w:ascii="MS PGothic" w:cs="MS PGothic" w:eastAsia="MS PGothic" w:hAnsi="MS PGothic"/>
          <w:sz w:val="16"/>
          <w:szCs w:val="16"/>
          <w:color w:val="202E39"/>
        </w:rPr>
        <w:t>☒</w:t>
      </w:r>
    </w:p>
    <w:p>
      <w:pPr>
        <w:spacing w:after="0" w:line="223"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202E39"/>
        </w:rPr>
        <w:t xml:space="preserve">Filed by a Party other than the Registrant  </w:t>
      </w:r>
      <w:r>
        <w:rPr>
          <w:rFonts w:ascii="MS PGothic" w:cs="MS PGothic" w:eastAsia="MS PGothic" w:hAnsi="MS PGothic"/>
          <w:sz w:val="16"/>
          <w:szCs w:val="16"/>
          <w:color w:val="202E39"/>
        </w:rPr>
        <w:t>☐</w:t>
      </w:r>
    </w:p>
    <w:p>
      <w:pPr>
        <w:spacing w:after="0" w:line="200" w:lineRule="exact"/>
        <w:rPr>
          <w:sz w:val="24"/>
          <w:szCs w:val="24"/>
          <w:color w:val="auto"/>
        </w:rPr>
      </w:pPr>
    </w:p>
    <w:p>
      <w:pPr>
        <w:spacing w:after="0" w:line="269" w:lineRule="exact"/>
        <w:rPr>
          <w:sz w:val="24"/>
          <w:szCs w:val="24"/>
          <w:color w:val="auto"/>
        </w:rPr>
      </w:pPr>
    </w:p>
    <w:p>
      <w:pPr>
        <w:ind w:left="260"/>
        <w:spacing w:after="0"/>
        <w:rPr>
          <w:sz w:val="20"/>
          <w:szCs w:val="20"/>
          <w:color w:val="auto"/>
        </w:rPr>
      </w:pPr>
      <w:r>
        <w:rPr>
          <w:rFonts w:ascii="Arial" w:cs="Arial" w:eastAsia="Arial" w:hAnsi="Arial"/>
          <w:sz w:val="16"/>
          <w:szCs w:val="16"/>
          <w:color w:val="202E39"/>
        </w:rPr>
        <w:t>Check the appropriate box:</w:t>
      </w:r>
    </w:p>
    <w:p>
      <w:pPr>
        <w:spacing w:after="0" w:line="237" w:lineRule="exact"/>
        <w:rPr>
          <w:sz w:val="24"/>
          <w:szCs w:val="24"/>
          <w:color w:val="auto"/>
        </w:rPr>
      </w:pPr>
    </w:p>
    <w:p>
      <w:pPr>
        <w:ind w:left="680" w:hanging="419"/>
        <w:spacing w:after="0"/>
        <w:tabs>
          <w:tab w:leader="none" w:pos="680" w:val="left"/>
        </w:tabs>
        <w:numPr>
          <w:ilvl w:val="0"/>
          <w:numId w:val="1"/>
        </w:numPr>
        <w:rPr>
          <w:rFonts w:ascii="MS PGothic" w:cs="MS PGothic" w:eastAsia="MS PGothic" w:hAnsi="MS PGothic"/>
          <w:sz w:val="16"/>
          <w:szCs w:val="16"/>
          <w:color w:val="202E39"/>
        </w:rPr>
      </w:pPr>
      <w:r>
        <w:rPr>
          <w:rFonts w:ascii="Arial" w:cs="Arial" w:eastAsia="Arial" w:hAnsi="Arial"/>
          <w:sz w:val="16"/>
          <w:szCs w:val="16"/>
          <w:color w:val="202E39"/>
        </w:rPr>
        <w:t>Preliminary Proxy Statement</w:t>
      </w:r>
    </w:p>
    <w:p>
      <w:pPr>
        <w:spacing w:after="0" w:line="247" w:lineRule="exact"/>
        <w:rPr>
          <w:rFonts w:ascii="MS PGothic" w:cs="MS PGothic" w:eastAsia="MS PGothic" w:hAnsi="MS PGothic"/>
          <w:sz w:val="16"/>
          <w:szCs w:val="16"/>
          <w:color w:val="202E39"/>
        </w:rPr>
      </w:pPr>
    </w:p>
    <w:p>
      <w:pPr>
        <w:ind w:left="680" w:hanging="419"/>
        <w:spacing w:after="0"/>
        <w:tabs>
          <w:tab w:leader="none" w:pos="680" w:val="left"/>
        </w:tabs>
        <w:numPr>
          <w:ilvl w:val="0"/>
          <w:numId w:val="1"/>
        </w:numPr>
        <w:rPr>
          <w:rFonts w:ascii="MS PGothic" w:cs="MS PGothic" w:eastAsia="MS PGothic" w:hAnsi="MS PGothic"/>
          <w:sz w:val="16"/>
          <w:szCs w:val="16"/>
          <w:color w:val="202E39"/>
        </w:rPr>
      </w:pPr>
      <w:r>
        <w:rPr>
          <w:rFonts w:ascii="Arial" w:cs="Arial" w:eastAsia="Arial" w:hAnsi="Arial"/>
          <w:sz w:val="16"/>
          <w:szCs w:val="16"/>
          <w:b w:val="1"/>
          <w:bCs w:val="1"/>
          <w:color w:val="202E39"/>
        </w:rPr>
        <w:t>Confidential, for Use of the Commission Only (as permitted by Rule 14a-6(e)(2))</w:t>
      </w:r>
    </w:p>
    <w:p>
      <w:pPr>
        <w:spacing w:after="0" w:line="252" w:lineRule="exact"/>
        <w:rPr>
          <w:sz w:val="24"/>
          <w:szCs w:val="24"/>
          <w:color w:val="auto"/>
        </w:rPr>
      </w:pPr>
    </w:p>
    <w:p>
      <w:pPr>
        <w:ind w:left="680" w:hanging="419"/>
        <w:spacing w:after="0"/>
        <w:tabs>
          <w:tab w:leader="none" w:pos="680" w:val="left"/>
        </w:tabs>
        <w:numPr>
          <w:ilvl w:val="0"/>
          <w:numId w:val="2"/>
        </w:numPr>
        <w:rPr>
          <w:rFonts w:ascii="MS PGothic" w:cs="MS PGothic" w:eastAsia="MS PGothic" w:hAnsi="MS PGothic"/>
          <w:sz w:val="16"/>
          <w:szCs w:val="16"/>
          <w:color w:val="202E39"/>
        </w:rPr>
      </w:pPr>
      <w:r>
        <w:rPr>
          <w:rFonts w:ascii="Arial" w:cs="Arial" w:eastAsia="Arial" w:hAnsi="Arial"/>
          <w:sz w:val="16"/>
          <w:szCs w:val="16"/>
          <w:color w:val="202E39"/>
        </w:rPr>
        <w:t>Definitive Proxy Statement</w:t>
      </w:r>
    </w:p>
    <w:p>
      <w:pPr>
        <w:spacing w:after="0" w:line="250" w:lineRule="exact"/>
        <w:rPr>
          <w:sz w:val="24"/>
          <w:szCs w:val="24"/>
          <w:color w:val="auto"/>
        </w:rPr>
      </w:pPr>
    </w:p>
    <w:p>
      <w:pPr>
        <w:ind w:left="680" w:hanging="419"/>
        <w:spacing w:after="0"/>
        <w:tabs>
          <w:tab w:leader="none" w:pos="680" w:val="left"/>
        </w:tabs>
        <w:numPr>
          <w:ilvl w:val="0"/>
          <w:numId w:val="3"/>
        </w:numPr>
        <w:rPr>
          <w:rFonts w:ascii="MS PGothic" w:cs="MS PGothic" w:eastAsia="MS PGothic" w:hAnsi="MS PGothic"/>
          <w:sz w:val="16"/>
          <w:szCs w:val="16"/>
          <w:color w:val="202E39"/>
        </w:rPr>
      </w:pPr>
      <w:r>
        <w:rPr>
          <w:rFonts w:ascii="Arial" w:cs="Arial" w:eastAsia="Arial" w:hAnsi="Arial"/>
          <w:sz w:val="16"/>
          <w:szCs w:val="16"/>
          <w:color w:val="202E39"/>
        </w:rPr>
        <w:t>Definitive Additional Materials</w:t>
      </w:r>
    </w:p>
    <w:p>
      <w:pPr>
        <w:spacing w:after="0" w:line="249" w:lineRule="exact"/>
        <w:rPr>
          <w:rFonts w:ascii="MS PGothic" w:cs="MS PGothic" w:eastAsia="MS PGothic" w:hAnsi="MS PGothic"/>
          <w:sz w:val="16"/>
          <w:szCs w:val="16"/>
          <w:color w:val="202E39"/>
        </w:rPr>
      </w:pPr>
    </w:p>
    <w:p>
      <w:pPr>
        <w:ind w:left="680" w:hanging="419"/>
        <w:spacing w:after="0"/>
        <w:tabs>
          <w:tab w:leader="none" w:pos="680" w:val="left"/>
        </w:tabs>
        <w:numPr>
          <w:ilvl w:val="0"/>
          <w:numId w:val="3"/>
        </w:numPr>
        <w:rPr>
          <w:rFonts w:ascii="MS PGothic" w:cs="MS PGothic" w:eastAsia="MS PGothic" w:hAnsi="MS PGothic"/>
          <w:sz w:val="16"/>
          <w:szCs w:val="16"/>
          <w:color w:val="202E39"/>
        </w:rPr>
      </w:pPr>
      <w:r>
        <w:rPr>
          <w:rFonts w:ascii="Arial" w:cs="Arial" w:eastAsia="Arial" w:hAnsi="Arial"/>
          <w:sz w:val="16"/>
          <w:szCs w:val="16"/>
          <w:color w:val="202E39"/>
        </w:rPr>
        <w:t>Soliciting Material under Rule 14a-12</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202E39"/>
        </w:rPr>
        <w:t>VIASAT, INC.</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202E39"/>
        </w:rPr>
        <w:t>(Name of Registrant as Specified In Its Charter)</w:t>
      </w:r>
    </w:p>
    <w:p>
      <w:pPr>
        <w:spacing w:after="0" w:line="194" w:lineRule="exact"/>
        <w:rPr>
          <w:sz w:val="24"/>
          <w:szCs w:val="24"/>
          <w:color w:val="auto"/>
        </w:rPr>
      </w:pPr>
    </w:p>
    <w:p>
      <w:pPr>
        <w:ind w:left="2940"/>
        <w:spacing w:after="0"/>
        <w:rPr>
          <w:sz w:val="20"/>
          <w:szCs w:val="20"/>
          <w:color w:val="auto"/>
        </w:rPr>
      </w:pPr>
      <w:r>
        <w:rPr>
          <w:rFonts w:ascii="Arial" w:cs="Arial" w:eastAsia="Arial" w:hAnsi="Arial"/>
          <w:sz w:val="15"/>
          <w:szCs w:val="15"/>
          <w:b w:val="1"/>
          <w:bCs w:val="1"/>
          <w:color w:val="202E39"/>
        </w:rPr>
        <w:t>(Name of Person(s) Filing Proxy Statement, if other than the Registrant)</w:t>
      </w:r>
    </w:p>
    <w:p>
      <w:pPr>
        <w:spacing w:after="0" w:line="224" w:lineRule="exact"/>
        <w:rPr>
          <w:sz w:val="24"/>
          <w:szCs w:val="24"/>
          <w:color w:val="auto"/>
        </w:rPr>
      </w:pPr>
    </w:p>
    <w:p>
      <w:pPr>
        <w:ind w:left="260"/>
        <w:spacing w:after="0"/>
        <w:rPr>
          <w:sz w:val="20"/>
          <w:szCs w:val="20"/>
          <w:color w:val="auto"/>
        </w:rPr>
      </w:pPr>
      <w:r>
        <w:rPr>
          <w:rFonts w:ascii="Arial" w:cs="Arial" w:eastAsia="Arial" w:hAnsi="Arial"/>
          <w:sz w:val="16"/>
          <w:szCs w:val="16"/>
          <w:color w:val="202E39"/>
        </w:rPr>
        <w:t>Payment of Filing Fee (Check all boxes that apply):</w:t>
      </w:r>
    </w:p>
    <w:p>
      <w:pPr>
        <w:spacing w:after="0" w:line="237" w:lineRule="exact"/>
        <w:rPr>
          <w:sz w:val="24"/>
          <w:szCs w:val="24"/>
          <w:color w:val="auto"/>
        </w:rPr>
      </w:pPr>
    </w:p>
    <w:p>
      <w:pPr>
        <w:ind w:left="680" w:hanging="419"/>
        <w:spacing w:after="0"/>
        <w:tabs>
          <w:tab w:leader="none" w:pos="680" w:val="left"/>
        </w:tabs>
        <w:numPr>
          <w:ilvl w:val="0"/>
          <w:numId w:val="4"/>
        </w:numPr>
        <w:rPr>
          <w:rFonts w:ascii="MS PGothic" w:cs="MS PGothic" w:eastAsia="MS PGothic" w:hAnsi="MS PGothic"/>
          <w:sz w:val="16"/>
          <w:szCs w:val="16"/>
          <w:color w:val="202E39"/>
        </w:rPr>
      </w:pPr>
      <w:r>
        <w:rPr>
          <w:rFonts w:ascii="Arial" w:cs="Arial" w:eastAsia="Arial" w:hAnsi="Arial"/>
          <w:sz w:val="16"/>
          <w:szCs w:val="16"/>
          <w:color w:val="202E39"/>
        </w:rPr>
        <w:t>No fee required.</w:t>
      </w:r>
    </w:p>
    <w:p>
      <w:pPr>
        <w:spacing w:after="0" w:line="250" w:lineRule="exact"/>
        <w:rPr>
          <w:sz w:val="24"/>
          <w:szCs w:val="24"/>
          <w:color w:val="auto"/>
        </w:rPr>
      </w:pPr>
    </w:p>
    <w:p>
      <w:pPr>
        <w:ind w:left="680" w:hanging="419"/>
        <w:spacing w:after="0"/>
        <w:tabs>
          <w:tab w:leader="none" w:pos="680" w:val="left"/>
        </w:tabs>
        <w:numPr>
          <w:ilvl w:val="0"/>
          <w:numId w:val="5"/>
        </w:numPr>
        <w:rPr>
          <w:rFonts w:ascii="MS PGothic" w:cs="MS PGothic" w:eastAsia="MS PGothic" w:hAnsi="MS PGothic"/>
          <w:sz w:val="16"/>
          <w:szCs w:val="16"/>
          <w:color w:val="202E39"/>
        </w:rPr>
      </w:pPr>
      <w:r>
        <w:rPr>
          <w:rFonts w:ascii="Arial" w:cs="Arial" w:eastAsia="Arial" w:hAnsi="Arial"/>
          <w:sz w:val="16"/>
          <w:szCs w:val="16"/>
          <w:color w:val="202E39"/>
        </w:rPr>
        <w:t>Fee paid previously with preliminary materials.</w:t>
      </w:r>
    </w:p>
    <w:p>
      <w:pPr>
        <w:spacing w:after="0" w:line="249" w:lineRule="exact"/>
        <w:rPr>
          <w:rFonts w:ascii="MS PGothic" w:cs="MS PGothic" w:eastAsia="MS PGothic" w:hAnsi="MS PGothic"/>
          <w:sz w:val="16"/>
          <w:szCs w:val="16"/>
          <w:color w:val="202E39"/>
        </w:rPr>
      </w:pPr>
    </w:p>
    <w:p>
      <w:pPr>
        <w:ind w:left="680" w:hanging="419"/>
        <w:spacing w:after="0"/>
        <w:tabs>
          <w:tab w:leader="none" w:pos="680" w:val="left"/>
        </w:tabs>
        <w:numPr>
          <w:ilvl w:val="0"/>
          <w:numId w:val="5"/>
        </w:numPr>
        <w:rPr>
          <w:rFonts w:ascii="MS PGothic" w:cs="MS PGothic" w:eastAsia="MS PGothic" w:hAnsi="MS PGothic"/>
          <w:sz w:val="16"/>
          <w:szCs w:val="16"/>
          <w:color w:val="202E39"/>
        </w:rPr>
      </w:pPr>
      <w:r>
        <w:rPr>
          <w:rFonts w:ascii="Arial" w:cs="Arial" w:eastAsia="Arial" w:hAnsi="Arial"/>
          <w:sz w:val="16"/>
          <w:szCs w:val="16"/>
          <w:color w:val="202E39"/>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wp:posOffset>
            </wp:positionH>
            <wp:positionV relativeFrom="paragraph">
              <wp:posOffset>182880</wp:posOffset>
            </wp:positionV>
            <wp:extent cx="6810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233045</wp:posOffset>
            </wp:positionV>
            <wp:extent cx="6810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90" w:lineRule="exact"/>
        <w:rPr>
          <w:sz w:val="20"/>
          <w:szCs w:val="20"/>
          <w:color w:val="auto"/>
        </w:rPr>
      </w:pPr>
    </w:p>
    <w:p>
      <w:pPr>
        <w:ind w:left="4020" w:right="1860"/>
        <w:spacing w:after="0" w:line="279" w:lineRule="auto"/>
        <w:rPr>
          <w:sz w:val="20"/>
          <w:szCs w:val="20"/>
          <w:color w:val="auto"/>
        </w:rPr>
      </w:pPr>
      <w:r>
        <w:rPr>
          <w:rFonts w:ascii="Arial" w:cs="Arial" w:eastAsia="Arial" w:hAnsi="Arial"/>
          <w:sz w:val="35"/>
          <w:szCs w:val="35"/>
          <w:color w:val="009FE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-570865</wp:posOffset>
            </wp:positionV>
            <wp:extent cx="1335405" cy="459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5405" cy="459105"/>
                    </a:xfrm>
                    <a:prstGeom prst="rect">
                      <a:avLst/>
                    </a:prstGeom>
                    <a:noFill/>
                  </pic:spPr>
                </pic:pic>
              </a:graphicData>
            </a:graphic>
          </wp:anchor>
        </w:drawing>
      </w:r>
    </w:p>
    <w:p>
      <w:pPr>
        <w:spacing w:after="0" w:line="91"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6"/>
                <w:szCs w:val="16"/>
                <w:b w:val="1"/>
                <w:bCs w:val="1"/>
                <w:color w:val="009FE3"/>
              </w:rPr>
              <w:t>Meeting Information</w:t>
            </w:r>
          </w:p>
        </w:tc>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00"/>
        </w:trPr>
        <w:tc>
          <w:tcPr>
            <w:tcW w:w="2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290"/>
        </w:trPr>
        <w:tc>
          <w:tcPr>
            <w:tcW w:w="2740" w:type="dxa"/>
            <w:vAlign w:val="bottom"/>
            <w:shd w:val="clear" w:color="auto" w:fill="009FE3"/>
          </w:tcPr>
          <w:p>
            <w:pPr>
              <w:ind w:left="80"/>
              <w:spacing w:after="0"/>
              <w:rPr>
                <w:sz w:val="20"/>
                <w:szCs w:val="20"/>
                <w:color w:val="auto"/>
              </w:rPr>
            </w:pPr>
            <w:r>
              <w:rPr>
                <w:rFonts w:ascii="Arial" w:cs="Arial" w:eastAsia="Arial" w:hAnsi="Arial"/>
                <w:sz w:val="16"/>
                <w:szCs w:val="16"/>
                <w:color w:val="FFFFFF"/>
              </w:rPr>
              <w:t>DATE:</w:t>
            </w:r>
          </w:p>
        </w:tc>
        <w:tc>
          <w:tcPr>
            <w:tcW w:w="218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TIME:</w:t>
            </w:r>
          </w:p>
        </w:tc>
        <w:tc>
          <w:tcPr>
            <w:tcW w:w="244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PLACE:</w:t>
            </w:r>
          </w:p>
        </w:tc>
        <w:tc>
          <w:tcPr>
            <w:tcW w:w="3380" w:type="dxa"/>
            <w:vAlign w:val="bottom"/>
            <w:shd w:val="clear" w:color="auto" w:fill="009FE3"/>
          </w:tcPr>
          <w:p>
            <w:pPr>
              <w:ind w:left="800"/>
              <w:spacing w:after="0"/>
              <w:rPr>
                <w:sz w:val="20"/>
                <w:szCs w:val="20"/>
                <w:color w:val="auto"/>
              </w:rPr>
            </w:pPr>
            <w:r>
              <w:rPr>
                <w:rFonts w:ascii="Arial" w:cs="Arial" w:eastAsia="Arial" w:hAnsi="Arial"/>
                <w:sz w:val="16"/>
                <w:szCs w:val="16"/>
                <w:color w:val="FFFFFF"/>
              </w:rPr>
              <w:t>RECORD DATE:</w:t>
            </w:r>
          </w:p>
        </w:tc>
      </w:tr>
      <w:tr>
        <w:trPr>
          <w:trHeight w:val="207"/>
        </w:trPr>
        <w:tc>
          <w:tcPr>
            <w:tcW w:w="2740" w:type="dxa"/>
            <w:vAlign w:val="bottom"/>
            <w:shd w:val="clear" w:color="auto" w:fill="009FE3"/>
          </w:tcPr>
          <w:p>
            <w:pPr>
              <w:ind w:left="80"/>
              <w:spacing w:after="0"/>
              <w:rPr>
                <w:sz w:val="20"/>
                <w:szCs w:val="20"/>
                <w:color w:val="auto"/>
              </w:rPr>
            </w:pPr>
            <w:r>
              <w:rPr>
                <w:rFonts w:ascii="Arial" w:cs="Arial" w:eastAsia="Arial" w:hAnsi="Arial"/>
                <w:sz w:val="16"/>
                <w:szCs w:val="16"/>
                <w:color w:val="FFFFFF"/>
              </w:rPr>
              <w:t>September 5, 2024</w:t>
            </w:r>
          </w:p>
        </w:tc>
        <w:tc>
          <w:tcPr>
            <w:tcW w:w="218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8:30 a.m. Pacific Time</w:t>
            </w:r>
          </w:p>
        </w:tc>
        <w:tc>
          <w:tcPr>
            <w:tcW w:w="244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Virtual Meeting</w:t>
            </w:r>
          </w:p>
        </w:tc>
        <w:tc>
          <w:tcPr>
            <w:tcW w:w="3380" w:type="dxa"/>
            <w:vAlign w:val="bottom"/>
            <w:shd w:val="clear" w:color="auto" w:fill="009FE3"/>
          </w:tcPr>
          <w:p>
            <w:pPr>
              <w:ind w:left="800"/>
              <w:spacing w:after="0"/>
              <w:rPr>
                <w:sz w:val="20"/>
                <w:szCs w:val="20"/>
                <w:color w:val="auto"/>
              </w:rPr>
            </w:pPr>
            <w:r>
              <w:rPr>
                <w:rFonts w:ascii="Arial" w:cs="Arial" w:eastAsia="Arial" w:hAnsi="Arial"/>
                <w:sz w:val="16"/>
                <w:szCs w:val="16"/>
                <w:color w:val="FFFFFF"/>
              </w:rPr>
              <w:t>July 8, 2024</w:t>
            </w:r>
          </w:p>
        </w:tc>
      </w:tr>
      <w:tr>
        <w:trPr>
          <w:trHeight w:val="121"/>
        </w:trPr>
        <w:tc>
          <w:tcPr>
            <w:tcW w:w="2740" w:type="dxa"/>
            <w:vAlign w:val="bottom"/>
            <w:shd w:val="clear" w:color="auto" w:fill="009FE3"/>
          </w:tcPr>
          <w:p>
            <w:pPr>
              <w:spacing w:after="0"/>
              <w:rPr>
                <w:sz w:val="10"/>
                <w:szCs w:val="10"/>
                <w:color w:val="auto"/>
              </w:rPr>
            </w:pPr>
          </w:p>
        </w:tc>
        <w:tc>
          <w:tcPr>
            <w:tcW w:w="2180" w:type="dxa"/>
            <w:vAlign w:val="bottom"/>
            <w:shd w:val="clear" w:color="auto" w:fill="009FE3"/>
          </w:tcPr>
          <w:p>
            <w:pPr>
              <w:spacing w:after="0"/>
              <w:rPr>
                <w:sz w:val="10"/>
                <w:szCs w:val="10"/>
                <w:color w:val="auto"/>
              </w:rPr>
            </w:pPr>
          </w:p>
        </w:tc>
        <w:tc>
          <w:tcPr>
            <w:tcW w:w="2440" w:type="dxa"/>
            <w:vAlign w:val="bottom"/>
            <w:shd w:val="clear" w:color="auto" w:fill="009FE3"/>
          </w:tcPr>
          <w:p>
            <w:pPr>
              <w:spacing w:after="0"/>
              <w:rPr>
                <w:sz w:val="10"/>
                <w:szCs w:val="10"/>
                <w:color w:val="auto"/>
              </w:rPr>
            </w:pPr>
          </w:p>
        </w:tc>
        <w:tc>
          <w:tcPr>
            <w:tcW w:w="3380" w:type="dxa"/>
            <w:vAlign w:val="bottom"/>
            <w:shd w:val="clear" w:color="auto" w:fill="009FE3"/>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-316230</wp:posOffset>
            </wp:positionV>
            <wp:extent cx="8255" cy="241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24193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-316230</wp:posOffset>
            </wp:positionV>
            <wp:extent cx="8255" cy="241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24193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-316230</wp:posOffset>
            </wp:positionV>
            <wp:extent cx="8255" cy="241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241935"/>
                    </a:xfrm>
                    <a:prstGeom prst="rect">
                      <a:avLst/>
                    </a:prstGeom>
                    <a:noFill/>
                  </pic:spPr>
                </pic:pic>
              </a:graphicData>
            </a:graphic>
          </wp:anchor>
        </w:drawing>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Dear Fellow Stockholder:</w:t>
      </w:r>
    </w:p>
    <w:p>
      <w:pPr>
        <w:spacing w:after="0" w:line="103" w:lineRule="exact"/>
        <w:rPr>
          <w:sz w:val="20"/>
          <w:szCs w:val="20"/>
          <w:color w:val="auto"/>
        </w:rPr>
      </w:pPr>
    </w:p>
    <w:p>
      <w:pPr>
        <w:ind w:left="260" w:right="120"/>
        <w:spacing w:after="0" w:line="248" w:lineRule="auto"/>
        <w:rPr>
          <w:sz w:val="20"/>
          <w:szCs w:val="20"/>
          <w:color w:val="auto"/>
        </w:rPr>
      </w:pPr>
      <w:r>
        <w:rPr>
          <w:rFonts w:ascii="Arial" w:cs="Arial" w:eastAsia="Arial" w:hAnsi="Arial"/>
          <w:sz w:val="16"/>
          <w:szCs w:val="16"/>
          <w:color w:val="202E39"/>
        </w:rPr>
        <w:t xml:space="preserve">You are cordially invited to attend our 2024 annual meeting of stockholders, which will be held on September 5, 2024 at 8:30 a.m. Pacific Time. </w:t>
      </w:r>
      <w:r>
        <w:rPr>
          <w:rFonts w:ascii="Arial" w:cs="Arial" w:eastAsia="Arial" w:hAnsi="Arial"/>
          <w:sz w:val="16"/>
          <w:szCs w:val="16"/>
          <w:b w:val="1"/>
          <w:bCs w:val="1"/>
          <w:color w:val="009FE3"/>
        </w:rPr>
        <w:t>This</w:t>
      </w:r>
      <w:r>
        <w:rPr>
          <w:rFonts w:ascii="Arial" w:cs="Arial" w:eastAsia="Arial" w:hAnsi="Arial"/>
          <w:sz w:val="16"/>
          <w:szCs w:val="16"/>
          <w:color w:val="202E39"/>
        </w:rPr>
        <w:t xml:space="preserve"> </w:t>
      </w:r>
      <w:r>
        <w:rPr>
          <w:rFonts w:ascii="Arial" w:cs="Arial" w:eastAsia="Arial" w:hAnsi="Arial"/>
          <w:sz w:val="16"/>
          <w:szCs w:val="16"/>
          <w:b w:val="1"/>
          <w:bCs w:val="1"/>
          <w:color w:val="009FE3"/>
        </w:rPr>
        <w:t xml:space="preserve">year’s annual meeting will be a completely virtual meeting of stockholders to provide a convenient and consistent experience to all stockholders regardless of location. To participate, vote or submit questions during the annual meeting via live webcast, please visit: www.virtualshareholdermeeting.com/VSAT2024. There will not be a physical location for the annual meeting. </w:t>
      </w:r>
      <w:r>
        <w:rPr>
          <w:rFonts w:ascii="Arial" w:cs="Arial" w:eastAsia="Arial" w:hAnsi="Arial"/>
          <w:sz w:val="16"/>
          <w:szCs w:val="16"/>
          <w:color w:val="202E39"/>
        </w:rPr>
        <w:t>We are holding the annual meeting</w:t>
      </w:r>
      <w:r>
        <w:rPr>
          <w:rFonts w:ascii="Arial" w:cs="Arial" w:eastAsia="Arial" w:hAnsi="Arial"/>
          <w:sz w:val="16"/>
          <w:szCs w:val="16"/>
          <w:b w:val="1"/>
          <w:bCs w:val="1"/>
          <w:color w:val="009FE3"/>
        </w:rPr>
        <w:t xml:space="preserve"> </w:t>
      </w:r>
      <w:r>
        <w:rPr>
          <w:rFonts w:ascii="Arial" w:cs="Arial" w:eastAsia="Arial" w:hAnsi="Arial"/>
          <w:sz w:val="16"/>
          <w:szCs w:val="16"/>
          <w:color w:val="202E39"/>
        </w:rPr>
        <w:t>for the following purposes:</w:t>
      </w:r>
    </w:p>
    <w:p>
      <w:pPr>
        <w:spacing w:after="0" w:line="90" w:lineRule="exact"/>
        <w:rPr>
          <w:sz w:val="20"/>
          <w:szCs w:val="20"/>
          <w:color w:val="auto"/>
        </w:rPr>
      </w:pPr>
    </w:p>
    <w:p>
      <w:pPr>
        <w:ind w:left="1100" w:right="260" w:hanging="418"/>
        <w:spacing w:after="0" w:line="269" w:lineRule="auto"/>
        <w:tabs>
          <w:tab w:leader="none" w:pos="1100" w:val="left"/>
        </w:tabs>
        <w:numPr>
          <w:ilvl w:val="0"/>
          <w:numId w:val="6"/>
        </w:numPr>
        <w:rPr>
          <w:rFonts w:ascii="Arial" w:cs="Arial" w:eastAsia="Arial" w:hAnsi="Arial"/>
          <w:sz w:val="16"/>
          <w:szCs w:val="16"/>
          <w:color w:val="009FE3"/>
        </w:rPr>
      </w:pPr>
      <w:r>
        <w:rPr>
          <w:rFonts w:ascii="Arial" w:cs="Arial" w:eastAsia="Arial" w:hAnsi="Arial"/>
          <w:sz w:val="16"/>
          <w:szCs w:val="16"/>
          <w:color w:val="202E39"/>
        </w:rPr>
        <w:t>To elect John Stenbit, Andrew Sukawaty and Theresa Wise to serve as Class I Directors for a three-year term to expire at the 2027 annual meeting of stockholders.</w:t>
      </w:r>
    </w:p>
    <w:p>
      <w:pPr>
        <w:spacing w:after="0" w:line="21" w:lineRule="exact"/>
        <w:rPr>
          <w:rFonts w:ascii="Arial" w:cs="Arial" w:eastAsia="Arial" w:hAnsi="Arial"/>
          <w:sz w:val="16"/>
          <w:szCs w:val="16"/>
          <w:color w:val="009FE3"/>
        </w:rPr>
      </w:pPr>
    </w:p>
    <w:p>
      <w:pPr>
        <w:ind w:left="1100" w:hanging="418"/>
        <w:spacing w:after="0"/>
        <w:tabs>
          <w:tab w:leader="none" w:pos="1100" w:val="left"/>
        </w:tabs>
        <w:numPr>
          <w:ilvl w:val="0"/>
          <w:numId w:val="6"/>
        </w:numPr>
        <w:rPr>
          <w:rFonts w:ascii="Arial" w:cs="Arial" w:eastAsia="Arial" w:hAnsi="Arial"/>
          <w:sz w:val="16"/>
          <w:szCs w:val="16"/>
          <w:color w:val="009FE3"/>
        </w:rPr>
      </w:pPr>
      <w:r>
        <w:rPr>
          <w:rFonts w:ascii="Arial" w:cs="Arial" w:eastAsia="Arial" w:hAnsi="Arial"/>
          <w:sz w:val="16"/>
          <w:szCs w:val="16"/>
          <w:color w:val="202E39"/>
        </w:rPr>
        <w:t>To ratify the appointment of PricewaterhouseCoopers LLP as Viasat’s independent registered public accounting firm for fiscal year 2025.</w:t>
      </w:r>
    </w:p>
    <w:p>
      <w:pPr>
        <w:spacing w:after="0" w:line="65" w:lineRule="exact"/>
        <w:rPr>
          <w:rFonts w:ascii="Arial" w:cs="Arial" w:eastAsia="Arial" w:hAnsi="Arial"/>
          <w:sz w:val="16"/>
          <w:szCs w:val="16"/>
          <w:color w:val="009FE3"/>
        </w:rPr>
      </w:pPr>
    </w:p>
    <w:p>
      <w:pPr>
        <w:ind w:left="1100" w:hanging="418"/>
        <w:spacing w:after="0"/>
        <w:tabs>
          <w:tab w:leader="none" w:pos="1100" w:val="left"/>
        </w:tabs>
        <w:numPr>
          <w:ilvl w:val="0"/>
          <w:numId w:val="6"/>
        </w:numPr>
        <w:rPr>
          <w:rFonts w:ascii="Arial" w:cs="Arial" w:eastAsia="Arial" w:hAnsi="Arial"/>
          <w:sz w:val="16"/>
          <w:szCs w:val="16"/>
          <w:color w:val="009FE3"/>
        </w:rPr>
      </w:pPr>
      <w:r>
        <w:rPr>
          <w:rFonts w:ascii="Arial" w:cs="Arial" w:eastAsia="Arial" w:hAnsi="Arial"/>
          <w:sz w:val="16"/>
          <w:szCs w:val="16"/>
          <w:color w:val="202E39"/>
        </w:rPr>
        <w:t>To conduct an advisory vote on executive compensation.</w:t>
      </w:r>
    </w:p>
    <w:p>
      <w:pPr>
        <w:spacing w:after="0" w:line="65" w:lineRule="exact"/>
        <w:rPr>
          <w:rFonts w:ascii="Arial" w:cs="Arial" w:eastAsia="Arial" w:hAnsi="Arial"/>
          <w:sz w:val="16"/>
          <w:szCs w:val="16"/>
          <w:color w:val="009FE3"/>
        </w:rPr>
      </w:pPr>
    </w:p>
    <w:p>
      <w:pPr>
        <w:ind w:left="1100" w:hanging="418"/>
        <w:spacing w:after="0"/>
        <w:tabs>
          <w:tab w:leader="none" w:pos="1100" w:val="left"/>
        </w:tabs>
        <w:numPr>
          <w:ilvl w:val="0"/>
          <w:numId w:val="6"/>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1996 Equity Participation Plan.</w:t>
      </w:r>
    </w:p>
    <w:p>
      <w:pPr>
        <w:spacing w:after="0" w:line="65" w:lineRule="exact"/>
        <w:rPr>
          <w:rFonts w:ascii="Arial" w:cs="Arial" w:eastAsia="Arial" w:hAnsi="Arial"/>
          <w:sz w:val="16"/>
          <w:szCs w:val="16"/>
          <w:color w:val="009FE3"/>
        </w:rPr>
      </w:pPr>
    </w:p>
    <w:p>
      <w:pPr>
        <w:ind w:left="1100" w:hanging="418"/>
        <w:spacing w:after="0"/>
        <w:tabs>
          <w:tab w:leader="none" w:pos="1100" w:val="left"/>
        </w:tabs>
        <w:numPr>
          <w:ilvl w:val="0"/>
          <w:numId w:val="6"/>
        </w:numPr>
        <w:rPr>
          <w:rFonts w:ascii="Arial" w:cs="Arial" w:eastAsia="Arial" w:hAnsi="Arial"/>
          <w:sz w:val="16"/>
          <w:szCs w:val="16"/>
          <w:color w:val="009FE3"/>
        </w:rPr>
      </w:pPr>
      <w:r>
        <w:rPr>
          <w:rFonts w:ascii="Arial" w:cs="Arial" w:eastAsia="Arial" w:hAnsi="Arial"/>
          <w:sz w:val="16"/>
          <w:szCs w:val="16"/>
          <w:color w:val="202E39"/>
        </w:rPr>
        <w:t>To transact other business that may properly come before the annual meeting or any adjournments or postponements of the meeting.</w:t>
      </w:r>
    </w:p>
    <w:p>
      <w:pPr>
        <w:spacing w:after="0" w:line="105" w:lineRule="exact"/>
        <w:rPr>
          <w:sz w:val="20"/>
          <w:szCs w:val="20"/>
          <w:color w:val="auto"/>
        </w:rPr>
      </w:pPr>
    </w:p>
    <w:p>
      <w:pPr>
        <w:ind w:left="260" w:right="360"/>
        <w:spacing w:after="0" w:line="269" w:lineRule="auto"/>
        <w:rPr>
          <w:sz w:val="20"/>
          <w:szCs w:val="20"/>
          <w:color w:val="auto"/>
        </w:rPr>
      </w:pPr>
      <w:r>
        <w:rPr>
          <w:rFonts w:ascii="Arial" w:cs="Arial" w:eastAsia="Arial" w:hAnsi="Arial"/>
          <w:sz w:val="16"/>
          <w:szCs w:val="16"/>
          <w:color w:val="202E39"/>
        </w:rPr>
        <w:t>These items are fully described in the proxy statement, which is part of this notice. We have not received notice of other matters that may be properly presented at the annual meeting.</w:t>
      </w:r>
    </w:p>
    <w:p>
      <w:pPr>
        <w:spacing w:after="0" w:line="59" w:lineRule="exact"/>
        <w:rPr>
          <w:sz w:val="20"/>
          <w:szCs w:val="20"/>
          <w:color w:val="auto"/>
        </w:rPr>
      </w:pPr>
    </w:p>
    <w:p>
      <w:pPr>
        <w:jc w:val="both"/>
        <w:ind w:left="260" w:right="260"/>
        <w:spacing w:after="0" w:line="261" w:lineRule="auto"/>
        <w:rPr>
          <w:sz w:val="20"/>
          <w:szCs w:val="20"/>
          <w:color w:val="auto"/>
        </w:rPr>
      </w:pPr>
      <w:r>
        <w:rPr>
          <w:rFonts w:ascii="Arial" w:cs="Arial" w:eastAsia="Arial" w:hAnsi="Arial"/>
          <w:sz w:val="16"/>
          <w:szCs w:val="16"/>
          <w:color w:val="202E39"/>
        </w:rPr>
        <w:t xml:space="preserve">All stockholders of record as of July 8, 2024, the record date, are entitled to vote at the annual meeting. </w:t>
      </w:r>
      <w:r>
        <w:rPr>
          <w:rFonts w:ascii="Arial" w:cs="Arial" w:eastAsia="Arial" w:hAnsi="Arial"/>
          <w:sz w:val="16"/>
          <w:szCs w:val="16"/>
          <w:b w:val="1"/>
          <w:bCs w:val="1"/>
          <w:color w:val="009FE3"/>
        </w:rPr>
        <w:t>Your vote is very important. Whether or not</w:t>
      </w:r>
      <w:r>
        <w:rPr>
          <w:rFonts w:ascii="Arial" w:cs="Arial" w:eastAsia="Arial" w:hAnsi="Arial"/>
          <w:sz w:val="16"/>
          <w:szCs w:val="16"/>
          <w:color w:val="202E39"/>
        </w:rPr>
        <w:t xml:space="preserve"> </w:t>
      </w:r>
      <w:r>
        <w:rPr>
          <w:rFonts w:ascii="Arial" w:cs="Arial" w:eastAsia="Arial" w:hAnsi="Arial"/>
          <w:sz w:val="16"/>
          <w:szCs w:val="16"/>
          <w:b w:val="1"/>
          <w:bCs w:val="1"/>
          <w:color w:val="009FE3"/>
        </w:rPr>
        <w:t>you expect to attend the virtual annual meeting, please vote via one of the methods specified below as soon as possible to ensure that your shares are represented at the annual meeting.</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9FE3"/>
        </w:rPr>
        <w:t>How to Vote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83820</wp:posOffset>
            </wp:positionV>
            <wp:extent cx="6568440" cy="358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8440" cy="35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960" w:type="dxa"/>
            <w:vAlign w:val="bottom"/>
          </w:tcPr>
          <w:p>
            <w:pPr>
              <w:jc w:val="center"/>
              <w:ind w:right="110"/>
              <w:spacing w:after="0"/>
              <w:rPr>
                <w:sz w:val="20"/>
                <w:szCs w:val="20"/>
                <w:color w:val="auto"/>
              </w:rPr>
            </w:pPr>
            <w:r>
              <w:rPr>
                <w:rFonts w:ascii="Arial" w:cs="Arial" w:eastAsia="Arial" w:hAnsi="Arial"/>
                <w:sz w:val="14"/>
                <w:szCs w:val="14"/>
                <w:color w:val="202E39"/>
              </w:rPr>
              <w:t>Call the telephone number specified on your</w:t>
            </w:r>
          </w:p>
        </w:tc>
        <w:tc>
          <w:tcPr>
            <w:tcW w:w="600" w:type="dxa"/>
            <w:vAlign w:val="bottom"/>
          </w:tcPr>
          <w:p>
            <w:pPr>
              <w:ind w:left="140"/>
              <w:spacing w:after="0"/>
              <w:rPr>
                <w:sz w:val="20"/>
                <w:szCs w:val="20"/>
                <w:color w:val="auto"/>
              </w:rPr>
            </w:pPr>
            <w:r>
              <w:rPr>
                <w:rFonts w:ascii="Arial" w:cs="Arial" w:eastAsia="Arial" w:hAnsi="Arial"/>
                <w:sz w:val="14"/>
                <w:szCs w:val="14"/>
                <w:color w:val="202E39"/>
              </w:rPr>
              <w:t xml:space="preserve">       </w:t>
            </w:r>
          </w:p>
        </w:tc>
        <w:tc>
          <w:tcPr>
            <w:tcW w:w="3780" w:type="dxa"/>
            <w:vAlign w:val="bottom"/>
          </w:tcPr>
          <w:p>
            <w:pPr>
              <w:ind w:left="140"/>
              <w:spacing w:after="0"/>
              <w:rPr>
                <w:sz w:val="20"/>
                <w:szCs w:val="20"/>
                <w:color w:val="auto"/>
              </w:rPr>
            </w:pPr>
            <w:r>
              <w:rPr>
                <w:rFonts w:ascii="Arial" w:cs="Arial" w:eastAsia="Arial" w:hAnsi="Arial"/>
                <w:sz w:val="14"/>
                <w:szCs w:val="14"/>
                <w:color w:val="202E39"/>
              </w:rPr>
              <w:t xml:space="preserve">Sign, date and return your proxy card or voting          </w:t>
            </w:r>
          </w:p>
        </w:tc>
        <w:tc>
          <w:tcPr>
            <w:tcW w:w="2920" w:type="dxa"/>
            <w:vAlign w:val="bottom"/>
          </w:tcPr>
          <w:p>
            <w:pPr>
              <w:jc w:val="center"/>
              <w:ind w:left="150"/>
              <w:spacing w:after="0"/>
              <w:rPr>
                <w:sz w:val="20"/>
                <w:szCs w:val="20"/>
                <w:color w:val="auto"/>
              </w:rPr>
            </w:pPr>
            <w:r>
              <w:rPr>
                <w:rFonts w:ascii="Arial" w:cs="Arial" w:eastAsia="Arial" w:hAnsi="Arial"/>
                <w:sz w:val="14"/>
                <w:szCs w:val="14"/>
                <w:color w:val="202E39"/>
                <w:w w:val="99"/>
              </w:rPr>
              <w:t>Follow the instructions in your proxy card or</w:t>
            </w:r>
          </w:p>
        </w:tc>
      </w:tr>
      <w:tr>
        <w:trPr>
          <w:trHeight w:val="158"/>
        </w:trPr>
        <w:tc>
          <w:tcPr>
            <w:tcW w:w="2960" w:type="dxa"/>
            <w:vAlign w:val="bottom"/>
          </w:tcPr>
          <w:p>
            <w:pPr>
              <w:jc w:val="center"/>
              <w:ind w:right="90"/>
              <w:spacing w:after="0" w:line="158" w:lineRule="exact"/>
              <w:rPr>
                <w:sz w:val="20"/>
                <w:szCs w:val="20"/>
                <w:color w:val="auto"/>
              </w:rPr>
            </w:pPr>
            <w:r>
              <w:rPr>
                <w:rFonts w:ascii="Arial" w:cs="Arial" w:eastAsia="Arial" w:hAnsi="Arial"/>
                <w:sz w:val="14"/>
                <w:szCs w:val="14"/>
                <w:color w:val="202E39"/>
                <w:w w:val="99"/>
              </w:rPr>
              <w:t>proxy card or voting instruction form provided</w:t>
            </w:r>
          </w:p>
        </w:tc>
        <w:tc>
          <w:tcPr>
            <w:tcW w:w="600" w:type="dxa"/>
            <w:vAlign w:val="bottom"/>
          </w:tcPr>
          <w:p>
            <w:pPr>
              <w:spacing w:after="0"/>
              <w:rPr>
                <w:sz w:val="13"/>
                <w:szCs w:val="13"/>
                <w:color w:val="auto"/>
              </w:rPr>
            </w:pPr>
          </w:p>
        </w:tc>
        <w:tc>
          <w:tcPr>
            <w:tcW w:w="3780" w:type="dxa"/>
            <w:vAlign w:val="bottom"/>
          </w:tcPr>
          <w:p>
            <w:pPr>
              <w:jc w:val="center"/>
              <w:ind w:right="550"/>
              <w:spacing w:after="0" w:line="158" w:lineRule="exact"/>
              <w:rPr>
                <w:sz w:val="20"/>
                <w:szCs w:val="20"/>
                <w:color w:val="auto"/>
              </w:rPr>
            </w:pPr>
            <w:r>
              <w:rPr>
                <w:rFonts w:ascii="Arial" w:cs="Arial" w:eastAsia="Arial" w:hAnsi="Arial"/>
                <w:sz w:val="14"/>
                <w:szCs w:val="14"/>
                <w:color w:val="202E39"/>
              </w:rPr>
              <w:t>instruction form in the postage-paid envelope</w:t>
            </w:r>
          </w:p>
        </w:tc>
        <w:tc>
          <w:tcPr>
            <w:tcW w:w="2920" w:type="dxa"/>
            <w:vAlign w:val="bottom"/>
          </w:tcPr>
          <w:p>
            <w:pPr>
              <w:jc w:val="center"/>
              <w:ind w:left="150"/>
              <w:spacing w:after="0" w:line="158" w:lineRule="exact"/>
              <w:rPr>
                <w:sz w:val="20"/>
                <w:szCs w:val="20"/>
                <w:color w:val="auto"/>
              </w:rPr>
            </w:pPr>
            <w:r>
              <w:rPr>
                <w:rFonts w:ascii="Arial" w:cs="Arial" w:eastAsia="Arial" w:hAnsi="Arial"/>
                <w:sz w:val="14"/>
                <w:szCs w:val="14"/>
                <w:color w:val="202E39"/>
                <w:w w:val="99"/>
              </w:rPr>
              <w:t>voting instruction form to vote at</w:t>
            </w:r>
          </w:p>
        </w:tc>
      </w:tr>
      <w:tr>
        <w:trPr>
          <w:trHeight w:val="158"/>
        </w:trPr>
        <w:tc>
          <w:tcPr>
            <w:tcW w:w="2960" w:type="dxa"/>
            <w:vAlign w:val="bottom"/>
          </w:tcPr>
          <w:p>
            <w:pPr>
              <w:jc w:val="center"/>
              <w:ind w:right="90"/>
              <w:spacing w:after="0" w:line="158" w:lineRule="exact"/>
              <w:rPr>
                <w:sz w:val="20"/>
                <w:szCs w:val="20"/>
                <w:color w:val="auto"/>
              </w:rPr>
            </w:pPr>
            <w:r>
              <w:rPr>
                <w:rFonts w:ascii="Arial" w:cs="Arial" w:eastAsia="Arial" w:hAnsi="Arial"/>
                <w:sz w:val="14"/>
                <w:szCs w:val="14"/>
                <w:color w:val="202E39"/>
                <w:w w:val="99"/>
              </w:rPr>
              <w:t>by your bank or broker</w:t>
            </w:r>
          </w:p>
        </w:tc>
        <w:tc>
          <w:tcPr>
            <w:tcW w:w="600" w:type="dxa"/>
            <w:vAlign w:val="bottom"/>
          </w:tcPr>
          <w:p>
            <w:pPr>
              <w:spacing w:after="0"/>
              <w:rPr>
                <w:sz w:val="13"/>
                <w:szCs w:val="13"/>
                <w:color w:val="auto"/>
              </w:rPr>
            </w:pPr>
          </w:p>
        </w:tc>
        <w:tc>
          <w:tcPr>
            <w:tcW w:w="3780" w:type="dxa"/>
            <w:vAlign w:val="bottom"/>
          </w:tcPr>
          <w:p>
            <w:pPr>
              <w:jc w:val="center"/>
              <w:ind w:right="530"/>
              <w:spacing w:after="0" w:line="158" w:lineRule="exact"/>
              <w:rPr>
                <w:sz w:val="20"/>
                <w:szCs w:val="20"/>
                <w:color w:val="auto"/>
              </w:rPr>
            </w:pPr>
            <w:r>
              <w:rPr>
                <w:rFonts w:ascii="Arial" w:cs="Arial" w:eastAsia="Arial" w:hAnsi="Arial"/>
                <w:sz w:val="14"/>
                <w:szCs w:val="14"/>
                <w:color w:val="202E39"/>
              </w:rPr>
              <w:t>provided</w:t>
            </w:r>
          </w:p>
        </w:tc>
        <w:tc>
          <w:tcPr>
            <w:tcW w:w="2920" w:type="dxa"/>
            <w:vAlign w:val="bottom"/>
          </w:tcPr>
          <w:p>
            <w:pPr>
              <w:jc w:val="center"/>
              <w:ind w:left="150"/>
              <w:spacing w:after="0" w:line="158" w:lineRule="exact"/>
              <w:rPr>
                <w:sz w:val="20"/>
                <w:szCs w:val="20"/>
                <w:color w:val="auto"/>
              </w:rPr>
            </w:pPr>
            <w:r>
              <w:rPr>
                <w:rFonts w:ascii="Arial" w:cs="Arial" w:eastAsia="Arial" w:hAnsi="Arial"/>
                <w:sz w:val="14"/>
                <w:szCs w:val="14"/>
                <w:color w:val="202E39"/>
                <w:w w:val="99"/>
              </w:rPr>
              <w:t>www.proxyvote.com prior to 11:59 p.m.</w:t>
            </w:r>
          </w:p>
        </w:tc>
      </w:tr>
      <w:tr>
        <w:trPr>
          <w:trHeight w:val="158"/>
        </w:trPr>
        <w:tc>
          <w:tcPr>
            <w:tcW w:w="2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920" w:type="dxa"/>
            <w:vAlign w:val="bottom"/>
          </w:tcPr>
          <w:p>
            <w:pPr>
              <w:jc w:val="center"/>
              <w:ind w:left="150"/>
              <w:spacing w:after="0" w:line="158" w:lineRule="exact"/>
              <w:rPr>
                <w:sz w:val="20"/>
                <w:szCs w:val="20"/>
                <w:color w:val="auto"/>
              </w:rPr>
            </w:pPr>
            <w:r>
              <w:rPr>
                <w:rFonts w:ascii="Arial" w:cs="Arial" w:eastAsia="Arial" w:hAnsi="Arial"/>
                <w:sz w:val="14"/>
                <w:szCs w:val="14"/>
                <w:color w:val="202E39"/>
                <w:w w:val="99"/>
              </w:rPr>
              <w:t>Eastern Time on</w:t>
            </w:r>
          </w:p>
        </w:tc>
      </w:tr>
      <w:tr>
        <w:trPr>
          <w:trHeight w:val="185"/>
        </w:trPr>
        <w:tc>
          <w:tcPr>
            <w:tcW w:w="2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920" w:type="dxa"/>
            <w:vAlign w:val="bottom"/>
          </w:tcPr>
          <w:p>
            <w:pPr>
              <w:jc w:val="center"/>
              <w:ind w:left="150"/>
              <w:spacing w:after="0"/>
              <w:rPr>
                <w:sz w:val="20"/>
                <w:szCs w:val="20"/>
                <w:color w:val="auto"/>
              </w:rPr>
            </w:pPr>
            <w:r>
              <w:rPr>
                <w:rFonts w:ascii="Arial" w:cs="Arial" w:eastAsia="Arial" w:hAnsi="Arial"/>
                <w:sz w:val="14"/>
                <w:szCs w:val="14"/>
                <w:color w:val="202E39"/>
                <w:w w:val="99"/>
              </w:rPr>
              <w:t>September 4, 2024</w:t>
            </w:r>
          </w:p>
        </w:tc>
      </w:tr>
    </w:tbl>
    <w:p>
      <w:pPr>
        <w:spacing w:after="0" w:line="338"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By Order of the Board of Directors</w:t>
      </w:r>
    </w:p>
    <w:p>
      <w:pPr>
        <w:spacing w:after="0" w:line="118"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/s/ Mark Dankberg</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Mark Dankberg</w:t>
      </w:r>
    </w:p>
    <w:p>
      <w:pPr>
        <w:ind w:left="5740"/>
        <w:spacing w:after="0"/>
        <w:rPr>
          <w:sz w:val="20"/>
          <w:szCs w:val="20"/>
          <w:color w:val="auto"/>
        </w:rPr>
      </w:pPr>
      <w:r>
        <w:rPr>
          <w:rFonts w:ascii="Arial" w:cs="Arial" w:eastAsia="Arial" w:hAnsi="Arial"/>
          <w:sz w:val="16"/>
          <w:szCs w:val="16"/>
          <w:color w:val="202E39"/>
        </w:rPr>
        <w:t>Chairman of the Board and Chief Executive Officer</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Carlsbad, California</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July 26, 2024</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202E39"/>
        </w:rPr>
        <w:t>YOUR VOTE IS IMPORTANT.</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202E39"/>
        </w:rPr>
        <w:t>WHETHER OR NOT YOU PLAN TO ATTEND THE VIRTUAL ANNUAL MEETING,</w:t>
      </w:r>
    </w:p>
    <w:p>
      <w:pPr>
        <w:jc w:val="center"/>
        <w:ind w:right="-239"/>
        <w:spacing w:after="0"/>
        <w:rPr>
          <w:sz w:val="20"/>
          <w:szCs w:val="20"/>
          <w:color w:val="auto"/>
        </w:rPr>
      </w:pPr>
      <w:r>
        <w:rPr>
          <w:rFonts w:ascii="Arial" w:cs="Arial" w:eastAsia="Arial" w:hAnsi="Arial"/>
          <w:sz w:val="16"/>
          <w:szCs w:val="16"/>
          <w:b w:val="1"/>
          <w:bCs w:val="1"/>
          <w:color w:val="202E39"/>
        </w:rPr>
        <w:t>PLEASE SIGN, DATE AND RETURN THE ACCOMPANYING PROXY CARD.</w:t>
      </w:r>
    </w:p>
    <w:p>
      <w:pPr>
        <w:sectPr>
          <w:pgSz w:w="11900" w:h="16838" w:orient="portrait"/>
          <w:cols w:equalWidth="0" w:num="1">
            <w:col w:w="11000"/>
          </w:cols>
          <w:pgMar w:left="320" w:top="474"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TABLE OF CONTENTS</w:t>
      </w: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700" w:type="dxa"/>
            <w:vAlign w:val="bottom"/>
            <w:gridSpan w:val="35"/>
          </w:tcPr>
          <w:p>
            <w:pPr>
              <w:spacing w:after="0"/>
              <w:rPr>
                <w:sz w:val="20"/>
                <w:szCs w:val="20"/>
                <w:color w:val="auto"/>
              </w:rPr>
            </w:pPr>
            <w:r>
              <w:rPr>
                <w:rFonts w:ascii="Arial" w:cs="Arial" w:eastAsia="Arial" w:hAnsi="Arial"/>
                <w:sz w:val="18"/>
                <w:szCs w:val="18"/>
                <w:b w:val="1"/>
                <w:bCs w:val="1"/>
                <w:color w:val="0000EE"/>
              </w:rPr>
              <w:t>GENERAL INFORMATION</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009FE3"/>
              </w:rPr>
              <w:t>1</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4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4700" w:type="dxa"/>
            <w:vAlign w:val="bottom"/>
            <w:gridSpan w:val="35"/>
          </w:tcPr>
          <w:p>
            <w:pPr>
              <w:spacing w:after="0" w:line="151" w:lineRule="exact"/>
              <w:rPr>
                <w:sz w:val="20"/>
                <w:szCs w:val="20"/>
                <w:color w:val="auto"/>
              </w:rPr>
            </w:pPr>
            <w:r>
              <w:rPr>
                <w:rFonts w:ascii="Arial" w:cs="Arial" w:eastAsia="Arial" w:hAnsi="Arial"/>
                <w:sz w:val="16"/>
                <w:szCs w:val="16"/>
                <w:color w:val="0000EE"/>
              </w:rPr>
              <w:t>About the Annual Meeting and Voting</w:t>
            </w: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1</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900" w:type="dxa"/>
            <w:vAlign w:val="bottom"/>
            <w:tcBorders>
              <w:top w:val="single" w:sz="8" w:color="0000EE"/>
            </w:tcBorders>
            <w:gridSpan w:val="19"/>
          </w:tcPr>
          <w:p>
            <w:pPr>
              <w:spacing w:after="0" w:line="177" w:lineRule="exact"/>
              <w:rPr>
                <w:sz w:val="20"/>
                <w:szCs w:val="20"/>
                <w:color w:val="auto"/>
              </w:rPr>
            </w:pPr>
            <w:r>
              <w:rPr>
                <w:rFonts w:ascii="Arial" w:cs="Arial" w:eastAsia="Arial" w:hAnsi="Arial"/>
                <w:sz w:val="18"/>
                <w:szCs w:val="18"/>
                <w:b w:val="1"/>
                <w:bCs w:val="1"/>
                <w:color w:val="0000EE"/>
              </w:rPr>
              <w:t>PROXY STATEMENT SUMMARY</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b w:val="1"/>
                <w:bCs w:val="1"/>
                <w:color w:val="009FE3"/>
              </w:rPr>
              <w:t>5</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4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6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4700" w:type="dxa"/>
            <w:vAlign w:val="bottom"/>
            <w:gridSpan w:val="35"/>
          </w:tcPr>
          <w:p>
            <w:pPr>
              <w:spacing w:after="0" w:line="151" w:lineRule="exact"/>
              <w:rPr>
                <w:sz w:val="20"/>
                <w:szCs w:val="20"/>
                <w:color w:val="auto"/>
              </w:rPr>
            </w:pPr>
            <w:r>
              <w:rPr>
                <w:rFonts w:ascii="Arial" w:cs="Arial" w:eastAsia="Arial" w:hAnsi="Arial"/>
                <w:sz w:val="16"/>
                <w:szCs w:val="16"/>
                <w:b w:val="1"/>
                <w:bCs w:val="1"/>
                <w:color w:val="0000EE"/>
              </w:rPr>
              <w:t>CORPORATE GOVERNANCE PRINCIPLES AND BOARD</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6</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620" w:type="dxa"/>
            <w:vAlign w:val="bottom"/>
            <w:tcBorders>
              <w:top w:val="single" w:sz="8" w:color="0000EE"/>
            </w:tcBorders>
            <w:gridSpan w:val="34"/>
          </w:tcPr>
          <w:p>
            <w:pPr>
              <w:spacing w:after="0" w:line="177" w:lineRule="exact"/>
              <w:rPr>
                <w:sz w:val="20"/>
                <w:szCs w:val="20"/>
                <w:color w:val="auto"/>
              </w:rPr>
            </w:pPr>
            <w:r>
              <w:rPr>
                <w:rFonts w:ascii="Arial" w:cs="Arial" w:eastAsia="Arial" w:hAnsi="Arial"/>
                <w:sz w:val="18"/>
                <w:szCs w:val="18"/>
                <w:b w:val="1"/>
                <w:bCs w:val="1"/>
                <w:color w:val="0000EE"/>
              </w:rPr>
              <w:t>MATTERS</w:t>
            </w:r>
          </w:p>
        </w:tc>
        <w:tc>
          <w:tcPr>
            <w:tcW w:w="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4700" w:type="dxa"/>
            <w:vAlign w:val="bottom"/>
            <w:gridSpan w:val="35"/>
          </w:tcPr>
          <w:p>
            <w:pPr>
              <w:spacing w:after="0" w:line="151" w:lineRule="exact"/>
              <w:rPr>
                <w:sz w:val="20"/>
                <w:szCs w:val="20"/>
                <w:color w:val="auto"/>
              </w:rPr>
            </w:pPr>
            <w:r>
              <w:rPr>
                <w:rFonts w:ascii="Arial" w:cs="Arial" w:eastAsia="Arial" w:hAnsi="Arial"/>
                <w:sz w:val="16"/>
                <w:szCs w:val="16"/>
                <w:color w:val="0000EE"/>
              </w:rPr>
              <w:t>Board Responsibilities</w:t>
            </w: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6</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720" w:type="dxa"/>
            <w:vAlign w:val="bottom"/>
            <w:tcBorders>
              <w:top w:val="single" w:sz="8" w:color="0000EE"/>
            </w:tcBorders>
            <w:gridSpan w:val="8"/>
          </w:tcPr>
          <w:p>
            <w:pPr>
              <w:spacing w:after="0" w:line="177" w:lineRule="exact"/>
              <w:rPr>
                <w:sz w:val="20"/>
                <w:szCs w:val="20"/>
                <w:color w:val="auto"/>
              </w:rPr>
            </w:pPr>
            <w:r>
              <w:rPr>
                <w:rFonts w:ascii="Arial" w:cs="Arial" w:eastAsia="Arial" w:hAnsi="Arial"/>
                <w:sz w:val="18"/>
                <w:szCs w:val="18"/>
                <w:color w:val="0000EE"/>
                <w:w w:val="95"/>
              </w:rPr>
              <w:t>Board Leadership and</w:t>
            </w:r>
          </w:p>
        </w:tc>
        <w:tc>
          <w:tcPr>
            <w:tcW w:w="2980" w:type="dxa"/>
            <w:vAlign w:val="bottom"/>
            <w:gridSpan w:val="27"/>
          </w:tcPr>
          <w:p>
            <w:pPr>
              <w:ind w:left="40"/>
              <w:spacing w:after="0" w:line="177" w:lineRule="exact"/>
              <w:rPr>
                <w:sz w:val="20"/>
                <w:szCs w:val="20"/>
                <w:color w:val="auto"/>
              </w:rPr>
            </w:pPr>
            <w:r>
              <w:rPr>
                <w:rFonts w:ascii="Arial" w:cs="Arial" w:eastAsia="Arial" w:hAnsi="Arial"/>
                <w:sz w:val="18"/>
                <w:szCs w:val="18"/>
                <w:color w:val="0000EE"/>
              </w:rPr>
              <w:t>Independence</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7</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14"/>
          </w:tcPr>
          <w:p>
            <w:pPr>
              <w:spacing w:after="0" w:line="177" w:lineRule="exact"/>
              <w:rPr>
                <w:sz w:val="20"/>
                <w:szCs w:val="20"/>
                <w:color w:val="auto"/>
              </w:rPr>
            </w:pPr>
            <w:r>
              <w:rPr>
                <w:rFonts w:ascii="Arial" w:cs="Arial" w:eastAsia="Arial" w:hAnsi="Arial"/>
                <w:sz w:val="18"/>
                <w:szCs w:val="18"/>
                <w:color w:val="0000EE"/>
                <w:w w:val="97"/>
              </w:rPr>
              <w:t>Board Committee Composition</w:t>
            </w:r>
          </w:p>
        </w:tc>
        <w:tc>
          <w:tcPr>
            <w:tcW w:w="460" w:type="dxa"/>
            <w:vAlign w:val="bottom"/>
            <w:tcBorders>
              <w:top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700" w:type="dxa"/>
            <w:vAlign w:val="bottom"/>
            <w:gridSpan w:val="35"/>
          </w:tcPr>
          <w:p>
            <w:pPr>
              <w:spacing w:after="0" w:line="177" w:lineRule="exact"/>
              <w:rPr>
                <w:sz w:val="20"/>
                <w:szCs w:val="20"/>
                <w:color w:val="auto"/>
              </w:rPr>
            </w:pPr>
            <w:r>
              <w:rPr>
                <w:rFonts w:ascii="Arial" w:cs="Arial" w:eastAsia="Arial" w:hAnsi="Arial"/>
                <w:sz w:val="18"/>
                <w:szCs w:val="18"/>
                <w:color w:val="0000EE"/>
              </w:rPr>
              <w:t>Board Evaluation and Refreshment</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9</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720" w:type="dxa"/>
            <w:vAlign w:val="bottom"/>
            <w:tcBorders>
              <w:top w:val="single" w:sz="8" w:color="0000EE"/>
            </w:tcBorders>
            <w:gridSpan w:val="17"/>
          </w:tcPr>
          <w:p>
            <w:pPr>
              <w:spacing w:after="0" w:line="177" w:lineRule="exact"/>
              <w:rPr>
                <w:sz w:val="20"/>
                <w:szCs w:val="20"/>
                <w:color w:val="auto"/>
              </w:rPr>
            </w:pPr>
            <w:r>
              <w:rPr>
                <w:rFonts w:ascii="Arial" w:cs="Arial" w:eastAsia="Arial" w:hAnsi="Arial"/>
                <w:sz w:val="18"/>
                <w:szCs w:val="18"/>
                <w:color w:val="0000EE"/>
              </w:rPr>
              <w:t>Communications with the Board</w:t>
            </w:r>
          </w:p>
        </w:tc>
        <w:tc>
          <w:tcPr>
            <w:tcW w:w="2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460" w:type="dxa"/>
            <w:vAlign w:val="bottom"/>
            <w:tcBorders>
              <w:top w:val="single" w:sz="8" w:color="0000EE"/>
            </w:tcBorders>
            <w:gridSpan w:val="15"/>
          </w:tcPr>
          <w:p>
            <w:pPr>
              <w:spacing w:after="0" w:line="177" w:lineRule="exact"/>
              <w:rPr>
                <w:sz w:val="20"/>
                <w:szCs w:val="20"/>
                <w:color w:val="auto"/>
              </w:rPr>
            </w:pPr>
            <w:r>
              <w:rPr>
                <w:rFonts w:ascii="Arial" w:cs="Arial" w:eastAsia="Arial" w:hAnsi="Arial"/>
                <w:sz w:val="18"/>
                <w:szCs w:val="18"/>
                <w:color w:val="0000EE"/>
              </w:rPr>
              <w:t>Stockholder Engagement</w:t>
            </w:r>
          </w:p>
        </w:tc>
        <w:tc>
          <w:tcPr>
            <w:tcW w:w="46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960" w:type="dxa"/>
            <w:vAlign w:val="bottom"/>
            <w:tcBorders>
              <w:top w:val="single" w:sz="8" w:color="0000EE"/>
            </w:tcBorders>
            <w:gridSpan w:val="9"/>
          </w:tcPr>
          <w:p>
            <w:pPr>
              <w:spacing w:after="0" w:line="177" w:lineRule="exact"/>
              <w:rPr>
                <w:sz w:val="20"/>
                <w:szCs w:val="20"/>
                <w:color w:val="auto"/>
              </w:rPr>
            </w:pPr>
            <w:r>
              <w:rPr>
                <w:rFonts w:ascii="Arial" w:cs="Arial" w:eastAsia="Arial" w:hAnsi="Arial"/>
                <w:sz w:val="18"/>
                <w:szCs w:val="18"/>
                <w:b w:val="1"/>
                <w:bCs w:val="1"/>
                <w:color w:val="0000EE"/>
                <w:w w:val="88"/>
              </w:rPr>
              <w:t>PROPOSAL 1: ELECTION</w:t>
            </w:r>
          </w:p>
        </w:tc>
        <w:tc>
          <w:tcPr>
            <w:tcW w:w="140" w:type="dxa"/>
            <w:vAlign w:val="bottom"/>
          </w:tcPr>
          <w:p>
            <w:pPr>
              <w:spacing w:after="0"/>
              <w:rPr>
                <w:sz w:val="15"/>
                <w:szCs w:val="15"/>
                <w:color w:val="auto"/>
              </w:rPr>
            </w:pPr>
          </w:p>
        </w:tc>
        <w:tc>
          <w:tcPr>
            <w:tcW w:w="2600" w:type="dxa"/>
            <w:vAlign w:val="bottom"/>
            <w:gridSpan w:val="25"/>
          </w:tcPr>
          <w:p>
            <w:pPr>
              <w:ind w:left="60"/>
              <w:spacing w:after="0" w:line="177" w:lineRule="exact"/>
              <w:rPr>
                <w:sz w:val="20"/>
                <w:szCs w:val="20"/>
                <w:color w:val="auto"/>
              </w:rPr>
            </w:pPr>
            <w:r>
              <w:rPr>
                <w:rFonts w:ascii="Arial" w:cs="Arial" w:eastAsia="Arial" w:hAnsi="Arial"/>
                <w:sz w:val="18"/>
                <w:szCs w:val="18"/>
                <w:b w:val="1"/>
                <w:bCs w:val="1"/>
                <w:color w:val="0000EE"/>
              </w:rPr>
              <w:t>OF DIRECTORS</w:t>
            </w:r>
          </w:p>
        </w:tc>
        <w:tc>
          <w:tcPr>
            <w:tcW w:w="360" w:type="dxa"/>
            <w:vAlign w:val="bottom"/>
          </w:tcPr>
          <w:p>
            <w:pPr>
              <w:jc w:val="right"/>
              <w:spacing w:after="0" w:line="177" w:lineRule="exact"/>
              <w:rPr>
                <w:sz w:val="20"/>
                <w:szCs w:val="20"/>
                <w:color w:val="auto"/>
              </w:rPr>
            </w:pPr>
            <w:r>
              <w:rPr>
                <w:rFonts w:ascii="Arial" w:cs="Arial" w:eastAsia="Arial" w:hAnsi="Arial"/>
                <w:sz w:val="18"/>
                <w:szCs w:val="18"/>
                <w:b w:val="1"/>
                <w:bCs w:val="1"/>
                <w:color w:val="009FE3"/>
              </w:rPr>
              <w:t>12</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4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6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740" w:type="dxa"/>
            <w:vAlign w:val="bottom"/>
            <w:tcBorders>
              <w:bottom w:val="single" w:sz="8" w:color="0000EE"/>
            </w:tcBorders>
            <w:gridSpan w:val="4"/>
          </w:tcPr>
          <w:p>
            <w:pPr>
              <w:spacing w:after="0" w:line="151" w:lineRule="exact"/>
              <w:rPr>
                <w:sz w:val="20"/>
                <w:szCs w:val="20"/>
                <w:color w:val="auto"/>
              </w:rPr>
            </w:pPr>
            <w:r>
              <w:rPr>
                <w:rFonts w:ascii="Arial" w:cs="Arial" w:eastAsia="Arial" w:hAnsi="Arial"/>
                <w:sz w:val="16"/>
                <w:szCs w:val="16"/>
                <w:color w:val="0000EE"/>
              </w:rPr>
              <w:t>Overview</w:t>
            </w:r>
          </w:p>
        </w:tc>
        <w:tc>
          <w:tcPr>
            <w:tcW w:w="3960" w:type="dxa"/>
            <w:vAlign w:val="bottom"/>
            <w:gridSpan w:val="31"/>
          </w:tcPr>
          <w:p>
            <w:pPr>
              <w:spacing w:after="0"/>
              <w:rPr>
                <w:sz w:val="13"/>
                <w:szCs w:val="13"/>
                <w:color w:val="auto"/>
              </w:rPr>
            </w:pP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12</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700" w:type="dxa"/>
            <w:vAlign w:val="bottom"/>
            <w:gridSpan w:val="35"/>
          </w:tcPr>
          <w:p>
            <w:pPr>
              <w:spacing w:after="0" w:line="177" w:lineRule="exact"/>
              <w:rPr>
                <w:sz w:val="20"/>
                <w:szCs w:val="20"/>
                <w:color w:val="auto"/>
              </w:rPr>
            </w:pPr>
            <w:r>
              <w:rPr>
                <w:rFonts w:ascii="Arial" w:cs="Arial" w:eastAsia="Arial" w:hAnsi="Arial"/>
                <w:sz w:val="18"/>
                <w:szCs w:val="18"/>
                <w:color w:val="0000EE"/>
              </w:rPr>
              <w:t>Board Diversity Matrix</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700" w:type="dxa"/>
            <w:vAlign w:val="bottom"/>
            <w:gridSpan w:val="35"/>
          </w:tcPr>
          <w:p>
            <w:pPr>
              <w:spacing w:after="0" w:line="177" w:lineRule="exact"/>
              <w:rPr>
                <w:sz w:val="20"/>
                <w:szCs w:val="20"/>
                <w:color w:val="auto"/>
              </w:rPr>
            </w:pPr>
            <w:r>
              <w:rPr>
                <w:rFonts w:ascii="Arial" w:cs="Arial" w:eastAsia="Arial" w:hAnsi="Arial"/>
                <w:sz w:val="18"/>
                <w:szCs w:val="18"/>
                <w:color w:val="0000EE"/>
              </w:rPr>
              <w:t>Class I Directors Nominated for Election at this Annual</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220" w:type="dxa"/>
            <w:vAlign w:val="bottom"/>
            <w:tcBorders>
              <w:top w:val="single" w:sz="8" w:color="0000EE"/>
            </w:tcBorders>
            <w:gridSpan w:val="30"/>
          </w:tcPr>
          <w:p>
            <w:pPr>
              <w:spacing w:after="0" w:line="177" w:lineRule="exact"/>
              <w:rPr>
                <w:sz w:val="20"/>
                <w:szCs w:val="20"/>
                <w:color w:val="auto"/>
              </w:rPr>
            </w:pPr>
            <w:r>
              <w:rPr>
                <w:rFonts w:ascii="Arial" w:cs="Arial" w:eastAsia="Arial" w:hAnsi="Arial"/>
                <w:sz w:val="18"/>
                <w:szCs w:val="18"/>
                <w:color w:val="0000EE"/>
              </w:rPr>
              <w:t>Meeting</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620" w:type="dxa"/>
            <w:vAlign w:val="bottom"/>
            <w:tcBorders>
              <w:top w:val="single" w:sz="8" w:color="0000EE"/>
            </w:tcBorders>
            <w:gridSpan w:val="2"/>
          </w:tcPr>
          <w:p>
            <w:pPr>
              <w:spacing w:after="0" w:line="177" w:lineRule="exact"/>
              <w:rPr>
                <w:sz w:val="20"/>
                <w:szCs w:val="20"/>
                <w:color w:val="auto"/>
              </w:rPr>
            </w:pPr>
            <w:r>
              <w:rPr>
                <w:rFonts w:ascii="Arial" w:cs="Arial" w:eastAsia="Arial" w:hAnsi="Arial"/>
                <w:sz w:val="18"/>
                <w:szCs w:val="18"/>
                <w:color w:val="0000EE"/>
                <w:w w:val="99"/>
              </w:rPr>
              <w:t>Class II</w:t>
            </w:r>
          </w:p>
        </w:tc>
        <w:tc>
          <w:tcPr>
            <w:tcW w:w="4080" w:type="dxa"/>
            <w:vAlign w:val="bottom"/>
            <w:gridSpan w:val="33"/>
          </w:tcPr>
          <w:p>
            <w:pPr>
              <w:spacing w:after="0" w:line="177" w:lineRule="exact"/>
              <w:rPr>
                <w:sz w:val="20"/>
                <w:szCs w:val="20"/>
                <w:color w:val="auto"/>
              </w:rPr>
            </w:pPr>
            <w:r>
              <w:rPr>
                <w:rFonts w:ascii="Arial" w:cs="Arial" w:eastAsia="Arial" w:hAnsi="Arial"/>
                <w:sz w:val="18"/>
                <w:szCs w:val="18"/>
                <w:color w:val="0000EE"/>
              </w:rPr>
              <w:t>Directors with Terms Expiring in 2025</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26"/>
          </w:tcPr>
          <w:p>
            <w:pPr>
              <w:spacing w:after="0" w:line="177" w:lineRule="exact"/>
              <w:rPr>
                <w:sz w:val="20"/>
                <w:szCs w:val="20"/>
                <w:color w:val="auto"/>
              </w:rPr>
            </w:pPr>
            <w:r>
              <w:rPr>
                <w:rFonts w:ascii="Arial" w:cs="Arial" w:eastAsia="Arial" w:hAnsi="Arial"/>
                <w:sz w:val="18"/>
                <w:szCs w:val="18"/>
                <w:color w:val="0000EE"/>
                <w:w w:val="94"/>
              </w:rPr>
              <w:t>Class III Directors with Terms Expiring in 2026</w:t>
            </w:r>
          </w:p>
        </w:tc>
        <w:tc>
          <w:tcPr>
            <w:tcW w:w="40" w:type="dxa"/>
            <w:vAlign w:val="bottom"/>
            <w:tcBorders>
              <w:bottom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560" w:type="dxa"/>
            <w:vAlign w:val="bottom"/>
            <w:gridSpan w:val="27"/>
          </w:tcPr>
          <w:p>
            <w:pPr>
              <w:spacing w:after="0" w:line="177" w:lineRule="exact"/>
              <w:rPr>
                <w:sz w:val="20"/>
                <w:szCs w:val="20"/>
                <w:color w:val="auto"/>
              </w:rPr>
            </w:pPr>
            <w:r>
              <w:rPr>
                <w:rFonts w:ascii="Arial" w:cs="Arial" w:eastAsia="Arial" w:hAnsi="Arial"/>
                <w:sz w:val="18"/>
                <w:szCs w:val="18"/>
                <w:color w:val="0000EE"/>
              </w:rPr>
              <w:t>Recommendation of the Board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400" w:type="dxa"/>
            <w:vAlign w:val="bottom"/>
            <w:tcBorders>
              <w:top w:val="single" w:sz="8" w:color="0000EE"/>
            </w:tcBorders>
            <w:gridSpan w:val="13"/>
          </w:tcPr>
          <w:p>
            <w:pPr>
              <w:spacing w:after="0" w:line="177" w:lineRule="exact"/>
              <w:rPr>
                <w:sz w:val="20"/>
                <w:szCs w:val="20"/>
                <w:color w:val="auto"/>
              </w:rPr>
            </w:pPr>
            <w:r>
              <w:rPr>
                <w:rFonts w:ascii="Arial" w:cs="Arial" w:eastAsia="Arial" w:hAnsi="Arial"/>
                <w:sz w:val="18"/>
                <w:szCs w:val="18"/>
                <w:b w:val="1"/>
                <w:bCs w:val="1"/>
                <w:color w:val="0000EE"/>
                <w:w w:val="93"/>
              </w:rPr>
              <w:t>PROPOSAL 2: RATIFICATION</w:t>
            </w:r>
          </w:p>
        </w:tc>
        <w:tc>
          <w:tcPr>
            <w:tcW w:w="60" w:type="dxa"/>
            <w:vAlign w:val="bottom"/>
            <w:gridSpan w:val="2"/>
          </w:tcPr>
          <w:p>
            <w:pPr>
              <w:spacing w:after="0"/>
              <w:rPr>
                <w:sz w:val="15"/>
                <w:szCs w:val="15"/>
                <w:color w:val="auto"/>
              </w:rPr>
            </w:pPr>
          </w:p>
        </w:tc>
        <w:tc>
          <w:tcPr>
            <w:tcW w:w="2240" w:type="dxa"/>
            <w:vAlign w:val="bottom"/>
            <w:gridSpan w:val="20"/>
          </w:tcPr>
          <w:p>
            <w:pPr>
              <w:jc w:val="center"/>
              <w:ind w:right="320"/>
              <w:spacing w:after="0" w:line="177" w:lineRule="exact"/>
              <w:rPr>
                <w:sz w:val="20"/>
                <w:szCs w:val="20"/>
                <w:color w:val="auto"/>
              </w:rPr>
            </w:pPr>
            <w:r>
              <w:rPr>
                <w:rFonts w:ascii="Arial" w:cs="Arial" w:eastAsia="Arial" w:hAnsi="Arial"/>
                <w:sz w:val="18"/>
                <w:szCs w:val="18"/>
                <w:b w:val="1"/>
                <w:bCs w:val="1"/>
                <w:color w:val="0000EE"/>
                <w:w w:val="96"/>
              </w:rPr>
              <w:t>OF APPOINTMENT OF</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340" w:type="dxa"/>
            <w:vAlign w:val="bottom"/>
            <w:tcBorders>
              <w:top w:val="single" w:sz="8" w:color="0000EE"/>
              <w:bottom w:val="single" w:sz="8" w:color="0000EE"/>
            </w:tcBorders>
            <w:gridSpan w:val="31"/>
          </w:tcPr>
          <w:p>
            <w:pPr>
              <w:spacing w:after="0" w:line="177" w:lineRule="exact"/>
              <w:rPr>
                <w:sz w:val="20"/>
                <w:szCs w:val="20"/>
                <w:color w:val="auto"/>
              </w:rPr>
            </w:pPr>
            <w:r>
              <w:rPr>
                <w:rFonts w:ascii="Arial" w:cs="Arial" w:eastAsia="Arial" w:hAnsi="Arial"/>
                <w:sz w:val="18"/>
                <w:szCs w:val="18"/>
                <w:b w:val="1"/>
                <w:bCs w:val="1"/>
                <w:color w:val="0000EE"/>
                <w:w w:val="95"/>
              </w:rPr>
              <w:t>INDEPENDENT REGISTERED PUBLIC ACCOUNTING</w:t>
            </w:r>
          </w:p>
        </w:tc>
        <w:tc>
          <w:tcPr>
            <w:tcW w:w="4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17</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380" w:type="dxa"/>
            <w:vAlign w:val="bottom"/>
            <w:gridSpan w:val="32"/>
          </w:tcPr>
          <w:p>
            <w:pPr>
              <w:spacing w:after="0" w:line="177" w:lineRule="exact"/>
              <w:rPr>
                <w:sz w:val="20"/>
                <w:szCs w:val="20"/>
                <w:color w:val="auto"/>
              </w:rPr>
            </w:pPr>
            <w:r>
              <w:rPr>
                <w:rFonts w:ascii="Arial" w:cs="Arial" w:eastAsia="Arial" w:hAnsi="Arial"/>
                <w:sz w:val="18"/>
                <w:szCs w:val="18"/>
                <w:b w:val="1"/>
                <w:bCs w:val="1"/>
                <w:color w:val="0000EE"/>
              </w:rPr>
              <w:t>FIRM</w:t>
            </w:r>
          </w:p>
        </w:tc>
        <w:tc>
          <w:tcPr>
            <w:tcW w:w="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4700" w:type="dxa"/>
            <w:vAlign w:val="bottom"/>
            <w:gridSpan w:val="35"/>
          </w:tcPr>
          <w:p>
            <w:pPr>
              <w:spacing w:after="0" w:line="151" w:lineRule="exact"/>
              <w:rPr>
                <w:sz w:val="20"/>
                <w:szCs w:val="20"/>
                <w:color w:val="auto"/>
              </w:rPr>
            </w:pPr>
            <w:r>
              <w:rPr>
                <w:rFonts w:ascii="Arial" w:cs="Arial" w:eastAsia="Arial" w:hAnsi="Arial"/>
                <w:sz w:val="16"/>
                <w:szCs w:val="16"/>
                <w:color w:val="0000EE"/>
              </w:rPr>
              <w:t>Overview</w:t>
            </w: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17</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740" w:type="dxa"/>
            <w:vAlign w:val="bottom"/>
            <w:tcBorders>
              <w:top w:val="single" w:sz="8" w:color="0000EE"/>
              <w:bottom w:val="single" w:sz="8" w:color="0000EE"/>
            </w:tcBorders>
            <w:gridSpan w:val="4"/>
          </w:tcPr>
          <w:p>
            <w:pPr>
              <w:spacing w:after="0" w:line="177" w:lineRule="exact"/>
              <w:rPr>
                <w:sz w:val="20"/>
                <w:szCs w:val="20"/>
                <w:color w:val="auto"/>
              </w:rPr>
            </w:pPr>
            <w:r>
              <w:rPr>
                <w:rFonts w:ascii="Arial" w:cs="Arial" w:eastAsia="Arial" w:hAnsi="Arial"/>
                <w:sz w:val="18"/>
                <w:szCs w:val="18"/>
                <w:color w:val="0000EE"/>
              </w:rPr>
              <w:t>Principal</w:t>
            </w:r>
          </w:p>
        </w:tc>
        <w:tc>
          <w:tcPr>
            <w:tcW w:w="2360" w:type="dxa"/>
            <w:vAlign w:val="bottom"/>
            <w:tcBorders>
              <w:bottom w:val="single" w:sz="8" w:color="0000EE"/>
            </w:tcBorders>
            <w:gridSpan w:val="17"/>
          </w:tcPr>
          <w:p>
            <w:pPr>
              <w:spacing w:after="0" w:line="177" w:lineRule="exact"/>
              <w:rPr>
                <w:sz w:val="20"/>
                <w:szCs w:val="20"/>
                <w:color w:val="auto"/>
              </w:rPr>
            </w:pPr>
            <w:r>
              <w:rPr>
                <w:rFonts w:ascii="Arial" w:cs="Arial" w:eastAsia="Arial" w:hAnsi="Arial"/>
                <w:sz w:val="18"/>
                <w:szCs w:val="18"/>
                <w:color w:val="0000EE"/>
                <w:w w:val="95"/>
              </w:rPr>
              <w:t>Accountant Fees and Services</w:t>
            </w:r>
          </w:p>
        </w:tc>
        <w:tc>
          <w:tcPr>
            <w:tcW w:w="1600" w:type="dxa"/>
            <w:vAlign w:val="bottom"/>
            <w:gridSpan w:val="14"/>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700" w:type="dxa"/>
            <w:vAlign w:val="bottom"/>
            <w:gridSpan w:val="35"/>
          </w:tcPr>
          <w:p>
            <w:pPr>
              <w:spacing w:after="0" w:line="177" w:lineRule="exact"/>
              <w:rPr>
                <w:sz w:val="20"/>
                <w:szCs w:val="20"/>
                <w:color w:val="auto"/>
              </w:rPr>
            </w:pPr>
            <w:r>
              <w:rPr>
                <w:rFonts w:ascii="Arial" w:cs="Arial" w:eastAsia="Arial" w:hAnsi="Arial"/>
                <w:sz w:val="18"/>
                <w:szCs w:val="18"/>
                <w:color w:val="0000EE"/>
              </w:rPr>
              <w:t>Pre-Approval Policy of the Audit Committee</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13"/>
          </w:tcPr>
          <w:p>
            <w:pPr>
              <w:spacing w:after="0" w:line="177" w:lineRule="exact"/>
              <w:rPr>
                <w:sz w:val="20"/>
                <w:szCs w:val="20"/>
                <w:color w:val="auto"/>
              </w:rPr>
            </w:pPr>
            <w:r>
              <w:rPr>
                <w:rFonts w:ascii="Arial" w:cs="Arial" w:eastAsia="Arial" w:hAnsi="Arial"/>
                <w:sz w:val="18"/>
                <w:szCs w:val="18"/>
                <w:color w:val="0000EE"/>
                <w:w w:val="97"/>
              </w:rPr>
              <w:t>Recommendation of the Board</w:t>
            </w:r>
          </w:p>
        </w:tc>
        <w:tc>
          <w:tcPr>
            <w:tcW w:w="96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700" w:type="dxa"/>
            <w:vAlign w:val="bottom"/>
            <w:gridSpan w:val="35"/>
          </w:tcPr>
          <w:p>
            <w:pPr>
              <w:spacing w:after="0" w:line="177" w:lineRule="exact"/>
              <w:rPr>
                <w:sz w:val="20"/>
                <w:szCs w:val="20"/>
                <w:color w:val="auto"/>
              </w:rPr>
            </w:pPr>
            <w:r>
              <w:rPr>
                <w:rFonts w:ascii="Arial" w:cs="Arial" w:eastAsia="Arial" w:hAnsi="Arial"/>
                <w:sz w:val="18"/>
                <w:szCs w:val="18"/>
                <w:b w:val="1"/>
                <w:bCs w:val="1"/>
                <w:color w:val="0000EE"/>
              </w:rPr>
              <w:t>PROPOSAL 3: ADVISORY VOTE ON EXECUTIVE</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19</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020" w:type="dxa"/>
            <w:vAlign w:val="bottom"/>
            <w:tcBorders>
              <w:top w:val="single" w:sz="8" w:color="0000EE"/>
            </w:tcBorders>
            <w:gridSpan w:val="29"/>
          </w:tcPr>
          <w:p>
            <w:pPr>
              <w:spacing w:after="0" w:line="177" w:lineRule="exact"/>
              <w:rPr>
                <w:sz w:val="20"/>
                <w:szCs w:val="20"/>
                <w:color w:val="auto"/>
              </w:rPr>
            </w:pPr>
            <w:r>
              <w:rPr>
                <w:rFonts w:ascii="Arial" w:cs="Arial" w:eastAsia="Arial" w:hAnsi="Arial"/>
                <w:sz w:val="18"/>
                <w:szCs w:val="18"/>
                <w:b w:val="1"/>
                <w:bCs w:val="1"/>
                <w:color w:val="0000EE"/>
              </w:rPr>
              <w:t>COMPENSATION</w:t>
            </w:r>
          </w:p>
        </w:tc>
        <w:tc>
          <w:tcPr>
            <w:tcW w:w="400" w:type="dxa"/>
            <w:vAlign w:val="bottom"/>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740" w:type="dxa"/>
            <w:vAlign w:val="bottom"/>
            <w:tcBorders>
              <w:bottom w:val="single" w:sz="8" w:color="0000EE"/>
            </w:tcBorders>
            <w:gridSpan w:val="4"/>
          </w:tcPr>
          <w:p>
            <w:pPr>
              <w:spacing w:after="0" w:line="151" w:lineRule="exact"/>
              <w:rPr>
                <w:sz w:val="20"/>
                <w:szCs w:val="20"/>
                <w:color w:val="auto"/>
              </w:rPr>
            </w:pPr>
            <w:r>
              <w:rPr>
                <w:rFonts w:ascii="Arial" w:cs="Arial" w:eastAsia="Arial" w:hAnsi="Arial"/>
                <w:sz w:val="16"/>
                <w:szCs w:val="16"/>
                <w:color w:val="0000EE"/>
              </w:rPr>
              <w:t>Overview</w:t>
            </w:r>
          </w:p>
        </w:tc>
        <w:tc>
          <w:tcPr>
            <w:tcW w:w="3960" w:type="dxa"/>
            <w:vAlign w:val="bottom"/>
            <w:gridSpan w:val="31"/>
          </w:tcPr>
          <w:p>
            <w:pPr>
              <w:spacing w:after="0"/>
              <w:rPr>
                <w:sz w:val="13"/>
                <w:szCs w:val="13"/>
                <w:color w:val="auto"/>
              </w:rPr>
            </w:pP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19</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700" w:type="dxa"/>
            <w:vAlign w:val="bottom"/>
            <w:gridSpan w:val="35"/>
          </w:tcPr>
          <w:p>
            <w:pPr>
              <w:spacing w:after="0" w:line="177" w:lineRule="exact"/>
              <w:rPr>
                <w:sz w:val="20"/>
                <w:szCs w:val="20"/>
                <w:color w:val="auto"/>
              </w:rPr>
            </w:pPr>
            <w:r>
              <w:rPr>
                <w:rFonts w:ascii="Arial" w:cs="Arial" w:eastAsia="Arial" w:hAnsi="Arial"/>
                <w:sz w:val="18"/>
                <w:szCs w:val="18"/>
                <w:color w:val="0000EE"/>
              </w:rPr>
              <w:t>Recommendation of the Board</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380" w:type="dxa"/>
            <w:vAlign w:val="bottom"/>
            <w:tcBorders>
              <w:top w:val="single" w:sz="8" w:color="0000EE"/>
            </w:tcBorders>
            <w:gridSpan w:val="12"/>
          </w:tcPr>
          <w:p>
            <w:pPr>
              <w:spacing w:after="0" w:line="177" w:lineRule="exact"/>
              <w:rPr>
                <w:sz w:val="20"/>
                <w:szCs w:val="20"/>
                <w:color w:val="auto"/>
              </w:rPr>
            </w:pPr>
            <w:r>
              <w:rPr>
                <w:rFonts w:ascii="Arial" w:cs="Arial" w:eastAsia="Arial" w:hAnsi="Arial"/>
                <w:sz w:val="18"/>
                <w:szCs w:val="18"/>
                <w:b w:val="1"/>
                <w:bCs w:val="1"/>
                <w:color w:val="0000EE"/>
                <w:w w:val="96"/>
              </w:rPr>
              <w:t>PROPOSAL 4: AMENDMENT</w:t>
            </w:r>
          </w:p>
        </w:tc>
        <w:tc>
          <w:tcPr>
            <w:tcW w:w="2320" w:type="dxa"/>
            <w:vAlign w:val="bottom"/>
            <w:gridSpan w:val="23"/>
          </w:tcPr>
          <w:p>
            <w:pPr>
              <w:jc w:val="center"/>
              <w:ind w:right="240"/>
              <w:spacing w:after="0" w:line="177" w:lineRule="exact"/>
              <w:rPr>
                <w:sz w:val="20"/>
                <w:szCs w:val="20"/>
                <w:color w:val="auto"/>
              </w:rPr>
            </w:pPr>
            <w:r>
              <w:rPr>
                <w:rFonts w:ascii="Arial" w:cs="Arial" w:eastAsia="Arial" w:hAnsi="Arial"/>
                <w:sz w:val="18"/>
                <w:szCs w:val="18"/>
                <w:b w:val="1"/>
                <w:bCs w:val="1"/>
                <w:color w:val="0000EE"/>
                <w:w w:val="95"/>
              </w:rPr>
              <w:t>AND RESTATEMENT OF</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21</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420" w:type="dxa"/>
            <w:vAlign w:val="bottom"/>
            <w:tcBorders>
              <w:top w:val="single" w:sz="8" w:color="0000EE"/>
            </w:tcBorders>
            <w:gridSpan w:val="33"/>
          </w:tcPr>
          <w:p>
            <w:pPr>
              <w:spacing w:after="0" w:line="177" w:lineRule="exact"/>
              <w:rPr>
                <w:sz w:val="20"/>
                <w:szCs w:val="20"/>
                <w:color w:val="auto"/>
              </w:rPr>
            </w:pPr>
            <w:r>
              <w:rPr>
                <w:rFonts w:ascii="Arial" w:cs="Arial" w:eastAsia="Arial" w:hAnsi="Arial"/>
                <w:sz w:val="18"/>
                <w:szCs w:val="18"/>
                <w:b w:val="1"/>
                <w:bCs w:val="1"/>
                <w:color w:val="0000EE"/>
              </w:rPr>
              <w:t>THE 1996 EQUITY PARTICIPATION PLAN</w:t>
            </w:r>
          </w:p>
        </w:tc>
        <w:tc>
          <w:tcPr>
            <w:tcW w:w="28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4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6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4700" w:type="dxa"/>
            <w:vAlign w:val="bottom"/>
            <w:gridSpan w:val="35"/>
          </w:tcPr>
          <w:p>
            <w:pPr>
              <w:spacing w:after="0" w:line="151" w:lineRule="exact"/>
              <w:rPr>
                <w:sz w:val="20"/>
                <w:szCs w:val="20"/>
                <w:color w:val="auto"/>
              </w:rPr>
            </w:pPr>
            <w:r>
              <w:rPr>
                <w:rFonts w:ascii="Arial" w:cs="Arial" w:eastAsia="Arial" w:hAnsi="Arial"/>
                <w:sz w:val="16"/>
                <w:szCs w:val="16"/>
                <w:color w:val="0000EE"/>
              </w:rPr>
              <w:t>Overview</w:t>
            </w: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21</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720" w:type="dxa"/>
            <w:vAlign w:val="bottom"/>
            <w:tcBorders>
              <w:top w:val="single" w:sz="8" w:color="0000EE"/>
            </w:tcBorders>
            <w:gridSpan w:val="3"/>
          </w:tcPr>
          <w:p>
            <w:pPr>
              <w:spacing w:after="0" w:line="177" w:lineRule="exact"/>
              <w:rPr>
                <w:sz w:val="20"/>
                <w:szCs w:val="20"/>
                <w:color w:val="auto"/>
              </w:rPr>
            </w:pPr>
            <w:r>
              <w:rPr>
                <w:rFonts w:ascii="Arial" w:cs="Arial" w:eastAsia="Arial" w:hAnsi="Arial"/>
                <w:sz w:val="18"/>
                <w:szCs w:val="18"/>
                <w:color w:val="0000EE"/>
                <w:w w:val="95"/>
              </w:rPr>
              <w:t>Why You</w:t>
            </w:r>
          </w:p>
        </w:tc>
        <w:tc>
          <w:tcPr>
            <w:tcW w:w="3980" w:type="dxa"/>
            <w:vAlign w:val="bottom"/>
            <w:gridSpan w:val="32"/>
          </w:tcPr>
          <w:p>
            <w:pPr>
              <w:ind w:left="20"/>
              <w:spacing w:after="0" w:line="177" w:lineRule="exact"/>
              <w:rPr>
                <w:sz w:val="20"/>
                <w:szCs w:val="20"/>
                <w:color w:val="auto"/>
              </w:rPr>
            </w:pPr>
            <w:r>
              <w:rPr>
                <w:rFonts w:ascii="Arial" w:cs="Arial" w:eastAsia="Arial" w:hAnsi="Arial"/>
                <w:sz w:val="18"/>
                <w:szCs w:val="18"/>
                <w:color w:val="0000EE"/>
              </w:rPr>
              <w:t>Should Vote for the Restated Equity Plan</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21</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920" w:type="dxa"/>
            <w:vAlign w:val="bottom"/>
            <w:tcBorders>
              <w:top w:val="single" w:sz="8" w:color="0000EE"/>
            </w:tcBorders>
            <w:gridSpan w:val="28"/>
          </w:tcPr>
          <w:p>
            <w:pPr>
              <w:spacing w:after="0" w:line="177" w:lineRule="exact"/>
              <w:rPr>
                <w:sz w:val="20"/>
                <w:szCs w:val="20"/>
                <w:color w:val="auto"/>
              </w:rPr>
            </w:pPr>
            <w:r>
              <w:rPr>
                <w:rFonts w:ascii="Arial" w:cs="Arial" w:eastAsia="Arial" w:hAnsi="Arial"/>
                <w:sz w:val="18"/>
                <w:szCs w:val="18"/>
                <w:color w:val="0000EE"/>
              </w:rPr>
              <w:t>Summary of the Restated Equity Plan</w:t>
            </w:r>
          </w:p>
        </w:tc>
        <w:tc>
          <w:tcPr>
            <w:tcW w:w="780" w:type="dxa"/>
            <w:vAlign w:val="bottom"/>
            <w:gridSpan w:val="7"/>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24</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20"/>
          </w:tcPr>
          <w:p>
            <w:pPr>
              <w:spacing w:after="0" w:line="177" w:lineRule="exact"/>
              <w:rPr>
                <w:sz w:val="20"/>
                <w:szCs w:val="20"/>
                <w:color w:val="auto"/>
              </w:rPr>
            </w:pPr>
            <w:r>
              <w:rPr>
                <w:rFonts w:ascii="Arial" w:cs="Arial" w:eastAsia="Arial" w:hAnsi="Arial"/>
                <w:sz w:val="18"/>
                <w:szCs w:val="18"/>
                <w:color w:val="0000EE"/>
                <w:w w:val="89"/>
              </w:rPr>
              <w:t>U.S. Federal Income Tax Consequences</w:t>
            </w:r>
          </w:p>
        </w:tc>
        <w:tc>
          <w:tcPr>
            <w:tcW w:w="220" w:type="dxa"/>
            <w:vAlign w:val="bottom"/>
            <w:tcBorders>
              <w:bottom w:val="single" w:sz="8" w:color="0000EE"/>
            </w:tcBorders>
            <w:gridSpan w:val="2"/>
          </w:tcPr>
          <w:p>
            <w:pPr>
              <w:spacing w:after="0"/>
              <w:rPr>
                <w:sz w:val="15"/>
                <w:szCs w:val="15"/>
                <w:color w:val="auto"/>
              </w:rPr>
            </w:pPr>
          </w:p>
        </w:tc>
        <w:tc>
          <w:tcPr>
            <w:tcW w:w="1560" w:type="dxa"/>
            <w:vAlign w:val="bottom"/>
            <w:gridSpan w:val="13"/>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140" w:type="dxa"/>
            <w:vAlign w:val="bottom"/>
            <w:gridSpan w:val="22"/>
          </w:tcPr>
          <w:p>
            <w:pPr>
              <w:spacing w:after="0" w:line="177" w:lineRule="exact"/>
              <w:rPr>
                <w:sz w:val="20"/>
                <w:szCs w:val="20"/>
                <w:color w:val="auto"/>
              </w:rPr>
            </w:pPr>
            <w:r>
              <w:rPr>
                <w:rFonts w:ascii="Arial" w:cs="Arial" w:eastAsia="Arial" w:hAnsi="Arial"/>
                <w:sz w:val="18"/>
                <w:szCs w:val="18"/>
                <w:color w:val="0000EE"/>
              </w:rPr>
              <w:t>New Plan Benefits</w:t>
            </w:r>
          </w:p>
        </w:tc>
        <w:tc>
          <w:tcPr>
            <w:tcW w:w="1560" w:type="dxa"/>
            <w:vAlign w:val="bottom"/>
            <w:gridSpan w:val="13"/>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28</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420" w:type="dxa"/>
            <w:vAlign w:val="bottom"/>
            <w:tcBorders>
              <w:top w:val="single" w:sz="8" w:color="0000EE"/>
            </w:tcBorders>
            <w:gridSpan w:val="6"/>
          </w:tcPr>
          <w:p>
            <w:pPr>
              <w:spacing w:after="0" w:line="177" w:lineRule="exact"/>
              <w:rPr>
                <w:sz w:val="20"/>
                <w:szCs w:val="20"/>
                <w:color w:val="auto"/>
              </w:rPr>
            </w:pPr>
            <w:r>
              <w:rPr>
                <w:rFonts w:ascii="Arial" w:cs="Arial" w:eastAsia="Arial" w:hAnsi="Arial"/>
                <w:sz w:val="18"/>
                <w:szCs w:val="18"/>
                <w:color w:val="0000EE"/>
                <w:w w:val="99"/>
              </w:rPr>
              <w:t>Recommendation</w:t>
            </w:r>
          </w:p>
        </w:tc>
        <w:tc>
          <w:tcPr>
            <w:tcW w:w="3280" w:type="dxa"/>
            <w:vAlign w:val="bottom"/>
            <w:gridSpan w:val="29"/>
          </w:tcPr>
          <w:p>
            <w:pPr>
              <w:spacing w:after="0" w:line="177" w:lineRule="exact"/>
              <w:rPr>
                <w:sz w:val="20"/>
                <w:szCs w:val="20"/>
                <w:color w:val="auto"/>
              </w:rPr>
            </w:pPr>
            <w:r>
              <w:rPr>
                <w:rFonts w:ascii="Arial" w:cs="Arial" w:eastAsia="Arial" w:hAnsi="Arial"/>
                <w:sz w:val="18"/>
                <w:szCs w:val="18"/>
                <w:color w:val="0000EE"/>
              </w:rPr>
              <w:t>of the Board</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202E39"/>
              </w:rPr>
              <w:t>29</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2"/>
          </w:tcPr>
          <w:p>
            <w:pPr>
              <w:spacing w:after="0" w:line="177" w:lineRule="exact"/>
              <w:rPr>
                <w:sz w:val="20"/>
                <w:szCs w:val="20"/>
                <w:color w:val="auto"/>
              </w:rPr>
            </w:pPr>
            <w:r>
              <w:rPr>
                <w:rFonts w:ascii="Arial" w:cs="Arial" w:eastAsia="Arial" w:hAnsi="Arial"/>
                <w:sz w:val="18"/>
                <w:szCs w:val="18"/>
                <w:b w:val="1"/>
                <w:bCs w:val="1"/>
                <w:color w:val="0000EE"/>
                <w:w w:val="92"/>
              </w:rPr>
              <w:t>OWNERSHIP OF SECURITIES</w:t>
            </w:r>
          </w:p>
        </w:tc>
        <w:tc>
          <w:tcPr>
            <w:tcW w:w="80" w:type="dxa"/>
            <w:vAlign w:val="bottom"/>
            <w:tcBorders>
              <w:bottom w:val="single" w:sz="8" w:color="0000EE"/>
            </w:tcBorders>
            <w:gridSpan w:val="3"/>
          </w:tcPr>
          <w:p>
            <w:pPr>
              <w:spacing w:after="0"/>
              <w:rPr>
                <w:sz w:val="15"/>
                <w:szCs w:val="15"/>
                <w:color w:val="auto"/>
              </w:rPr>
            </w:pPr>
          </w:p>
        </w:tc>
        <w:tc>
          <w:tcPr>
            <w:tcW w:w="2240" w:type="dxa"/>
            <w:vAlign w:val="bottom"/>
            <w:gridSpan w:val="20"/>
          </w:tcPr>
          <w:p>
            <w:pPr>
              <w:spacing w:after="0"/>
              <w:rPr>
                <w:sz w:val="15"/>
                <w:szCs w:val="15"/>
                <w:color w:val="auto"/>
              </w:rPr>
            </w:pPr>
          </w:p>
        </w:tc>
        <w:tc>
          <w:tcPr>
            <w:tcW w:w="360" w:type="dxa"/>
            <w:vAlign w:val="bottom"/>
          </w:tcPr>
          <w:p>
            <w:pPr>
              <w:jc w:val="right"/>
              <w:spacing w:after="0" w:line="177" w:lineRule="exact"/>
              <w:rPr>
                <w:sz w:val="20"/>
                <w:szCs w:val="20"/>
                <w:color w:val="auto"/>
              </w:rPr>
            </w:pPr>
            <w:r>
              <w:rPr>
                <w:rFonts w:ascii="Arial" w:cs="Arial" w:eastAsia="Arial" w:hAnsi="Arial"/>
                <w:sz w:val="18"/>
                <w:szCs w:val="18"/>
                <w:b w:val="1"/>
                <w:bCs w:val="1"/>
                <w:color w:val="009FE3"/>
              </w:rPr>
              <w:t>30</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4700" w:type="dxa"/>
            <w:vAlign w:val="bottom"/>
            <w:gridSpan w:val="35"/>
          </w:tcPr>
          <w:p>
            <w:pPr>
              <w:spacing w:after="0" w:line="151" w:lineRule="exact"/>
              <w:rPr>
                <w:sz w:val="20"/>
                <w:szCs w:val="20"/>
                <w:color w:val="auto"/>
              </w:rPr>
            </w:pPr>
            <w:r>
              <w:rPr>
                <w:rFonts w:ascii="Arial" w:cs="Arial" w:eastAsia="Arial" w:hAnsi="Arial"/>
                <w:sz w:val="16"/>
                <w:szCs w:val="16"/>
                <w:color w:val="0000EE"/>
              </w:rPr>
              <w:t>Beneficial Ownership Table</w:t>
            </w:r>
          </w:p>
        </w:tc>
        <w:tc>
          <w:tcPr>
            <w:tcW w:w="360" w:type="dxa"/>
            <w:vAlign w:val="bottom"/>
          </w:tcPr>
          <w:p>
            <w:pPr>
              <w:jc w:val="right"/>
              <w:spacing w:after="0" w:line="151" w:lineRule="exact"/>
              <w:rPr>
                <w:sz w:val="20"/>
                <w:szCs w:val="20"/>
                <w:color w:val="auto"/>
              </w:rPr>
            </w:pPr>
            <w:r>
              <w:rPr>
                <w:rFonts w:ascii="Arial" w:cs="Arial" w:eastAsia="Arial" w:hAnsi="Arial"/>
                <w:sz w:val="16"/>
                <w:szCs w:val="16"/>
                <w:color w:val="202E39"/>
              </w:rPr>
              <w:t>30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80" w:type="dxa"/>
            <w:vAlign w:val="bottom"/>
            <w:gridSpan w:val="27"/>
          </w:tcPr>
          <w:p>
            <w:pPr>
              <w:spacing w:after="0"/>
              <w:rPr>
                <w:sz w:val="20"/>
                <w:szCs w:val="20"/>
                <w:color w:val="auto"/>
              </w:rPr>
            </w:pPr>
            <w:r>
              <w:rPr>
                <w:rFonts w:ascii="Arial" w:cs="Arial" w:eastAsia="Arial" w:hAnsi="Arial"/>
                <w:sz w:val="18"/>
                <w:szCs w:val="18"/>
                <w:b w:val="1"/>
                <w:bCs w:val="1"/>
                <w:color w:val="0000EE"/>
              </w:rPr>
              <w:t>EXECUTIVE COMPENSATION</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009FE3"/>
              </w:rPr>
              <w:t>33</w:t>
            </w: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0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680" w:type="dxa"/>
            <w:vAlign w:val="bottom"/>
            <w:gridSpan w:val="27"/>
          </w:tcPr>
          <w:p>
            <w:pPr>
              <w:spacing w:after="0" w:line="151" w:lineRule="exact"/>
              <w:rPr>
                <w:sz w:val="20"/>
                <w:szCs w:val="20"/>
                <w:color w:val="auto"/>
              </w:rPr>
            </w:pPr>
            <w:r>
              <w:rPr>
                <w:rFonts w:ascii="Arial" w:cs="Arial" w:eastAsia="Arial" w:hAnsi="Arial"/>
                <w:sz w:val="16"/>
                <w:szCs w:val="16"/>
                <w:color w:val="0000EE"/>
              </w:rPr>
              <w:t>Compensation Discussion and Analysis</w:t>
            </w:r>
          </w:p>
        </w:tc>
        <w:tc>
          <w:tcPr>
            <w:tcW w:w="500" w:type="dxa"/>
            <w:vAlign w:val="bottom"/>
          </w:tcPr>
          <w:p>
            <w:pPr>
              <w:jc w:val="right"/>
              <w:spacing w:after="0" w:line="151" w:lineRule="exact"/>
              <w:rPr>
                <w:sz w:val="20"/>
                <w:szCs w:val="20"/>
                <w:color w:val="auto"/>
              </w:rPr>
            </w:pPr>
            <w:r>
              <w:rPr>
                <w:rFonts w:ascii="Arial" w:cs="Arial" w:eastAsia="Arial" w:hAnsi="Arial"/>
                <w:sz w:val="16"/>
                <w:szCs w:val="16"/>
                <w:color w:val="202E39"/>
              </w:rPr>
              <w:t>33</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080" w:type="dxa"/>
            <w:vAlign w:val="bottom"/>
            <w:tcBorders>
              <w:top w:val="single" w:sz="8" w:color="0000EE"/>
            </w:tcBorders>
            <w:gridSpan w:val="19"/>
          </w:tcPr>
          <w:p>
            <w:pPr>
              <w:spacing w:after="0" w:line="177" w:lineRule="exact"/>
              <w:rPr>
                <w:sz w:val="20"/>
                <w:szCs w:val="20"/>
                <w:color w:val="auto"/>
              </w:rPr>
            </w:pPr>
            <w:r>
              <w:rPr>
                <w:rFonts w:ascii="Arial" w:cs="Arial" w:eastAsia="Arial" w:hAnsi="Arial"/>
                <w:sz w:val="18"/>
                <w:szCs w:val="18"/>
                <w:color w:val="0000EE"/>
              </w:rPr>
              <w:t>Clawback Policies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420" w:type="dxa"/>
            <w:vAlign w:val="bottom"/>
            <w:tcBorders>
              <w:top w:val="single" w:sz="8" w:color="0000EE"/>
            </w:tcBorders>
            <w:gridSpan w:val="5"/>
          </w:tcPr>
          <w:p>
            <w:pPr>
              <w:spacing w:after="0" w:line="177" w:lineRule="exact"/>
              <w:rPr>
                <w:sz w:val="20"/>
                <w:szCs w:val="20"/>
                <w:color w:val="auto"/>
              </w:rPr>
            </w:pPr>
            <w:r>
              <w:rPr>
                <w:rFonts w:ascii="Arial" w:cs="Arial" w:eastAsia="Arial" w:hAnsi="Arial"/>
                <w:sz w:val="18"/>
                <w:szCs w:val="18"/>
                <w:color w:val="0000EE"/>
              </w:rPr>
              <w:t>Anti-Hedging and</w:t>
            </w:r>
          </w:p>
        </w:tc>
        <w:tc>
          <w:tcPr>
            <w:tcW w:w="3260" w:type="dxa"/>
            <w:vAlign w:val="bottom"/>
            <w:gridSpan w:val="22"/>
          </w:tcPr>
          <w:p>
            <w:pPr>
              <w:spacing w:after="0" w:line="177" w:lineRule="exact"/>
              <w:rPr>
                <w:sz w:val="20"/>
                <w:szCs w:val="20"/>
                <w:color w:val="auto"/>
              </w:rPr>
            </w:pPr>
            <w:r>
              <w:rPr>
                <w:rFonts w:ascii="Arial" w:cs="Arial" w:eastAsia="Arial" w:hAnsi="Arial"/>
                <w:sz w:val="18"/>
                <w:szCs w:val="18"/>
                <w:color w:val="0000EE"/>
              </w:rPr>
              <w:t>Pledging Policy</w:t>
            </w: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47</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620" w:type="dxa"/>
            <w:vAlign w:val="bottom"/>
            <w:tcBorders>
              <w:top w:val="single" w:sz="8" w:color="0000EE"/>
            </w:tcBorders>
            <w:gridSpan w:val="15"/>
          </w:tcPr>
          <w:p>
            <w:pPr>
              <w:spacing w:after="0" w:line="177" w:lineRule="exact"/>
              <w:rPr>
                <w:sz w:val="20"/>
                <w:szCs w:val="20"/>
                <w:color w:val="auto"/>
              </w:rPr>
            </w:pPr>
            <w:r>
              <w:rPr>
                <w:rFonts w:ascii="Arial" w:cs="Arial" w:eastAsia="Arial" w:hAnsi="Arial"/>
                <w:sz w:val="18"/>
                <w:szCs w:val="18"/>
                <w:color w:val="0000EE"/>
                <w:w w:val="97"/>
              </w:rPr>
              <w:t>Compensation Committee Report</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600" w:type="dxa"/>
            <w:vAlign w:val="bottom"/>
            <w:tcBorders>
              <w:top w:val="single" w:sz="8" w:color="0000EE"/>
            </w:tcBorders>
            <w:gridSpan w:val="14"/>
          </w:tcPr>
          <w:p>
            <w:pPr>
              <w:spacing w:after="0" w:line="177" w:lineRule="exact"/>
              <w:rPr>
                <w:sz w:val="20"/>
                <w:szCs w:val="20"/>
                <w:color w:val="auto"/>
              </w:rPr>
            </w:pPr>
            <w:r>
              <w:rPr>
                <w:rFonts w:ascii="Arial" w:cs="Arial" w:eastAsia="Arial" w:hAnsi="Arial"/>
                <w:sz w:val="18"/>
                <w:szCs w:val="18"/>
                <w:color w:val="0000EE"/>
              </w:rPr>
              <w:t>Summary Compensation Table</w:t>
            </w:r>
          </w:p>
        </w:tc>
        <w:tc>
          <w:tcPr>
            <w:tcW w:w="3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jc w:val="right"/>
              <w:spacing w:after="0" w:line="197" w:lineRule="exact"/>
              <w:rPr>
                <w:sz w:val="20"/>
                <w:szCs w:val="20"/>
                <w:color w:val="auto"/>
              </w:rPr>
            </w:pPr>
            <w:r>
              <w:rPr>
                <w:rFonts w:ascii="Arial" w:cs="Arial" w:eastAsia="Arial" w:hAnsi="Arial"/>
                <w:sz w:val="18"/>
                <w:szCs w:val="18"/>
                <w:color w:val="202E39"/>
              </w:rPr>
              <w:t>50</w:t>
            </w: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color w:val="0000EE"/>
              </w:rPr>
              <w:t>Grants of Plan-Based Awards in Fiscal Year 2024</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jc w:val="right"/>
              <w:spacing w:after="0" w:line="197" w:lineRule="exact"/>
              <w:rPr>
                <w:sz w:val="20"/>
                <w:szCs w:val="20"/>
                <w:color w:val="auto"/>
              </w:rPr>
            </w:pPr>
            <w:r>
              <w:rPr>
                <w:rFonts w:ascii="Arial" w:cs="Arial" w:eastAsia="Arial" w:hAnsi="Arial"/>
                <w:sz w:val="18"/>
                <w:szCs w:val="18"/>
                <w:color w:val="202E39"/>
              </w:rPr>
              <w:t>51</w:t>
            </w: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4040" w:type="dxa"/>
            <w:vAlign w:val="bottom"/>
            <w:tcBorders>
              <w:bottom w:val="single" w:sz="8" w:color="0000EE"/>
            </w:tcBorders>
            <w:gridSpan w:val="24"/>
          </w:tcPr>
          <w:p>
            <w:pPr>
              <w:spacing w:after="0" w:line="177" w:lineRule="exact"/>
              <w:rPr>
                <w:sz w:val="20"/>
                <w:szCs w:val="20"/>
                <w:color w:val="auto"/>
              </w:rPr>
            </w:pPr>
            <w:r>
              <w:rPr>
                <w:rFonts w:ascii="Arial" w:cs="Arial" w:eastAsia="Arial" w:hAnsi="Arial"/>
                <w:sz w:val="18"/>
                <w:szCs w:val="18"/>
                <w:color w:val="0000EE"/>
                <w:w w:val="97"/>
              </w:rPr>
              <w:t>Outstanding Equity Awards at 2024 Fiscal Year End</w:t>
            </w:r>
          </w:p>
        </w:tc>
        <w:tc>
          <w:tcPr>
            <w:tcW w:w="64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color w:val="0000EE"/>
              </w:rPr>
              <w:t>Option Exercises and Stock Vested in Fiscal Year 2024</w:t>
            </w: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280" w:type="dxa"/>
            <w:vAlign w:val="bottom"/>
            <w:tcBorders>
              <w:top w:val="single" w:sz="8" w:color="0000EE"/>
            </w:tcBorders>
            <w:gridSpan w:val="25"/>
          </w:tcPr>
          <w:p>
            <w:pPr>
              <w:spacing w:after="0" w:line="177" w:lineRule="exact"/>
              <w:rPr>
                <w:sz w:val="20"/>
                <w:szCs w:val="20"/>
                <w:color w:val="auto"/>
              </w:rPr>
            </w:pPr>
            <w:r>
              <w:rPr>
                <w:rFonts w:ascii="Arial" w:cs="Arial" w:eastAsia="Arial" w:hAnsi="Arial"/>
                <w:sz w:val="18"/>
                <w:szCs w:val="18"/>
                <w:color w:val="0000EE"/>
              </w:rPr>
              <w:t>Pension Benefits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jc w:val="right"/>
              <w:spacing w:after="0" w:line="197" w:lineRule="exact"/>
              <w:rPr>
                <w:sz w:val="20"/>
                <w:szCs w:val="20"/>
                <w:color w:val="auto"/>
              </w:rPr>
            </w:pPr>
            <w:r>
              <w:rPr>
                <w:rFonts w:ascii="Arial" w:cs="Arial" w:eastAsia="Arial" w:hAnsi="Arial"/>
                <w:sz w:val="18"/>
                <w:szCs w:val="18"/>
                <w:color w:val="202E39"/>
              </w:rPr>
              <w:t>53</w:t>
            </w: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color w:val="0000EE"/>
              </w:rPr>
              <w:t>Non-Qualified Deferred Compensation</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980" w:type="dxa"/>
            <w:vAlign w:val="bottom"/>
            <w:tcBorders>
              <w:top w:val="single" w:sz="8" w:color="0000EE"/>
            </w:tcBorders>
            <w:gridSpan w:val="17"/>
          </w:tcPr>
          <w:p>
            <w:pPr>
              <w:spacing w:after="0" w:line="177" w:lineRule="exact"/>
              <w:rPr>
                <w:sz w:val="20"/>
                <w:szCs w:val="20"/>
                <w:color w:val="auto"/>
              </w:rPr>
            </w:pPr>
            <w:r>
              <w:rPr>
                <w:rFonts w:ascii="Arial" w:cs="Arial" w:eastAsia="Arial" w:hAnsi="Arial"/>
                <w:sz w:val="18"/>
                <w:szCs w:val="18"/>
                <w:color w:val="0000EE"/>
                <w:w w:val="97"/>
              </w:rPr>
              <w:t>Potential Payments Upon Termination</w:t>
            </w:r>
          </w:p>
        </w:tc>
        <w:tc>
          <w:tcPr>
            <w:tcW w:w="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5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54</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77" w:lineRule="exact"/>
              <w:rPr>
                <w:sz w:val="20"/>
                <w:szCs w:val="20"/>
                <w:color w:val="auto"/>
              </w:rPr>
            </w:pPr>
            <w:r>
              <w:rPr>
                <w:rFonts w:ascii="Arial" w:cs="Arial" w:eastAsia="Arial" w:hAnsi="Arial"/>
                <w:sz w:val="18"/>
                <w:szCs w:val="18"/>
                <w:color w:val="0000EE"/>
                <w:w w:val="96"/>
              </w:rPr>
              <w:t>CEO Pay Ratio</w:t>
            </w:r>
          </w:p>
        </w:tc>
        <w:tc>
          <w:tcPr>
            <w:tcW w:w="1740" w:type="dxa"/>
            <w:vAlign w:val="bottom"/>
            <w:tcBorders>
              <w:top w:val="single" w:sz="8" w:color="0000EE"/>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5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56</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color w:val="0000EE"/>
              </w:rPr>
              <w:t>Pay Versus Performance</w:t>
            </w: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7"/>
          </w:tcPr>
          <w:p>
            <w:pPr>
              <w:spacing w:after="0" w:line="177" w:lineRule="exact"/>
              <w:rPr>
                <w:sz w:val="20"/>
                <w:szCs w:val="20"/>
                <w:color w:val="auto"/>
              </w:rPr>
            </w:pPr>
            <w:r>
              <w:rPr>
                <w:rFonts w:ascii="Arial" w:cs="Arial" w:eastAsia="Arial" w:hAnsi="Arial"/>
                <w:sz w:val="18"/>
                <w:szCs w:val="18"/>
                <w:color w:val="0000EE"/>
                <w:w w:val="96"/>
              </w:rPr>
              <w:t>Director Compensation</w:t>
            </w:r>
          </w:p>
        </w:tc>
        <w:tc>
          <w:tcPr>
            <w:tcW w:w="14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580" w:type="dxa"/>
            <w:vAlign w:val="bottom"/>
            <w:gridSpan w:val="6"/>
          </w:tcPr>
          <w:p>
            <w:pPr>
              <w:spacing w:after="0"/>
              <w:rPr>
                <w:sz w:val="15"/>
                <w:szCs w:val="15"/>
                <w:color w:val="auto"/>
              </w:rPr>
            </w:pPr>
          </w:p>
        </w:tc>
        <w:tc>
          <w:tcPr>
            <w:tcW w:w="5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5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62</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color w:val="0000EE"/>
              </w:rPr>
              <w:t>Compensation Committee Interlocks and Insider</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202E39"/>
              </w:rPr>
              <w:t>64</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980" w:type="dxa"/>
            <w:vAlign w:val="bottom"/>
            <w:tcBorders>
              <w:top w:val="single" w:sz="8" w:color="0000EE"/>
              <w:bottom w:val="single" w:sz="8" w:color="0000EE"/>
            </w:tcBorders>
          </w:tcPr>
          <w:p>
            <w:pPr>
              <w:spacing w:after="0" w:line="177" w:lineRule="exact"/>
              <w:rPr>
                <w:sz w:val="20"/>
                <w:szCs w:val="20"/>
                <w:color w:val="auto"/>
              </w:rPr>
            </w:pPr>
            <w:r>
              <w:rPr>
                <w:rFonts w:ascii="Arial" w:cs="Arial" w:eastAsia="Arial" w:hAnsi="Arial"/>
                <w:sz w:val="18"/>
                <w:szCs w:val="18"/>
                <w:color w:val="0000EE"/>
                <w:w w:val="96"/>
              </w:rPr>
              <w:t>Participation</w:t>
            </w:r>
          </w:p>
        </w:tc>
        <w:tc>
          <w:tcPr>
            <w:tcW w:w="2760" w:type="dxa"/>
            <w:vAlign w:val="bottom"/>
            <w:tcBorders>
              <w:top w:val="single" w:sz="8" w:color="0000EE"/>
            </w:tcBorders>
            <w:gridSpan w:val="20"/>
          </w:tcPr>
          <w:p>
            <w:pPr>
              <w:spacing w:after="0"/>
              <w:rPr>
                <w:sz w:val="15"/>
                <w:szCs w:val="15"/>
                <w:color w:val="auto"/>
              </w:rPr>
            </w:pPr>
          </w:p>
        </w:tc>
        <w:tc>
          <w:tcPr>
            <w:tcW w:w="280" w:type="dxa"/>
            <w:vAlign w:val="bottom"/>
            <w:gridSpan w:val="2"/>
          </w:tcPr>
          <w:p>
            <w:pPr>
              <w:spacing w:after="0"/>
              <w:rPr>
                <w:sz w:val="15"/>
                <w:szCs w:val="15"/>
                <w:color w:val="auto"/>
              </w:rPr>
            </w:pPr>
          </w:p>
        </w:tc>
        <w:tc>
          <w:tcPr>
            <w:tcW w:w="5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000" w:type="dxa"/>
            <w:vAlign w:val="bottom"/>
            <w:tcBorders>
              <w:bottom w:val="single" w:sz="8" w:color="0000EE"/>
            </w:tcBorders>
            <w:gridSpan w:val="18"/>
          </w:tcPr>
          <w:p>
            <w:pPr>
              <w:spacing w:after="0" w:line="177" w:lineRule="exact"/>
              <w:rPr>
                <w:sz w:val="20"/>
                <w:szCs w:val="20"/>
                <w:color w:val="auto"/>
              </w:rPr>
            </w:pPr>
            <w:r>
              <w:rPr>
                <w:rFonts w:ascii="Arial" w:cs="Arial" w:eastAsia="Arial" w:hAnsi="Arial"/>
                <w:sz w:val="18"/>
                <w:szCs w:val="18"/>
                <w:color w:val="0000EE"/>
                <w:w w:val="97"/>
              </w:rPr>
              <w:t>Equity Compensation Plan Information</w:t>
            </w:r>
          </w:p>
        </w:tc>
        <w:tc>
          <w:tcPr>
            <w:tcW w:w="1680" w:type="dxa"/>
            <w:vAlign w:val="bottom"/>
            <w:gridSpan w:val="9"/>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64</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b w:val="1"/>
                <w:bCs w:val="1"/>
                <w:color w:val="0000EE"/>
              </w:rPr>
              <w:t>CERTAIN RELATIONSHIPS AND RELATED</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65</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520" w:type="dxa"/>
            <w:vAlign w:val="bottom"/>
            <w:tcBorders>
              <w:top w:val="single" w:sz="8" w:color="0000EE"/>
            </w:tcBorders>
            <w:gridSpan w:val="20"/>
          </w:tcPr>
          <w:p>
            <w:pPr>
              <w:spacing w:after="0" w:line="177" w:lineRule="exact"/>
              <w:rPr>
                <w:sz w:val="20"/>
                <w:szCs w:val="20"/>
                <w:color w:val="auto"/>
              </w:rPr>
            </w:pPr>
            <w:r>
              <w:rPr>
                <w:rFonts w:ascii="Arial" w:cs="Arial" w:eastAsia="Arial" w:hAnsi="Arial"/>
                <w:sz w:val="18"/>
                <w:szCs w:val="18"/>
                <w:b w:val="1"/>
                <w:bCs w:val="1"/>
                <w:color w:val="0000EE"/>
              </w:rPr>
              <w:t>TRANSACTIONS</w:t>
            </w:r>
          </w:p>
        </w:tc>
        <w:tc>
          <w:tcPr>
            <w:tcW w:w="500" w:type="dxa"/>
            <w:vAlign w:val="bottom"/>
            <w:gridSpan w:val="3"/>
          </w:tcPr>
          <w:p>
            <w:pPr>
              <w:spacing w:after="0"/>
              <w:rPr>
                <w:sz w:val="15"/>
                <w:szCs w:val="15"/>
                <w:color w:val="auto"/>
              </w:rPr>
            </w:pPr>
          </w:p>
        </w:tc>
        <w:tc>
          <w:tcPr>
            <w:tcW w:w="5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0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680" w:type="dxa"/>
            <w:vAlign w:val="bottom"/>
            <w:gridSpan w:val="27"/>
          </w:tcPr>
          <w:p>
            <w:pPr>
              <w:spacing w:after="0" w:line="151" w:lineRule="exact"/>
              <w:rPr>
                <w:sz w:val="20"/>
                <w:szCs w:val="20"/>
                <w:color w:val="auto"/>
              </w:rPr>
            </w:pPr>
            <w:r>
              <w:rPr>
                <w:rFonts w:ascii="Arial" w:cs="Arial" w:eastAsia="Arial" w:hAnsi="Arial"/>
                <w:sz w:val="16"/>
                <w:szCs w:val="16"/>
                <w:color w:val="0000EE"/>
              </w:rPr>
              <w:t>Review and Approval of Related Party Transactions</w:t>
            </w:r>
          </w:p>
        </w:tc>
        <w:tc>
          <w:tcPr>
            <w:tcW w:w="500" w:type="dxa"/>
            <w:vAlign w:val="bottom"/>
          </w:tcPr>
          <w:p>
            <w:pPr>
              <w:jc w:val="right"/>
              <w:spacing w:after="0" w:line="151" w:lineRule="exact"/>
              <w:rPr>
                <w:sz w:val="20"/>
                <w:szCs w:val="20"/>
                <w:color w:val="auto"/>
              </w:rPr>
            </w:pPr>
            <w:r>
              <w:rPr>
                <w:rFonts w:ascii="Arial" w:cs="Arial" w:eastAsia="Arial" w:hAnsi="Arial"/>
                <w:sz w:val="16"/>
                <w:szCs w:val="16"/>
                <w:color w:val="202E39"/>
              </w:rPr>
              <w:t>65</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9"/>
          </w:tcPr>
          <w:p>
            <w:pPr>
              <w:spacing w:after="0" w:line="177" w:lineRule="exact"/>
              <w:rPr>
                <w:sz w:val="20"/>
                <w:szCs w:val="20"/>
                <w:color w:val="auto"/>
              </w:rPr>
            </w:pPr>
            <w:r>
              <w:rPr>
                <w:rFonts w:ascii="Arial" w:cs="Arial" w:eastAsia="Arial" w:hAnsi="Arial"/>
                <w:sz w:val="18"/>
                <w:szCs w:val="18"/>
                <w:color w:val="0000EE"/>
                <w:w w:val="96"/>
              </w:rPr>
              <w:t>Related Party Transactions</w:t>
            </w:r>
          </w:p>
        </w:tc>
        <w:tc>
          <w:tcPr>
            <w:tcW w:w="1900" w:type="dxa"/>
            <w:vAlign w:val="bottom"/>
            <w:tcBorders>
              <w:top w:val="single" w:sz="8" w:color="0000EE"/>
            </w:tcBorders>
            <w:gridSpan w:val="14"/>
          </w:tcPr>
          <w:p>
            <w:pPr>
              <w:spacing w:after="0"/>
              <w:rPr>
                <w:sz w:val="15"/>
                <w:szCs w:val="15"/>
                <w:color w:val="auto"/>
              </w:rPr>
            </w:pPr>
          </w:p>
        </w:tc>
        <w:tc>
          <w:tcPr>
            <w:tcW w:w="5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202E39"/>
              </w:rPr>
              <w:t>65</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680" w:type="dxa"/>
            <w:vAlign w:val="bottom"/>
            <w:gridSpan w:val="27"/>
          </w:tcPr>
          <w:p>
            <w:pPr>
              <w:spacing w:after="0" w:line="177" w:lineRule="exact"/>
              <w:rPr>
                <w:sz w:val="20"/>
                <w:szCs w:val="20"/>
                <w:color w:val="auto"/>
              </w:rPr>
            </w:pPr>
            <w:r>
              <w:rPr>
                <w:rFonts w:ascii="Arial" w:cs="Arial" w:eastAsia="Arial" w:hAnsi="Arial"/>
                <w:sz w:val="18"/>
                <w:szCs w:val="18"/>
                <w:b w:val="1"/>
                <w:bCs w:val="1"/>
                <w:color w:val="0000EE"/>
              </w:rPr>
              <w:t>AUDIT COMMITTEE REPORT</w:t>
            </w:r>
          </w:p>
        </w:tc>
        <w:tc>
          <w:tcPr>
            <w:tcW w:w="500" w:type="dxa"/>
            <w:vAlign w:val="bottom"/>
          </w:tcPr>
          <w:p>
            <w:pPr>
              <w:jc w:val="right"/>
              <w:spacing w:after="0" w:line="177" w:lineRule="exact"/>
              <w:rPr>
                <w:sz w:val="20"/>
                <w:szCs w:val="20"/>
                <w:color w:val="auto"/>
              </w:rPr>
            </w:pPr>
            <w:r>
              <w:rPr>
                <w:rFonts w:ascii="Arial" w:cs="Arial" w:eastAsia="Arial" w:hAnsi="Arial"/>
                <w:sz w:val="18"/>
                <w:szCs w:val="18"/>
                <w:b w:val="1"/>
                <w:bCs w:val="1"/>
                <w:color w:val="009FE3"/>
              </w:rPr>
              <w:t>66</w:t>
            </w: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0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680" w:type="dxa"/>
            <w:vAlign w:val="bottom"/>
            <w:gridSpan w:val="27"/>
          </w:tcPr>
          <w:p>
            <w:pPr>
              <w:spacing w:after="0" w:line="151" w:lineRule="exact"/>
              <w:rPr>
                <w:sz w:val="20"/>
                <w:szCs w:val="20"/>
                <w:color w:val="auto"/>
              </w:rPr>
            </w:pPr>
            <w:r>
              <w:rPr>
                <w:rFonts w:ascii="Arial" w:cs="Arial" w:eastAsia="Arial" w:hAnsi="Arial"/>
                <w:sz w:val="16"/>
                <w:szCs w:val="16"/>
                <w:b w:val="1"/>
                <w:bCs w:val="1"/>
                <w:color w:val="0000EE"/>
              </w:rPr>
              <w:t>OTHER MATTERS</w:t>
            </w:r>
          </w:p>
        </w:tc>
        <w:tc>
          <w:tcPr>
            <w:tcW w:w="500" w:type="dxa"/>
            <w:vAlign w:val="bottom"/>
          </w:tcPr>
          <w:p>
            <w:pPr>
              <w:jc w:val="right"/>
              <w:spacing w:after="0" w:line="151" w:lineRule="exact"/>
              <w:rPr>
                <w:sz w:val="20"/>
                <w:szCs w:val="20"/>
                <w:color w:val="auto"/>
              </w:rPr>
            </w:pPr>
            <w:r>
              <w:rPr>
                <w:rFonts w:ascii="Arial" w:cs="Arial" w:eastAsia="Arial" w:hAnsi="Arial"/>
                <w:sz w:val="16"/>
                <w:szCs w:val="16"/>
                <w:b w:val="1"/>
                <w:bCs w:val="1"/>
                <w:color w:val="009FE3"/>
              </w:rPr>
              <w:t>67</w:t>
            </w: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0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4680" w:type="dxa"/>
            <w:vAlign w:val="bottom"/>
            <w:gridSpan w:val="27"/>
          </w:tcPr>
          <w:p>
            <w:pPr>
              <w:spacing w:after="0" w:line="151" w:lineRule="exact"/>
              <w:rPr>
                <w:sz w:val="20"/>
                <w:szCs w:val="20"/>
                <w:color w:val="auto"/>
              </w:rPr>
            </w:pPr>
            <w:r>
              <w:rPr>
                <w:rFonts w:ascii="Arial" w:cs="Arial" w:eastAsia="Arial" w:hAnsi="Arial"/>
                <w:sz w:val="16"/>
                <w:szCs w:val="16"/>
                <w:b w:val="1"/>
                <w:bCs w:val="1"/>
                <w:color w:val="0000EE"/>
              </w:rPr>
              <w:t>APPENDIX A: 1996 EQUITY PARTICIPATION PLAN, AS</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A-1</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520" w:type="dxa"/>
            <w:vAlign w:val="bottom"/>
            <w:tcBorders>
              <w:top w:val="single" w:sz="8" w:color="0000EE"/>
            </w:tcBorders>
            <w:gridSpan w:val="26"/>
          </w:tcPr>
          <w:p>
            <w:pPr>
              <w:spacing w:after="0" w:line="177" w:lineRule="exact"/>
              <w:rPr>
                <w:sz w:val="20"/>
                <w:szCs w:val="20"/>
                <w:color w:val="auto"/>
              </w:rPr>
            </w:pPr>
            <w:r>
              <w:rPr>
                <w:rFonts w:ascii="Arial" w:cs="Arial" w:eastAsia="Arial" w:hAnsi="Arial"/>
                <w:sz w:val="18"/>
                <w:szCs w:val="18"/>
                <w:b w:val="1"/>
                <w:bCs w:val="1"/>
                <w:color w:val="0000EE"/>
              </w:rPr>
              <w:t>AMENDED AND RESTATED</w:t>
            </w: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0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-4380865</wp:posOffset>
            </wp:positionV>
            <wp:extent cx="7178040"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i</w:t>
      </w:r>
    </w:p>
    <w:p>
      <w:pPr>
        <w:sectPr>
          <w:pgSz w:w="11900" w:h="16838" w:orient="portrait"/>
          <w:cols w:equalWidth="0" w:num="2">
            <w:col w:w="5400" w:space="340"/>
            <w:col w:w="5240"/>
          </w:cols>
          <w:pgMar w:left="320" w:top="474"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299085</wp:posOffset>
            </wp:positionV>
            <wp:extent cx="1360170" cy="459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0170" cy="45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40"/>
        <w:spacing w:after="0"/>
        <w:rPr>
          <w:sz w:val="20"/>
          <w:szCs w:val="20"/>
          <w:color w:val="auto"/>
        </w:rPr>
      </w:pPr>
      <w:r>
        <w:rPr>
          <w:rFonts w:ascii="Arial" w:cs="Arial" w:eastAsia="Arial" w:hAnsi="Arial"/>
          <w:sz w:val="49"/>
          <w:szCs w:val="49"/>
          <w:color w:val="009FE3"/>
        </w:rPr>
        <w:t>PROXY STATEMENT</w:t>
      </w:r>
    </w:p>
    <w:p>
      <w:pPr>
        <w:ind w:left="260"/>
        <w:spacing w:after="0"/>
        <w:rPr>
          <w:sz w:val="20"/>
          <w:szCs w:val="20"/>
          <w:color w:val="auto"/>
        </w:rPr>
      </w:pPr>
      <w:r>
        <w:rPr>
          <w:rFonts w:ascii="Arial" w:cs="Arial" w:eastAsia="Arial" w:hAnsi="Arial"/>
          <w:sz w:val="16"/>
          <w:szCs w:val="16"/>
          <w:b w:val="1"/>
          <w:bCs w:val="1"/>
          <w:color w:val="202E39"/>
        </w:rPr>
        <w:t>6155 El Camino Real</w:t>
      </w:r>
    </w:p>
    <w:p>
      <w:pPr>
        <w:ind w:left="260"/>
        <w:spacing w:after="0"/>
        <w:rPr>
          <w:sz w:val="20"/>
          <w:szCs w:val="20"/>
          <w:color w:val="auto"/>
        </w:rPr>
      </w:pPr>
      <w:r>
        <w:rPr>
          <w:rFonts w:ascii="Arial" w:cs="Arial" w:eastAsia="Arial" w:hAnsi="Arial"/>
          <w:sz w:val="16"/>
          <w:szCs w:val="16"/>
          <w:b w:val="1"/>
          <w:bCs w:val="1"/>
          <w:color w:val="202E39"/>
        </w:rPr>
        <w:t>Carlsbad, California 92009</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Board of Directors of Viasat, Inc. (the Board) is soliciting the enclosed proxy for use at the annual meeting of stockholders to be held on</w:t>
      </w:r>
    </w:p>
    <w:p>
      <w:pPr>
        <w:spacing w:after="0" w:line="14" w:lineRule="exact"/>
        <w:rPr>
          <w:sz w:val="20"/>
          <w:szCs w:val="20"/>
          <w:color w:val="auto"/>
        </w:rPr>
      </w:pPr>
    </w:p>
    <w:p>
      <w:pPr>
        <w:ind w:left="260"/>
        <w:spacing w:after="0" w:line="245" w:lineRule="auto"/>
        <w:rPr>
          <w:sz w:val="20"/>
          <w:szCs w:val="20"/>
          <w:color w:val="auto"/>
        </w:rPr>
      </w:pPr>
      <w:r>
        <w:rPr>
          <w:rFonts w:ascii="Arial" w:cs="Arial" w:eastAsia="Arial" w:hAnsi="Arial"/>
          <w:sz w:val="16"/>
          <w:szCs w:val="16"/>
          <w:color w:val="202E39"/>
        </w:rPr>
        <w:t xml:space="preserve">September 5, 2024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cs="Arial" w:eastAsia="Arial" w:hAnsi="Arial"/>
          <w:sz w:val="16"/>
          <w:szCs w:val="16"/>
          <w:u w:val="single" w:color="auto"/>
          <w:color w:val="202E39"/>
        </w:rPr>
        <w:t>www.virtualshareholdermeeting.com/VSAT2024</w:t>
      </w:r>
      <w:r>
        <w:rPr>
          <w:rFonts w:ascii="Arial" w:cs="Arial" w:eastAsia="Arial" w:hAnsi="Arial"/>
          <w:sz w:val="16"/>
          <w:szCs w:val="16"/>
          <w:color w:val="202E39"/>
        </w:rPr>
        <w:t>.</w:t>
      </w:r>
    </w:p>
    <w:p>
      <w:pPr>
        <w:spacing w:after="0" w:line="372"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GENERAL INFORMATION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About the Annual Meeting and Voting</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Why am I receiving this proxy statement?</w:t>
      </w:r>
    </w:p>
    <w:p>
      <w:pPr>
        <w:spacing w:after="0" w:line="108" w:lineRule="exact"/>
        <w:rPr>
          <w:sz w:val="20"/>
          <w:szCs w:val="20"/>
          <w:color w:val="auto"/>
        </w:rPr>
      </w:pPr>
    </w:p>
    <w:p>
      <w:pPr>
        <w:ind w:left="260" w:right="20"/>
        <w:spacing w:after="0" w:line="247" w:lineRule="auto"/>
        <w:rPr>
          <w:sz w:val="20"/>
          <w:szCs w:val="20"/>
          <w:color w:val="auto"/>
        </w:rPr>
      </w:pPr>
      <w:r>
        <w:rPr>
          <w:rFonts w:ascii="Arial" w:cs="Arial" w:eastAsia="Arial" w:hAnsi="Arial"/>
          <w:sz w:val="16"/>
          <w:szCs w:val="16"/>
          <w:color w:val="202E39"/>
        </w:rPr>
        <w:t>We sent you this proxy statement and the enclosed proxy card because Viasat’s Board is soliciting your proxy to vote at the 2024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78" w:lineRule="exact"/>
        <w:rPr>
          <w:sz w:val="20"/>
          <w:szCs w:val="20"/>
          <w:color w:val="auto"/>
        </w:rPr>
      </w:pPr>
    </w:p>
    <w:p>
      <w:pPr>
        <w:jc w:val="both"/>
        <w:ind w:left="260" w:right="120"/>
        <w:spacing w:after="0" w:line="249" w:lineRule="auto"/>
        <w:rPr>
          <w:sz w:val="20"/>
          <w:szCs w:val="20"/>
          <w:color w:val="auto"/>
        </w:rPr>
      </w:pPr>
      <w:r>
        <w:rPr>
          <w:rFonts w:ascii="Arial" w:cs="Arial" w:eastAsia="Arial" w:hAnsi="Arial"/>
          <w:sz w:val="16"/>
          <w:szCs w:val="16"/>
          <w:color w:val="202E39"/>
        </w:rPr>
        <w:t>We intend to begin mailing this proxy statement, the attached notice of our annual meeting and the enclosed proxy card on or about July 26, 2024 to all stockholders who owned Viasat common stock on the record date, July 8, 2024, and are thus entitled to vote at the annual meeting. On this record date, there were approximately 127,779,170 shares of Viasat common stock outstanding. Common stock is our only class of stock entitled to vote. Along with this proxy statement, we are also sending our fiscal year 2024 annual report, which includes our financial statements.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What am I voting on?</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items of business scheduled to be voted on at the annual meeting are:</w:t>
      </w:r>
    </w:p>
    <w:p>
      <w:pPr>
        <w:spacing w:after="0" w:line="118" w:lineRule="exact"/>
        <w:rPr>
          <w:sz w:val="20"/>
          <w:szCs w:val="20"/>
          <w:color w:val="auto"/>
        </w:rPr>
      </w:pPr>
    </w:p>
    <w:p>
      <w:pPr>
        <w:ind w:left="780" w:right="140" w:hanging="203"/>
        <w:spacing w:after="0" w:line="269" w:lineRule="auto"/>
        <w:tabs>
          <w:tab w:leader="none" w:pos="780" w:val="left"/>
        </w:tabs>
        <w:numPr>
          <w:ilvl w:val="0"/>
          <w:numId w:val="7"/>
        </w:numPr>
        <w:rPr>
          <w:rFonts w:ascii="Arial" w:cs="Arial" w:eastAsia="Arial" w:hAnsi="Arial"/>
          <w:sz w:val="16"/>
          <w:szCs w:val="16"/>
          <w:color w:val="009FE3"/>
        </w:rPr>
      </w:pPr>
      <w:r>
        <w:rPr>
          <w:rFonts w:ascii="Arial" w:cs="Arial" w:eastAsia="Arial" w:hAnsi="Arial"/>
          <w:sz w:val="16"/>
          <w:szCs w:val="16"/>
          <w:color w:val="009FE3"/>
        </w:rPr>
        <w:t xml:space="preserve">Proposal 1: </w:t>
      </w:r>
      <w:r>
        <w:rPr>
          <w:rFonts w:ascii="Arial" w:cs="Arial" w:eastAsia="Arial" w:hAnsi="Arial"/>
          <w:sz w:val="16"/>
          <w:szCs w:val="16"/>
          <w:color w:val="202E39"/>
        </w:rPr>
        <w:t>The election of John Stenbit, Andrew Sukawaty and Theresa Wise to serve as Class I Directors for a three-year term to expire at the</w:t>
      </w:r>
      <w:r>
        <w:rPr>
          <w:rFonts w:ascii="Arial" w:cs="Arial" w:eastAsia="Arial" w:hAnsi="Arial"/>
          <w:sz w:val="16"/>
          <w:szCs w:val="16"/>
          <w:color w:val="009FE3"/>
        </w:rPr>
        <w:t xml:space="preserve"> </w:t>
      </w:r>
      <w:r>
        <w:rPr>
          <w:rFonts w:ascii="Arial" w:cs="Arial" w:eastAsia="Arial" w:hAnsi="Arial"/>
          <w:sz w:val="16"/>
          <w:szCs w:val="16"/>
          <w:color w:val="202E39"/>
        </w:rPr>
        <w:t>2027 annual meeting of stockholders.</w:t>
      </w:r>
    </w:p>
    <w:p>
      <w:pPr>
        <w:spacing w:after="0" w:line="21" w:lineRule="exact"/>
        <w:rPr>
          <w:rFonts w:ascii="Arial" w:cs="Arial" w:eastAsia="Arial" w:hAnsi="Arial"/>
          <w:sz w:val="16"/>
          <w:szCs w:val="16"/>
          <w:color w:val="009FE3"/>
        </w:rPr>
      </w:pPr>
    </w:p>
    <w:p>
      <w:pPr>
        <w:ind w:left="780" w:right="320" w:hanging="203"/>
        <w:spacing w:after="0" w:line="269" w:lineRule="auto"/>
        <w:tabs>
          <w:tab w:leader="none" w:pos="780" w:val="left"/>
        </w:tabs>
        <w:numPr>
          <w:ilvl w:val="0"/>
          <w:numId w:val="7"/>
        </w:numPr>
        <w:rPr>
          <w:rFonts w:ascii="Arial" w:cs="Arial" w:eastAsia="Arial" w:hAnsi="Arial"/>
          <w:sz w:val="16"/>
          <w:szCs w:val="16"/>
          <w:color w:val="009FE3"/>
        </w:rPr>
      </w:pPr>
      <w:r>
        <w:rPr>
          <w:rFonts w:ascii="Arial" w:cs="Arial" w:eastAsia="Arial" w:hAnsi="Arial"/>
          <w:sz w:val="16"/>
          <w:szCs w:val="16"/>
          <w:color w:val="009FE3"/>
        </w:rPr>
        <w:t xml:space="preserve">Proposal 2: </w:t>
      </w:r>
      <w:r>
        <w:rPr>
          <w:rFonts w:ascii="Arial" w:cs="Arial" w:eastAsia="Arial" w:hAnsi="Arial"/>
          <w:sz w:val="16"/>
          <w:szCs w:val="16"/>
          <w:color w:val="202E39"/>
        </w:rPr>
        <w:t>The ratification of the appointment of PricewaterhouseCoopers as Viasat’s independent registered public accounting firm for fiscal</w:t>
      </w:r>
      <w:r>
        <w:rPr>
          <w:rFonts w:ascii="Arial" w:cs="Arial" w:eastAsia="Arial" w:hAnsi="Arial"/>
          <w:sz w:val="16"/>
          <w:szCs w:val="16"/>
          <w:color w:val="009FE3"/>
        </w:rPr>
        <w:t xml:space="preserve"> </w:t>
      </w:r>
      <w:r>
        <w:rPr>
          <w:rFonts w:ascii="Arial" w:cs="Arial" w:eastAsia="Arial" w:hAnsi="Arial"/>
          <w:sz w:val="16"/>
          <w:szCs w:val="16"/>
          <w:color w:val="202E39"/>
        </w:rPr>
        <w:t>year 2025.</w:t>
      </w:r>
    </w:p>
    <w:p>
      <w:pPr>
        <w:spacing w:after="0" w:line="21" w:lineRule="exact"/>
        <w:rPr>
          <w:rFonts w:ascii="Arial" w:cs="Arial" w:eastAsia="Arial" w:hAnsi="Arial"/>
          <w:sz w:val="16"/>
          <w:szCs w:val="16"/>
          <w:color w:val="009FE3"/>
        </w:rPr>
      </w:pPr>
    </w:p>
    <w:p>
      <w:pPr>
        <w:ind w:left="780" w:hanging="203"/>
        <w:spacing w:after="0"/>
        <w:tabs>
          <w:tab w:leader="none" w:pos="780" w:val="left"/>
        </w:tabs>
        <w:numPr>
          <w:ilvl w:val="0"/>
          <w:numId w:val="7"/>
        </w:numPr>
        <w:rPr>
          <w:rFonts w:ascii="Arial" w:cs="Arial" w:eastAsia="Arial" w:hAnsi="Arial"/>
          <w:sz w:val="16"/>
          <w:szCs w:val="16"/>
          <w:color w:val="009FE3"/>
        </w:rPr>
      </w:pPr>
      <w:r>
        <w:rPr>
          <w:rFonts w:ascii="Arial" w:cs="Arial" w:eastAsia="Arial" w:hAnsi="Arial"/>
          <w:sz w:val="16"/>
          <w:szCs w:val="16"/>
          <w:color w:val="009FE3"/>
        </w:rPr>
        <w:t xml:space="preserve">Proposal 3: </w:t>
      </w:r>
      <w:r>
        <w:rPr>
          <w:rFonts w:ascii="Arial" w:cs="Arial" w:eastAsia="Arial" w:hAnsi="Arial"/>
          <w:sz w:val="16"/>
          <w:szCs w:val="16"/>
          <w:color w:val="202E39"/>
        </w:rPr>
        <w:t>The advisory vote on executive compensation.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7"/>
        </w:numPr>
        <w:rPr>
          <w:rFonts w:ascii="Arial" w:cs="Arial" w:eastAsia="Arial" w:hAnsi="Arial"/>
          <w:sz w:val="16"/>
          <w:szCs w:val="16"/>
          <w:color w:val="009FE3"/>
        </w:rPr>
      </w:pPr>
      <w:r>
        <w:rPr>
          <w:rFonts w:ascii="Arial" w:cs="Arial" w:eastAsia="Arial" w:hAnsi="Arial"/>
          <w:sz w:val="16"/>
          <w:szCs w:val="16"/>
          <w:color w:val="009FE3"/>
        </w:rPr>
        <w:t xml:space="preserve">Proposal 4: </w:t>
      </w:r>
      <w:r>
        <w:rPr>
          <w:rFonts w:ascii="Arial" w:cs="Arial" w:eastAsia="Arial" w:hAnsi="Arial"/>
          <w:sz w:val="16"/>
          <w:szCs w:val="16"/>
          <w:color w:val="202E39"/>
        </w:rPr>
        <w:t>The amendment and restatement of the 1996 Equity Participation Plan.</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We will also consider any other business that properly comes before the annual meeting.</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How does the Board recommend that I vote?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Our Board unanimously recommends that you vote:</w:t>
      </w:r>
    </w:p>
    <w:p>
      <w:pPr>
        <w:spacing w:after="0" w:line="116" w:lineRule="exact"/>
        <w:rPr>
          <w:sz w:val="20"/>
          <w:szCs w:val="20"/>
          <w:color w:val="auto"/>
        </w:rPr>
      </w:pPr>
    </w:p>
    <w:p>
      <w:pPr>
        <w:ind w:left="780" w:hanging="203"/>
        <w:spacing w:after="0"/>
        <w:tabs>
          <w:tab w:leader="none" w:pos="780" w:val="left"/>
        </w:tabs>
        <w:numPr>
          <w:ilvl w:val="0"/>
          <w:numId w:val="8"/>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election of John Stenbit, Andrew Sukawaty and Theresa Wise (Proposal 1);</w:t>
      </w:r>
    </w:p>
    <w:p>
      <w:pPr>
        <w:spacing w:after="0" w:line="65" w:lineRule="exact"/>
        <w:rPr>
          <w:rFonts w:ascii="Arial" w:cs="Arial" w:eastAsia="Arial" w:hAnsi="Arial"/>
          <w:sz w:val="16"/>
          <w:szCs w:val="16"/>
          <w:color w:val="009FE3"/>
        </w:rPr>
      </w:pPr>
    </w:p>
    <w:p>
      <w:pPr>
        <w:ind w:left="780" w:right="320" w:hanging="203"/>
        <w:spacing w:after="0" w:line="272" w:lineRule="auto"/>
        <w:tabs>
          <w:tab w:leader="none" w:pos="780" w:val="left"/>
        </w:tabs>
        <w:numPr>
          <w:ilvl w:val="0"/>
          <w:numId w:val="8"/>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ratification of the appointment of PricewaterhouseCoopers as Viasat’s independent registered public accounting firm for fiscal year</w:t>
      </w:r>
      <w:r>
        <w:rPr>
          <w:rFonts w:ascii="Arial" w:cs="Arial" w:eastAsia="Arial" w:hAnsi="Arial"/>
          <w:sz w:val="16"/>
          <w:szCs w:val="16"/>
          <w:b w:val="1"/>
          <w:bCs w:val="1"/>
          <w:color w:val="009FE3"/>
        </w:rPr>
        <w:t xml:space="preserve"> </w:t>
      </w:r>
      <w:r>
        <w:rPr>
          <w:rFonts w:ascii="Arial" w:cs="Arial" w:eastAsia="Arial" w:hAnsi="Arial"/>
          <w:sz w:val="16"/>
          <w:szCs w:val="16"/>
          <w:color w:val="202E39"/>
        </w:rPr>
        <w:t>2025 (Proposal 2);</w:t>
      </w:r>
    </w:p>
    <w:p>
      <w:pPr>
        <w:spacing w:after="0" w:line="16" w:lineRule="exact"/>
        <w:rPr>
          <w:rFonts w:ascii="Arial" w:cs="Arial" w:eastAsia="Arial" w:hAnsi="Arial"/>
          <w:sz w:val="16"/>
          <w:szCs w:val="16"/>
          <w:color w:val="009FE3"/>
        </w:rPr>
      </w:pPr>
    </w:p>
    <w:p>
      <w:pPr>
        <w:ind w:left="780" w:hanging="203"/>
        <w:spacing w:after="0"/>
        <w:tabs>
          <w:tab w:leader="none" w:pos="780" w:val="left"/>
        </w:tabs>
        <w:numPr>
          <w:ilvl w:val="0"/>
          <w:numId w:val="8"/>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approval of executive compensation (Proposal 3);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8"/>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1996 Equity Participation Plan (Proposal 4).</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How many votes do I have?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You are entitled to one vote for every share of Viasat common stock that you own as of July 8, 2024.</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1</w:t>
      </w:r>
    </w:p>
    <w:p>
      <w:pPr>
        <w:sectPr>
          <w:pgSz w:w="11900" w:h="16838" w:orient="portrait"/>
          <w:cols w:equalWidth="0" w:num="1">
            <w:col w:w="10980"/>
          </w:cols>
          <w:pgMar w:left="320" w:top="474"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About the Annual Meeting and Voting</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How do I vote by proxy?</w:t>
      </w:r>
    </w:p>
    <w:p>
      <w:pPr>
        <w:spacing w:after="0" w:line="108" w:lineRule="exact"/>
        <w:rPr>
          <w:sz w:val="20"/>
          <w:szCs w:val="20"/>
          <w:color w:val="auto"/>
        </w:rPr>
      </w:pPr>
    </w:p>
    <w:p>
      <w:pPr>
        <w:ind w:left="260" w:right="320"/>
        <w:spacing w:after="0" w:line="254" w:lineRule="auto"/>
        <w:rPr>
          <w:sz w:val="20"/>
          <w:szCs w:val="20"/>
          <w:color w:val="auto"/>
        </w:rPr>
      </w:pPr>
      <w:r>
        <w:rPr>
          <w:rFonts w:ascii="Arial" w:cs="Arial" w:eastAsia="Arial" w:hAnsi="Arial"/>
          <w:sz w:val="16"/>
          <w:szCs w:val="16"/>
          <w:color w:val="202E39"/>
        </w:rPr>
        <w:t>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w:t>
      </w:r>
    </w:p>
    <w:p>
      <w:pPr>
        <w:spacing w:after="0" w:line="73" w:lineRule="exact"/>
        <w:rPr>
          <w:sz w:val="20"/>
          <w:szCs w:val="20"/>
          <w:color w:val="auto"/>
        </w:rPr>
      </w:pPr>
    </w:p>
    <w:p>
      <w:pPr>
        <w:ind w:left="260" w:right="60"/>
        <w:spacing w:after="0" w:line="254" w:lineRule="auto"/>
        <w:rPr>
          <w:sz w:val="20"/>
          <w:szCs w:val="20"/>
          <w:color w:val="auto"/>
        </w:rPr>
      </w:pPr>
      <w:r>
        <w:rPr>
          <w:rFonts w:ascii="Arial" w:cs="Arial" w:eastAsia="Arial" w:hAnsi="Arial"/>
          <w:sz w:val="16"/>
          <w:szCs w:val="16"/>
          <w:color w:val="202E39"/>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w:t>
      </w:r>
    </w:p>
    <w:p>
      <w:pPr>
        <w:spacing w:after="0" w:line="73" w:lineRule="exact"/>
        <w:rPr>
          <w:sz w:val="20"/>
          <w:szCs w:val="20"/>
          <w:color w:val="auto"/>
        </w:rPr>
      </w:pPr>
    </w:p>
    <w:p>
      <w:pPr>
        <w:ind w:left="260" w:right="240"/>
        <w:spacing w:after="0" w:line="249" w:lineRule="auto"/>
        <w:rPr>
          <w:sz w:val="20"/>
          <w:szCs w:val="20"/>
          <w:color w:val="auto"/>
        </w:rPr>
      </w:pPr>
      <w:r>
        <w:rPr>
          <w:rFonts w:ascii="Arial" w:cs="Arial" w:eastAsia="Arial" w:hAnsi="Arial"/>
          <w:sz w:val="16"/>
          <w:szCs w:val="16"/>
          <w:color w:val="202E39"/>
        </w:rPr>
        <w:t>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May I revoke my proxy?</w:t>
      </w:r>
    </w:p>
    <w:p>
      <w:pPr>
        <w:spacing w:after="0" w:line="108" w:lineRule="exact"/>
        <w:rPr>
          <w:sz w:val="20"/>
          <w:szCs w:val="20"/>
          <w:color w:val="auto"/>
        </w:rPr>
      </w:pPr>
    </w:p>
    <w:p>
      <w:pPr>
        <w:ind w:left="260" w:right="560"/>
        <w:spacing w:after="0" w:line="269" w:lineRule="auto"/>
        <w:rPr>
          <w:sz w:val="20"/>
          <w:szCs w:val="20"/>
          <w:color w:val="auto"/>
        </w:rPr>
      </w:pPr>
      <w:r>
        <w:rPr>
          <w:rFonts w:ascii="Arial" w:cs="Arial" w:eastAsia="Arial" w:hAnsi="Arial"/>
          <w:sz w:val="16"/>
          <w:szCs w:val="16"/>
          <w:color w:val="202E39"/>
        </w:rPr>
        <w:t>If you give us your proxy, you may revoke it at any time before your proxy is voted at the annual meeting. You may revoke your proxy in any of the following three ways:</w:t>
      </w:r>
    </w:p>
    <w:p>
      <w:pPr>
        <w:spacing w:after="0" w:line="74" w:lineRule="exact"/>
        <w:rPr>
          <w:sz w:val="20"/>
          <w:szCs w:val="20"/>
          <w:color w:val="auto"/>
        </w:rPr>
      </w:pPr>
    </w:p>
    <w:p>
      <w:pPr>
        <w:ind w:left="900" w:hanging="218"/>
        <w:spacing w:after="0"/>
        <w:tabs>
          <w:tab w:leader="none" w:pos="900" w:val="left"/>
        </w:tabs>
        <w:numPr>
          <w:ilvl w:val="0"/>
          <w:numId w:val="9"/>
        </w:numPr>
        <w:rPr>
          <w:rFonts w:ascii="Arial" w:cs="Arial" w:eastAsia="Arial" w:hAnsi="Arial"/>
          <w:sz w:val="16"/>
          <w:szCs w:val="16"/>
          <w:color w:val="009FE3"/>
        </w:rPr>
      </w:pPr>
      <w:r>
        <w:rPr>
          <w:rFonts w:ascii="Arial" w:cs="Arial" w:eastAsia="Arial" w:hAnsi="Arial"/>
          <w:sz w:val="16"/>
          <w:szCs w:val="16"/>
          <w:color w:val="202E39"/>
        </w:rPr>
        <w:t>you may send in another signed proxy card bearing a later date;</w:t>
      </w:r>
    </w:p>
    <w:p>
      <w:pPr>
        <w:spacing w:after="0" w:line="118" w:lineRule="exact"/>
        <w:rPr>
          <w:rFonts w:ascii="Arial" w:cs="Arial" w:eastAsia="Arial" w:hAnsi="Arial"/>
          <w:sz w:val="16"/>
          <w:szCs w:val="16"/>
          <w:color w:val="009FE3"/>
        </w:rPr>
      </w:pPr>
    </w:p>
    <w:p>
      <w:pPr>
        <w:ind w:left="900" w:hanging="218"/>
        <w:spacing w:after="0"/>
        <w:tabs>
          <w:tab w:leader="none" w:pos="900" w:val="left"/>
        </w:tabs>
        <w:numPr>
          <w:ilvl w:val="0"/>
          <w:numId w:val="9"/>
        </w:numPr>
        <w:rPr>
          <w:rFonts w:ascii="Arial" w:cs="Arial" w:eastAsia="Arial" w:hAnsi="Arial"/>
          <w:sz w:val="16"/>
          <w:szCs w:val="16"/>
          <w:color w:val="009FE3"/>
        </w:rPr>
      </w:pPr>
      <w:r>
        <w:rPr>
          <w:rFonts w:ascii="Arial" w:cs="Arial" w:eastAsia="Arial" w:hAnsi="Arial"/>
          <w:sz w:val="16"/>
          <w:szCs w:val="16"/>
          <w:color w:val="202E39"/>
        </w:rPr>
        <w:t>you may deliver a written notice of revocation to Viasat’s Corporate Secretary prior to the annual meeting; or</w:t>
      </w:r>
    </w:p>
    <w:p>
      <w:pPr>
        <w:spacing w:after="0" w:line="118" w:lineRule="exact"/>
        <w:rPr>
          <w:rFonts w:ascii="Arial" w:cs="Arial" w:eastAsia="Arial" w:hAnsi="Arial"/>
          <w:sz w:val="16"/>
          <w:szCs w:val="16"/>
          <w:color w:val="009FE3"/>
        </w:rPr>
      </w:pPr>
    </w:p>
    <w:p>
      <w:pPr>
        <w:ind w:left="900" w:hanging="218"/>
        <w:spacing w:after="0"/>
        <w:tabs>
          <w:tab w:leader="none" w:pos="900" w:val="left"/>
        </w:tabs>
        <w:numPr>
          <w:ilvl w:val="0"/>
          <w:numId w:val="9"/>
        </w:numPr>
        <w:rPr>
          <w:rFonts w:ascii="Arial" w:cs="Arial" w:eastAsia="Arial" w:hAnsi="Arial"/>
          <w:sz w:val="16"/>
          <w:szCs w:val="16"/>
          <w:color w:val="009FE3"/>
        </w:rPr>
      </w:pPr>
      <w:r>
        <w:rPr>
          <w:rFonts w:ascii="Arial" w:cs="Arial" w:eastAsia="Arial" w:hAnsi="Arial"/>
          <w:sz w:val="16"/>
          <w:szCs w:val="16"/>
          <w:color w:val="202E39"/>
        </w:rPr>
        <w:t>you may notify Viasat’s Corporate Secretary in writing before the annual meeting and submit your vote at the virtual annual meeting.</w:t>
      </w:r>
    </w:p>
    <w:p>
      <w:pPr>
        <w:spacing w:after="0" w:line="210" w:lineRule="exact"/>
        <w:rPr>
          <w:sz w:val="20"/>
          <w:szCs w:val="20"/>
          <w:color w:val="auto"/>
        </w:rPr>
      </w:pPr>
    </w:p>
    <w:p>
      <w:pPr>
        <w:ind w:left="260" w:right="40"/>
        <w:spacing w:after="0" w:line="269" w:lineRule="auto"/>
        <w:rPr>
          <w:sz w:val="20"/>
          <w:szCs w:val="20"/>
          <w:color w:val="auto"/>
        </w:rPr>
      </w:pPr>
      <w:r>
        <w:rPr>
          <w:rFonts w:ascii="Arial" w:cs="Arial" w:eastAsia="Arial" w:hAnsi="Arial"/>
          <w:sz w:val="16"/>
          <w:szCs w:val="16"/>
          <w:color w:val="202E39"/>
        </w:rPr>
        <w:t>If your shares are held in “street name,” which means your shares are held of record by a broker, bank or other financial institution, you must contact your broker, bank or financial institution to revoke any prior instructions.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What if my shares are held by a broker, bank or other financial institution?</w:t>
      </w:r>
    </w:p>
    <w:p>
      <w:pPr>
        <w:spacing w:after="0" w:line="108" w:lineRule="exact"/>
        <w:rPr>
          <w:sz w:val="20"/>
          <w:szCs w:val="20"/>
          <w:color w:val="auto"/>
        </w:rPr>
      </w:pPr>
    </w:p>
    <w:p>
      <w:pPr>
        <w:ind w:left="260" w:right="120"/>
        <w:spacing w:after="0" w:line="247" w:lineRule="auto"/>
        <w:rPr>
          <w:sz w:val="20"/>
          <w:szCs w:val="20"/>
          <w:color w:val="auto"/>
        </w:rPr>
      </w:pPr>
      <w:r>
        <w:rPr>
          <w:rFonts w:ascii="Arial" w:cs="Arial" w:eastAsia="Arial" w:hAnsi="Arial"/>
          <w:sz w:val="16"/>
          <w:szCs w:val="16"/>
          <w:color w:val="202E39"/>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to be able to vote your shares or submit questions.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Can I vote via the internet or by telephone?</w:t>
      </w:r>
    </w:p>
    <w:p>
      <w:pPr>
        <w:spacing w:after="0" w:line="108" w:lineRule="exact"/>
        <w:rPr>
          <w:sz w:val="20"/>
          <w:szCs w:val="20"/>
          <w:color w:val="auto"/>
        </w:rPr>
      </w:pPr>
    </w:p>
    <w:p>
      <w:pPr>
        <w:jc w:val="both"/>
        <w:ind w:left="260" w:right="420"/>
        <w:spacing w:after="0" w:line="254" w:lineRule="auto"/>
        <w:rPr>
          <w:sz w:val="20"/>
          <w:szCs w:val="20"/>
          <w:color w:val="auto"/>
        </w:rPr>
      </w:pPr>
      <w:r>
        <w:rPr>
          <w:rFonts w:ascii="Arial" w:cs="Arial" w:eastAsia="Arial" w:hAnsi="Arial"/>
          <w:sz w:val="16"/>
          <w:szCs w:val="16"/>
          <w:color w:val="202E39"/>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How can I attend the annual meeting?</w:t>
      </w:r>
    </w:p>
    <w:p>
      <w:pPr>
        <w:spacing w:after="0" w:line="108"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202E39"/>
        </w:rPr>
        <w:t>We will be hosting the 2024 annual meeting live via the internet and you will not be able to attend in person. Our Board annually considers the appropriate format of our annual meeting, and concluded that a virtual meeting would allow stockholders from around the world to participate and ask questions, and for us to give thoughtful responses.</w:t>
      </w:r>
    </w:p>
    <w:p>
      <w:pPr>
        <w:spacing w:after="0" w:line="73" w:lineRule="exact"/>
        <w:rPr>
          <w:sz w:val="20"/>
          <w:szCs w:val="20"/>
          <w:color w:val="auto"/>
        </w:rPr>
      </w:pPr>
    </w:p>
    <w:p>
      <w:pPr>
        <w:ind w:left="260" w:right="80"/>
        <w:spacing w:after="0" w:line="245" w:lineRule="auto"/>
        <w:rPr>
          <w:sz w:val="20"/>
          <w:szCs w:val="20"/>
          <w:color w:val="auto"/>
        </w:rPr>
      </w:pPr>
      <w:r>
        <w:rPr>
          <w:rFonts w:ascii="Arial" w:cs="Arial" w:eastAsia="Arial" w:hAnsi="Arial"/>
          <w:sz w:val="16"/>
          <w:szCs w:val="16"/>
          <w:color w:val="202E39"/>
        </w:rPr>
        <w:t>You are entitled to attend the annual meeting only if you were a Viasat stockholder or joint holder as of the record date, July 8, 2024, or you hold a valid proxy for the annual meeting. A stockholder can listen to and participate in the annual meeting live via the internet at www.virtualshareholdermeeting.com/VSAT2024. Stockholders may begin submitting written questions at 8:30 a.m. Pacific Time on September 5, 2024. Stockholders may also vote during the annual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85090</wp:posOffset>
            </wp:positionV>
            <wp:extent cx="425450" cy="150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2       </w:t>
      </w:r>
    </w:p>
    <w:p>
      <w:pPr>
        <w:sectPr>
          <w:pgSz w:w="11900" w:h="16838" w:orient="portrait"/>
          <w:cols w:equalWidth="0" w:num="1">
            <w:col w:w="10980"/>
          </w:cols>
          <w:pgMar w:left="320" w:top="474"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GENERAL INFORMATION</w:t>
      </w:r>
      <w:r>
        <w:rPr>
          <w:rFonts w:ascii="Arial" w:cs="Arial" w:eastAsia="Arial" w:hAnsi="Arial"/>
          <w:sz w:val="14"/>
          <w:szCs w:val="14"/>
          <w:color w:val="202E39"/>
        </w:rPr>
        <w:t xml:space="preserve"> </w:t>
      </w:r>
      <w:r>
        <w:rPr>
          <w:rFonts w:ascii="Arial" w:cs="Arial" w:eastAsia="Arial" w:hAnsi="Arial"/>
          <w:sz w:val="14"/>
          <w:szCs w:val="14"/>
          <w:color w:val="009FE3"/>
        </w:rPr>
        <w:t xml:space="preserve"> •</w:t>
      </w:r>
      <w:r>
        <w:rPr>
          <w:rFonts w:ascii="Arial" w:cs="Arial" w:eastAsia="Arial" w:hAnsi="Arial"/>
          <w:sz w:val="14"/>
          <w:szCs w:val="14"/>
          <w:color w:val="202E39"/>
        </w:rPr>
        <w:t xml:space="preserve">  About the Annual Meeting and Voting</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What constitutes a quorum?</w:t>
      </w:r>
    </w:p>
    <w:p>
      <w:pPr>
        <w:spacing w:after="0" w:line="108" w:lineRule="exact"/>
        <w:rPr>
          <w:sz w:val="20"/>
          <w:szCs w:val="20"/>
          <w:color w:val="auto"/>
        </w:rPr>
      </w:pPr>
    </w:p>
    <w:p>
      <w:pPr>
        <w:ind w:left="260" w:right="20"/>
        <w:spacing w:after="0" w:line="247" w:lineRule="auto"/>
        <w:rPr>
          <w:sz w:val="20"/>
          <w:szCs w:val="20"/>
          <w:color w:val="auto"/>
        </w:rPr>
      </w:pPr>
      <w:r>
        <w:rPr>
          <w:rFonts w:ascii="Arial" w:cs="Arial" w:eastAsia="Arial" w:hAnsi="Arial"/>
          <w:sz w:val="16"/>
          <w:szCs w:val="16"/>
          <w:color w:val="202E39"/>
        </w:rPr>
        <w:t>A quorum is present when at least a majority of the outstanding shares entitled to vote are represented at the annual meeting either in person or by proxy. Holders will be deemed present “in person” at the annual meeting by visiting www.virtualshareholdermeeting.com/VSAT2024 on the day of the annual meeting and properly registering their attendance by using the control number provided on your proxy card or voting instruction form provided by your bank or broker. This year, approximately 63,889,586 shares must be represented to constitute a quorum at the meeting and permit us to conduct our business.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What vote is required to approve each proposal?</w:t>
      </w:r>
    </w:p>
    <w:p>
      <w:pPr>
        <w:spacing w:after="0" w:line="108"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What will happen if I abstain from voting or fail to vote?</w:t>
      </w:r>
    </w:p>
    <w:p>
      <w:pPr>
        <w:spacing w:after="0" w:line="108" w:lineRule="exact"/>
        <w:rPr>
          <w:sz w:val="20"/>
          <w:szCs w:val="20"/>
          <w:color w:val="auto"/>
        </w:rPr>
      </w:pPr>
    </w:p>
    <w:p>
      <w:pPr>
        <w:ind w:left="260" w:right="640"/>
        <w:spacing w:after="0" w:line="269" w:lineRule="auto"/>
        <w:rPr>
          <w:sz w:val="20"/>
          <w:szCs w:val="20"/>
          <w:color w:val="auto"/>
        </w:rPr>
      </w:pPr>
      <w:r>
        <w:rPr>
          <w:rFonts w:ascii="Arial" w:cs="Arial" w:eastAsia="Arial" w:hAnsi="Arial"/>
          <w:sz w:val="16"/>
          <w:szCs w:val="16"/>
          <w:color w:val="202E39"/>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61" w:lineRule="exact"/>
        <w:rPr>
          <w:sz w:val="20"/>
          <w:szCs w:val="20"/>
          <w:color w:val="auto"/>
        </w:rPr>
      </w:pPr>
    </w:p>
    <w:p>
      <w:pPr>
        <w:ind w:left="260" w:right="120"/>
        <w:spacing w:after="0" w:line="243" w:lineRule="auto"/>
        <w:rPr>
          <w:sz w:val="20"/>
          <w:szCs w:val="20"/>
          <w:color w:val="auto"/>
        </w:rPr>
      </w:pPr>
      <w:r>
        <w:rPr>
          <w:rFonts w:ascii="Arial" w:cs="Arial" w:eastAsia="Arial" w:hAnsi="Arial"/>
          <w:sz w:val="16"/>
          <w:szCs w:val="16"/>
          <w:color w:val="202E39"/>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2025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85" w:lineRule="exact"/>
        <w:rPr>
          <w:sz w:val="20"/>
          <w:szCs w:val="20"/>
          <w:color w:val="auto"/>
        </w:rPr>
      </w:pPr>
    </w:p>
    <w:p>
      <w:pPr>
        <w:ind w:left="260" w:right="240"/>
        <w:spacing w:after="0" w:line="254" w:lineRule="auto"/>
        <w:rPr>
          <w:sz w:val="20"/>
          <w:szCs w:val="20"/>
          <w:color w:val="auto"/>
        </w:rPr>
      </w:pPr>
      <w:r>
        <w:rPr>
          <w:rFonts w:ascii="Arial" w:cs="Arial" w:eastAsia="Arial" w:hAnsi="Arial"/>
          <w:sz w:val="16"/>
          <w:szCs w:val="16"/>
          <w:color w:val="202E39"/>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Who is soliciting these proxies and who is paying the solicitation costs?</w:t>
      </w:r>
    </w:p>
    <w:p>
      <w:pPr>
        <w:spacing w:after="0" w:line="108" w:lineRule="exact"/>
        <w:rPr>
          <w:sz w:val="20"/>
          <w:szCs w:val="20"/>
          <w:color w:val="auto"/>
        </w:rPr>
      </w:pPr>
    </w:p>
    <w:p>
      <w:pPr>
        <w:ind w:left="260" w:right="120"/>
        <w:spacing w:after="0" w:line="247" w:lineRule="auto"/>
        <w:rPr>
          <w:sz w:val="20"/>
          <w:szCs w:val="20"/>
          <w:color w:val="auto"/>
        </w:rPr>
      </w:pPr>
      <w:r>
        <w:rPr>
          <w:rFonts w:ascii="Arial" w:cs="Arial" w:eastAsia="Arial" w:hAnsi="Arial"/>
          <w:sz w:val="16"/>
          <w:szCs w:val="16"/>
          <w:color w:val="202E39"/>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78" w:lineRule="exact"/>
        <w:rPr>
          <w:sz w:val="20"/>
          <w:szCs w:val="20"/>
          <w:color w:val="auto"/>
        </w:rPr>
      </w:pPr>
    </w:p>
    <w:p>
      <w:pPr>
        <w:ind w:left="260" w:right="100"/>
        <w:spacing w:after="0" w:line="254" w:lineRule="auto"/>
        <w:rPr>
          <w:sz w:val="20"/>
          <w:szCs w:val="20"/>
          <w:color w:val="auto"/>
        </w:rPr>
      </w:pPr>
      <w:r>
        <w:rPr>
          <w:rFonts w:ascii="Arial" w:cs="Arial" w:eastAsia="Arial" w:hAnsi="Arial"/>
          <w:sz w:val="16"/>
          <w:szCs w:val="16"/>
          <w:color w:val="202E39"/>
        </w:rPr>
        <w:t>We intend to file a proxy statement and WHITE proxy card with the SEC in connection with our solicitation of proxies for our 2025 Annual Meeting of Stockholders. Stockholders may obtain our proxy statement (and any amendments and supplements thereto) and other documents as and when filed by Viasat with the SEC without charge from the SEC’s website at: www.sec.gov.</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3</w:t>
      </w:r>
    </w:p>
    <w:p>
      <w:pPr>
        <w:sectPr>
          <w:pgSz w:w="11900" w:h="16838" w:orient="portrait"/>
          <w:cols w:equalWidth="0" w:num="1">
            <w:col w:w="10980"/>
          </w:cols>
          <w:pgMar w:left="320" w:top="474" w:right="5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About the Annual Meeting and Voting</w:t>
      </w:r>
    </w:p>
    <w:p>
      <w:pPr>
        <w:spacing w:after="0" w:line="127" w:lineRule="exact"/>
        <w:rPr>
          <w:sz w:val="20"/>
          <w:szCs w:val="20"/>
          <w:color w:val="auto"/>
        </w:rPr>
      </w:pPr>
    </w:p>
    <w:p>
      <w:pPr>
        <w:ind w:left="260" w:right="60"/>
        <w:spacing w:after="0" w:line="283" w:lineRule="auto"/>
        <w:rPr>
          <w:sz w:val="20"/>
          <w:szCs w:val="20"/>
          <w:color w:val="auto"/>
        </w:rPr>
      </w:pPr>
      <w:r>
        <w:rPr>
          <w:rFonts w:ascii="Arial" w:cs="Arial" w:eastAsia="Arial" w:hAnsi="Arial"/>
          <w:sz w:val="19"/>
          <w:szCs w:val="19"/>
          <w:b w:val="1"/>
          <w:bCs w:val="1"/>
          <w:color w:val="202E39"/>
        </w:rPr>
        <w:t>I share an address with another stockholder, but we received only one paper copy of the proxy materials. How may I obtain an additional copy of the proxy materials?</w:t>
      </w:r>
    </w:p>
    <w:p>
      <w:pPr>
        <w:spacing w:after="0" w:line="22" w:lineRule="exact"/>
        <w:rPr>
          <w:sz w:val="20"/>
          <w:szCs w:val="20"/>
          <w:color w:val="auto"/>
        </w:rPr>
      </w:pPr>
    </w:p>
    <w:p>
      <w:pPr>
        <w:ind w:left="260" w:right="80"/>
        <w:spacing w:after="0" w:line="242" w:lineRule="auto"/>
        <w:rPr>
          <w:sz w:val="20"/>
          <w:szCs w:val="20"/>
          <w:color w:val="auto"/>
        </w:rPr>
      </w:pPr>
      <w:r>
        <w:rPr>
          <w:rFonts w:ascii="Arial" w:cs="Arial" w:eastAsia="Arial" w:hAnsi="Arial"/>
          <w:sz w:val="16"/>
          <w:szCs w:val="16"/>
          <w:color w:val="202E39"/>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202E39"/>
        </w:rPr>
        <w:t>ir@viasat.com</w:t>
      </w:r>
      <w:r>
        <w:rPr>
          <w:rFonts w:ascii="Arial" w:cs="Arial" w:eastAsia="Arial" w:hAnsi="Arial"/>
          <w:sz w:val="16"/>
          <w:szCs w:val="16"/>
          <w:color w:val="202E39"/>
        </w:rPr>
        <w:t xml:space="preserve"> or by telephone at (760) 476-2633. We will promptly send additional copies of the annual report or proxy statement upon receipt of such request.</w:t>
      </w:r>
    </w:p>
    <w:p>
      <w:pPr>
        <w:spacing w:after="0" w:line="182" w:lineRule="exact"/>
        <w:rPr>
          <w:sz w:val="20"/>
          <w:szCs w:val="20"/>
          <w:color w:val="auto"/>
        </w:rPr>
      </w:pPr>
    </w:p>
    <w:p>
      <w:pPr>
        <w:ind w:left="260" w:right="400"/>
        <w:spacing w:after="0" w:line="283" w:lineRule="auto"/>
        <w:rPr>
          <w:sz w:val="20"/>
          <w:szCs w:val="20"/>
          <w:color w:val="auto"/>
        </w:rPr>
      </w:pPr>
      <w:r>
        <w:rPr>
          <w:rFonts w:ascii="Arial" w:cs="Arial" w:eastAsia="Arial" w:hAnsi="Arial"/>
          <w:sz w:val="19"/>
          <w:szCs w:val="19"/>
          <w:b w:val="1"/>
          <w:bCs w:val="1"/>
          <w:color w:val="202E39"/>
        </w:rPr>
        <w:t>Important notice regarding the availability of proxy materials for the Viasat annual meeting of stockholders to be held on September 5, 2024</w:t>
      </w:r>
    </w:p>
    <w:p>
      <w:pPr>
        <w:spacing w:after="0" w:line="22"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color w:val="202E39"/>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202E39"/>
        </w:rPr>
        <w:t>This proxy statement and our</w:t>
      </w:r>
      <w:r>
        <w:rPr>
          <w:rFonts w:ascii="Arial" w:cs="Arial" w:eastAsia="Arial" w:hAnsi="Arial"/>
          <w:sz w:val="16"/>
          <w:szCs w:val="16"/>
          <w:color w:val="202E39"/>
        </w:rPr>
        <w:t xml:space="preserve"> </w:t>
      </w:r>
      <w:r>
        <w:rPr>
          <w:rFonts w:ascii="Arial" w:cs="Arial" w:eastAsia="Arial" w:hAnsi="Arial"/>
          <w:sz w:val="16"/>
          <w:szCs w:val="16"/>
          <w:b w:val="1"/>
          <w:bCs w:val="1"/>
          <w:color w:val="202E39"/>
        </w:rPr>
        <w:t xml:space="preserve">annual report to stockholders are available on the Investor Relations section of our website at </w:t>
      </w:r>
      <w:r>
        <w:rPr>
          <w:rFonts w:ascii="Arial" w:cs="Arial" w:eastAsia="Arial" w:hAnsi="Arial"/>
          <w:sz w:val="16"/>
          <w:szCs w:val="16"/>
          <w:b w:val="1"/>
          <w:bCs w:val="1"/>
          <w:i w:val="1"/>
          <w:iCs w:val="1"/>
          <w:color w:val="202E39"/>
        </w:rPr>
        <w:t>investors.viasat.com</w:t>
      </w:r>
      <w:r>
        <w:rPr>
          <w:rFonts w:ascii="Arial" w:cs="Arial" w:eastAsia="Arial" w:hAnsi="Arial"/>
          <w:sz w:val="16"/>
          <w:szCs w:val="16"/>
          <w:b w:val="1"/>
          <w:bCs w:val="1"/>
          <w:color w:val="202E39"/>
        </w:rPr>
        <w:t xml:space="preserve"> . </w:t>
      </w:r>
      <w:r>
        <w:rPr>
          <w:rFonts w:ascii="Arial" w:cs="Arial" w:eastAsia="Arial" w:hAnsi="Arial"/>
          <w:sz w:val="16"/>
          <w:szCs w:val="16"/>
          <w:color w:val="202E39"/>
        </w:rPr>
        <w:t>If you are a stockholder of</w:t>
      </w:r>
      <w:r>
        <w:rPr>
          <w:rFonts w:ascii="Arial" w:cs="Arial" w:eastAsia="Arial" w:hAnsi="Arial"/>
          <w:sz w:val="16"/>
          <w:szCs w:val="16"/>
          <w:b w:val="1"/>
          <w:bCs w:val="1"/>
          <w:color w:val="202E39"/>
        </w:rPr>
        <w:t xml:space="preserve"> </w:t>
      </w:r>
      <w:r>
        <w:rPr>
          <w:rFonts w:ascii="Arial" w:cs="Arial" w:eastAsia="Arial" w:hAnsi="Arial"/>
          <w:sz w:val="16"/>
          <w:szCs w:val="16"/>
          <w:color w:val="202E39"/>
        </w:rPr>
        <w:t>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83820</wp:posOffset>
            </wp:positionV>
            <wp:extent cx="425450" cy="150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4       </w:t>
      </w:r>
    </w:p>
    <w:p>
      <w:pPr>
        <w:sectPr>
          <w:pgSz w:w="11900" w:h="16838" w:orient="portrait"/>
          <w:cols w:equalWidth="0" w:num="1">
            <w:col w:w="10940"/>
          </w:cols>
          <w:pgMar w:left="320" w:top="474"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PROXY STATEMENT SUMMARY</w:t>
      </w:r>
    </w:p>
    <w:p>
      <w:pPr>
        <w:spacing w:after="0" w:line="239" w:lineRule="exact"/>
        <w:rPr>
          <w:sz w:val="20"/>
          <w:szCs w:val="20"/>
          <w:color w:val="auto"/>
        </w:rPr>
      </w:pPr>
    </w:p>
    <w:p>
      <w:pPr>
        <w:ind w:left="260" w:right="100"/>
        <w:spacing w:after="0" w:line="269" w:lineRule="auto"/>
        <w:rPr>
          <w:sz w:val="20"/>
          <w:szCs w:val="20"/>
          <w:color w:val="auto"/>
        </w:rPr>
      </w:pPr>
      <w:r>
        <w:rPr>
          <w:rFonts w:ascii="Arial" w:cs="Arial" w:eastAsia="Arial" w:hAnsi="Arial"/>
          <w:sz w:val="16"/>
          <w:szCs w:val="16"/>
          <w:color w:val="202E39"/>
        </w:rPr>
        <w:t>This summary highlights information contained elsewhere in this proxy statement. This summary does not contain all the relevant information you should consider. Please read the entire proxy statement before voting.</w:t>
      </w:r>
    </w:p>
    <w:p>
      <w:pPr>
        <w:sectPr>
          <w:pgSz w:w="11900" w:h="16838" w:orient="portrait"/>
          <w:cols w:equalWidth="0" w:num="1">
            <w:col w:w="10980"/>
          </w:cols>
          <w:pgMar w:left="320" w:top="474" w:right="599" w:bottom="1440" w:gutter="0" w:footer="0" w:header="0"/>
        </w:sect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009FE3"/>
        </w:rPr>
        <w:t>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44450</wp:posOffset>
            </wp:positionV>
            <wp:extent cx="326326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63265" cy="16510"/>
                    </a:xfrm>
                    <a:prstGeom prst="rect">
                      <a:avLst/>
                    </a:prstGeom>
                    <a:noFill/>
                  </pic:spPr>
                </pic:pic>
              </a:graphicData>
            </a:graphic>
          </wp:anchor>
        </w:drawing>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 xml:space="preserve">Meeting: </w:t>
      </w:r>
      <w:r>
        <w:rPr>
          <w:rFonts w:ascii="Arial" w:cs="Arial" w:eastAsia="Arial" w:hAnsi="Arial"/>
          <w:sz w:val="16"/>
          <w:szCs w:val="16"/>
          <w:color w:val="202E39"/>
        </w:rPr>
        <w:t>Annual Meeting of Stockholders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 xml:space="preserve">Date: </w:t>
      </w:r>
      <w:r>
        <w:rPr>
          <w:rFonts w:ascii="Arial" w:cs="Arial" w:eastAsia="Arial" w:hAnsi="Arial"/>
          <w:sz w:val="16"/>
          <w:szCs w:val="16"/>
          <w:color w:val="202E39"/>
        </w:rPr>
        <w:t>Thursday, September 5, 2024</w:t>
      </w:r>
    </w:p>
    <w:p>
      <w:pPr>
        <w:ind w:left="260"/>
        <w:spacing w:after="0"/>
        <w:rPr>
          <w:sz w:val="20"/>
          <w:szCs w:val="20"/>
          <w:color w:val="auto"/>
        </w:rPr>
      </w:pPr>
      <w:r>
        <w:rPr>
          <w:rFonts w:ascii="Arial" w:cs="Arial" w:eastAsia="Arial" w:hAnsi="Arial"/>
          <w:sz w:val="16"/>
          <w:szCs w:val="16"/>
          <w:b w:val="1"/>
          <w:bCs w:val="1"/>
          <w:color w:val="202E39"/>
        </w:rPr>
        <w:t xml:space="preserve">Time: </w:t>
      </w:r>
      <w:r>
        <w:rPr>
          <w:rFonts w:ascii="Arial" w:cs="Arial" w:eastAsia="Arial" w:hAnsi="Arial"/>
          <w:sz w:val="16"/>
          <w:szCs w:val="16"/>
          <w:color w:val="202E39"/>
        </w:rPr>
        <w:t>8:30 a.m. Pacific Time</w:t>
      </w:r>
    </w:p>
    <w:p>
      <w:pPr>
        <w:ind w:left="620" w:right="1240" w:hanging="349"/>
        <w:spacing w:after="0" w:line="256" w:lineRule="auto"/>
        <w:rPr>
          <w:sz w:val="20"/>
          <w:szCs w:val="20"/>
          <w:color w:val="auto"/>
        </w:rPr>
      </w:pPr>
      <w:r>
        <w:rPr>
          <w:rFonts w:ascii="Arial" w:cs="Arial" w:eastAsia="Arial" w:hAnsi="Arial"/>
          <w:sz w:val="15"/>
          <w:szCs w:val="15"/>
          <w:b w:val="1"/>
          <w:bCs w:val="1"/>
          <w:color w:val="202E39"/>
        </w:rPr>
        <w:t xml:space="preserve">Location: </w:t>
      </w:r>
      <w:r>
        <w:rPr>
          <w:rFonts w:ascii="Arial" w:cs="Arial" w:eastAsia="Arial" w:hAnsi="Arial"/>
          <w:sz w:val="15"/>
          <w:szCs w:val="15"/>
          <w:color w:val="202E39"/>
        </w:rPr>
        <w:t>Virtual meeting only, accessible at</w:t>
      </w:r>
      <w:r>
        <w:rPr>
          <w:rFonts w:ascii="Arial" w:cs="Arial" w:eastAsia="Arial" w:hAnsi="Arial"/>
          <w:sz w:val="15"/>
          <w:szCs w:val="15"/>
          <w:b w:val="1"/>
          <w:bCs w:val="1"/>
          <w:color w:val="202E39"/>
        </w:rPr>
        <w:t xml:space="preserve"> </w:t>
      </w:r>
      <w:r>
        <w:rPr>
          <w:rFonts w:ascii="Arial" w:cs="Arial" w:eastAsia="Arial" w:hAnsi="Arial"/>
          <w:sz w:val="15"/>
          <w:szCs w:val="15"/>
          <w:color w:val="009FE3"/>
        </w:rPr>
        <w:t>www.virtualshareholdermeeting.com/VSAT2024</w:t>
      </w:r>
    </w:p>
    <w:p>
      <w:pPr>
        <w:ind w:left="260"/>
        <w:spacing w:after="0"/>
        <w:rPr>
          <w:sz w:val="20"/>
          <w:szCs w:val="20"/>
          <w:color w:val="auto"/>
        </w:rPr>
      </w:pPr>
      <w:r>
        <w:rPr>
          <w:rFonts w:ascii="Arial" w:cs="Arial" w:eastAsia="Arial" w:hAnsi="Arial"/>
          <w:sz w:val="16"/>
          <w:szCs w:val="16"/>
          <w:b w:val="1"/>
          <w:bCs w:val="1"/>
          <w:color w:val="202E39"/>
        </w:rPr>
        <w:t xml:space="preserve">Record Date: </w:t>
      </w:r>
      <w:r>
        <w:rPr>
          <w:rFonts w:ascii="Arial" w:cs="Arial" w:eastAsia="Arial" w:hAnsi="Arial"/>
          <w:sz w:val="16"/>
          <w:szCs w:val="16"/>
          <w:color w:val="202E39"/>
        </w:rPr>
        <w:t>July 8, 2024</w:t>
      </w:r>
    </w:p>
    <w:p>
      <w:pPr>
        <w:ind w:left="260"/>
        <w:spacing w:after="0"/>
        <w:rPr>
          <w:sz w:val="20"/>
          <w:szCs w:val="20"/>
          <w:color w:val="auto"/>
        </w:rPr>
      </w:pPr>
      <w:r>
        <w:rPr>
          <w:rFonts w:ascii="Arial" w:cs="Arial" w:eastAsia="Arial" w:hAnsi="Arial"/>
          <w:sz w:val="16"/>
          <w:szCs w:val="16"/>
          <w:b w:val="1"/>
          <w:bCs w:val="1"/>
          <w:color w:val="202E39"/>
        </w:rPr>
        <w:t xml:space="preserve">Stock Symbol: </w:t>
      </w:r>
      <w:r>
        <w:rPr>
          <w:rFonts w:ascii="Arial" w:cs="Arial" w:eastAsia="Arial" w:hAnsi="Arial"/>
          <w:sz w:val="16"/>
          <w:szCs w:val="16"/>
          <w:color w:val="202E39"/>
        </w:rPr>
        <w:t>VSAT</w:t>
      </w:r>
    </w:p>
    <w:p>
      <w:pPr>
        <w:ind w:left="260"/>
        <w:spacing w:after="0"/>
        <w:rPr>
          <w:sz w:val="20"/>
          <w:szCs w:val="20"/>
          <w:color w:val="auto"/>
        </w:rPr>
      </w:pPr>
      <w:r>
        <w:rPr>
          <w:rFonts w:ascii="Arial" w:cs="Arial" w:eastAsia="Arial" w:hAnsi="Arial"/>
          <w:sz w:val="16"/>
          <w:szCs w:val="16"/>
          <w:b w:val="1"/>
          <w:bCs w:val="1"/>
          <w:color w:val="202E39"/>
        </w:rPr>
        <w:t xml:space="preserve">Exchange: </w:t>
      </w:r>
      <w:r>
        <w:rPr>
          <w:rFonts w:ascii="Arial" w:cs="Arial" w:eastAsia="Arial" w:hAnsi="Arial"/>
          <w:sz w:val="16"/>
          <w:szCs w:val="16"/>
          <w:color w:val="202E39"/>
        </w:rPr>
        <w:t>The Nasdaq Global Select Market</w:t>
      </w:r>
    </w:p>
    <w:p>
      <w:pPr>
        <w:ind w:left="260"/>
        <w:spacing w:after="0"/>
        <w:rPr>
          <w:sz w:val="20"/>
          <w:szCs w:val="20"/>
          <w:color w:val="auto"/>
        </w:rPr>
      </w:pPr>
      <w:r>
        <w:rPr>
          <w:rFonts w:ascii="Arial" w:cs="Arial" w:eastAsia="Arial" w:hAnsi="Arial"/>
          <w:sz w:val="16"/>
          <w:szCs w:val="16"/>
          <w:b w:val="1"/>
          <w:bCs w:val="1"/>
          <w:color w:val="202E39"/>
        </w:rPr>
        <w:t xml:space="preserve">Common Stock Outstanding: </w:t>
      </w:r>
      <w:r>
        <w:rPr>
          <w:rFonts w:ascii="Arial" w:cs="Arial" w:eastAsia="Arial" w:hAnsi="Arial"/>
          <w:sz w:val="16"/>
          <w:szCs w:val="16"/>
          <w:color w:val="202E39"/>
        </w:rPr>
        <w:t>127,779,170 shares on July 8, 2024</w:t>
      </w:r>
    </w:p>
    <w:p>
      <w:pPr>
        <w:ind w:left="260"/>
        <w:spacing w:after="0"/>
        <w:rPr>
          <w:sz w:val="20"/>
          <w:szCs w:val="20"/>
          <w:color w:val="auto"/>
        </w:rPr>
      </w:pPr>
      <w:r>
        <w:rPr>
          <w:rFonts w:ascii="Arial" w:cs="Arial" w:eastAsia="Arial" w:hAnsi="Arial"/>
          <w:sz w:val="16"/>
          <w:szCs w:val="16"/>
          <w:b w:val="1"/>
          <w:bCs w:val="1"/>
          <w:color w:val="202E39"/>
        </w:rPr>
        <w:t xml:space="preserve">Registrar &amp; Transfer Agent: </w:t>
      </w:r>
      <w:r>
        <w:rPr>
          <w:rFonts w:ascii="Arial" w:cs="Arial" w:eastAsia="Arial" w:hAnsi="Arial"/>
          <w:sz w:val="16"/>
          <w:szCs w:val="16"/>
          <w:color w:val="202E39"/>
        </w:rPr>
        <w:t>Computershare</w:t>
      </w:r>
    </w:p>
    <w:p>
      <w:pPr>
        <w:ind w:left="260"/>
        <w:spacing w:after="0"/>
        <w:rPr>
          <w:sz w:val="20"/>
          <w:szCs w:val="20"/>
          <w:color w:val="auto"/>
        </w:rPr>
      </w:pPr>
      <w:r>
        <w:rPr>
          <w:rFonts w:ascii="Arial" w:cs="Arial" w:eastAsia="Arial" w:hAnsi="Arial"/>
          <w:sz w:val="16"/>
          <w:szCs w:val="16"/>
          <w:b w:val="1"/>
          <w:bCs w:val="1"/>
          <w:color w:val="202E39"/>
        </w:rPr>
        <w:t xml:space="preserve">State of Incorporation: </w:t>
      </w:r>
      <w:r>
        <w:rPr>
          <w:rFonts w:ascii="Arial" w:cs="Arial" w:eastAsia="Arial" w:hAnsi="Arial"/>
          <w:sz w:val="16"/>
          <w:szCs w:val="16"/>
          <w:color w:val="202E39"/>
        </w:rPr>
        <w:t>Delaware</w:t>
      </w:r>
    </w:p>
    <w:p>
      <w:pPr>
        <w:ind w:left="260"/>
        <w:spacing w:after="0"/>
        <w:rPr>
          <w:sz w:val="20"/>
          <w:szCs w:val="20"/>
          <w:color w:val="auto"/>
        </w:rPr>
      </w:pPr>
      <w:r>
        <w:rPr>
          <w:rFonts w:ascii="Arial" w:cs="Arial" w:eastAsia="Arial" w:hAnsi="Arial"/>
          <w:sz w:val="16"/>
          <w:szCs w:val="16"/>
          <w:b w:val="1"/>
          <w:bCs w:val="1"/>
          <w:color w:val="202E39"/>
        </w:rPr>
        <w:t xml:space="preserve">Public Company Since: </w:t>
      </w:r>
      <w:r>
        <w:rPr>
          <w:rFonts w:ascii="Arial" w:cs="Arial" w:eastAsia="Arial" w:hAnsi="Arial"/>
          <w:sz w:val="16"/>
          <w:szCs w:val="16"/>
          <w:color w:val="202E39"/>
        </w:rPr>
        <w:t>1996</w:t>
      </w:r>
    </w:p>
    <w:p>
      <w:pPr>
        <w:ind w:left="260"/>
        <w:spacing w:after="0"/>
        <w:rPr>
          <w:sz w:val="20"/>
          <w:szCs w:val="20"/>
          <w:color w:val="auto"/>
        </w:rPr>
      </w:pPr>
      <w:r>
        <w:rPr>
          <w:rFonts w:ascii="Arial" w:cs="Arial" w:eastAsia="Arial" w:hAnsi="Arial"/>
          <w:sz w:val="15"/>
          <w:szCs w:val="15"/>
          <w:b w:val="1"/>
          <w:bCs w:val="1"/>
          <w:color w:val="202E39"/>
        </w:rPr>
        <w:t xml:space="preserve">Corporate Headquarters: </w:t>
      </w:r>
      <w:r>
        <w:rPr>
          <w:rFonts w:ascii="Arial" w:cs="Arial" w:eastAsia="Arial" w:hAnsi="Arial"/>
          <w:sz w:val="15"/>
          <w:szCs w:val="15"/>
          <w:color w:val="202E39"/>
        </w:rPr>
        <w:t>6155 El Camino Real, Carlsbad, CA 92009</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 xml:space="preserve">Corporate Website: </w:t>
      </w:r>
      <w:r>
        <w:rPr>
          <w:rFonts w:ascii="Arial" w:cs="Arial" w:eastAsia="Arial" w:hAnsi="Arial"/>
          <w:sz w:val="16"/>
          <w:szCs w:val="16"/>
          <w:color w:val="202E39"/>
        </w:rPr>
        <w:t>www.viasat.com</w:t>
      </w:r>
    </w:p>
    <w:p>
      <w:pPr>
        <w:ind w:left="260"/>
        <w:spacing w:after="0"/>
        <w:rPr>
          <w:sz w:val="20"/>
          <w:szCs w:val="20"/>
          <w:color w:val="auto"/>
        </w:rPr>
      </w:pPr>
      <w:r>
        <w:rPr>
          <w:rFonts w:ascii="Arial" w:cs="Arial" w:eastAsia="Arial" w:hAnsi="Arial"/>
          <w:sz w:val="16"/>
          <w:szCs w:val="16"/>
          <w:b w:val="1"/>
          <w:bCs w:val="1"/>
          <w:color w:val="202E39"/>
        </w:rPr>
        <w:t xml:space="preserve">Investor Relations Website: </w:t>
      </w:r>
      <w:r>
        <w:rPr>
          <w:rFonts w:ascii="Arial" w:cs="Arial" w:eastAsia="Arial" w:hAnsi="Arial"/>
          <w:sz w:val="16"/>
          <w:szCs w:val="16"/>
          <w:color w:val="202E39"/>
        </w:rPr>
        <w:t>investors.viasat.com</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009FE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332994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9940" cy="1651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02E39"/>
        </w:rPr>
        <w:t xml:space="preserve">Lead Independent Director: </w:t>
      </w:r>
      <w:r>
        <w:rPr>
          <w:rFonts w:ascii="Arial" w:cs="Arial" w:eastAsia="Arial" w:hAnsi="Arial"/>
          <w:sz w:val="16"/>
          <w:szCs w:val="16"/>
          <w:color w:val="202E39"/>
        </w:rPr>
        <w:t>Yes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02E39"/>
        </w:rPr>
        <w:t xml:space="preserve">Director Nominees: </w:t>
      </w:r>
      <w:r>
        <w:rPr>
          <w:rFonts w:ascii="Arial" w:cs="Arial" w:eastAsia="Arial" w:hAnsi="Arial"/>
          <w:sz w:val="16"/>
          <w:szCs w:val="16"/>
          <w:color w:val="202E39"/>
        </w:rPr>
        <w:t>3</w:t>
      </w:r>
    </w:p>
    <w:p>
      <w:pPr>
        <w:spacing w:after="0" w:line="52" w:lineRule="exact"/>
        <w:rPr>
          <w:sz w:val="20"/>
          <w:szCs w:val="20"/>
          <w:color w:val="auto"/>
        </w:rPr>
      </w:pPr>
    </w:p>
    <w:p>
      <w:pPr>
        <w:ind w:left="380" w:hanging="179"/>
        <w:spacing w:after="0"/>
        <w:tabs>
          <w:tab w:leader="none" w:pos="380" w:val="left"/>
        </w:tabs>
        <w:numPr>
          <w:ilvl w:val="0"/>
          <w:numId w:val="10"/>
        </w:numPr>
        <w:rPr>
          <w:rFonts w:ascii="Arial" w:cs="Arial" w:eastAsia="Arial" w:hAnsi="Arial"/>
          <w:sz w:val="16"/>
          <w:szCs w:val="16"/>
          <w:color w:val="009FE3"/>
        </w:rPr>
      </w:pPr>
      <w:r>
        <w:rPr>
          <w:rFonts w:ascii="Arial" w:cs="Arial" w:eastAsia="Arial" w:hAnsi="Arial"/>
          <w:sz w:val="16"/>
          <w:szCs w:val="16"/>
          <w:color w:val="202E39"/>
        </w:rPr>
        <w:t>John Stenbit (Independent)</w:t>
      </w:r>
    </w:p>
    <w:p>
      <w:pPr>
        <w:spacing w:after="0" w:line="65" w:lineRule="exact"/>
        <w:rPr>
          <w:rFonts w:ascii="Arial" w:cs="Arial" w:eastAsia="Arial" w:hAnsi="Arial"/>
          <w:sz w:val="16"/>
          <w:szCs w:val="16"/>
          <w:color w:val="009FE3"/>
        </w:rPr>
      </w:pPr>
    </w:p>
    <w:p>
      <w:pPr>
        <w:ind w:left="380" w:hanging="179"/>
        <w:spacing w:after="0"/>
        <w:tabs>
          <w:tab w:leader="none" w:pos="380" w:val="left"/>
        </w:tabs>
        <w:numPr>
          <w:ilvl w:val="0"/>
          <w:numId w:val="10"/>
        </w:numPr>
        <w:rPr>
          <w:rFonts w:ascii="Arial" w:cs="Arial" w:eastAsia="Arial" w:hAnsi="Arial"/>
          <w:sz w:val="16"/>
          <w:szCs w:val="16"/>
          <w:color w:val="009FE3"/>
        </w:rPr>
      </w:pPr>
      <w:r>
        <w:rPr>
          <w:rFonts w:ascii="Arial" w:cs="Arial" w:eastAsia="Arial" w:hAnsi="Arial"/>
          <w:sz w:val="16"/>
          <w:szCs w:val="16"/>
          <w:color w:val="202E39"/>
        </w:rPr>
        <w:t>Andrew Sukawaty (Independent)</w:t>
      </w:r>
    </w:p>
    <w:p>
      <w:pPr>
        <w:spacing w:after="0" w:line="65" w:lineRule="exact"/>
        <w:rPr>
          <w:rFonts w:ascii="Arial" w:cs="Arial" w:eastAsia="Arial" w:hAnsi="Arial"/>
          <w:sz w:val="16"/>
          <w:szCs w:val="16"/>
          <w:color w:val="009FE3"/>
        </w:rPr>
      </w:pPr>
    </w:p>
    <w:p>
      <w:pPr>
        <w:ind w:left="380" w:hanging="179"/>
        <w:spacing w:after="0"/>
        <w:tabs>
          <w:tab w:leader="none" w:pos="380" w:val="left"/>
        </w:tabs>
        <w:numPr>
          <w:ilvl w:val="0"/>
          <w:numId w:val="10"/>
        </w:numPr>
        <w:rPr>
          <w:rFonts w:ascii="Arial" w:cs="Arial" w:eastAsia="Arial" w:hAnsi="Arial"/>
          <w:sz w:val="16"/>
          <w:szCs w:val="16"/>
          <w:color w:val="009FE3"/>
        </w:rPr>
      </w:pPr>
      <w:r>
        <w:rPr>
          <w:rFonts w:ascii="Arial" w:cs="Arial" w:eastAsia="Arial" w:hAnsi="Arial"/>
          <w:sz w:val="16"/>
          <w:szCs w:val="16"/>
          <w:color w:val="202E39"/>
        </w:rPr>
        <w:t>Theresa Wise (Independent)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202E39"/>
        </w:rPr>
        <w:t xml:space="preserve">Board Meetings in Fiscal Year 2024: </w:t>
      </w:r>
      <w:r>
        <w:rPr>
          <w:rFonts w:ascii="Arial" w:cs="Arial" w:eastAsia="Arial" w:hAnsi="Arial"/>
          <w:sz w:val="16"/>
          <w:szCs w:val="16"/>
          <w:color w:val="202E39"/>
        </w:rPr>
        <w:t>13</w:t>
      </w:r>
    </w:p>
    <w:p>
      <w:pPr>
        <w:spacing w:after="0" w:line="16" w:lineRule="exact"/>
        <w:rPr>
          <w:sz w:val="20"/>
          <w:szCs w:val="20"/>
          <w:color w:val="auto"/>
        </w:rPr>
      </w:pPr>
    </w:p>
    <w:p>
      <w:pPr>
        <w:ind w:left="140" w:right="700" w:hanging="157"/>
        <w:spacing w:after="0"/>
        <w:rPr>
          <w:sz w:val="20"/>
          <w:szCs w:val="20"/>
          <w:color w:val="auto"/>
        </w:rPr>
      </w:pPr>
      <w:r>
        <w:rPr>
          <w:rFonts w:ascii="Arial" w:cs="Arial" w:eastAsia="Arial" w:hAnsi="Arial"/>
          <w:sz w:val="16"/>
          <w:szCs w:val="16"/>
          <w:b w:val="1"/>
          <w:bCs w:val="1"/>
          <w:color w:val="202E39"/>
        </w:rPr>
        <w:t>All Directors Attended at Least 75% of Board and Committee Meetings: No</w:t>
      </w:r>
    </w:p>
    <w:p>
      <w:pPr>
        <w:spacing w:after="0"/>
        <w:rPr>
          <w:sz w:val="20"/>
          <w:szCs w:val="20"/>
          <w:color w:val="auto"/>
        </w:rPr>
      </w:pPr>
      <w:r>
        <w:rPr>
          <w:rFonts w:ascii="Arial" w:cs="Arial" w:eastAsia="Arial" w:hAnsi="Arial"/>
          <w:sz w:val="16"/>
          <w:szCs w:val="16"/>
          <w:b w:val="1"/>
          <w:bCs w:val="1"/>
          <w:color w:val="202E39"/>
        </w:rPr>
        <w:t>Standing Board Committees (Fiscal Year 2024 Meetings):</w:t>
      </w:r>
    </w:p>
    <w:p>
      <w:pPr>
        <w:spacing w:after="0" w:line="52" w:lineRule="exact"/>
        <w:rPr>
          <w:sz w:val="20"/>
          <w:szCs w:val="20"/>
          <w:color w:val="auto"/>
        </w:rPr>
      </w:pPr>
    </w:p>
    <w:p>
      <w:pPr>
        <w:ind w:left="380" w:hanging="179"/>
        <w:spacing w:after="0"/>
        <w:tabs>
          <w:tab w:leader="none" w:pos="38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Audit: 5</w:t>
      </w:r>
    </w:p>
    <w:p>
      <w:pPr>
        <w:spacing w:after="0" w:line="65" w:lineRule="exact"/>
        <w:rPr>
          <w:rFonts w:ascii="Arial" w:cs="Arial" w:eastAsia="Arial" w:hAnsi="Arial"/>
          <w:sz w:val="16"/>
          <w:szCs w:val="16"/>
          <w:color w:val="009FE3"/>
        </w:rPr>
      </w:pPr>
    </w:p>
    <w:p>
      <w:pPr>
        <w:ind w:left="380" w:hanging="179"/>
        <w:spacing w:after="0"/>
        <w:tabs>
          <w:tab w:leader="none" w:pos="38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Compensation and Human Resources: 7</w:t>
      </w:r>
    </w:p>
    <w:p>
      <w:pPr>
        <w:spacing w:after="0" w:line="65" w:lineRule="exact"/>
        <w:rPr>
          <w:rFonts w:ascii="Arial" w:cs="Arial" w:eastAsia="Arial" w:hAnsi="Arial"/>
          <w:sz w:val="16"/>
          <w:szCs w:val="16"/>
          <w:color w:val="009FE3"/>
        </w:rPr>
      </w:pPr>
    </w:p>
    <w:p>
      <w:pPr>
        <w:ind w:left="380" w:hanging="179"/>
        <w:spacing w:after="0"/>
        <w:tabs>
          <w:tab w:leader="none" w:pos="38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Nomination, Evaluation and Corporate Governance: 3</w:t>
      </w:r>
    </w:p>
    <w:p>
      <w:pPr>
        <w:spacing w:after="0" w:line="65" w:lineRule="exact"/>
        <w:rPr>
          <w:rFonts w:ascii="Arial" w:cs="Arial" w:eastAsia="Arial" w:hAnsi="Arial"/>
          <w:sz w:val="16"/>
          <w:szCs w:val="16"/>
          <w:color w:val="009FE3"/>
        </w:rPr>
      </w:pPr>
    </w:p>
    <w:p>
      <w:pPr>
        <w:ind w:left="380" w:hanging="179"/>
        <w:spacing w:after="0"/>
        <w:tabs>
          <w:tab w:leader="none" w:pos="38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Banking and Finance: 1</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202E39"/>
        </w:rPr>
        <w:t xml:space="preserve">Stockholder Rights Plan: </w:t>
      </w:r>
      <w:r>
        <w:rPr>
          <w:rFonts w:ascii="Arial" w:cs="Arial" w:eastAsia="Arial" w:hAnsi="Arial"/>
          <w:sz w:val="16"/>
          <w:szCs w:val="16"/>
          <w:color w:val="202E39"/>
        </w:rPr>
        <w:t>No</w:t>
      </w:r>
    </w:p>
    <w:p>
      <w:pPr>
        <w:spacing w:after="0" w:line="200" w:lineRule="exact"/>
        <w:rPr>
          <w:sz w:val="20"/>
          <w:szCs w:val="20"/>
          <w:color w:val="auto"/>
        </w:rPr>
      </w:pPr>
    </w:p>
    <w:p>
      <w:pPr>
        <w:sectPr>
          <w:pgSz w:w="11900" w:h="16838" w:orient="portrait"/>
          <w:cols w:equalWidth="0" w:num="2">
            <w:col w:w="5180" w:space="560"/>
            <w:col w:w="5240"/>
          </w:cols>
          <w:pgMar w:left="320" w:top="474" w:right="599" w:bottom="1440" w:gutter="0" w:footer="0" w:header="0"/>
          <w:type w:val="continuous"/>
        </w:sectPr>
      </w:pPr>
    </w:p>
    <w:p>
      <w:pPr>
        <w:spacing w:after="0" w:line="339"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009FE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44450</wp:posOffset>
            </wp:positionV>
            <wp:extent cx="326326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63265" cy="16510"/>
                    </a:xfrm>
                    <a:prstGeom prst="rect">
                      <a:avLst/>
                    </a:prstGeom>
                    <a:noFill/>
                  </pic:spPr>
                </pic:pic>
              </a:graphicData>
            </a:graphic>
          </wp:anchor>
        </w:drawing>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 xml:space="preserve">CEO: </w:t>
      </w:r>
      <w:r>
        <w:rPr>
          <w:rFonts w:ascii="Arial" w:cs="Arial" w:eastAsia="Arial" w:hAnsi="Arial"/>
          <w:sz w:val="16"/>
          <w:szCs w:val="16"/>
          <w:color w:val="202E39"/>
        </w:rPr>
        <w:t>Mark Dankberg (age 69)</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Fiscal Year 2024 Summary Compensation:</w:t>
      </w:r>
    </w:p>
    <w:p>
      <w:pPr>
        <w:spacing w:after="0" w:line="52" w:lineRule="exact"/>
        <w:rPr>
          <w:sz w:val="20"/>
          <w:szCs w:val="20"/>
          <w:color w:val="auto"/>
        </w:rPr>
      </w:pPr>
    </w:p>
    <w:p>
      <w:pPr>
        <w:ind w:left="660" w:hanging="188"/>
        <w:spacing w:after="0" w:line="269"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color w:val="202E39"/>
        </w:rPr>
        <w:t>Total Compensation: $8,960,679 (see full discussion in Executive Compensation section on p. 33)</w:t>
      </w:r>
    </w:p>
    <w:p>
      <w:pPr>
        <w:spacing w:after="0" w:line="21" w:lineRule="exact"/>
        <w:rPr>
          <w:rFonts w:ascii="Arial" w:cs="Arial" w:eastAsia="Arial" w:hAnsi="Arial"/>
          <w:sz w:val="16"/>
          <w:szCs w:val="16"/>
          <w:color w:val="009FE3"/>
        </w:rPr>
      </w:pPr>
    </w:p>
    <w:p>
      <w:pPr>
        <w:ind w:left="900" w:hanging="244"/>
        <w:spacing w:after="0"/>
        <w:tabs>
          <w:tab w:leader="none" w:pos="900" w:val="left"/>
        </w:tabs>
        <w:numPr>
          <w:ilvl w:val="1"/>
          <w:numId w:val="12"/>
        </w:numPr>
        <w:rPr>
          <w:rFonts w:ascii="Arial" w:cs="Arial" w:eastAsia="Arial" w:hAnsi="Arial"/>
          <w:sz w:val="16"/>
          <w:szCs w:val="16"/>
          <w:color w:val="202E39"/>
        </w:rPr>
      </w:pPr>
      <w:r>
        <w:rPr>
          <w:rFonts w:ascii="Arial" w:cs="Arial" w:eastAsia="Arial" w:hAnsi="Arial"/>
          <w:sz w:val="16"/>
          <w:szCs w:val="16"/>
          <w:color w:val="202E39"/>
        </w:rPr>
        <w:t>Salary: $1,365,000</w:t>
      </w:r>
    </w:p>
    <w:p>
      <w:pPr>
        <w:spacing w:after="0" w:line="65" w:lineRule="exact"/>
        <w:rPr>
          <w:rFonts w:ascii="Arial" w:cs="Arial" w:eastAsia="Arial" w:hAnsi="Arial"/>
          <w:sz w:val="16"/>
          <w:szCs w:val="16"/>
          <w:color w:val="202E39"/>
        </w:rPr>
      </w:pPr>
    </w:p>
    <w:p>
      <w:pPr>
        <w:ind w:left="900" w:hanging="244"/>
        <w:spacing w:after="0"/>
        <w:tabs>
          <w:tab w:leader="none" w:pos="900" w:val="left"/>
        </w:tabs>
        <w:numPr>
          <w:ilvl w:val="1"/>
          <w:numId w:val="12"/>
        </w:numPr>
        <w:rPr>
          <w:rFonts w:ascii="Arial" w:cs="Arial" w:eastAsia="Arial" w:hAnsi="Arial"/>
          <w:sz w:val="16"/>
          <w:szCs w:val="16"/>
          <w:color w:val="202E39"/>
        </w:rPr>
      </w:pPr>
      <w:r>
        <w:rPr>
          <w:rFonts w:ascii="Arial" w:cs="Arial" w:eastAsia="Arial" w:hAnsi="Arial"/>
          <w:sz w:val="16"/>
          <w:szCs w:val="16"/>
          <w:color w:val="202E39"/>
        </w:rPr>
        <w:t>Annual Performance Cash Incentive: $1,758,100</w:t>
      </w:r>
    </w:p>
    <w:p>
      <w:pPr>
        <w:spacing w:after="0" w:line="65" w:lineRule="exact"/>
        <w:rPr>
          <w:rFonts w:ascii="Arial" w:cs="Arial" w:eastAsia="Arial" w:hAnsi="Arial"/>
          <w:sz w:val="16"/>
          <w:szCs w:val="16"/>
          <w:color w:val="202E39"/>
        </w:rPr>
      </w:pPr>
    </w:p>
    <w:p>
      <w:pPr>
        <w:ind w:left="900" w:hanging="244"/>
        <w:spacing w:after="0"/>
        <w:tabs>
          <w:tab w:leader="none" w:pos="900" w:val="left"/>
        </w:tabs>
        <w:numPr>
          <w:ilvl w:val="1"/>
          <w:numId w:val="12"/>
        </w:numPr>
        <w:rPr>
          <w:rFonts w:ascii="Arial" w:cs="Arial" w:eastAsia="Arial" w:hAnsi="Arial"/>
          <w:sz w:val="16"/>
          <w:szCs w:val="16"/>
          <w:color w:val="202E39"/>
        </w:rPr>
      </w:pPr>
      <w:r>
        <w:rPr>
          <w:rFonts w:ascii="Arial" w:cs="Arial" w:eastAsia="Arial" w:hAnsi="Arial"/>
          <w:sz w:val="16"/>
          <w:szCs w:val="16"/>
          <w:color w:val="202E39"/>
        </w:rPr>
        <w:t>Long-Term Equity Incentives: $5,811,329</w:t>
      </w:r>
    </w:p>
    <w:p>
      <w:pPr>
        <w:spacing w:after="0" w:line="65" w:lineRule="exact"/>
        <w:rPr>
          <w:rFonts w:ascii="Arial" w:cs="Arial" w:eastAsia="Arial" w:hAnsi="Arial"/>
          <w:sz w:val="16"/>
          <w:szCs w:val="16"/>
          <w:color w:val="202E39"/>
        </w:rPr>
      </w:pPr>
    </w:p>
    <w:p>
      <w:pPr>
        <w:ind w:left="900" w:hanging="244"/>
        <w:spacing w:after="0"/>
        <w:tabs>
          <w:tab w:leader="none" w:pos="900" w:val="left"/>
        </w:tabs>
        <w:numPr>
          <w:ilvl w:val="1"/>
          <w:numId w:val="12"/>
        </w:numPr>
        <w:rPr>
          <w:rFonts w:ascii="Arial" w:cs="Arial" w:eastAsia="Arial" w:hAnsi="Arial"/>
          <w:sz w:val="16"/>
          <w:szCs w:val="16"/>
          <w:color w:val="202E39"/>
        </w:rPr>
      </w:pPr>
      <w:r>
        <w:rPr>
          <w:rFonts w:ascii="Arial" w:cs="Arial" w:eastAsia="Arial" w:hAnsi="Arial"/>
          <w:sz w:val="16"/>
          <w:szCs w:val="16"/>
          <w:color w:val="202E39"/>
        </w:rPr>
        <w:t>All Other Compensation: $26,250</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 xml:space="preserve">CEO Employment Agreement: </w:t>
      </w:r>
      <w:r>
        <w:rPr>
          <w:rFonts w:ascii="Arial" w:cs="Arial" w:eastAsia="Arial" w:hAnsi="Arial"/>
          <w:sz w:val="16"/>
          <w:szCs w:val="16"/>
          <w:color w:val="202E39"/>
        </w:rPr>
        <w:t>No</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 xml:space="preserve">Change-in-Control Agreement: </w:t>
      </w:r>
      <w:r>
        <w:rPr>
          <w:rFonts w:ascii="Arial" w:cs="Arial" w:eastAsia="Arial" w:hAnsi="Arial"/>
          <w:sz w:val="16"/>
          <w:szCs w:val="16"/>
          <w:color w:val="202E39"/>
        </w:rPr>
        <w:t>Yes, double trigger</w:t>
      </w:r>
    </w:p>
    <w:p>
      <w:pPr>
        <w:ind w:left="260"/>
        <w:spacing w:after="0"/>
        <w:rPr>
          <w:sz w:val="20"/>
          <w:szCs w:val="20"/>
          <w:color w:val="auto"/>
        </w:rPr>
      </w:pPr>
      <w:r>
        <w:rPr>
          <w:rFonts w:ascii="Arial" w:cs="Arial" w:eastAsia="Arial" w:hAnsi="Arial"/>
          <w:sz w:val="16"/>
          <w:szCs w:val="16"/>
          <w:b w:val="1"/>
          <w:bCs w:val="1"/>
          <w:color w:val="202E39"/>
        </w:rPr>
        <w:t xml:space="preserve">Stock Ownership Guidelines: </w:t>
      </w:r>
      <w:r>
        <w:rPr>
          <w:rFonts w:ascii="Arial" w:cs="Arial" w:eastAsia="Arial" w:hAnsi="Arial"/>
          <w:sz w:val="16"/>
          <w:szCs w:val="16"/>
          <w:color w:val="202E39"/>
        </w:rPr>
        <w:t>Yes</w:t>
      </w:r>
    </w:p>
    <w:p>
      <w:pPr>
        <w:ind w:left="260"/>
        <w:spacing w:after="0"/>
        <w:rPr>
          <w:sz w:val="20"/>
          <w:szCs w:val="20"/>
          <w:color w:val="auto"/>
        </w:rPr>
      </w:pPr>
      <w:r>
        <w:rPr>
          <w:rFonts w:ascii="Arial" w:cs="Arial" w:eastAsia="Arial" w:hAnsi="Arial"/>
          <w:sz w:val="16"/>
          <w:szCs w:val="16"/>
          <w:b w:val="1"/>
          <w:bCs w:val="1"/>
          <w:color w:val="202E39"/>
        </w:rPr>
        <w:t xml:space="preserve">CEO Stock Holding Policy: </w:t>
      </w:r>
      <w:r>
        <w:rPr>
          <w:rFonts w:ascii="Arial" w:cs="Arial" w:eastAsia="Arial" w:hAnsi="Arial"/>
          <w:sz w:val="16"/>
          <w:szCs w:val="16"/>
          <w:color w:val="202E39"/>
        </w:rPr>
        <w:t>Yes</w:t>
      </w:r>
    </w:p>
    <w:p>
      <w:pPr>
        <w:ind w:left="260"/>
        <w:spacing w:after="0"/>
        <w:rPr>
          <w:sz w:val="20"/>
          <w:szCs w:val="20"/>
          <w:color w:val="auto"/>
        </w:rPr>
      </w:pPr>
      <w:r>
        <w:rPr>
          <w:rFonts w:ascii="Arial" w:cs="Arial" w:eastAsia="Arial" w:hAnsi="Arial"/>
          <w:sz w:val="16"/>
          <w:szCs w:val="16"/>
          <w:b w:val="1"/>
          <w:bCs w:val="1"/>
          <w:color w:val="202E39"/>
        </w:rPr>
        <w:t xml:space="preserve">Anti-Hedging and Pledging Policy: </w:t>
      </w:r>
      <w:r>
        <w:rPr>
          <w:rFonts w:ascii="Arial" w:cs="Arial" w:eastAsia="Arial" w:hAnsi="Arial"/>
          <w:sz w:val="16"/>
          <w:szCs w:val="16"/>
          <w:color w:val="202E39"/>
        </w:rPr>
        <w:t>Yes</w:t>
      </w:r>
    </w:p>
    <w:p>
      <w:pPr>
        <w:ind w:left="260"/>
        <w:spacing w:after="0"/>
        <w:rPr>
          <w:sz w:val="20"/>
          <w:szCs w:val="20"/>
          <w:color w:val="auto"/>
        </w:rPr>
      </w:pPr>
      <w:r>
        <w:rPr>
          <w:rFonts w:ascii="Arial" w:cs="Arial" w:eastAsia="Arial" w:hAnsi="Arial"/>
          <w:sz w:val="16"/>
          <w:szCs w:val="16"/>
          <w:b w:val="1"/>
          <w:bCs w:val="1"/>
          <w:color w:val="202E39"/>
        </w:rPr>
        <w:t xml:space="preserve">Clawback Policy: </w:t>
      </w:r>
      <w:r>
        <w:rPr>
          <w:rFonts w:ascii="Arial" w:cs="Arial" w:eastAsia="Arial" w:hAnsi="Arial"/>
          <w:sz w:val="16"/>
          <w:szCs w:val="16"/>
          <w:color w:val="202E39"/>
        </w:rPr>
        <w:t>Yes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9"/>
        <w:spacing w:after="0"/>
        <w:rPr>
          <w:sz w:val="20"/>
          <w:szCs w:val="20"/>
          <w:color w:val="auto"/>
        </w:rPr>
      </w:pPr>
      <w:r>
        <w:rPr>
          <w:rFonts w:ascii="Arial" w:cs="Arial" w:eastAsia="Arial" w:hAnsi="Arial"/>
          <w:sz w:val="26"/>
          <w:szCs w:val="26"/>
          <w:b w:val="1"/>
          <w:bCs w:val="1"/>
          <w:color w:val="009FE3"/>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332994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9940" cy="16510"/>
                    </a:xfrm>
                    <a:prstGeom prst="rect">
                      <a:avLst/>
                    </a:prstGeom>
                    <a:noFill/>
                  </pic:spPr>
                </pic:pic>
              </a:graphicData>
            </a:graphic>
          </wp:anchor>
        </w:drawing>
      </w:r>
    </w:p>
    <w:p>
      <w:pPr>
        <w:spacing w:after="0" w:line="180" w:lineRule="exact"/>
        <w:rPr>
          <w:sz w:val="20"/>
          <w:szCs w:val="20"/>
          <w:color w:val="auto"/>
        </w:rPr>
      </w:pPr>
    </w:p>
    <w:p>
      <w:pPr>
        <w:ind w:left="309" w:right="420" w:hanging="309"/>
        <w:spacing w:after="0" w:line="282" w:lineRule="auto"/>
        <w:tabs>
          <w:tab w:leader="none" w:pos="309" w:val="left"/>
        </w:tabs>
        <w:numPr>
          <w:ilvl w:val="0"/>
          <w:numId w:val="13"/>
        </w:numPr>
        <w:rPr>
          <w:rFonts w:ascii="Arial" w:cs="Arial" w:eastAsia="Arial" w:hAnsi="Arial"/>
          <w:sz w:val="16"/>
          <w:szCs w:val="16"/>
          <w:b w:val="1"/>
          <w:bCs w:val="1"/>
          <w:color w:val="202E39"/>
        </w:rPr>
      </w:pPr>
      <w:r>
        <w:rPr>
          <w:rFonts w:ascii="Arial" w:cs="Arial" w:eastAsia="Arial" w:hAnsi="Arial"/>
          <w:sz w:val="16"/>
          <w:szCs w:val="16"/>
          <w:b w:val="1"/>
          <w:bCs w:val="1"/>
          <w:color w:val="202E39"/>
        </w:rPr>
        <w:t>The election of John Stenbit, Andrew Sukawaty and Theresa Wise as directors</w:t>
      </w:r>
    </w:p>
    <w:p>
      <w:pPr>
        <w:spacing w:after="0" w:line="1" w:lineRule="exact"/>
        <w:rPr>
          <w:rFonts w:ascii="Arial" w:cs="Arial" w:eastAsia="Arial" w:hAnsi="Arial"/>
          <w:sz w:val="16"/>
          <w:szCs w:val="16"/>
          <w:b w:val="1"/>
          <w:bCs w:val="1"/>
          <w:color w:val="202E39"/>
        </w:rPr>
      </w:pPr>
    </w:p>
    <w:p>
      <w:pPr>
        <w:ind w:left="569" w:hanging="188"/>
        <w:spacing w:after="0"/>
        <w:tabs>
          <w:tab w:leader="none" w:pos="569" w:val="left"/>
        </w:tabs>
        <w:numPr>
          <w:ilvl w:val="1"/>
          <w:numId w:val="13"/>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65" w:lineRule="exact"/>
        <w:rPr>
          <w:rFonts w:ascii="Arial" w:cs="Arial" w:eastAsia="Arial" w:hAnsi="Arial"/>
          <w:sz w:val="16"/>
          <w:szCs w:val="16"/>
          <w:color w:val="009FE3"/>
        </w:rPr>
      </w:pPr>
    </w:p>
    <w:p>
      <w:pPr>
        <w:ind w:left="309" w:right="400" w:hanging="309"/>
        <w:spacing w:after="0" w:line="282" w:lineRule="auto"/>
        <w:tabs>
          <w:tab w:leader="none" w:pos="309" w:val="left"/>
        </w:tabs>
        <w:numPr>
          <w:ilvl w:val="0"/>
          <w:numId w:val="13"/>
        </w:numPr>
        <w:rPr>
          <w:rFonts w:ascii="Arial" w:cs="Arial" w:eastAsia="Arial" w:hAnsi="Arial"/>
          <w:sz w:val="16"/>
          <w:szCs w:val="16"/>
          <w:b w:val="1"/>
          <w:bCs w:val="1"/>
          <w:color w:val="202E39"/>
        </w:rPr>
      </w:pPr>
      <w:r>
        <w:rPr>
          <w:rFonts w:ascii="Arial" w:cs="Arial" w:eastAsia="Arial" w:hAnsi="Arial"/>
          <w:sz w:val="16"/>
          <w:szCs w:val="16"/>
          <w:b w:val="1"/>
          <w:bCs w:val="1"/>
          <w:color w:val="202E39"/>
        </w:rPr>
        <w:t>Ratification of appointment of independent registered public accounting firm</w:t>
      </w:r>
    </w:p>
    <w:p>
      <w:pPr>
        <w:spacing w:after="0" w:line="1" w:lineRule="exact"/>
        <w:rPr>
          <w:rFonts w:ascii="Arial" w:cs="Arial" w:eastAsia="Arial" w:hAnsi="Arial"/>
          <w:sz w:val="16"/>
          <w:szCs w:val="16"/>
          <w:b w:val="1"/>
          <w:bCs w:val="1"/>
          <w:color w:val="202E39"/>
        </w:rPr>
      </w:pPr>
    </w:p>
    <w:p>
      <w:pPr>
        <w:ind w:left="569" w:hanging="188"/>
        <w:spacing w:after="0"/>
        <w:tabs>
          <w:tab w:leader="none" w:pos="569" w:val="left"/>
        </w:tabs>
        <w:numPr>
          <w:ilvl w:val="1"/>
          <w:numId w:val="13"/>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65" w:lineRule="exact"/>
        <w:rPr>
          <w:rFonts w:ascii="Arial" w:cs="Arial" w:eastAsia="Arial" w:hAnsi="Arial"/>
          <w:sz w:val="16"/>
          <w:szCs w:val="16"/>
          <w:color w:val="009FE3"/>
        </w:rPr>
      </w:pPr>
    </w:p>
    <w:p>
      <w:pPr>
        <w:ind w:left="309" w:hanging="309"/>
        <w:spacing w:after="0"/>
        <w:tabs>
          <w:tab w:leader="none" w:pos="309" w:val="left"/>
        </w:tabs>
        <w:numPr>
          <w:ilvl w:val="0"/>
          <w:numId w:val="13"/>
        </w:numPr>
        <w:rPr>
          <w:rFonts w:ascii="Arial" w:cs="Arial" w:eastAsia="Arial" w:hAnsi="Arial"/>
          <w:sz w:val="16"/>
          <w:szCs w:val="16"/>
          <w:b w:val="1"/>
          <w:bCs w:val="1"/>
          <w:color w:val="202E39"/>
        </w:rPr>
      </w:pPr>
      <w:r>
        <w:rPr>
          <w:rFonts w:ascii="Arial" w:cs="Arial" w:eastAsia="Arial" w:hAnsi="Arial"/>
          <w:sz w:val="16"/>
          <w:szCs w:val="16"/>
          <w:b w:val="1"/>
          <w:bCs w:val="1"/>
          <w:color w:val="202E39"/>
        </w:rPr>
        <w:t>Advisory vote on executive officer compensation</w:t>
      </w:r>
    </w:p>
    <w:p>
      <w:pPr>
        <w:spacing w:after="0" w:line="65" w:lineRule="exact"/>
        <w:rPr>
          <w:rFonts w:ascii="Arial" w:cs="Arial" w:eastAsia="Arial" w:hAnsi="Arial"/>
          <w:sz w:val="16"/>
          <w:szCs w:val="16"/>
          <w:b w:val="1"/>
          <w:bCs w:val="1"/>
          <w:color w:val="202E39"/>
        </w:rPr>
      </w:pPr>
    </w:p>
    <w:p>
      <w:pPr>
        <w:ind w:left="569" w:hanging="188"/>
        <w:spacing w:after="0"/>
        <w:tabs>
          <w:tab w:leader="none" w:pos="569" w:val="left"/>
        </w:tabs>
        <w:numPr>
          <w:ilvl w:val="1"/>
          <w:numId w:val="13"/>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65" w:lineRule="exact"/>
        <w:rPr>
          <w:rFonts w:ascii="Arial" w:cs="Arial" w:eastAsia="Arial" w:hAnsi="Arial"/>
          <w:sz w:val="16"/>
          <w:szCs w:val="16"/>
          <w:color w:val="009FE3"/>
        </w:rPr>
      </w:pPr>
    </w:p>
    <w:p>
      <w:pPr>
        <w:ind w:left="309" w:hanging="309"/>
        <w:spacing w:after="0"/>
        <w:tabs>
          <w:tab w:leader="none" w:pos="309" w:val="left"/>
        </w:tabs>
        <w:numPr>
          <w:ilvl w:val="0"/>
          <w:numId w:val="13"/>
        </w:numPr>
        <w:rPr>
          <w:rFonts w:ascii="Arial" w:cs="Arial" w:eastAsia="Arial" w:hAnsi="Arial"/>
          <w:sz w:val="16"/>
          <w:szCs w:val="16"/>
          <w:b w:val="1"/>
          <w:bCs w:val="1"/>
          <w:color w:val="202E39"/>
        </w:rPr>
      </w:pPr>
      <w:r>
        <w:rPr>
          <w:rFonts w:ascii="Arial" w:cs="Arial" w:eastAsia="Arial" w:hAnsi="Arial"/>
          <w:sz w:val="16"/>
          <w:szCs w:val="16"/>
          <w:b w:val="1"/>
          <w:bCs w:val="1"/>
          <w:color w:val="202E39"/>
        </w:rPr>
        <w:t>Amendment and restatement of 1996 Equity Participation Plan</w:t>
      </w:r>
    </w:p>
    <w:p>
      <w:pPr>
        <w:spacing w:after="0" w:line="65" w:lineRule="exact"/>
        <w:rPr>
          <w:rFonts w:ascii="Arial" w:cs="Arial" w:eastAsia="Arial" w:hAnsi="Arial"/>
          <w:sz w:val="16"/>
          <w:szCs w:val="16"/>
          <w:b w:val="1"/>
          <w:bCs w:val="1"/>
          <w:color w:val="202E39"/>
        </w:rPr>
      </w:pPr>
    </w:p>
    <w:p>
      <w:pPr>
        <w:ind w:left="569" w:hanging="188"/>
        <w:spacing w:after="0"/>
        <w:tabs>
          <w:tab w:leader="none" w:pos="569" w:val="left"/>
        </w:tabs>
        <w:numPr>
          <w:ilvl w:val="1"/>
          <w:numId w:val="13"/>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5</w:t>
      </w:r>
    </w:p>
    <w:p>
      <w:pPr>
        <w:sectPr>
          <w:pgSz w:w="11900" w:h="16838" w:orient="portrait"/>
          <w:cols w:equalWidth="0" w:num="2">
            <w:col w:w="5200" w:space="531"/>
            <w:col w:w="5249"/>
          </w:cols>
          <w:pgMar w:left="320" w:top="474" w:right="5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right="1560"/>
        <w:spacing w:after="0" w:line="279" w:lineRule="auto"/>
        <w:rPr>
          <w:sz w:val="20"/>
          <w:szCs w:val="20"/>
          <w:color w:val="auto"/>
        </w:rPr>
      </w:pPr>
      <w:r>
        <w:rPr>
          <w:rFonts w:ascii="Arial" w:cs="Arial" w:eastAsia="Arial" w:hAnsi="Arial"/>
          <w:sz w:val="35"/>
          <w:szCs w:val="35"/>
          <w:color w:val="009FE3"/>
        </w:rPr>
        <w:t>CORPORATE GOVERNANCE PRINCIPLES AND BOARD MATTERS</w:t>
      </w:r>
    </w:p>
    <w:p>
      <w:pPr>
        <w:spacing w:after="0" w:line="113" w:lineRule="exact"/>
        <w:rPr>
          <w:sz w:val="20"/>
          <w:szCs w:val="20"/>
          <w:color w:val="auto"/>
        </w:rPr>
      </w:pPr>
    </w:p>
    <w:p>
      <w:pPr>
        <w:jc w:val="both"/>
        <w:ind w:left="260" w:right="340"/>
        <w:spacing w:after="0" w:line="249" w:lineRule="auto"/>
        <w:rPr>
          <w:sz w:val="20"/>
          <w:szCs w:val="20"/>
          <w:color w:val="auto"/>
        </w:rPr>
      </w:pPr>
      <w:r>
        <w:rPr>
          <w:rFonts w:ascii="Arial" w:cs="Arial" w:eastAsia="Arial" w:hAnsi="Arial"/>
          <w:sz w:val="16"/>
          <w:szCs w:val="16"/>
          <w:color w:val="202E39"/>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Board Responsibilities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Primary Responsibilities</w:t>
      </w:r>
    </w:p>
    <w:p>
      <w:pPr>
        <w:spacing w:after="0" w:line="108" w:lineRule="exact"/>
        <w:rPr>
          <w:sz w:val="20"/>
          <w:szCs w:val="20"/>
          <w:color w:val="auto"/>
        </w:rPr>
      </w:pPr>
    </w:p>
    <w:p>
      <w:pPr>
        <w:jc w:val="both"/>
        <w:ind w:left="260"/>
        <w:spacing w:after="0" w:line="249" w:lineRule="auto"/>
        <w:rPr>
          <w:sz w:val="20"/>
          <w:szCs w:val="20"/>
          <w:color w:val="auto"/>
        </w:rPr>
      </w:pPr>
      <w:r>
        <w:rPr>
          <w:rFonts w:ascii="Arial" w:cs="Arial" w:eastAsia="Arial" w:hAnsi="Arial"/>
          <w:sz w:val="16"/>
          <w:szCs w:val="16"/>
          <w:color w:val="202E39"/>
        </w:rPr>
        <w:t>The Board of Directors is the company’s governing body and is responsible for assuring that the long-term interests of the stockholders are being served. The Board is also responsible for overseeing Viasat’s Chief Executive Officer and other senior management in the competent and ethical operation of the company on a day-to-day basis. To satisfy their duties, directors are expected to take a proactive, focused approach to their position, and set standards to ensure that the company is committed to business success by maintaining the highest standards of responsibility and ethics.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Risk Oversight</w:t>
      </w:r>
    </w:p>
    <w:p>
      <w:pPr>
        <w:spacing w:after="0" w:line="108" w:lineRule="exact"/>
        <w:rPr>
          <w:sz w:val="20"/>
          <w:szCs w:val="20"/>
          <w:color w:val="auto"/>
        </w:rPr>
      </w:pPr>
    </w:p>
    <w:p>
      <w:pPr>
        <w:ind w:left="260" w:right="340"/>
        <w:spacing w:after="0" w:line="269" w:lineRule="auto"/>
        <w:rPr>
          <w:sz w:val="20"/>
          <w:szCs w:val="20"/>
          <w:color w:val="auto"/>
        </w:rPr>
      </w:pPr>
      <w:r>
        <w:rPr>
          <w:rFonts w:ascii="Arial" w:cs="Arial" w:eastAsia="Arial" w:hAnsi="Arial"/>
          <w:sz w:val="16"/>
          <w:szCs w:val="16"/>
          <w:color w:val="202E39"/>
        </w:rPr>
        <w:t>We take a comprehensive approach to risk management which is reflected in the reporting processes by which our management provides timely and comprehensive information to the Board to support the Board’s role in oversight, approval and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129540</wp:posOffset>
            </wp:positionV>
            <wp:extent cx="6810375" cy="217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217170"/>
                    </a:xfrm>
                    <a:prstGeom prst="rect">
                      <a:avLst/>
                    </a:prstGeom>
                    <a:noFill/>
                  </pic:spPr>
                </pic:pic>
              </a:graphicData>
            </a:graphic>
          </wp:anchor>
        </w:drawing>
      </w: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FFFFFF"/>
        </w:rPr>
        <w:t>The Board</w:t>
      </w:r>
    </w:p>
    <w:p>
      <w:pPr>
        <w:spacing w:after="0" w:line="81" w:lineRule="exact"/>
        <w:rPr>
          <w:sz w:val="20"/>
          <w:szCs w:val="20"/>
          <w:color w:val="auto"/>
        </w:rPr>
      </w:pPr>
    </w:p>
    <w:p>
      <w:pPr>
        <w:ind w:left="340" w:right="60"/>
        <w:spacing w:after="0" w:line="247" w:lineRule="auto"/>
        <w:rPr>
          <w:sz w:val="20"/>
          <w:szCs w:val="20"/>
          <w:color w:val="auto"/>
        </w:rPr>
      </w:pPr>
      <w:r>
        <w:rPr>
          <w:rFonts w:ascii="Arial" w:cs="Arial" w:eastAsia="Arial" w:hAnsi="Arial"/>
          <w:sz w:val="16"/>
          <w:szCs w:val="16"/>
          <w:color w:val="009FE3"/>
        </w:rPr>
        <w:t xml:space="preserve">The Board is responsible for </w:t>
      </w:r>
      <w:r>
        <w:rPr>
          <w:rFonts w:ascii="Arial" w:cs="Arial" w:eastAsia="Arial" w:hAnsi="Arial"/>
          <w:sz w:val="16"/>
          <w:szCs w:val="16"/>
          <w:color w:val="202E39"/>
        </w:rPr>
        <w:t>overseeing management in the execution of its responsibilities and for assessing the company’s approach to risk</w:t>
      </w:r>
      <w:r>
        <w:rPr>
          <w:rFonts w:ascii="Arial" w:cs="Arial" w:eastAsia="Arial" w:hAnsi="Arial"/>
          <w:sz w:val="16"/>
          <w:szCs w:val="16"/>
          <w:color w:val="009FE3"/>
        </w:rPr>
        <w:t xml:space="preserve"> </w:t>
      </w:r>
      <w:r>
        <w:rPr>
          <w:rFonts w:ascii="Arial" w:cs="Arial" w:eastAsia="Arial" w:hAnsi="Arial"/>
          <w:sz w:val="16"/>
          <w:szCs w:val="16"/>
          <w:color w:val="202E39"/>
        </w:rPr>
        <w:t>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-593090</wp:posOffset>
            </wp:positionV>
            <wp:extent cx="6810375" cy="626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62611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28"/>
          <w:szCs w:val="28"/>
          <w:color w:val="202E39"/>
        </w:rPr>
        <w:t>ÄÃ</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24765</wp:posOffset>
            </wp:positionV>
            <wp:extent cx="6810375" cy="217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217170"/>
                    </a:xfrm>
                    <a:prstGeom prst="rect">
                      <a:avLst/>
                    </a:prstGeom>
                    <a:noFill/>
                  </pic:spPr>
                </pic:pic>
              </a:graphicData>
            </a:graphic>
          </wp:anchor>
        </w:drawing>
      </w:r>
    </w:p>
    <w:p>
      <w:pPr>
        <w:spacing w:after="0" w:line="8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FFFFFF"/>
        </w:rPr>
        <w:t>Committees</w:t>
      </w:r>
    </w:p>
    <w:p>
      <w:pPr>
        <w:sectPr>
          <w:pgSz w:w="11900" w:h="16838" w:orient="portrait"/>
          <w:cols w:equalWidth="0" w:num="1">
            <w:col w:w="10960"/>
          </w:cols>
          <w:pgMar w:left="320" w:top="474" w:right="619" w:bottom="1440" w:gutter="0" w:footer="0" w:header="0"/>
        </w:sectPr>
      </w:pPr>
    </w:p>
    <w:p>
      <w:pPr>
        <w:spacing w:after="0" w:line="81" w:lineRule="exact"/>
        <w:rPr>
          <w:sz w:val="20"/>
          <w:szCs w:val="20"/>
          <w:color w:val="auto"/>
        </w:rPr>
      </w:pPr>
    </w:p>
    <w:p>
      <w:pPr>
        <w:ind w:left="340"/>
        <w:spacing w:after="0" w:line="243" w:lineRule="auto"/>
        <w:rPr>
          <w:sz w:val="20"/>
          <w:szCs w:val="20"/>
          <w:color w:val="auto"/>
        </w:rPr>
      </w:pPr>
      <w:r>
        <w:rPr>
          <w:rFonts w:ascii="Arial" w:cs="Arial" w:eastAsia="Arial" w:hAnsi="Arial"/>
          <w:sz w:val="16"/>
          <w:szCs w:val="16"/>
          <w:color w:val="009FE3"/>
        </w:rPr>
        <w:t xml:space="preserve">The Audit Committee is responsible for </w:t>
      </w:r>
      <w:r>
        <w:rPr>
          <w:rFonts w:ascii="Arial" w:cs="Arial" w:eastAsia="Arial" w:hAnsi="Arial"/>
          <w:sz w:val="16"/>
          <w:szCs w:val="16"/>
          <w:color w:val="202E39"/>
        </w:rPr>
        <w:t>reviewing the professional</w:t>
      </w:r>
      <w:r>
        <w:rPr>
          <w:rFonts w:ascii="Arial" w:cs="Arial" w:eastAsia="Arial" w:hAnsi="Arial"/>
          <w:sz w:val="16"/>
          <w:szCs w:val="16"/>
          <w:color w:val="009FE3"/>
        </w:rPr>
        <w:t xml:space="preserve"> </w:t>
      </w:r>
      <w:r>
        <w:rPr>
          <w:rFonts w:ascii="Arial" w:cs="Arial" w:eastAsia="Arial" w:hAnsi="Arial"/>
          <w:sz w:val="16"/>
          <w:szCs w:val="16"/>
          <w:color w:val="202E39"/>
        </w:rPr>
        <w:t>services provided by our independent registered public accounting firm, the independence of such independent registered public accounting firm from our management, and our annual and quarterly financial statements.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63" w:lineRule="auto"/>
        <w:rPr>
          <w:sz w:val="20"/>
          <w:szCs w:val="20"/>
          <w:color w:val="auto"/>
        </w:rPr>
      </w:pPr>
      <w:r>
        <w:rPr>
          <w:rFonts w:ascii="Arial" w:cs="Arial" w:eastAsia="Arial" w:hAnsi="Arial"/>
          <w:sz w:val="15"/>
          <w:szCs w:val="15"/>
          <w:color w:val="009FE3"/>
        </w:rPr>
        <w:t xml:space="preserve">The Compensation and Human Resources Committee is responsible for </w:t>
      </w:r>
      <w:r>
        <w:rPr>
          <w:rFonts w:ascii="Arial" w:cs="Arial" w:eastAsia="Arial" w:hAnsi="Arial"/>
          <w:sz w:val="15"/>
          <w:szCs w:val="15"/>
          <w:color w:val="202E39"/>
        </w:rPr>
        <w:t>designing and</w:t>
      </w:r>
      <w:r>
        <w:rPr>
          <w:rFonts w:ascii="Arial" w:cs="Arial" w:eastAsia="Arial" w:hAnsi="Arial"/>
          <w:sz w:val="15"/>
          <w:szCs w:val="15"/>
          <w:color w:val="009FE3"/>
        </w:rPr>
        <w:t xml:space="preserve"> </w:t>
      </w:r>
      <w:r>
        <w:rPr>
          <w:rFonts w:ascii="Arial" w:cs="Arial" w:eastAsia="Arial" w:hAnsi="Arial"/>
          <w:sz w:val="15"/>
          <w:szCs w:val="15"/>
          <w:color w:val="202E39"/>
        </w:rPr>
        <w:t>evaluating Viasat’s compensation plans, policies and programs, including the compensation of our executive officers.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80"/>
        <w:spacing w:after="0" w:line="260" w:lineRule="auto"/>
        <w:rPr>
          <w:sz w:val="20"/>
          <w:szCs w:val="20"/>
          <w:color w:val="auto"/>
        </w:rPr>
      </w:pPr>
      <w:r>
        <w:rPr>
          <w:rFonts w:ascii="Arial" w:cs="Arial" w:eastAsia="Arial" w:hAnsi="Arial"/>
          <w:sz w:val="15"/>
          <w:szCs w:val="15"/>
          <w:color w:val="009FE3"/>
        </w:rPr>
        <w:t xml:space="preserve">The Nomination, Evaluation and Corporate Governance Committee is responsible for </w:t>
      </w:r>
      <w:r>
        <w:rPr>
          <w:rFonts w:ascii="Arial" w:cs="Arial" w:eastAsia="Arial" w:hAnsi="Arial"/>
          <w:sz w:val="15"/>
          <w:szCs w:val="15"/>
          <w:color w:val="202E39"/>
        </w:rPr>
        <w:t>developing and</w:t>
      </w:r>
      <w:r>
        <w:rPr>
          <w:rFonts w:ascii="Arial" w:cs="Arial" w:eastAsia="Arial" w:hAnsi="Arial"/>
          <w:sz w:val="15"/>
          <w:szCs w:val="15"/>
          <w:color w:val="009FE3"/>
        </w:rPr>
        <w:t xml:space="preserve"> </w:t>
      </w:r>
      <w:r>
        <w:rPr>
          <w:rFonts w:ascii="Arial" w:cs="Arial" w:eastAsia="Arial" w:hAnsi="Arial"/>
          <w:sz w:val="15"/>
          <w:szCs w:val="15"/>
          <w:color w:val="202E39"/>
        </w:rPr>
        <w:t>recommending to the Board a set of corporate governance guidelines and principles, providing oversight of the process for the self-assessment by the Board and each of its committees, and reviewing and recommending nominees for election as directors and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-1296670</wp:posOffset>
            </wp:positionV>
            <wp:extent cx="6810375" cy="1443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14439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202E39"/>
        </w:rPr>
        <w:t>ÄÃ</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24765</wp:posOffset>
            </wp:positionV>
            <wp:extent cx="6810375" cy="217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5"/>
          <w:szCs w:val="15"/>
          <w:color w:val="009FE3"/>
        </w:rPr>
        <w:t xml:space="preserve">The Banking and Finance Committee is responsible for </w:t>
      </w:r>
      <w:r>
        <w:rPr>
          <w:rFonts w:ascii="Arial" w:cs="Arial" w:eastAsia="Arial" w:hAnsi="Arial"/>
          <w:sz w:val="15"/>
          <w:szCs w:val="15"/>
          <w:color w:val="202E39"/>
        </w:rPr>
        <w:t>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p>
      <w:pPr>
        <w:spacing w:after="0" w:line="436" w:lineRule="exact"/>
        <w:rPr>
          <w:sz w:val="20"/>
          <w:szCs w:val="20"/>
          <w:color w:val="auto"/>
        </w:rPr>
      </w:pPr>
    </w:p>
    <w:p>
      <w:pPr>
        <w:sectPr>
          <w:pgSz w:w="11900" w:h="16838" w:orient="portrait"/>
          <w:cols w:equalWidth="0" w:num="4">
            <w:col w:w="2820" w:space="240"/>
            <w:col w:w="2360" w:space="120"/>
            <w:col w:w="2840" w:space="140"/>
            <w:col w:w="2440"/>
          </w:cols>
          <w:pgMar w:left="320" w:top="474" w:right="619" w:bottom="1440" w:gutter="0" w:footer="0" w:header="0"/>
          <w:type w:val="continuous"/>
        </w:sectPr>
      </w:pPr>
    </w:p>
    <w:p>
      <w:pPr>
        <w:jc w:val="center"/>
        <w:ind w:right="-279"/>
        <w:spacing w:after="0"/>
        <w:rPr>
          <w:sz w:val="20"/>
          <w:szCs w:val="20"/>
          <w:color w:val="auto"/>
        </w:rPr>
      </w:pPr>
      <w:r>
        <w:rPr>
          <w:rFonts w:ascii="Arial" w:cs="Arial" w:eastAsia="Arial" w:hAnsi="Arial"/>
          <w:sz w:val="16"/>
          <w:szCs w:val="16"/>
          <w:b w:val="1"/>
          <w:bCs w:val="1"/>
          <w:color w:val="FFFFFF"/>
        </w:rPr>
        <w:t>Management</w:t>
      </w:r>
    </w:p>
    <w:p>
      <w:pPr>
        <w:spacing w:after="0" w:line="81" w:lineRule="exact"/>
        <w:rPr>
          <w:sz w:val="20"/>
          <w:szCs w:val="20"/>
          <w:color w:val="auto"/>
        </w:rPr>
      </w:pPr>
    </w:p>
    <w:p>
      <w:pPr>
        <w:ind w:left="340" w:right="540"/>
        <w:spacing w:after="0" w:line="269" w:lineRule="auto"/>
        <w:rPr>
          <w:sz w:val="20"/>
          <w:szCs w:val="20"/>
          <w:color w:val="auto"/>
        </w:rPr>
      </w:pPr>
      <w:r>
        <w:rPr>
          <w:rFonts w:ascii="Arial" w:cs="Arial" w:eastAsia="Arial" w:hAnsi="Arial"/>
          <w:sz w:val="16"/>
          <w:szCs w:val="16"/>
          <w:color w:val="009FE3"/>
        </w:rPr>
        <w:t xml:space="preserve">Our senior management is responsible for </w:t>
      </w:r>
      <w:r>
        <w:rPr>
          <w:rFonts w:ascii="Arial" w:cs="Arial" w:eastAsia="Arial" w:hAnsi="Arial"/>
          <w:sz w:val="16"/>
          <w:szCs w:val="16"/>
          <w:color w:val="202E39"/>
        </w:rPr>
        <w:t>assessing and managing the company’s various exposures to risk on a day-to-day basis, including the</w:t>
      </w:r>
      <w:r>
        <w:rPr>
          <w:rFonts w:ascii="Arial" w:cs="Arial" w:eastAsia="Arial" w:hAnsi="Arial"/>
          <w:sz w:val="16"/>
          <w:szCs w:val="16"/>
          <w:color w:val="009FE3"/>
        </w:rPr>
        <w:t xml:space="preserve"> </w:t>
      </w:r>
      <w:r>
        <w:rPr>
          <w:rFonts w:ascii="Arial" w:cs="Arial" w:eastAsia="Arial" w:hAnsi="Arial"/>
          <w:sz w:val="16"/>
          <w:szCs w:val="16"/>
          <w:color w:val="202E39"/>
        </w:rPr>
        <w:t>creation of appropriate risk management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-253365</wp:posOffset>
            </wp:positionV>
            <wp:extent cx="6810375" cy="275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2755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113030</wp:posOffset>
            </wp:positionV>
            <wp:extent cx="425450" cy="150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6       </w:t>
      </w:r>
    </w:p>
    <w:p>
      <w:pPr>
        <w:sectPr>
          <w:pgSz w:w="11900" w:h="16838" w:orient="portrait"/>
          <w:cols w:equalWidth="0" w:num="1">
            <w:col w:w="10960"/>
          </w:cols>
          <w:pgMar w:left="320" w:top="474" w:right="6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4140"/>
        <w:spacing w:after="0"/>
        <w:rPr>
          <w:sz w:val="20"/>
          <w:szCs w:val="20"/>
          <w:color w:val="auto"/>
        </w:rPr>
      </w:pPr>
      <w:r>
        <w:rPr>
          <w:rFonts w:ascii="Arial" w:cs="Arial" w:eastAsia="Arial" w:hAnsi="Arial"/>
          <w:sz w:val="13"/>
          <w:szCs w:val="13"/>
          <w:color w:val="009FE3"/>
        </w:rPr>
        <w:t>CORPORATE GOVERNANCE PRINCIPLES AND BOARD MATTERS</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Board Leadership and Independence</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Board Leadership and Independence</w:t>
      </w:r>
    </w:p>
    <w:p>
      <w:pPr>
        <w:spacing w:after="0" w:line="124" w:lineRule="exact"/>
        <w:rPr>
          <w:sz w:val="20"/>
          <w:szCs w:val="20"/>
          <w:color w:val="auto"/>
        </w:rPr>
      </w:pPr>
    </w:p>
    <w:p>
      <w:pPr>
        <w:ind w:left="260" w:right="80"/>
        <w:spacing w:after="0" w:line="247" w:lineRule="auto"/>
        <w:rPr>
          <w:sz w:val="20"/>
          <w:szCs w:val="20"/>
          <w:color w:val="auto"/>
        </w:rPr>
      </w:pPr>
      <w:r>
        <w:rPr>
          <w:rFonts w:ascii="Arial" w:cs="Arial" w:eastAsia="Arial" w:hAnsi="Arial"/>
          <w:sz w:val="16"/>
          <w:szCs w:val="16"/>
          <w:b w:val="1"/>
          <w:bCs w:val="1"/>
          <w:i w:val="1"/>
          <w:iCs w:val="1"/>
          <w:color w:val="009FE3"/>
        </w:rPr>
        <w:t xml:space="preserve">Enhanced Board Leadership Structure. </w:t>
      </w:r>
      <w:r>
        <w:rPr>
          <w:rFonts w:ascii="Arial" w:cs="Arial" w:eastAsia="Arial" w:hAnsi="Arial"/>
          <w:sz w:val="16"/>
          <w:szCs w:val="16"/>
          <w:color w:val="202E39"/>
        </w:rPr>
        <w:t>The Board regularly evaluates its leadership structure to ensure the best interests of the company and its</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stockholders are represented. The Board leadership structure is currently comprised of (1) a combined Chairman of the Board and Chief Executive Officer and (2) a Lead Independent Director. In response to stockholder feedback, the role of Lead Independent Director was established in 2019 to provide strong independent leadership for the Board. The Lead Independent Director’s responsibilities include presiding over all meetings of the Board at which the Chairman is not present, calling meetings of independent directors and functioning as a liaison with the Chairman.</w:t>
      </w:r>
    </w:p>
    <w:p>
      <w:pPr>
        <w:spacing w:after="0" w:line="78" w:lineRule="exact"/>
        <w:rPr>
          <w:sz w:val="20"/>
          <w:szCs w:val="20"/>
          <w:color w:val="auto"/>
        </w:rPr>
      </w:pPr>
    </w:p>
    <w:p>
      <w:pPr>
        <w:ind w:left="260" w:right="20"/>
        <w:spacing w:after="0" w:line="244" w:lineRule="auto"/>
        <w:rPr>
          <w:sz w:val="20"/>
          <w:szCs w:val="20"/>
          <w:color w:val="auto"/>
        </w:rPr>
      </w:pPr>
      <w:r>
        <w:rPr>
          <w:rFonts w:ascii="Arial" w:cs="Arial" w:eastAsia="Arial" w:hAnsi="Arial"/>
          <w:sz w:val="16"/>
          <w:szCs w:val="16"/>
          <w:color w:val="202E39"/>
        </w:rPr>
        <w:t>The Board believes that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on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Together with a Lead Independent Director, this leadership structure allows the Board to exercise independent oversight while enabling direct access to information related to the day-to-day management of the company’s business operations.</w:t>
      </w:r>
    </w:p>
    <w:p>
      <w:pPr>
        <w:spacing w:after="0" w:line="84" w:lineRule="exact"/>
        <w:rPr>
          <w:sz w:val="20"/>
          <w:szCs w:val="20"/>
          <w:color w:val="auto"/>
        </w:rPr>
      </w:pPr>
    </w:p>
    <w:p>
      <w:pPr>
        <w:ind w:left="260" w:right="20"/>
        <w:spacing w:after="0" w:line="245" w:lineRule="auto"/>
        <w:rPr>
          <w:sz w:val="20"/>
          <w:szCs w:val="20"/>
          <w:color w:val="auto"/>
        </w:rPr>
      </w:pPr>
      <w:r>
        <w:rPr>
          <w:rFonts w:ascii="Arial" w:cs="Arial" w:eastAsia="Arial" w:hAnsi="Arial"/>
          <w:sz w:val="16"/>
          <w:szCs w:val="16"/>
          <w:b w:val="1"/>
          <w:bCs w:val="1"/>
          <w:i w:val="1"/>
          <w:iCs w:val="1"/>
          <w:color w:val="009FE3"/>
        </w:rPr>
        <w:t xml:space="preserve">Majority Independent Board. </w:t>
      </w:r>
      <w:r>
        <w:rPr>
          <w:rFonts w:ascii="Arial" w:cs="Arial" w:eastAsia="Arial" w:hAnsi="Arial"/>
          <w:sz w:val="16"/>
          <w:szCs w:val="16"/>
          <w:color w:val="202E39"/>
        </w:rPr>
        <w:t>The criteria established by The Nasdaq Stock Market, or Nasdaq, for director independence include various objective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w:t>
      </w:r>
    </w:p>
    <w:p>
      <w:pPr>
        <w:spacing w:after="0" w:line="82" w:lineRule="exact"/>
        <w:rPr>
          <w:sz w:val="20"/>
          <w:szCs w:val="20"/>
          <w:color w:val="auto"/>
        </w:rPr>
      </w:pPr>
    </w:p>
    <w:p>
      <w:pPr>
        <w:ind w:left="260" w:right="40"/>
        <w:spacing w:after="0" w:line="247" w:lineRule="auto"/>
        <w:rPr>
          <w:sz w:val="20"/>
          <w:szCs w:val="20"/>
          <w:color w:val="auto"/>
        </w:rPr>
      </w:pPr>
      <w:r>
        <w:rPr>
          <w:rFonts w:ascii="Arial" w:cs="Arial" w:eastAsia="Arial" w:hAnsi="Arial"/>
          <w:sz w:val="16"/>
          <w:szCs w:val="16"/>
          <w:color w:val="202E39"/>
        </w:rPr>
        <w:t>None of our existing directors were disqualified from independent status under the objective standards, other than Mr. Dankberg and Mr. Baldridge, who do not qualify as independent because they are or were recently Viasat employees. The subjective evaluation of director independence by the Board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78" w:lineRule="exact"/>
        <w:rPr>
          <w:sz w:val="20"/>
          <w:szCs w:val="20"/>
          <w:color w:val="auto"/>
        </w:rPr>
      </w:pPr>
    </w:p>
    <w:p>
      <w:pPr>
        <w:ind w:left="260" w:right="60"/>
        <w:spacing w:after="0" w:line="249" w:lineRule="auto"/>
        <w:rPr>
          <w:sz w:val="20"/>
          <w:szCs w:val="20"/>
          <w:color w:val="auto"/>
        </w:rPr>
      </w:pPr>
      <w:r>
        <w:rPr>
          <w:rFonts w:ascii="Arial" w:cs="Arial" w:eastAsia="Arial" w:hAnsi="Arial"/>
          <w:sz w:val="16"/>
          <w:szCs w:val="16"/>
          <w:color w:val="202E39"/>
        </w:rPr>
        <w:t>As a result of this evaluation, the Board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7</w:t>
      </w:r>
    </w:p>
    <w:p>
      <w:pPr>
        <w:sectPr>
          <w:pgSz w:w="11900" w:h="16838" w:orient="portrait"/>
          <w:cols w:equalWidth="0" w:num="1">
            <w:col w:w="10980"/>
          </w:cols>
          <w:pgMar w:left="320" w:top="474"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Board Committee Composition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202E39"/>
        </w:rPr>
        <w:t>Board Committee Composition</w:t>
      </w:r>
    </w:p>
    <w:p>
      <w:pPr>
        <w:spacing w:after="0" w:line="117" w:lineRule="exact"/>
        <w:rPr>
          <w:sz w:val="20"/>
          <w:szCs w:val="20"/>
          <w:color w:val="auto"/>
        </w:rPr>
      </w:pPr>
    </w:p>
    <w:p>
      <w:pPr>
        <w:ind w:left="260" w:right="60"/>
        <w:spacing w:after="0" w:line="243" w:lineRule="auto"/>
        <w:rPr>
          <w:sz w:val="20"/>
          <w:szCs w:val="20"/>
          <w:color w:val="auto"/>
        </w:rPr>
      </w:pPr>
      <w:r>
        <w:rPr>
          <w:rFonts w:ascii="Arial" w:cs="Arial" w:eastAsia="Arial" w:hAnsi="Arial"/>
          <w:sz w:val="16"/>
          <w:szCs w:val="16"/>
          <w:color w:val="202E39"/>
        </w:rPr>
        <w:t xml:space="preserve">As of the date of this proxy statement, our Board has the following four standing committees: (1) Audit Committee, (2) 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xml:space="preserve"> . During our fiscal year ended March 31, 2024, the Board held thirteen meetings. During this period, eight of the directors then serving on the Board attended or participated in at least 75% of the aggregate of the total number of meetings and the total number of meetings held by all standing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Eight of the nine directors then serving on our Board attended last year’s annual meeting of stockholders.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3240" w:type="dxa"/>
            <w:vAlign w:val="bottom"/>
            <w:tcBorders>
              <w:top w:val="single" w:sz="8" w:color="E8EAEB"/>
              <w:right w:val="single" w:sz="8" w:color="E8EAEB"/>
            </w:tcBorders>
          </w:tcPr>
          <w:p>
            <w:pPr>
              <w:spacing w:after="0"/>
              <w:rPr>
                <w:sz w:val="17"/>
                <w:szCs w:val="17"/>
                <w:color w:val="auto"/>
              </w:rPr>
            </w:pPr>
          </w:p>
        </w:tc>
        <w:tc>
          <w:tcPr>
            <w:tcW w:w="1660" w:type="dxa"/>
            <w:vAlign w:val="bottom"/>
            <w:tcBorders>
              <w:top w:val="single" w:sz="8" w:color="E8EAEB"/>
              <w:right w:val="single" w:sz="8" w:color="E8EAEB"/>
            </w:tcBorders>
          </w:tcPr>
          <w:p>
            <w:pPr>
              <w:spacing w:after="0"/>
              <w:rPr>
                <w:sz w:val="17"/>
                <w:szCs w:val="17"/>
                <w:color w:val="auto"/>
              </w:rPr>
            </w:pPr>
          </w:p>
        </w:tc>
        <w:tc>
          <w:tcPr>
            <w:tcW w:w="1800" w:type="dxa"/>
            <w:vAlign w:val="bottom"/>
            <w:tcBorders>
              <w:top w:val="single" w:sz="8" w:color="E8EAEB"/>
              <w:right w:val="single" w:sz="8" w:color="E8EAEB"/>
            </w:tcBorders>
          </w:tcPr>
          <w:p>
            <w:pPr>
              <w:spacing w:after="0"/>
              <w:rPr>
                <w:sz w:val="17"/>
                <w:szCs w:val="17"/>
                <w:color w:val="auto"/>
              </w:rPr>
            </w:pPr>
          </w:p>
        </w:tc>
        <w:tc>
          <w:tcPr>
            <w:tcW w:w="2080" w:type="dxa"/>
            <w:vAlign w:val="bottom"/>
            <w:tcBorders>
              <w:top w:val="single" w:sz="8" w:color="E8EAEB"/>
              <w:right w:val="single" w:sz="8" w:color="E8EAEB"/>
            </w:tcBorders>
          </w:tcPr>
          <w:p>
            <w:pPr>
              <w:jc w:val="center"/>
              <w:ind w:left="148"/>
              <w:spacing w:after="0"/>
              <w:rPr>
                <w:sz w:val="20"/>
                <w:szCs w:val="20"/>
                <w:color w:val="auto"/>
              </w:rPr>
            </w:pPr>
            <w:r>
              <w:rPr>
                <w:rFonts w:ascii="Arial" w:cs="Arial" w:eastAsia="Arial" w:hAnsi="Arial"/>
                <w:sz w:val="14"/>
                <w:szCs w:val="14"/>
                <w:b w:val="1"/>
                <w:bCs w:val="1"/>
                <w:color w:val="009FE3"/>
              </w:rPr>
              <w:t>Nomination,</w:t>
            </w:r>
          </w:p>
        </w:tc>
        <w:tc>
          <w:tcPr>
            <w:tcW w:w="1960" w:type="dxa"/>
            <w:vAlign w:val="bottom"/>
            <w:tcBorders>
              <w:top w:val="single" w:sz="8" w:color="E8EAEB"/>
            </w:tcBorders>
          </w:tcPr>
          <w:p>
            <w:pPr>
              <w:spacing w:after="0"/>
              <w:rPr>
                <w:sz w:val="17"/>
                <w:szCs w:val="17"/>
                <w:color w:val="auto"/>
              </w:rPr>
            </w:pPr>
          </w:p>
        </w:tc>
      </w:tr>
      <w:tr>
        <w:trPr>
          <w:trHeight w:val="158"/>
        </w:trPr>
        <w:tc>
          <w:tcPr>
            <w:tcW w:w="3240" w:type="dxa"/>
            <w:vAlign w:val="bottom"/>
            <w:tcBorders>
              <w:right w:val="single" w:sz="8" w:color="E8EAEB"/>
            </w:tcBorders>
          </w:tcPr>
          <w:p>
            <w:pPr>
              <w:spacing w:after="0"/>
              <w:rPr>
                <w:sz w:val="13"/>
                <w:szCs w:val="13"/>
                <w:color w:val="auto"/>
              </w:rPr>
            </w:pPr>
          </w:p>
        </w:tc>
        <w:tc>
          <w:tcPr>
            <w:tcW w:w="1660" w:type="dxa"/>
            <w:vAlign w:val="bottom"/>
            <w:tcBorders>
              <w:right w:val="single" w:sz="8" w:color="E8EAEB"/>
            </w:tcBorders>
          </w:tcPr>
          <w:p>
            <w:pPr>
              <w:spacing w:after="0"/>
              <w:rPr>
                <w:sz w:val="13"/>
                <w:szCs w:val="13"/>
                <w:color w:val="auto"/>
              </w:rPr>
            </w:pPr>
          </w:p>
        </w:tc>
        <w:tc>
          <w:tcPr>
            <w:tcW w:w="1800" w:type="dxa"/>
            <w:vAlign w:val="bottom"/>
            <w:tcBorders>
              <w:right w:val="single" w:sz="8" w:color="E8EAEB"/>
            </w:tcBorders>
          </w:tcPr>
          <w:p>
            <w:pPr>
              <w:jc w:val="center"/>
              <w:ind w:left="148"/>
              <w:spacing w:after="0" w:line="158" w:lineRule="exact"/>
              <w:rPr>
                <w:sz w:val="20"/>
                <w:szCs w:val="20"/>
                <w:color w:val="auto"/>
              </w:rPr>
            </w:pPr>
            <w:r>
              <w:rPr>
                <w:rFonts w:ascii="Arial" w:cs="Arial" w:eastAsia="Arial" w:hAnsi="Arial"/>
                <w:sz w:val="14"/>
                <w:szCs w:val="14"/>
                <w:b w:val="1"/>
                <w:bCs w:val="1"/>
                <w:color w:val="009FE3"/>
                <w:w w:val="99"/>
              </w:rPr>
              <w:t>Compensation and</w:t>
            </w:r>
          </w:p>
        </w:tc>
        <w:tc>
          <w:tcPr>
            <w:tcW w:w="2080" w:type="dxa"/>
            <w:vAlign w:val="bottom"/>
            <w:tcBorders>
              <w:right w:val="single" w:sz="8" w:color="E8EAEB"/>
            </w:tcBorders>
          </w:tcPr>
          <w:p>
            <w:pPr>
              <w:jc w:val="center"/>
              <w:ind w:left="148"/>
              <w:spacing w:after="0" w:line="158" w:lineRule="exact"/>
              <w:rPr>
                <w:sz w:val="20"/>
                <w:szCs w:val="20"/>
                <w:color w:val="auto"/>
              </w:rPr>
            </w:pPr>
            <w:r>
              <w:rPr>
                <w:rFonts w:ascii="Arial" w:cs="Arial" w:eastAsia="Arial" w:hAnsi="Arial"/>
                <w:sz w:val="14"/>
                <w:szCs w:val="14"/>
                <w:b w:val="1"/>
                <w:bCs w:val="1"/>
                <w:color w:val="009FE3"/>
                <w:w w:val="98"/>
              </w:rPr>
              <w:t>Evaluation and</w:t>
            </w:r>
          </w:p>
        </w:tc>
        <w:tc>
          <w:tcPr>
            <w:tcW w:w="1960" w:type="dxa"/>
            <w:vAlign w:val="bottom"/>
          </w:tcPr>
          <w:p>
            <w:pPr>
              <w:spacing w:after="0"/>
              <w:rPr>
                <w:sz w:val="13"/>
                <w:szCs w:val="13"/>
                <w:color w:val="auto"/>
              </w:rPr>
            </w:pPr>
          </w:p>
        </w:tc>
      </w:tr>
      <w:tr>
        <w:trPr>
          <w:trHeight w:val="158"/>
        </w:trPr>
        <w:tc>
          <w:tcPr>
            <w:tcW w:w="3240" w:type="dxa"/>
            <w:vAlign w:val="bottom"/>
            <w:tcBorders>
              <w:right w:val="single" w:sz="8" w:color="E8EAEB"/>
            </w:tcBorders>
          </w:tcPr>
          <w:p>
            <w:pPr>
              <w:spacing w:after="0"/>
              <w:rPr>
                <w:sz w:val="13"/>
                <w:szCs w:val="13"/>
                <w:color w:val="auto"/>
              </w:rPr>
            </w:pPr>
          </w:p>
        </w:tc>
        <w:tc>
          <w:tcPr>
            <w:tcW w:w="1660" w:type="dxa"/>
            <w:vAlign w:val="bottom"/>
            <w:tcBorders>
              <w:right w:val="single" w:sz="8" w:color="E8EAEB"/>
            </w:tcBorders>
          </w:tcPr>
          <w:p>
            <w:pPr>
              <w:spacing w:after="0"/>
              <w:rPr>
                <w:sz w:val="13"/>
                <w:szCs w:val="13"/>
                <w:color w:val="auto"/>
              </w:rPr>
            </w:pPr>
          </w:p>
        </w:tc>
        <w:tc>
          <w:tcPr>
            <w:tcW w:w="1800" w:type="dxa"/>
            <w:vAlign w:val="bottom"/>
            <w:tcBorders>
              <w:right w:val="single" w:sz="8" w:color="E8EAEB"/>
            </w:tcBorders>
          </w:tcPr>
          <w:p>
            <w:pPr>
              <w:jc w:val="center"/>
              <w:ind w:left="148"/>
              <w:spacing w:after="0" w:line="158" w:lineRule="exact"/>
              <w:rPr>
                <w:sz w:val="20"/>
                <w:szCs w:val="20"/>
                <w:color w:val="auto"/>
              </w:rPr>
            </w:pPr>
            <w:r>
              <w:rPr>
                <w:rFonts w:ascii="Arial" w:cs="Arial" w:eastAsia="Arial" w:hAnsi="Arial"/>
                <w:sz w:val="14"/>
                <w:szCs w:val="14"/>
                <w:b w:val="1"/>
                <w:bCs w:val="1"/>
                <w:color w:val="009FE3"/>
                <w:w w:val="99"/>
              </w:rPr>
              <w:t>Human Resources</w:t>
            </w:r>
          </w:p>
        </w:tc>
        <w:tc>
          <w:tcPr>
            <w:tcW w:w="2080" w:type="dxa"/>
            <w:vAlign w:val="bottom"/>
            <w:tcBorders>
              <w:right w:val="single" w:sz="8" w:color="E8EAEB"/>
            </w:tcBorders>
          </w:tcPr>
          <w:p>
            <w:pPr>
              <w:jc w:val="center"/>
              <w:ind w:left="148"/>
              <w:spacing w:after="0" w:line="158" w:lineRule="exact"/>
              <w:rPr>
                <w:sz w:val="20"/>
                <w:szCs w:val="20"/>
                <w:color w:val="auto"/>
              </w:rPr>
            </w:pPr>
            <w:r>
              <w:rPr>
                <w:rFonts w:ascii="Arial" w:cs="Arial" w:eastAsia="Arial" w:hAnsi="Arial"/>
                <w:sz w:val="14"/>
                <w:szCs w:val="14"/>
                <w:b w:val="1"/>
                <w:bCs w:val="1"/>
                <w:color w:val="009FE3"/>
                <w:w w:val="98"/>
              </w:rPr>
              <w:t>Corporate Governance</w:t>
            </w:r>
          </w:p>
        </w:tc>
        <w:tc>
          <w:tcPr>
            <w:tcW w:w="1960" w:type="dxa"/>
            <w:vAlign w:val="bottom"/>
          </w:tcPr>
          <w:p>
            <w:pPr>
              <w:jc w:val="center"/>
              <w:ind w:left="163"/>
              <w:spacing w:after="0" w:line="158" w:lineRule="exact"/>
              <w:rPr>
                <w:sz w:val="20"/>
                <w:szCs w:val="20"/>
                <w:color w:val="auto"/>
              </w:rPr>
            </w:pPr>
            <w:r>
              <w:rPr>
                <w:rFonts w:ascii="Arial" w:cs="Arial" w:eastAsia="Arial" w:hAnsi="Arial"/>
                <w:sz w:val="14"/>
                <w:szCs w:val="14"/>
                <w:b w:val="1"/>
                <w:bCs w:val="1"/>
                <w:color w:val="009FE3"/>
                <w:w w:val="99"/>
              </w:rPr>
              <w:t>Banking and Finance</w:t>
            </w:r>
          </w:p>
        </w:tc>
      </w:tr>
      <w:tr>
        <w:trPr>
          <w:trHeight w:val="193"/>
        </w:trPr>
        <w:tc>
          <w:tcPr>
            <w:tcW w:w="32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Director</w:t>
            </w:r>
          </w:p>
        </w:tc>
        <w:tc>
          <w:tcPr>
            <w:tcW w:w="1660" w:type="dxa"/>
            <w:vAlign w:val="bottom"/>
            <w:tcBorders>
              <w:bottom w:val="single" w:sz="8" w:color="009FE3"/>
              <w:right w:val="single" w:sz="8" w:color="E8EAEB"/>
            </w:tcBorders>
          </w:tcPr>
          <w:p>
            <w:pPr>
              <w:jc w:val="center"/>
              <w:ind w:left="107"/>
              <w:spacing w:after="0"/>
              <w:rPr>
                <w:sz w:val="20"/>
                <w:szCs w:val="20"/>
                <w:color w:val="auto"/>
              </w:rPr>
            </w:pPr>
            <w:r>
              <w:rPr>
                <w:rFonts w:ascii="Arial" w:cs="Arial" w:eastAsia="Arial" w:hAnsi="Arial"/>
                <w:sz w:val="14"/>
                <w:szCs w:val="14"/>
                <w:b w:val="1"/>
                <w:bCs w:val="1"/>
                <w:color w:val="009FE3"/>
                <w:w w:val="99"/>
              </w:rPr>
              <w:t>Audit Committee</w:t>
            </w:r>
          </w:p>
        </w:tc>
        <w:tc>
          <w:tcPr>
            <w:tcW w:w="1800" w:type="dxa"/>
            <w:vAlign w:val="bottom"/>
            <w:tcBorders>
              <w:bottom w:val="single" w:sz="8" w:color="009FE3"/>
              <w:right w:val="single" w:sz="8" w:color="E8EAEB"/>
            </w:tcBorders>
          </w:tcPr>
          <w:p>
            <w:pPr>
              <w:jc w:val="center"/>
              <w:ind w:left="128"/>
              <w:spacing w:after="0"/>
              <w:rPr>
                <w:sz w:val="20"/>
                <w:szCs w:val="20"/>
                <w:color w:val="auto"/>
              </w:rPr>
            </w:pPr>
            <w:r>
              <w:rPr>
                <w:rFonts w:ascii="Arial" w:cs="Arial" w:eastAsia="Arial" w:hAnsi="Arial"/>
                <w:sz w:val="14"/>
                <w:szCs w:val="14"/>
                <w:b w:val="1"/>
                <w:bCs w:val="1"/>
                <w:color w:val="009FE3"/>
                <w:w w:val="99"/>
              </w:rPr>
              <w:t>Committee</w:t>
            </w:r>
          </w:p>
        </w:tc>
        <w:tc>
          <w:tcPr>
            <w:tcW w:w="2080" w:type="dxa"/>
            <w:vAlign w:val="bottom"/>
            <w:tcBorders>
              <w:bottom w:val="single" w:sz="8" w:color="009FE3"/>
              <w:right w:val="single" w:sz="8" w:color="E8EAEB"/>
            </w:tcBorders>
          </w:tcPr>
          <w:p>
            <w:pPr>
              <w:jc w:val="center"/>
              <w:ind w:left="148"/>
              <w:spacing w:after="0"/>
              <w:rPr>
                <w:sz w:val="20"/>
                <w:szCs w:val="20"/>
                <w:color w:val="auto"/>
              </w:rPr>
            </w:pPr>
            <w:r>
              <w:rPr>
                <w:rFonts w:ascii="Arial" w:cs="Arial" w:eastAsia="Arial" w:hAnsi="Arial"/>
                <w:sz w:val="14"/>
                <w:szCs w:val="14"/>
                <w:b w:val="1"/>
                <w:bCs w:val="1"/>
                <w:color w:val="009FE3"/>
              </w:rPr>
              <w:t>Committee</w:t>
            </w:r>
          </w:p>
        </w:tc>
        <w:tc>
          <w:tcPr>
            <w:tcW w:w="1960" w:type="dxa"/>
            <w:vAlign w:val="bottom"/>
            <w:tcBorders>
              <w:bottom w:val="single" w:sz="8" w:color="009FE3"/>
            </w:tcBorders>
          </w:tcPr>
          <w:p>
            <w:pPr>
              <w:jc w:val="center"/>
              <w:ind w:left="163"/>
              <w:spacing w:after="0"/>
              <w:rPr>
                <w:sz w:val="20"/>
                <w:szCs w:val="20"/>
                <w:color w:val="auto"/>
              </w:rPr>
            </w:pPr>
            <w:r>
              <w:rPr>
                <w:rFonts w:ascii="Arial" w:cs="Arial" w:eastAsia="Arial" w:hAnsi="Arial"/>
                <w:sz w:val="14"/>
                <w:szCs w:val="14"/>
                <w:b w:val="1"/>
                <w:bCs w:val="1"/>
                <w:color w:val="009FE3"/>
                <w:w w:val="99"/>
              </w:rPr>
              <w:t>Committee</w:t>
            </w:r>
          </w:p>
        </w:tc>
      </w:tr>
      <w:tr>
        <w:trPr>
          <w:trHeight w:val="236"/>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1660" w:type="dxa"/>
            <w:vAlign w:val="bottom"/>
            <w:tcBorders>
              <w:bottom w:val="single" w:sz="8" w:color="E8EAEB"/>
              <w:right w:val="single" w:sz="8" w:color="E8EAEB"/>
            </w:tcBorders>
          </w:tcPr>
          <w:p>
            <w:pPr>
              <w:spacing w:after="0"/>
              <w:rPr>
                <w:sz w:val="20"/>
                <w:szCs w:val="20"/>
                <w:color w:val="auto"/>
              </w:rPr>
            </w:pPr>
          </w:p>
        </w:tc>
        <w:tc>
          <w:tcPr>
            <w:tcW w:w="1800" w:type="dxa"/>
            <w:vAlign w:val="bottom"/>
            <w:tcBorders>
              <w:bottom w:val="single" w:sz="8" w:color="E8EAEB"/>
              <w:right w:val="single" w:sz="8" w:color="E8EAEB"/>
            </w:tcBorders>
          </w:tcPr>
          <w:p>
            <w:pPr>
              <w:spacing w:after="0"/>
              <w:rPr>
                <w:sz w:val="20"/>
                <w:szCs w:val="20"/>
                <w:color w:val="auto"/>
              </w:rPr>
            </w:pPr>
          </w:p>
        </w:tc>
        <w:tc>
          <w:tcPr>
            <w:tcW w:w="2080" w:type="dxa"/>
            <w:vAlign w:val="bottom"/>
            <w:tcBorders>
              <w:bottom w:val="single" w:sz="8" w:color="E8EAEB"/>
              <w:right w:val="single" w:sz="8" w:color="E8EAEB"/>
            </w:tcBorders>
          </w:tcPr>
          <w:p>
            <w:pPr>
              <w:spacing w:after="0"/>
              <w:rPr>
                <w:sz w:val="20"/>
                <w:szCs w:val="20"/>
                <w:color w:val="auto"/>
              </w:rPr>
            </w:pPr>
          </w:p>
        </w:tc>
        <w:tc>
          <w:tcPr>
            <w:tcW w:w="1960" w:type="dxa"/>
            <w:vAlign w:val="bottom"/>
            <w:tcBorders>
              <w:bottom w:val="single" w:sz="8" w:color="E8EAEB"/>
            </w:tcBorders>
          </w:tcPr>
          <w:p>
            <w:pPr>
              <w:jc w:val="center"/>
              <w:ind w:left="143"/>
              <w:spacing w:after="0"/>
              <w:rPr>
                <w:sz w:val="20"/>
                <w:szCs w:val="20"/>
                <w:color w:val="auto"/>
              </w:rPr>
            </w:pPr>
            <w:r>
              <w:rPr>
                <w:rFonts w:ascii="Arial" w:cs="Arial" w:eastAsia="Arial" w:hAnsi="Arial"/>
                <w:sz w:val="16"/>
                <w:szCs w:val="16"/>
                <w:color w:val="202E39"/>
                <w:w w:val="98"/>
              </w:rPr>
              <w:t>Member</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Richard Baldridge</w:t>
            </w:r>
          </w:p>
        </w:tc>
        <w:tc>
          <w:tcPr>
            <w:tcW w:w="1660" w:type="dxa"/>
            <w:vAlign w:val="bottom"/>
            <w:tcBorders>
              <w:bottom w:val="single" w:sz="8" w:color="E8EAEB"/>
              <w:right w:val="single" w:sz="8" w:color="E8EAEB"/>
            </w:tcBorders>
          </w:tcPr>
          <w:p>
            <w:pPr>
              <w:spacing w:after="0"/>
              <w:rPr>
                <w:sz w:val="21"/>
                <w:szCs w:val="21"/>
                <w:color w:val="auto"/>
              </w:rPr>
            </w:pPr>
          </w:p>
        </w:tc>
        <w:tc>
          <w:tcPr>
            <w:tcW w:w="1800" w:type="dxa"/>
            <w:vAlign w:val="bottom"/>
            <w:tcBorders>
              <w:bottom w:val="single" w:sz="8" w:color="E8EAEB"/>
              <w:right w:val="single" w:sz="8" w:color="E8EAEB"/>
            </w:tcBorders>
          </w:tcPr>
          <w:p>
            <w:pPr>
              <w:spacing w:after="0"/>
              <w:rPr>
                <w:sz w:val="21"/>
                <w:szCs w:val="21"/>
                <w:color w:val="auto"/>
              </w:rPr>
            </w:pPr>
          </w:p>
        </w:tc>
        <w:tc>
          <w:tcPr>
            <w:tcW w:w="2080" w:type="dxa"/>
            <w:vAlign w:val="bottom"/>
            <w:tcBorders>
              <w:bottom w:val="single" w:sz="8" w:color="E8EAEB"/>
              <w:right w:val="single" w:sz="8" w:color="E8EAEB"/>
            </w:tcBorders>
          </w:tcPr>
          <w:p>
            <w:pPr>
              <w:spacing w:after="0"/>
              <w:rPr>
                <w:sz w:val="21"/>
                <w:szCs w:val="21"/>
                <w:color w:val="auto"/>
              </w:rPr>
            </w:pPr>
          </w:p>
        </w:tc>
        <w:tc>
          <w:tcPr>
            <w:tcW w:w="1960" w:type="dxa"/>
            <w:vAlign w:val="bottom"/>
            <w:tcBorders>
              <w:bottom w:val="single" w:sz="8" w:color="E8EAEB"/>
            </w:tcBorders>
          </w:tcPr>
          <w:p>
            <w:pPr>
              <w:jc w:val="center"/>
              <w:ind w:left="143"/>
              <w:spacing w:after="0"/>
              <w:rPr>
                <w:sz w:val="20"/>
                <w:szCs w:val="20"/>
                <w:color w:val="auto"/>
              </w:rPr>
            </w:pPr>
            <w:r>
              <w:rPr>
                <w:rFonts w:ascii="Arial" w:cs="Arial" w:eastAsia="Arial" w:hAnsi="Arial"/>
                <w:sz w:val="16"/>
                <w:szCs w:val="16"/>
                <w:color w:val="202E39"/>
                <w:w w:val="98"/>
              </w:rPr>
              <w:t>Member</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James Bridenstine</w:t>
            </w:r>
          </w:p>
        </w:tc>
        <w:tc>
          <w:tcPr>
            <w:tcW w:w="1660" w:type="dxa"/>
            <w:vAlign w:val="bottom"/>
            <w:tcBorders>
              <w:bottom w:val="single" w:sz="8" w:color="E8EAEB"/>
              <w:right w:val="single" w:sz="8" w:color="E8EAEB"/>
            </w:tcBorders>
          </w:tcPr>
          <w:p>
            <w:pPr>
              <w:spacing w:after="0"/>
              <w:rPr>
                <w:sz w:val="21"/>
                <w:szCs w:val="21"/>
                <w:color w:val="auto"/>
              </w:rPr>
            </w:pPr>
          </w:p>
        </w:tc>
        <w:tc>
          <w:tcPr>
            <w:tcW w:w="1800" w:type="dxa"/>
            <w:vAlign w:val="bottom"/>
            <w:tcBorders>
              <w:bottom w:val="single" w:sz="8" w:color="E8EAEB"/>
              <w:right w:val="single" w:sz="8" w:color="E8EAEB"/>
            </w:tcBorders>
          </w:tcPr>
          <w:p>
            <w:pPr>
              <w:spacing w:after="0"/>
              <w:rPr>
                <w:sz w:val="21"/>
                <w:szCs w:val="21"/>
                <w:color w:val="auto"/>
              </w:rPr>
            </w:pPr>
          </w:p>
        </w:tc>
        <w:tc>
          <w:tcPr>
            <w:tcW w:w="208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6"/>
                <w:szCs w:val="16"/>
                <w:color w:val="202E39"/>
                <w:w w:val="82"/>
              </w:rPr>
              <w:t>Member </w:t>
            </w:r>
          </w:p>
        </w:tc>
        <w:tc>
          <w:tcPr>
            <w:tcW w:w="1960" w:type="dxa"/>
            <w:vAlign w:val="bottom"/>
            <w:tcBorders>
              <w:bottom w:val="single" w:sz="8" w:color="E8EAEB"/>
            </w:tcBorders>
          </w:tcPr>
          <w:p>
            <w:pPr>
              <w:jc w:val="center"/>
              <w:ind w:left="143"/>
              <w:spacing w:after="0"/>
              <w:rPr>
                <w:sz w:val="20"/>
                <w:szCs w:val="20"/>
                <w:color w:val="auto"/>
              </w:rPr>
            </w:pPr>
            <w:r>
              <w:rPr>
                <w:rFonts w:ascii="Arial" w:cs="Arial" w:eastAsia="Arial" w:hAnsi="Arial"/>
                <w:sz w:val="16"/>
                <w:szCs w:val="16"/>
                <w:color w:val="202E39"/>
                <w:w w:val="99"/>
              </w:rPr>
              <w:t>Chair</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Robert Johnson (1)(2)</w:t>
            </w:r>
          </w:p>
        </w:tc>
        <w:tc>
          <w:tcPr>
            <w:tcW w:w="1660" w:type="dxa"/>
            <w:vAlign w:val="bottom"/>
            <w:tcBorders>
              <w:bottom w:val="single" w:sz="8" w:color="E8EAEB"/>
              <w:right w:val="single" w:sz="8" w:color="E8EAEB"/>
            </w:tcBorders>
          </w:tcPr>
          <w:p>
            <w:pPr>
              <w:jc w:val="center"/>
              <w:ind w:left="127"/>
              <w:spacing w:after="0"/>
              <w:rPr>
                <w:sz w:val="20"/>
                <w:szCs w:val="20"/>
                <w:color w:val="auto"/>
              </w:rPr>
            </w:pPr>
            <w:r>
              <w:rPr>
                <w:rFonts w:ascii="Arial" w:cs="Arial" w:eastAsia="Arial" w:hAnsi="Arial"/>
                <w:sz w:val="16"/>
                <w:szCs w:val="16"/>
                <w:color w:val="202E39"/>
                <w:w w:val="82"/>
              </w:rPr>
              <w:t>Member </w:t>
            </w:r>
          </w:p>
        </w:tc>
        <w:tc>
          <w:tcPr>
            <w:tcW w:w="1800" w:type="dxa"/>
            <w:vAlign w:val="bottom"/>
            <w:tcBorders>
              <w:bottom w:val="single" w:sz="8" w:color="E8EAEB"/>
              <w:right w:val="single" w:sz="8" w:color="E8EAEB"/>
            </w:tcBorders>
          </w:tcPr>
          <w:p>
            <w:pPr>
              <w:spacing w:after="0"/>
              <w:rPr>
                <w:sz w:val="21"/>
                <w:szCs w:val="21"/>
                <w:color w:val="auto"/>
              </w:rPr>
            </w:pPr>
          </w:p>
        </w:tc>
        <w:tc>
          <w:tcPr>
            <w:tcW w:w="2080" w:type="dxa"/>
            <w:vAlign w:val="bottom"/>
            <w:tcBorders>
              <w:bottom w:val="single" w:sz="8" w:color="E8EAEB"/>
              <w:right w:val="single" w:sz="8" w:color="E8EAEB"/>
            </w:tcBorders>
          </w:tcPr>
          <w:p>
            <w:pPr>
              <w:jc w:val="center"/>
              <w:ind w:left="128"/>
              <w:spacing w:after="0"/>
              <w:rPr>
                <w:sz w:val="20"/>
                <w:szCs w:val="20"/>
                <w:color w:val="auto"/>
              </w:rPr>
            </w:pPr>
            <w:r>
              <w:rPr>
                <w:rFonts w:ascii="Arial" w:cs="Arial" w:eastAsia="Arial" w:hAnsi="Arial"/>
                <w:sz w:val="16"/>
                <w:szCs w:val="16"/>
                <w:color w:val="202E39"/>
                <w:w w:val="94"/>
              </w:rPr>
              <w:t>Chair</w:t>
            </w:r>
          </w:p>
        </w:tc>
        <w:tc>
          <w:tcPr>
            <w:tcW w:w="1960" w:type="dxa"/>
            <w:vAlign w:val="bottom"/>
            <w:tcBorders>
              <w:bottom w:val="single" w:sz="8" w:color="E8EAEB"/>
            </w:tcBorders>
          </w:tcPr>
          <w:p>
            <w:pPr>
              <w:spacing w:after="0"/>
              <w:rPr>
                <w:sz w:val="21"/>
                <w:szCs w:val="21"/>
                <w:color w:val="auto"/>
              </w:rPr>
            </w:pP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Sean Pak</w:t>
            </w:r>
          </w:p>
        </w:tc>
        <w:tc>
          <w:tcPr>
            <w:tcW w:w="1660" w:type="dxa"/>
            <w:vAlign w:val="bottom"/>
            <w:tcBorders>
              <w:bottom w:val="single" w:sz="8" w:color="E8EAEB"/>
              <w:right w:val="single" w:sz="8" w:color="E8EAEB"/>
            </w:tcBorders>
          </w:tcPr>
          <w:p>
            <w:pPr>
              <w:spacing w:after="0"/>
              <w:rPr>
                <w:sz w:val="21"/>
                <w:szCs w:val="21"/>
                <w:color w:val="auto"/>
              </w:rPr>
            </w:pPr>
          </w:p>
        </w:tc>
        <w:tc>
          <w:tcPr>
            <w:tcW w:w="1800" w:type="dxa"/>
            <w:vAlign w:val="bottom"/>
            <w:tcBorders>
              <w:bottom w:val="single" w:sz="8" w:color="E8EAEB"/>
              <w:right w:val="single" w:sz="8" w:color="E8EAEB"/>
            </w:tcBorders>
          </w:tcPr>
          <w:p>
            <w:pPr>
              <w:jc w:val="center"/>
              <w:ind w:left="148"/>
              <w:spacing w:after="0"/>
              <w:rPr>
                <w:sz w:val="20"/>
                <w:szCs w:val="20"/>
                <w:color w:val="auto"/>
              </w:rPr>
            </w:pPr>
            <w:r>
              <w:rPr>
                <w:rFonts w:ascii="Arial" w:cs="Arial" w:eastAsia="Arial" w:hAnsi="Arial"/>
                <w:sz w:val="16"/>
                <w:szCs w:val="16"/>
                <w:color w:val="202E39"/>
                <w:w w:val="82"/>
              </w:rPr>
              <w:t>Member </w:t>
            </w:r>
          </w:p>
        </w:tc>
        <w:tc>
          <w:tcPr>
            <w:tcW w:w="2080" w:type="dxa"/>
            <w:vAlign w:val="bottom"/>
            <w:tcBorders>
              <w:bottom w:val="single" w:sz="8" w:color="E8EAEB"/>
              <w:right w:val="single" w:sz="8" w:color="E8EAEB"/>
            </w:tcBorders>
          </w:tcPr>
          <w:p>
            <w:pPr>
              <w:jc w:val="center"/>
              <w:ind w:left="148"/>
              <w:spacing w:after="0"/>
              <w:rPr>
                <w:sz w:val="20"/>
                <w:szCs w:val="20"/>
                <w:color w:val="auto"/>
              </w:rPr>
            </w:pPr>
            <w:r>
              <w:rPr>
                <w:rFonts w:ascii="Arial" w:cs="Arial" w:eastAsia="Arial" w:hAnsi="Arial"/>
                <w:sz w:val="16"/>
                <w:szCs w:val="16"/>
                <w:color w:val="202E39"/>
                <w:w w:val="98"/>
              </w:rPr>
              <w:t>Member</w:t>
            </w:r>
          </w:p>
        </w:tc>
        <w:tc>
          <w:tcPr>
            <w:tcW w:w="1960" w:type="dxa"/>
            <w:vAlign w:val="bottom"/>
            <w:tcBorders>
              <w:bottom w:val="single" w:sz="8" w:color="E8EAEB"/>
            </w:tcBorders>
          </w:tcPr>
          <w:p>
            <w:pPr>
              <w:spacing w:after="0"/>
              <w:rPr>
                <w:sz w:val="21"/>
                <w:szCs w:val="21"/>
                <w:color w:val="auto"/>
              </w:rPr>
            </w:pP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John Stenbit (1)</w:t>
            </w:r>
          </w:p>
        </w:tc>
        <w:tc>
          <w:tcPr>
            <w:tcW w:w="1660" w:type="dxa"/>
            <w:vAlign w:val="bottom"/>
            <w:tcBorders>
              <w:bottom w:val="single" w:sz="8" w:color="E8EAEB"/>
              <w:right w:val="single" w:sz="8" w:color="E8EAEB"/>
            </w:tcBorders>
          </w:tcPr>
          <w:p>
            <w:pPr>
              <w:jc w:val="center"/>
              <w:ind w:left="127"/>
              <w:spacing w:after="0"/>
              <w:rPr>
                <w:sz w:val="20"/>
                <w:szCs w:val="20"/>
                <w:color w:val="auto"/>
              </w:rPr>
            </w:pPr>
            <w:r>
              <w:rPr>
                <w:rFonts w:ascii="Arial" w:cs="Arial" w:eastAsia="Arial" w:hAnsi="Arial"/>
                <w:sz w:val="16"/>
                <w:szCs w:val="16"/>
                <w:color w:val="202E39"/>
                <w:w w:val="77"/>
              </w:rPr>
              <w:t>Chair </w:t>
            </w:r>
          </w:p>
        </w:tc>
        <w:tc>
          <w:tcPr>
            <w:tcW w:w="1800" w:type="dxa"/>
            <w:vAlign w:val="bottom"/>
            <w:tcBorders>
              <w:bottom w:val="single" w:sz="8" w:color="E8EAEB"/>
              <w:right w:val="single" w:sz="8" w:color="E8EAEB"/>
            </w:tcBorders>
          </w:tcPr>
          <w:p>
            <w:pPr>
              <w:jc w:val="center"/>
              <w:ind w:left="148"/>
              <w:spacing w:after="0"/>
              <w:rPr>
                <w:sz w:val="20"/>
                <w:szCs w:val="20"/>
                <w:color w:val="auto"/>
              </w:rPr>
            </w:pPr>
            <w:r>
              <w:rPr>
                <w:rFonts w:ascii="Arial" w:cs="Arial" w:eastAsia="Arial" w:hAnsi="Arial"/>
                <w:sz w:val="16"/>
                <w:szCs w:val="16"/>
                <w:color w:val="202E39"/>
                <w:w w:val="82"/>
              </w:rPr>
              <w:t>Member </w:t>
            </w:r>
          </w:p>
        </w:tc>
        <w:tc>
          <w:tcPr>
            <w:tcW w:w="2080" w:type="dxa"/>
            <w:vAlign w:val="bottom"/>
            <w:tcBorders>
              <w:bottom w:val="single" w:sz="8" w:color="E8EAEB"/>
              <w:right w:val="single" w:sz="8" w:color="E8EAEB"/>
            </w:tcBorders>
          </w:tcPr>
          <w:p>
            <w:pPr>
              <w:jc w:val="center"/>
              <w:ind w:left="148"/>
              <w:spacing w:after="0"/>
              <w:rPr>
                <w:sz w:val="20"/>
                <w:szCs w:val="20"/>
                <w:color w:val="auto"/>
              </w:rPr>
            </w:pPr>
            <w:r>
              <w:rPr>
                <w:rFonts w:ascii="Arial" w:cs="Arial" w:eastAsia="Arial" w:hAnsi="Arial"/>
                <w:sz w:val="16"/>
                <w:szCs w:val="16"/>
                <w:color w:val="202E39"/>
                <w:w w:val="98"/>
              </w:rPr>
              <w:t>Member</w:t>
            </w:r>
          </w:p>
        </w:tc>
        <w:tc>
          <w:tcPr>
            <w:tcW w:w="1960" w:type="dxa"/>
            <w:vAlign w:val="bottom"/>
            <w:tcBorders>
              <w:bottom w:val="single" w:sz="8" w:color="E8EAEB"/>
            </w:tcBorders>
          </w:tcPr>
          <w:p>
            <w:pPr>
              <w:spacing w:after="0"/>
              <w:rPr>
                <w:sz w:val="21"/>
                <w:szCs w:val="21"/>
                <w:color w:val="auto"/>
              </w:rPr>
            </w:pP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Andrew Sukawaty</w:t>
            </w:r>
          </w:p>
        </w:tc>
        <w:tc>
          <w:tcPr>
            <w:tcW w:w="1660" w:type="dxa"/>
            <w:vAlign w:val="bottom"/>
            <w:tcBorders>
              <w:bottom w:val="single" w:sz="8" w:color="E8EAEB"/>
              <w:right w:val="single" w:sz="8" w:color="E8EAEB"/>
            </w:tcBorders>
          </w:tcPr>
          <w:p>
            <w:pPr>
              <w:jc w:val="center"/>
              <w:ind w:left="127"/>
              <w:spacing w:after="0"/>
              <w:rPr>
                <w:sz w:val="20"/>
                <w:szCs w:val="20"/>
                <w:color w:val="auto"/>
              </w:rPr>
            </w:pPr>
            <w:r>
              <w:rPr>
                <w:rFonts w:ascii="Arial" w:cs="Arial" w:eastAsia="Arial" w:hAnsi="Arial"/>
                <w:sz w:val="16"/>
                <w:szCs w:val="16"/>
                <w:color w:val="202E39"/>
                <w:w w:val="82"/>
              </w:rPr>
              <w:t>Member </w:t>
            </w:r>
          </w:p>
        </w:tc>
        <w:tc>
          <w:tcPr>
            <w:tcW w:w="1800" w:type="dxa"/>
            <w:vAlign w:val="bottom"/>
            <w:tcBorders>
              <w:bottom w:val="single" w:sz="8" w:color="E8EAEB"/>
              <w:right w:val="single" w:sz="8" w:color="E8EAEB"/>
            </w:tcBorders>
          </w:tcPr>
          <w:p>
            <w:pPr>
              <w:jc w:val="center"/>
              <w:ind w:left="108"/>
              <w:spacing w:after="0"/>
              <w:rPr>
                <w:sz w:val="20"/>
                <w:szCs w:val="20"/>
                <w:color w:val="auto"/>
              </w:rPr>
            </w:pPr>
            <w:r>
              <w:rPr>
                <w:rFonts w:ascii="Arial" w:cs="Arial" w:eastAsia="Arial" w:hAnsi="Arial"/>
                <w:sz w:val="16"/>
                <w:szCs w:val="16"/>
                <w:color w:val="202E39"/>
                <w:w w:val="98"/>
              </w:rPr>
              <w:t>Member</w:t>
            </w:r>
          </w:p>
        </w:tc>
        <w:tc>
          <w:tcPr>
            <w:tcW w:w="2080" w:type="dxa"/>
            <w:vAlign w:val="bottom"/>
            <w:tcBorders>
              <w:bottom w:val="single" w:sz="8" w:color="E8EAEB"/>
              <w:right w:val="single" w:sz="8" w:color="E8EAEB"/>
            </w:tcBorders>
          </w:tcPr>
          <w:p>
            <w:pPr>
              <w:spacing w:after="0"/>
              <w:rPr>
                <w:sz w:val="21"/>
                <w:szCs w:val="21"/>
                <w:color w:val="auto"/>
              </w:rPr>
            </w:pPr>
          </w:p>
        </w:tc>
        <w:tc>
          <w:tcPr>
            <w:tcW w:w="1960" w:type="dxa"/>
            <w:vAlign w:val="bottom"/>
            <w:tcBorders>
              <w:bottom w:val="single" w:sz="8" w:color="E8EAEB"/>
            </w:tcBorders>
          </w:tcPr>
          <w:p>
            <w:pPr>
              <w:spacing w:after="0"/>
              <w:rPr>
                <w:sz w:val="21"/>
                <w:szCs w:val="21"/>
                <w:color w:val="auto"/>
              </w:rPr>
            </w:pP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Rajeev Suri</w:t>
            </w:r>
          </w:p>
        </w:tc>
        <w:tc>
          <w:tcPr>
            <w:tcW w:w="1660" w:type="dxa"/>
            <w:vAlign w:val="bottom"/>
            <w:tcBorders>
              <w:bottom w:val="single" w:sz="8" w:color="E8EAEB"/>
              <w:right w:val="single" w:sz="8" w:color="E8EAEB"/>
            </w:tcBorders>
          </w:tcPr>
          <w:p>
            <w:pPr>
              <w:spacing w:after="0"/>
              <w:rPr>
                <w:sz w:val="21"/>
                <w:szCs w:val="21"/>
                <w:color w:val="auto"/>
              </w:rPr>
            </w:pPr>
          </w:p>
        </w:tc>
        <w:tc>
          <w:tcPr>
            <w:tcW w:w="1800" w:type="dxa"/>
            <w:vAlign w:val="bottom"/>
            <w:tcBorders>
              <w:bottom w:val="single" w:sz="8" w:color="E8EAEB"/>
              <w:right w:val="single" w:sz="8" w:color="E8EAEB"/>
            </w:tcBorders>
          </w:tcPr>
          <w:p>
            <w:pPr>
              <w:spacing w:after="0"/>
              <w:rPr>
                <w:sz w:val="21"/>
                <w:szCs w:val="21"/>
                <w:color w:val="auto"/>
              </w:rPr>
            </w:pPr>
          </w:p>
        </w:tc>
        <w:tc>
          <w:tcPr>
            <w:tcW w:w="2080" w:type="dxa"/>
            <w:vAlign w:val="bottom"/>
            <w:tcBorders>
              <w:bottom w:val="single" w:sz="8" w:color="E8EAEB"/>
              <w:right w:val="single" w:sz="8" w:color="E8EAEB"/>
            </w:tcBorders>
          </w:tcPr>
          <w:p>
            <w:pPr>
              <w:spacing w:after="0"/>
              <w:rPr>
                <w:sz w:val="21"/>
                <w:szCs w:val="21"/>
                <w:color w:val="auto"/>
              </w:rPr>
            </w:pPr>
          </w:p>
        </w:tc>
        <w:tc>
          <w:tcPr>
            <w:tcW w:w="1960" w:type="dxa"/>
            <w:vAlign w:val="bottom"/>
            <w:tcBorders>
              <w:bottom w:val="single" w:sz="8" w:color="E8EAEB"/>
            </w:tcBorders>
          </w:tcPr>
          <w:p>
            <w:pPr>
              <w:jc w:val="center"/>
              <w:ind w:left="143"/>
              <w:spacing w:after="0"/>
              <w:rPr>
                <w:sz w:val="20"/>
                <w:szCs w:val="20"/>
                <w:color w:val="auto"/>
              </w:rPr>
            </w:pPr>
            <w:r>
              <w:rPr>
                <w:rFonts w:ascii="Arial" w:cs="Arial" w:eastAsia="Arial" w:hAnsi="Arial"/>
                <w:sz w:val="16"/>
                <w:szCs w:val="16"/>
                <w:color w:val="202E39"/>
                <w:w w:val="98"/>
              </w:rPr>
              <w:t>Member</w:t>
            </w:r>
          </w:p>
        </w:tc>
      </w:tr>
      <w:tr>
        <w:trPr>
          <w:trHeight w:val="243"/>
        </w:trPr>
        <w:tc>
          <w:tcPr>
            <w:tcW w:w="32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Theresa Wise</w:t>
            </w:r>
          </w:p>
        </w:tc>
        <w:tc>
          <w:tcPr>
            <w:tcW w:w="1660" w:type="dxa"/>
            <w:vAlign w:val="bottom"/>
            <w:tcBorders>
              <w:bottom w:val="single" w:sz="8" w:color="009FE3"/>
              <w:right w:val="single" w:sz="8" w:color="E8EAEB"/>
            </w:tcBorders>
          </w:tcPr>
          <w:p>
            <w:pPr>
              <w:jc w:val="center"/>
              <w:ind w:left="127"/>
              <w:spacing w:after="0"/>
              <w:rPr>
                <w:sz w:val="20"/>
                <w:szCs w:val="20"/>
                <w:color w:val="auto"/>
              </w:rPr>
            </w:pPr>
            <w:r>
              <w:rPr>
                <w:rFonts w:ascii="Arial" w:cs="Arial" w:eastAsia="Arial" w:hAnsi="Arial"/>
                <w:sz w:val="16"/>
                <w:szCs w:val="16"/>
                <w:color w:val="202E39"/>
                <w:w w:val="82"/>
              </w:rPr>
              <w:t>Member </w:t>
            </w:r>
          </w:p>
        </w:tc>
        <w:tc>
          <w:tcPr>
            <w:tcW w:w="1800" w:type="dxa"/>
            <w:vAlign w:val="bottom"/>
            <w:tcBorders>
              <w:bottom w:val="single" w:sz="8" w:color="009FE3"/>
              <w:right w:val="single" w:sz="8" w:color="E8EAEB"/>
            </w:tcBorders>
          </w:tcPr>
          <w:p>
            <w:pPr>
              <w:jc w:val="center"/>
              <w:ind w:left="148"/>
              <w:spacing w:after="0"/>
              <w:rPr>
                <w:sz w:val="20"/>
                <w:szCs w:val="20"/>
                <w:color w:val="auto"/>
              </w:rPr>
            </w:pPr>
            <w:r>
              <w:rPr>
                <w:rFonts w:ascii="Arial" w:cs="Arial" w:eastAsia="Arial" w:hAnsi="Arial"/>
                <w:sz w:val="16"/>
                <w:szCs w:val="16"/>
                <w:color w:val="202E39"/>
                <w:w w:val="77"/>
              </w:rPr>
              <w:t>Chair </w:t>
            </w:r>
          </w:p>
        </w:tc>
        <w:tc>
          <w:tcPr>
            <w:tcW w:w="2080" w:type="dxa"/>
            <w:vAlign w:val="bottom"/>
            <w:tcBorders>
              <w:bottom w:val="single" w:sz="8" w:color="009FE3"/>
              <w:right w:val="single" w:sz="8" w:color="E8EAEB"/>
            </w:tcBorders>
          </w:tcPr>
          <w:p>
            <w:pPr>
              <w:spacing w:after="0"/>
              <w:rPr>
                <w:sz w:val="21"/>
                <w:szCs w:val="21"/>
                <w:color w:val="auto"/>
              </w:rPr>
            </w:pPr>
          </w:p>
        </w:tc>
        <w:tc>
          <w:tcPr>
            <w:tcW w:w="1960" w:type="dxa"/>
            <w:vAlign w:val="bottom"/>
            <w:tcBorders>
              <w:bottom w:val="single" w:sz="8" w:color="009FE3"/>
            </w:tcBorders>
          </w:tcPr>
          <w:p>
            <w:pPr>
              <w:jc w:val="center"/>
              <w:ind w:left="143"/>
              <w:spacing w:after="0"/>
              <w:rPr>
                <w:sz w:val="20"/>
                <w:szCs w:val="20"/>
                <w:color w:val="auto"/>
              </w:rPr>
            </w:pPr>
            <w:r>
              <w:rPr>
                <w:rFonts w:ascii="Arial" w:cs="Arial" w:eastAsia="Arial" w:hAnsi="Arial"/>
                <w:sz w:val="16"/>
                <w:szCs w:val="16"/>
                <w:color w:val="202E39"/>
                <w:w w:val="98"/>
              </w:rPr>
              <w:t>Member</w:t>
            </w:r>
          </w:p>
        </w:tc>
      </w:tr>
      <w:tr>
        <w:trPr>
          <w:trHeight w:val="246"/>
        </w:trPr>
        <w:tc>
          <w:tcPr>
            <w:tcW w:w="32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b w:val="1"/>
                <w:bCs w:val="1"/>
                <w:color w:val="202E39"/>
              </w:rPr>
              <w:t>Number of Meetings in Fiscal Year 2024</w:t>
            </w:r>
          </w:p>
        </w:tc>
        <w:tc>
          <w:tcPr>
            <w:tcW w:w="1660" w:type="dxa"/>
            <w:vAlign w:val="bottom"/>
            <w:tcBorders>
              <w:bottom w:val="single" w:sz="8" w:color="009FE3"/>
              <w:right w:val="single" w:sz="8" w:color="E8EAEB"/>
            </w:tcBorders>
          </w:tcPr>
          <w:p>
            <w:pPr>
              <w:jc w:val="center"/>
              <w:ind w:left="147"/>
              <w:spacing w:after="0"/>
              <w:rPr>
                <w:sz w:val="20"/>
                <w:szCs w:val="20"/>
                <w:color w:val="auto"/>
              </w:rPr>
            </w:pPr>
            <w:r>
              <w:rPr>
                <w:rFonts w:ascii="Arial" w:cs="Arial" w:eastAsia="Arial" w:hAnsi="Arial"/>
                <w:sz w:val="10"/>
                <w:szCs w:val="10"/>
                <w:color w:val="202E39"/>
                <w:w w:val="76"/>
              </w:rPr>
              <w:t>5 </w:t>
            </w:r>
          </w:p>
        </w:tc>
        <w:tc>
          <w:tcPr>
            <w:tcW w:w="1800" w:type="dxa"/>
            <w:vAlign w:val="bottom"/>
            <w:tcBorders>
              <w:bottom w:val="single" w:sz="8" w:color="009FE3"/>
              <w:right w:val="single" w:sz="8" w:color="E8EAEB"/>
            </w:tcBorders>
          </w:tcPr>
          <w:p>
            <w:pPr>
              <w:jc w:val="center"/>
              <w:ind w:left="168"/>
              <w:spacing w:after="0"/>
              <w:rPr>
                <w:sz w:val="20"/>
                <w:szCs w:val="20"/>
                <w:color w:val="auto"/>
              </w:rPr>
            </w:pPr>
            <w:r>
              <w:rPr>
                <w:rFonts w:ascii="Arial" w:cs="Arial" w:eastAsia="Arial" w:hAnsi="Arial"/>
                <w:sz w:val="10"/>
                <w:szCs w:val="10"/>
                <w:color w:val="202E39"/>
                <w:w w:val="76"/>
              </w:rPr>
              <w:t>7 </w:t>
            </w:r>
          </w:p>
        </w:tc>
        <w:tc>
          <w:tcPr>
            <w:tcW w:w="2080" w:type="dxa"/>
            <w:vAlign w:val="bottom"/>
            <w:tcBorders>
              <w:bottom w:val="single" w:sz="8" w:color="009FE3"/>
              <w:right w:val="single" w:sz="8" w:color="E8EAEB"/>
            </w:tcBorders>
          </w:tcPr>
          <w:p>
            <w:pPr>
              <w:jc w:val="center"/>
              <w:ind w:left="168"/>
              <w:spacing w:after="0"/>
              <w:rPr>
                <w:sz w:val="20"/>
                <w:szCs w:val="20"/>
                <w:color w:val="auto"/>
              </w:rPr>
            </w:pPr>
            <w:r>
              <w:rPr>
                <w:rFonts w:ascii="Arial" w:cs="Arial" w:eastAsia="Arial" w:hAnsi="Arial"/>
                <w:sz w:val="10"/>
                <w:szCs w:val="10"/>
                <w:color w:val="202E39"/>
                <w:w w:val="76"/>
              </w:rPr>
              <w:t>3 </w:t>
            </w:r>
          </w:p>
        </w:tc>
        <w:tc>
          <w:tcPr>
            <w:tcW w:w="1960" w:type="dxa"/>
            <w:vAlign w:val="bottom"/>
            <w:tcBorders>
              <w:bottom w:val="single" w:sz="8" w:color="009FE3"/>
            </w:tcBorders>
          </w:tcPr>
          <w:p>
            <w:pPr>
              <w:jc w:val="center"/>
              <w:ind w:left="143"/>
              <w:spacing w:after="0"/>
              <w:rPr>
                <w:sz w:val="20"/>
                <w:szCs w:val="20"/>
                <w:color w:val="auto"/>
              </w:rPr>
            </w:pPr>
            <w:r>
              <w:rPr>
                <w:rFonts w:ascii="Arial" w:cs="Arial" w:eastAsia="Arial" w:hAnsi="Arial"/>
                <w:sz w:val="16"/>
                <w:szCs w:val="16"/>
                <w:color w:val="202E39"/>
              </w:rPr>
              <w:t>1</w:t>
            </w:r>
          </w:p>
        </w:tc>
      </w:tr>
    </w:tbl>
    <w:p>
      <w:pPr>
        <w:spacing w:after="0" w:line="109" w:lineRule="exact"/>
        <w:rPr>
          <w:sz w:val="20"/>
          <w:szCs w:val="20"/>
          <w:color w:val="auto"/>
        </w:rPr>
      </w:pPr>
    </w:p>
    <w:p>
      <w:pPr>
        <w:ind w:left="680" w:hanging="419"/>
        <w:spacing w:after="0"/>
        <w:tabs>
          <w:tab w:leader="none" w:pos="68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Determined by the Board to qualify as an “audit committee financial expert.”</w:t>
      </w:r>
    </w:p>
    <w:p>
      <w:pPr>
        <w:spacing w:after="0" w:line="115" w:lineRule="exact"/>
        <w:rPr>
          <w:rFonts w:ascii="Arial" w:cs="Arial" w:eastAsia="Arial" w:hAnsi="Arial"/>
          <w:sz w:val="14"/>
          <w:szCs w:val="14"/>
          <w:color w:val="202E39"/>
        </w:rPr>
      </w:pPr>
    </w:p>
    <w:p>
      <w:pPr>
        <w:ind w:left="680" w:right="180" w:hanging="419"/>
        <w:spacing w:after="0" w:line="270" w:lineRule="auto"/>
        <w:tabs>
          <w:tab w:leader="none" w:pos="68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Mr. Johnson is a Class I director whose term expires at this year’s annual meeting. Mr. Johnson will not be standing for re-election as a director at this year’s annual meeting and Viasat thanks Mr. Johnson for his valuable contributions and leadership during almost four decades of service on our Board of Directors.</w:t>
      </w:r>
    </w:p>
    <w:p>
      <w:pPr>
        <w:spacing w:after="0" w:line="56" w:lineRule="exact"/>
        <w:rPr>
          <w:sz w:val="20"/>
          <w:szCs w:val="20"/>
          <w:color w:val="auto"/>
        </w:rPr>
      </w:pPr>
    </w:p>
    <w:p>
      <w:pPr>
        <w:ind w:left="260" w:right="140"/>
        <w:spacing w:after="0" w:line="245" w:lineRule="auto"/>
        <w:rPr>
          <w:sz w:val="20"/>
          <w:szCs w:val="20"/>
          <w:color w:val="auto"/>
        </w:rPr>
      </w:pPr>
      <w:r>
        <w:rPr>
          <w:rFonts w:ascii="Arial" w:cs="Arial" w:eastAsia="Arial" w:hAnsi="Arial"/>
          <w:sz w:val="16"/>
          <w:szCs w:val="16"/>
          <w:b w:val="1"/>
          <w:bCs w:val="1"/>
          <w:i w:val="1"/>
          <w:iCs w:val="1"/>
          <w:color w:val="009FE3"/>
        </w:rPr>
        <w:t xml:space="preserve">Audit Committee. </w:t>
      </w:r>
      <w:r>
        <w:rPr>
          <w:rFonts w:ascii="Arial" w:cs="Arial" w:eastAsia="Arial" w:hAnsi="Arial"/>
          <w:sz w:val="16"/>
          <w:szCs w:val="16"/>
          <w:color w:val="202E39"/>
        </w:rPr>
        <w:t>The Audit Committee is responsible for reviewing the professional services provided by our independent registered public accounting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has determined that two of the members of our Audit Committee are “audit committee financial experts” as defined by the rules of the SEC. The responsibilities and activities of the Audit Committee are described in greater detail in the Audit Committee Report.</w:t>
      </w:r>
    </w:p>
    <w:p>
      <w:pPr>
        <w:spacing w:after="0" w:line="82" w:lineRule="exact"/>
        <w:rPr>
          <w:sz w:val="20"/>
          <w:szCs w:val="20"/>
          <w:color w:val="auto"/>
        </w:rPr>
      </w:pPr>
    </w:p>
    <w:p>
      <w:pPr>
        <w:ind w:left="260" w:right="40"/>
        <w:spacing w:after="0" w:line="244" w:lineRule="auto"/>
        <w:rPr>
          <w:sz w:val="20"/>
          <w:szCs w:val="20"/>
          <w:color w:val="auto"/>
        </w:rPr>
      </w:pPr>
      <w:r>
        <w:rPr>
          <w:rFonts w:ascii="Arial" w:cs="Arial" w:eastAsia="Arial" w:hAnsi="Arial"/>
          <w:sz w:val="16"/>
          <w:szCs w:val="16"/>
          <w:b w:val="1"/>
          <w:bCs w:val="1"/>
          <w:i w:val="1"/>
          <w:iCs w:val="1"/>
          <w:color w:val="009FE3"/>
        </w:rPr>
        <w:t xml:space="preserve">Compensation and Human Resources Committee. </w:t>
      </w:r>
      <w:r>
        <w:rPr>
          <w:rFonts w:ascii="Arial" w:cs="Arial" w:eastAsia="Arial" w:hAnsi="Arial"/>
          <w:sz w:val="16"/>
          <w:szCs w:val="16"/>
          <w:color w:val="202E39"/>
        </w:rPr>
        <w:t>The Compensation and Human Resources Committee is responsible for designing and evaluating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policies, practices and procedures relating to the compensation of our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w:t>
      </w:r>
    </w:p>
    <w:p>
      <w:pPr>
        <w:spacing w:after="0" w:line="81" w:lineRule="exact"/>
        <w:rPr>
          <w:sz w:val="20"/>
          <w:szCs w:val="20"/>
          <w:color w:val="auto"/>
        </w:rPr>
      </w:pPr>
    </w:p>
    <w:p>
      <w:pPr>
        <w:ind w:left="260" w:right="20"/>
        <w:spacing w:after="0" w:line="249" w:lineRule="auto"/>
        <w:rPr>
          <w:sz w:val="20"/>
          <w:szCs w:val="20"/>
          <w:color w:val="auto"/>
        </w:rPr>
      </w:pPr>
      <w:r>
        <w:rPr>
          <w:rFonts w:ascii="Arial" w:cs="Arial" w:eastAsia="Arial" w:hAnsi="Arial"/>
          <w:sz w:val="16"/>
          <w:szCs w:val="16"/>
          <w:b w:val="1"/>
          <w:bCs w:val="1"/>
          <w:i w:val="1"/>
          <w:iCs w:val="1"/>
          <w:color w:val="009FE3"/>
        </w:rPr>
        <w:t xml:space="preserve">Nomination, Evaluation and Corporate Governance Committee. </w:t>
      </w:r>
      <w:r>
        <w:rPr>
          <w:rFonts w:ascii="Arial" w:cs="Arial" w:eastAsia="Arial" w:hAnsi="Arial"/>
          <w:sz w:val="16"/>
          <w:szCs w:val="16"/>
          <w:color w:val="202E39"/>
        </w:rPr>
        <w:t>The Nomination, Evaluation and Corporate Governance Committee is responsible for</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81915</wp:posOffset>
            </wp:positionV>
            <wp:extent cx="425450" cy="150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8       </w:t>
      </w:r>
    </w:p>
    <w:p>
      <w:pPr>
        <w:sectPr>
          <w:pgSz w:w="11900" w:h="16838" w:orient="portrait"/>
          <w:cols w:equalWidth="0" w:num="1">
            <w:col w:w="11000"/>
          </w:cols>
          <w:pgMar w:left="320" w:top="474"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4540" w:hanging="142"/>
        <w:spacing w:after="0"/>
        <w:tabs>
          <w:tab w:leader="none" w:pos="4540" w:val="left"/>
        </w:tabs>
        <w:numPr>
          <w:ilvl w:val="0"/>
          <w:numId w:val="15"/>
        </w:numPr>
        <w:rPr>
          <w:rFonts w:ascii="Arial" w:cs="Arial" w:eastAsia="Arial" w:hAnsi="Arial"/>
          <w:sz w:val="13"/>
          <w:szCs w:val="13"/>
          <w:color w:val="202E39"/>
        </w:rPr>
      </w:pPr>
      <w:r>
        <w:rPr>
          <w:rFonts w:ascii="Arial" w:cs="Arial" w:eastAsia="Arial" w:hAnsi="Arial"/>
          <w:sz w:val="13"/>
          <w:szCs w:val="13"/>
          <w:color w:val="009FE3"/>
        </w:rPr>
        <w:t>CORPORATE GOVERNANCE PRINCIPLES AND BOARD MATTERS</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Board Committee Composition</w:t>
      </w:r>
    </w:p>
    <w:p>
      <w:pPr>
        <w:spacing w:after="0" w:line="150" w:lineRule="exact"/>
        <w:rPr>
          <w:sz w:val="20"/>
          <w:szCs w:val="20"/>
          <w:color w:val="auto"/>
        </w:rPr>
      </w:pPr>
    </w:p>
    <w:p>
      <w:pPr>
        <w:ind w:left="260" w:right="380"/>
        <w:spacing w:after="0" w:line="254" w:lineRule="auto"/>
        <w:rPr>
          <w:sz w:val="20"/>
          <w:szCs w:val="20"/>
          <w:color w:val="auto"/>
        </w:rPr>
      </w:pPr>
      <w:r>
        <w:rPr>
          <w:rFonts w:ascii="Arial" w:cs="Arial" w:eastAsia="Arial" w:hAnsi="Arial"/>
          <w:sz w:val="16"/>
          <w:szCs w:val="16"/>
          <w:b w:val="1"/>
          <w:bCs w:val="1"/>
          <w:i w:val="1"/>
          <w:iCs w:val="1"/>
          <w:color w:val="009FE3"/>
        </w:rPr>
        <w:t xml:space="preserve">Banking and Finance Committee. </w:t>
      </w:r>
      <w:r>
        <w:rPr>
          <w:rFonts w:ascii="Arial" w:cs="Arial" w:eastAsia="Arial" w:hAnsi="Arial"/>
          <w:sz w:val="16"/>
          <w:szCs w:val="16"/>
          <w:color w:val="202E39"/>
        </w:rPr>
        <w:t>The Banking and Finance Committee is responsible for overseeing certain aspects of corporate finance for the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company, and reviewing and making recommendations to the Board about the company’s financial affairs and policies, including short and long-term financing plans, objectives and principles, borrowings or the issuance of debt and equity securities.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Board Evaluation and Refreshment</w:t>
      </w:r>
    </w:p>
    <w:p>
      <w:pPr>
        <w:spacing w:after="0" w:line="124" w:lineRule="exact"/>
        <w:rPr>
          <w:sz w:val="20"/>
          <w:szCs w:val="20"/>
          <w:color w:val="auto"/>
        </w:rPr>
      </w:pPr>
    </w:p>
    <w:p>
      <w:pPr>
        <w:ind w:left="260" w:right="40"/>
        <w:spacing w:after="0" w:line="249" w:lineRule="auto"/>
        <w:rPr>
          <w:sz w:val="20"/>
          <w:szCs w:val="20"/>
          <w:color w:val="auto"/>
        </w:rPr>
      </w:pPr>
      <w:r>
        <w:rPr>
          <w:rFonts w:ascii="Arial" w:cs="Arial" w:eastAsia="Arial" w:hAnsi="Arial"/>
          <w:sz w:val="16"/>
          <w:szCs w:val="16"/>
          <w:color w:val="202E39"/>
        </w:rPr>
        <w:t>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diversity, integrity, and personal skills and experience in technology, finance, marketing, international business, financial reporting and other areas to deliver the high standard of governance expected by our stockholders.</w:t>
      </w:r>
    </w:p>
    <w:p>
      <w:pPr>
        <w:spacing w:after="0" w:line="78" w:lineRule="exact"/>
        <w:rPr>
          <w:sz w:val="20"/>
          <w:szCs w:val="20"/>
          <w:color w:val="auto"/>
        </w:rPr>
      </w:pPr>
    </w:p>
    <w:p>
      <w:pPr>
        <w:ind w:left="260" w:right="40"/>
        <w:spacing w:after="0" w:line="249" w:lineRule="auto"/>
        <w:rPr>
          <w:sz w:val="20"/>
          <w:szCs w:val="20"/>
          <w:color w:val="auto"/>
        </w:rPr>
      </w:pPr>
      <w:r>
        <w:rPr>
          <w:rFonts w:ascii="Arial" w:cs="Arial" w:eastAsia="Arial" w:hAnsi="Arial"/>
          <w:sz w:val="16"/>
          <w:szCs w:val="16"/>
          <w:color w:val="202E39"/>
        </w:rPr>
        <w:t>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w:t>
      </w:r>
    </w:p>
    <w:p>
      <w:pPr>
        <w:spacing w:after="0" w:line="78" w:lineRule="exact"/>
        <w:rPr>
          <w:sz w:val="20"/>
          <w:szCs w:val="20"/>
          <w:color w:val="auto"/>
        </w:rPr>
      </w:pPr>
    </w:p>
    <w:p>
      <w:pPr>
        <w:ind w:left="260" w:right="160"/>
        <w:spacing w:after="0" w:line="249" w:lineRule="auto"/>
        <w:rPr>
          <w:sz w:val="20"/>
          <w:szCs w:val="20"/>
          <w:color w:val="auto"/>
        </w:rPr>
      </w:pPr>
      <w:r>
        <w:rPr>
          <w:rFonts w:ascii="Arial" w:cs="Arial" w:eastAsia="Arial" w:hAnsi="Arial"/>
          <w:sz w:val="16"/>
          <w:szCs w:val="16"/>
          <w:color w:val="202E39"/>
        </w:rPr>
        <w:t>The Board aims to maintain a balance between institutional knowledge on the Board, which comes in the form of longer 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nominations by the NECG Committee were also made in accordance with the Stockholders Agreement, dated</w:t>
      </w:r>
    </w:p>
    <w:p>
      <w:pPr>
        <w:spacing w:after="0" w:line="14" w:lineRule="exact"/>
        <w:rPr>
          <w:sz w:val="20"/>
          <w:szCs w:val="20"/>
          <w:color w:val="auto"/>
        </w:rPr>
      </w:pPr>
    </w:p>
    <w:p>
      <w:pPr>
        <w:ind w:left="260" w:right="40"/>
        <w:spacing w:after="0" w:line="241" w:lineRule="auto"/>
        <w:rPr>
          <w:sz w:val="20"/>
          <w:szCs w:val="20"/>
          <w:color w:val="auto"/>
        </w:rPr>
      </w:pPr>
      <w:r>
        <w:rPr>
          <w:rFonts w:ascii="Arial" w:cs="Arial" w:eastAsia="Arial" w:hAnsi="Arial"/>
          <w:sz w:val="16"/>
          <w:szCs w:val="16"/>
          <w:color w:val="202E39"/>
        </w:rPr>
        <w:t>November 8, 2021 (the Stockholders Agreement), among Viasat, Inc. and certain former shareholders of Connect Topco Limited, a private company limited by shares and incorporated in Guernsey (Inmarsat Holdings and, together with its subsidiaries, Inmarsat). Under the Stockholders Agreement, effective from and after the closing of our acquisition of Inmarsat Holdings (the Inmarsat Acquisition) on May 30, 2023, the former Inmarsat shareholders party to the Stockholders Agreement (the Investor Sellers) have the right to designate (i) two individuals for nomination to the Board so long as they collectively beneficially own at least 25% of the total outstanding shares of our common stock and (ii) one individual for nomination to the Board so long as they collectively beneficially own at least 15% of the total outstanding shares of our common stock. At the closing of the Inmarsat Acquisition, the Board was expanded from eight to ten directors and Andrew Sukawaty and Rajeev Suri were appointed to the newly created directorships as the Investor Sellers’ designees pursuant to the Stockholders Agreement.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Board’s approach to evaluation and refreshment has led to:</w:t>
      </w:r>
    </w:p>
    <w:p>
      <w:pPr>
        <w:spacing w:after="0" w:line="66" w:lineRule="exact"/>
        <w:rPr>
          <w:sz w:val="20"/>
          <w:szCs w:val="20"/>
          <w:color w:val="auto"/>
        </w:rPr>
      </w:pPr>
    </w:p>
    <w:p>
      <w:pPr>
        <w:ind w:left="780" w:right="80" w:hanging="203"/>
        <w:spacing w:after="0" w:line="254" w:lineRule="auto"/>
        <w:tabs>
          <w:tab w:leader="none" w:pos="780" w:val="left"/>
        </w:tabs>
        <w:numPr>
          <w:ilvl w:val="0"/>
          <w:numId w:val="16"/>
        </w:numPr>
        <w:rPr>
          <w:rFonts w:ascii="Arial" w:cs="Arial" w:eastAsia="Arial" w:hAnsi="Arial"/>
          <w:sz w:val="16"/>
          <w:szCs w:val="16"/>
          <w:color w:val="009FE3"/>
        </w:rPr>
      </w:pPr>
      <w:r>
        <w:rPr>
          <w:rFonts w:ascii="Arial" w:cs="Arial" w:eastAsia="Arial" w:hAnsi="Arial"/>
          <w:sz w:val="16"/>
          <w:szCs w:val="16"/>
          <w:color w:val="202E39"/>
        </w:rPr>
        <w:t>The addition of four new independent directors since 2019, which increased Board diversity and provided valuable expertise on areas of strategic importance, including space innovation and safety, intellectual property development and strategy, international business, aviation, telecommunications and operations;</w:t>
      </w:r>
    </w:p>
    <w:p>
      <w:pPr>
        <w:spacing w:after="0" w:line="33" w:lineRule="exact"/>
        <w:rPr>
          <w:rFonts w:ascii="Arial" w:cs="Arial" w:eastAsia="Arial" w:hAnsi="Arial"/>
          <w:sz w:val="16"/>
          <w:szCs w:val="16"/>
          <w:color w:val="009FE3"/>
        </w:rPr>
      </w:pPr>
    </w:p>
    <w:p>
      <w:pPr>
        <w:ind w:left="780" w:hanging="203"/>
        <w:spacing w:after="0"/>
        <w:tabs>
          <w:tab w:leader="none" w:pos="780" w:val="left"/>
        </w:tabs>
        <w:numPr>
          <w:ilvl w:val="0"/>
          <w:numId w:val="16"/>
        </w:numPr>
        <w:rPr>
          <w:rFonts w:ascii="Arial" w:cs="Arial" w:eastAsia="Arial" w:hAnsi="Arial"/>
          <w:sz w:val="16"/>
          <w:szCs w:val="16"/>
          <w:color w:val="009FE3"/>
        </w:rPr>
      </w:pPr>
      <w:r>
        <w:rPr>
          <w:rFonts w:ascii="Arial" w:cs="Arial" w:eastAsia="Arial" w:hAnsi="Arial"/>
          <w:sz w:val="16"/>
          <w:szCs w:val="16"/>
          <w:color w:val="202E39"/>
        </w:rPr>
        <w:t>A 33% reduction in the average tenure of our independent directors since 2019; and</w:t>
      </w:r>
    </w:p>
    <w:p>
      <w:pPr>
        <w:spacing w:after="0" w:line="65" w:lineRule="exact"/>
        <w:rPr>
          <w:rFonts w:ascii="Arial" w:cs="Arial" w:eastAsia="Arial" w:hAnsi="Arial"/>
          <w:sz w:val="16"/>
          <w:szCs w:val="16"/>
          <w:color w:val="009FE3"/>
        </w:rPr>
      </w:pPr>
    </w:p>
    <w:p>
      <w:pPr>
        <w:ind w:left="780" w:right="600" w:hanging="203"/>
        <w:spacing w:after="0" w:line="269" w:lineRule="auto"/>
        <w:tabs>
          <w:tab w:leader="none" w:pos="780" w:val="left"/>
        </w:tabs>
        <w:numPr>
          <w:ilvl w:val="0"/>
          <w:numId w:val="16"/>
        </w:numPr>
        <w:rPr>
          <w:rFonts w:ascii="Arial" w:cs="Arial" w:eastAsia="Arial" w:hAnsi="Arial"/>
          <w:sz w:val="16"/>
          <w:szCs w:val="16"/>
          <w:color w:val="009FE3"/>
        </w:rPr>
      </w:pPr>
      <w:r>
        <w:rPr>
          <w:rFonts w:ascii="Arial" w:cs="Arial" w:eastAsia="Arial" w:hAnsi="Arial"/>
          <w:sz w:val="16"/>
          <w:szCs w:val="16"/>
          <w:color w:val="202E39"/>
        </w:rPr>
        <w:t>Increased diversity, as 44% of directors identify as belonging to underrepresented communities. Moreover, the Compensation and Human Resources Committee is chaired by a woman.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129540</wp:posOffset>
            </wp:positionV>
            <wp:extent cx="1293495" cy="128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93495" cy="1285240"/>
                    </a:xfrm>
                    <a:prstGeom prst="rect">
                      <a:avLst/>
                    </a:prstGeom>
                    <a:noFill/>
                  </pic:spPr>
                </pic:pic>
              </a:graphicData>
            </a:graphic>
          </wp:anchor>
        </w:drawing>
      </w:r>
    </w:p>
    <w:p>
      <w:pPr>
        <w:spacing w:after="0" w:line="184" w:lineRule="exact"/>
        <w:rPr>
          <w:sz w:val="20"/>
          <w:szCs w:val="20"/>
          <w:color w:val="auto"/>
        </w:rPr>
      </w:pPr>
    </w:p>
    <w:p>
      <w:pPr>
        <w:ind w:left="3220"/>
        <w:spacing w:after="0"/>
        <w:tabs>
          <w:tab w:leader="none" w:pos="5720" w:val="left"/>
        </w:tabs>
        <w:rPr>
          <w:sz w:val="20"/>
          <w:szCs w:val="20"/>
          <w:color w:val="auto"/>
        </w:rPr>
      </w:pPr>
      <w:r>
        <w:rPr>
          <w:sz w:val="1"/>
          <w:szCs w:val="1"/>
          <w:color w:val="auto"/>
        </w:rPr>
        <w:drawing>
          <wp:inline distT="0" distB="0" distL="0" distR="0">
            <wp:extent cx="1285240" cy="12852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1285240"/>
                    </a:xfrm>
                    <a:prstGeom prst="rect">
                      <a:avLst/>
                    </a:prstGeom>
                    <a:noFill/>
                    <a:ln>
                      <a:noFill/>
                    </a:ln>
                  </pic:spPr>
                </pic:pic>
              </a:graphicData>
            </a:graphic>
          </wp:inline>
        </w:drawing>
      </w:r>
      <w:r>
        <w:rPr>
          <w:rFonts w:ascii="Arial" w:cs="Arial" w:eastAsia="Arial" w:hAnsi="Arial"/>
          <w:sz w:val="18"/>
          <w:szCs w:val="18"/>
          <w:color w:val="auto"/>
        </w:rPr>
        <w:t xml:space="preserve">     </w:t>
        <w:tab/>
        <w:t xml:space="preserve">    </w:t>
      </w:r>
    </w:p>
    <w:p>
      <w:pPr>
        <w:spacing w:after="0" w:line="150" w:lineRule="exact"/>
        <w:rPr>
          <w:sz w:val="20"/>
          <w:szCs w:val="20"/>
          <w:color w:val="auto"/>
        </w:rPr>
      </w:pPr>
    </w:p>
    <w:p>
      <w:pPr>
        <w:ind w:left="904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9</w:t>
      </w:r>
    </w:p>
    <w:p>
      <w:pPr>
        <w:sectPr>
          <w:pgSz w:w="11900" w:h="16838" w:orient="portrait"/>
          <w:cols w:equalWidth="0" w:num="1">
            <w:col w:w="10980"/>
          </w:cols>
          <w:pgMar w:left="320" w:top="474"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Board Evaluation and Refreshment</w:t>
      </w:r>
    </w:p>
    <w:p>
      <w:pPr>
        <w:spacing w:after="0" w:line="139" w:lineRule="exact"/>
        <w:rPr>
          <w:sz w:val="20"/>
          <w:szCs w:val="20"/>
          <w:color w:val="auto"/>
        </w:rPr>
      </w:pPr>
    </w:p>
    <w:p>
      <w:pPr>
        <w:ind w:left="260" w:right="180"/>
        <w:spacing w:after="0" w:line="245" w:lineRule="auto"/>
        <w:rPr>
          <w:sz w:val="20"/>
          <w:szCs w:val="20"/>
          <w:color w:val="auto"/>
        </w:rPr>
      </w:pPr>
      <w:r>
        <w:rPr>
          <w:rFonts w:ascii="Arial" w:cs="Arial" w:eastAsia="Arial" w:hAnsi="Arial"/>
          <w:sz w:val="16"/>
          <w:szCs w:val="16"/>
          <w:color w:val="202E39"/>
        </w:rPr>
        <w:t>In recommending candidates for election to the Board, the NECG Committee considers nominees recommended by directors, management and stockholders using the same criteria to evaluate all candidates. The NECG Committee may engage consultants or third-party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w:t>
      </w:r>
    </w:p>
    <w:p>
      <w:pPr>
        <w:spacing w:after="0" w:line="82" w:lineRule="exact"/>
        <w:rPr>
          <w:sz w:val="20"/>
          <w:szCs w:val="20"/>
          <w:color w:val="auto"/>
        </w:rPr>
      </w:pPr>
    </w:p>
    <w:p>
      <w:pPr>
        <w:ind w:left="260"/>
        <w:spacing w:after="0" w:line="261" w:lineRule="auto"/>
        <w:rPr>
          <w:sz w:val="20"/>
          <w:szCs w:val="20"/>
          <w:color w:val="auto"/>
        </w:rPr>
      </w:pPr>
      <w:r>
        <w:rPr>
          <w:rFonts w:ascii="Arial" w:cs="Arial" w:eastAsia="Arial" w:hAnsi="Arial"/>
          <w:sz w:val="15"/>
          <w:szCs w:val="15"/>
          <w:color w:val="202E39"/>
        </w:rPr>
        <w:t>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Communications with the Board</w:t>
      </w:r>
    </w:p>
    <w:p>
      <w:pPr>
        <w:spacing w:after="0" w:line="124" w:lineRule="exact"/>
        <w:rPr>
          <w:sz w:val="20"/>
          <w:szCs w:val="20"/>
          <w:color w:val="auto"/>
        </w:rPr>
      </w:pPr>
    </w:p>
    <w:p>
      <w:pPr>
        <w:ind w:left="260"/>
        <w:spacing w:after="0" w:line="245" w:lineRule="auto"/>
        <w:rPr>
          <w:sz w:val="20"/>
          <w:szCs w:val="20"/>
          <w:color w:val="auto"/>
        </w:rPr>
      </w:pPr>
      <w:r>
        <w:rPr>
          <w:rFonts w:ascii="Arial" w:cs="Arial" w:eastAsia="Arial" w:hAnsi="Arial"/>
          <w:sz w:val="16"/>
          <w:szCs w:val="16"/>
          <w:color w:val="202E39"/>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202E39"/>
        </w:rPr>
        <w:t>Stockholder Engagement</w:t>
      </w:r>
    </w:p>
    <w:p>
      <w:pPr>
        <w:spacing w:after="0" w:line="117"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2024, we engaged in substantive conversations with stockholders representing approximately 76% of our total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81915</wp:posOffset>
            </wp:positionV>
            <wp:extent cx="425450" cy="15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10       </w:t>
      </w:r>
    </w:p>
    <w:p>
      <w:pPr>
        <w:sectPr>
          <w:pgSz w:w="11900" w:h="16838" w:orient="portrait"/>
          <w:cols w:equalWidth="0" w:num="1">
            <w:col w:w="10980"/>
          </w:cols>
          <w:pgMar w:left="320" w:top="474"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4880"/>
        <w:spacing w:after="0"/>
        <w:rPr>
          <w:sz w:val="20"/>
          <w:szCs w:val="20"/>
          <w:color w:val="auto"/>
        </w:rPr>
      </w:pPr>
      <w:r>
        <w:rPr>
          <w:rFonts w:ascii="Arial" w:cs="Arial" w:eastAsia="Arial" w:hAnsi="Arial"/>
          <w:sz w:val="13"/>
          <w:szCs w:val="13"/>
          <w:color w:val="009FE3"/>
        </w:rPr>
        <w:t>CORPORATE GOVERNANCE PRINCIPLES AND BOARD MATTERS</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Stockholder Engagement</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009FE3"/>
        </w:rPr>
        <w:t>Actions Taken in Response to Stockholder Feedback</w:t>
      </w:r>
    </w:p>
    <w:p>
      <w:pPr>
        <w:spacing w:after="0" w:line="105" w:lineRule="exact"/>
        <w:rPr>
          <w:sz w:val="20"/>
          <w:szCs w:val="20"/>
          <w:color w:val="auto"/>
        </w:rPr>
      </w:pPr>
    </w:p>
    <w:p>
      <w:pPr>
        <w:ind w:left="260" w:right="20"/>
        <w:spacing w:after="0" w:line="247" w:lineRule="auto"/>
        <w:rPr>
          <w:sz w:val="20"/>
          <w:szCs w:val="20"/>
          <w:color w:val="auto"/>
        </w:rPr>
      </w:pPr>
      <w:r>
        <w:rPr>
          <w:rFonts w:ascii="Arial" w:cs="Arial" w:eastAsia="Arial" w:hAnsi="Arial"/>
          <w:sz w:val="16"/>
          <w:szCs w:val="16"/>
          <w:color w:val="202E39"/>
        </w:rPr>
        <w:t>Our Board has demonstrated responsiveness to feedback received during stockholder discussions through the changes we have made to our compensation programs and corporate governance practices. For example, based on stockholder feedback, we implemented a performance-based equity program to further align executive compensation with long-term stockholder interests. To further strengthen the independent oversight of our Board, we appointed a Lead Independent Director. We also modified how bonus targets are set and bonuses are calculated, and enhanced our peer group disclosure to provide additional transparency. A summary of the Board’s responsiveness to stockholder feedback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140970</wp:posOffset>
            </wp:positionV>
            <wp:extent cx="6810375" cy="3329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3329940"/>
                    </a:xfrm>
                    <a:prstGeom prst="rect">
                      <a:avLst/>
                    </a:prstGeom>
                    <a:noFill/>
                  </pic:spPr>
                </pic:pic>
              </a:graphicData>
            </a:graphic>
          </wp:anchor>
        </w:drawing>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420" w:type="dxa"/>
            <w:vAlign w:val="bottom"/>
            <w:shd w:val="clear" w:color="auto" w:fill="009FE3"/>
          </w:tcPr>
          <w:p>
            <w:pPr>
              <w:ind w:left="2300"/>
              <w:spacing w:after="0"/>
              <w:rPr>
                <w:sz w:val="20"/>
                <w:szCs w:val="20"/>
                <w:color w:val="auto"/>
              </w:rPr>
            </w:pPr>
            <w:r>
              <w:rPr>
                <w:rFonts w:ascii="Arial" w:cs="Arial" w:eastAsia="Arial" w:hAnsi="Arial"/>
                <w:sz w:val="14"/>
                <w:szCs w:val="14"/>
                <w:b w:val="1"/>
                <w:bCs w:val="1"/>
                <w:color w:val="FFFFFF"/>
              </w:rPr>
              <w:t>What We Heard</w:t>
            </w:r>
          </w:p>
        </w:tc>
        <w:tc>
          <w:tcPr>
            <w:tcW w:w="5320" w:type="dxa"/>
            <w:vAlign w:val="bottom"/>
            <w:shd w:val="clear" w:color="auto" w:fill="009FE3"/>
          </w:tcPr>
          <w:p>
            <w:pPr>
              <w:ind w:left="2280"/>
              <w:spacing w:after="0"/>
              <w:rPr>
                <w:sz w:val="20"/>
                <w:szCs w:val="20"/>
                <w:color w:val="auto"/>
              </w:rPr>
            </w:pPr>
            <w:r>
              <w:rPr>
                <w:rFonts w:ascii="Arial" w:cs="Arial" w:eastAsia="Arial" w:hAnsi="Arial"/>
                <w:sz w:val="14"/>
                <w:szCs w:val="14"/>
                <w:b w:val="1"/>
                <w:bCs w:val="1"/>
                <w:color w:val="FFFFFF"/>
              </w:rPr>
              <w:t>What We Did</w:t>
            </w:r>
          </w:p>
        </w:tc>
      </w:tr>
      <w:tr>
        <w:trPr>
          <w:trHeight w:val="198"/>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w:t>
            </w:r>
          </w:p>
        </w:tc>
      </w:tr>
      <w:tr>
        <w:trPr>
          <w:trHeight w:val="207"/>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stockholder interests</w:t>
            </w:r>
          </w:p>
        </w:tc>
        <w:tc>
          <w:tcPr>
            <w:tcW w:w="5320" w:type="dxa"/>
            <w:vAlign w:val="bottom"/>
            <w:shd w:val="clear" w:color="auto" w:fill="EDEEEF"/>
          </w:tcPr>
          <w:p>
            <w:pPr>
              <w:spacing w:after="0"/>
              <w:rPr>
                <w:sz w:val="17"/>
                <w:szCs w:val="17"/>
                <w:color w:val="auto"/>
              </w:rPr>
            </w:pPr>
          </w:p>
        </w:tc>
      </w:tr>
      <w:tr>
        <w:trPr>
          <w:trHeight w:val="237"/>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Seek further independent oversight of the Board</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Appointed a Lead Independent Director</w:t>
            </w:r>
          </w:p>
        </w:tc>
      </w:tr>
      <w:tr>
        <w:trPr>
          <w:trHeight w:val="21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bonus payouts</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207"/>
        </w:trPr>
        <w:tc>
          <w:tcPr>
            <w:tcW w:w="5420" w:type="dxa"/>
            <w:vAlign w:val="bottom"/>
            <w:shd w:val="clear" w:color="auto" w:fill="EDEEEF"/>
          </w:tcPr>
          <w:p>
            <w:pPr>
              <w:spacing w:after="0"/>
              <w:rPr>
                <w:sz w:val="17"/>
                <w:szCs w:val="17"/>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w:t>
            </w:r>
          </w:p>
        </w:tc>
      </w:tr>
      <w:tr>
        <w:trPr>
          <w:trHeight w:val="21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207"/>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percentages for each executive officer</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w:t>
            </w:r>
          </w:p>
        </w:tc>
      </w:tr>
      <w:tr>
        <w:trPr>
          <w:trHeight w:val="21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 a maximum cap on annual bonus payouts</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207"/>
        </w:trPr>
        <w:tc>
          <w:tcPr>
            <w:tcW w:w="5420" w:type="dxa"/>
            <w:vAlign w:val="bottom"/>
            <w:shd w:val="clear" w:color="auto" w:fill="EDEEEF"/>
          </w:tcPr>
          <w:p>
            <w:pPr>
              <w:spacing w:after="0"/>
              <w:rPr>
                <w:sz w:val="17"/>
                <w:szCs w:val="17"/>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w:t>
            </w:r>
          </w:p>
        </w:tc>
      </w:tr>
      <w:tr>
        <w:trPr>
          <w:trHeight w:val="237"/>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 proxy statement</w:t>
            </w:r>
          </w:p>
        </w:tc>
      </w:tr>
      <w:tr>
        <w:trPr>
          <w:trHeight w:val="21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 a clawback policy</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w w:val="98"/>
              </w:rPr>
              <w:t>Adopted a clawback policy to enable recovery of cash and equity incentive</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(including time-based and performance-based equity</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awards) related to a financial restatement resulting from an executive</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w w:val="99"/>
              </w:rPr>
              <w:t>officer’s misconduct. In fiscal year 2024, we also adopted a compensation</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w w:val="99"/>
              </w:rPr>
              <w:t>recovery policy as required by Rule 10D-1 under the Securities Exchange</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Act of 1934, as amended, and the corresponding rules adopted by</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NASDAQ, which provides for the mandatory recovery of certain</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w w:val="98"/>
              </w:rPr>
              <w:t>erroneously awarded incentive compensation from our officers in the event</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of an accounting restatement to correct the Company’s material</w:t>
            </w:r>
          </w:p>
        </w:tc>
      </w:tr>
      <w:tr>
        <w:trPr>
          <w:trHeight w:val="184"/>
        </w:trPr>
        <w:tc>
          <w:tcPr>
            <w:tcW w:w="5420" w:type="dxa"/>
            <w:vAlign w:val="bottom"/>
            <w:shd w:val="clear" w:color="auto" w:fill="EDEEEF"/>
          </w:tcPr>
          <w:p>
            <w:pPr>
              <w:spacing w:after="0"/>
              <w:rPr>
                <w:sz w:val="16"/>
                <w:szCs w:val="16"/>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noncompliance with any financial reporting requirement under securities</w:t>
            </w:r>
          </w:p>
        </w:tc>
      </w:tr>
      <w:tr>
        <w:trPr>
          <w:trHeight w:val="207"/>
        </w:trPr>
        <w:tc>
          <w:tcPr>
            <w:tcW w:w="5420" w:type="dxa"/>
            <w:vAlign w:val="bottom"/>
            <w:shd w:val="clear" w:color="auto" w:fill="EDEEEF"/>
          </w:tcPr>
          <w:p>
            <w:pPr>
              <w:spacing w:after="0"/>
              <w:rPr>
                <w:sz w:val="17"/>
                <w:szCs w:val="17"/>
                <w:color w:val="auto"/>
              </w:rPr>
            </w:pP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laws.</w:t>
            </w:r>
          </w:p>
        </w:tc>
      </w:tr>
      <w:tr>
        <w:trPr>
          <w:trHeight w:val="21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Provide more transparency into environmental, social and governance</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Published an Environmental, Social and Governance Impact Report, in</w:t>
            </w:r>
          </w:p>
        </w:tc>
      </w:tr>
      <w:tr>
        <w:trPr>
          <w:trHeight w:val="184"/>
        </w:trPr>
        <w:tc>
          <w:tcPr>
            <w:tcW w:w="54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matters</w:t>
            </w:r>
          </w:p>
        </w:tc>
        <w:tc>
          <w:tcPr>
            <w:tcW w:w="532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accordance with Global Reporting Initiative (GRI) and Sustainability</w:t>
            </w:r>
          </w:p>
        </w:tc>
      </w:tr>
      <w:tr>
        <w:trPr>
          <w:trHeight w:val="216"/>
        </w:trPr>
        <w:tc>
          <w:tcPr>
            <w:tcW w:w="5420" w:type="dxa"/>
            <w:vAlign w:val="bottom"/>
            <w:tcBorders>
              <w:bottom w:val="single" w:sz="8" w:color="009FE3"/>
            </w:tcBorders>
            <w:shd w:val="clear" w:color="auto" w:fill="EDEEEF"/>
          </w:tcPr>
          <w:p>
            <w:pPr>
              <w:spacing w:after="0"/>
              <w:rPr>
                <w:sz w:val="18"/>
                <w:szCs w:val="18"/>
                <w:color w:val="auto"/>
              </w:rPr>
            </w:pPr>
          </w:p>
        </w:tc>
        <w:tc>
          <w:tcPr>
            <w:tcW w:w="532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Accounting Standards Board (SASB) frameworks</w:t>
            </w:r>
          </w:p>
        </w:tc>
      </w:tr>
    </w:tbl>
    <w:p>
      <w:pPr>
        <w:spacing w:after="0" w:line="93"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color w:val="202E39"/>
        </w:rPr>
        <w:t>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w:t>
      </w:r>
    </w:p>
    <w:p>
      <w:pPr>
        <w:spacing w:after="0" w:line="103"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11</w:t>
      </w:r>
    </w:p>
    <w:p>
      <w:pPr>
        <w:sectPr>
          <w:pgSz w:w="11900" w:h="16838" w:orient="portrait"/>
          <w:cols w:equalWidth="0" w:num="1">
            <w:col w:w="11000"/>
          </w:cols>
          <w:pgMar w:left="320" w:top="474" w:right="5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PROPOSAL 1:</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Election of Directors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Overview</w:t>
      </w:r>
    </w:p>
    <w:p>
      <w:pPr>
        <w:spacing w:after="0" w:line="108" w:lineRule="exact"/>
        <w:rPr>
          <w:sz w:val="20"/>
          <w:szCs w:val="20"/>
          <w:color w:val="auto"/>
        </w:rPr>
      </w:pPr>
    </w:p>
    <w:p>
      <w:pPr>
        <w:ind w:left="260" w:right="120"/>
        <w:spacing w:after="0" w:line="244" w:lineRule="auto"/>
        <w:rPr>
          <w:sz w:val="20"/>
          <w:szCs w:val="20"/>
          <w:color w:val="auto"/>
        </w:rPr>
      </w:pPr>
      <w:r>
        <w:rPr>
          <w:rFonts w:ascii="Arial" w:cs="Arial" w:eastAsia="Arial" w:hAnsi="Arial"/>
          <w:sz w:val="16"/>
          <w:szCs w:val="16"/>
          <w:color w:val="202E39"/>
        </w:rPr>
        <w:t>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At this year’s annual meeting of stockholders, we will elect three Class I directors to hold office until the 2027 annual meeting. One of our existing Class I directors, Robert Johnson, will not be standing for re-election, and his seat will remain vacant at this time. At next year’s annual meeting of stockholders, we will elect three Class II directors to hold office until the 2028 annual meeting, and the following year, we will elect two Class III directors to hold office until the 2029 annual meeting. Thereafter, elections will continue in a similar manner at subsequent annual meetings. Each elected director will continue to serve until his or her successor is duly elected or appointed.</w:t>
      </w:r>
    </w:p>
    <w:p>
      <w:pPr>
        <w:spacing w:after="0" w:line="84" w:lineRule="exact"/>
        <w:rPr>
          <w:sz w:val="20"/>
          <w:szCs w:val="20"/>
          <w:color w:val="auto"/>
        </w:rPr>
      </w:pPr>
    </w:p>
    <w:p>
      <w:pPr>
        <w:ind w:left="260" w:right="20"/>
        <w:spacing w:after="0" w:line="244" w:lineRule="auto"/>
        <w:rPr>
          <w:sz w:val="20"/>
          <w:szCs w:val="20"/>
          <w:color w:val="auto"/>
        </w:rPr>
      </w:pPr>
      <w:r>
        <w:rPr>
          <w:rFonts w:ascii="Arial" w:cs="Arial" w:eastAsia="Arial" w:hAnsi="Arial"/>
          <w:sz w:val="16"/>
          <w:szCs w:val="16"/>
          <w:color w:val="202E39"/>
        </w:rPr>
        <w:t xml:space="preserve">The Board unanimously nominated John Stenbit, Andrew Sukawaty and Theresa Wise as Class I nominees for election to the Board. As discussed above under “Board Evaluation and Refreshment,” Mr. Sukawaty has been nominated for election pursuant to the Stockholders Agreement entered into in connection with the Inmarsat Acquisition as one of the designees of the Investor Sellers thereunder. Unless proxy cards are otherwise marked, the persons named as proxies will vote all proxies received </w:t>
      </w:r>
      <w:r>
        <w:rPr>
          <w:rFonts w:ascii="Arial" w:cs="Arial" w:eastAsia="Arial" w:hAnsi="Arial"/>
          <w:sz w:val="16"/>
          <w:szCs w:val="16"/>
          <w:b w:val="1"/>
          <w:bCs w:val="1"/>
          <w:color w:val="202E39"/>
        </w:rPr>
        <w:t>“FOR”</w:t>
      </w:r>
      <w:r>
        <w:rPr>
          <w:rFonts w:ascii="Arial" w:cs="Arial" w:eastAsia="Arial" w:hAnsi="Arial"/>
          <w:sz w:val="16"/>
          <w:szCs w:val="16"/>
          <w:color w:val="202E39"/>
        </w:rPr>
        <w:t xml:space="preserve"> the election of Messrs. Stenbit and Sukawaty and Dr. Wise.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84" w:lineRule="exact"/>
        <w:rPr>
          <w:sz w:val="20"/>
          <w:szCs w:val="20"/>
          <w:color w:val="auto"/>
        </w:rPr>
      </w:pPr>
    </w:p>
    <w:p>
      <w:pPr>
        <w:ind w:left="260" w:right="300"/>
        <w:spacing w:after="0" w:line="269" w:lineRule="auto"/>
        <w:rPr>
          <w:sz w:val="20"/>
          <w:szCs w:val="20"/>
          <w:color w:val="auto"/>
        </w:rPr>
      </w:pPr>
      <w:r>
        <w:rPr>
          <w:rFonts w:ascii="Arial" w:cs="Arial" w:eastAsia="Arial" w:hAnsi="Arial"/>
          <w:sz w:val="16"/>
          <w:szCs w:val="16"/>
          <w:color w:val="202E39"/>
        </w:rPr>
        <w:t>The following table sets forth the age, the positions currently held with Viasat, the year in which the current term will expire, and the class of director of each nominee to be elected at the annual meeting or director whose term of office will extend beyond the annual meeting.</w:t>
      </w:r>
    </w:p>
    <w:p>
      <w:pPr>
        <w:spacing w:after="0" w:line="184" w:lineRule="exact"/>
        <w:rPr>
          <w:sz w:val="20"/>
          <w:szCs w:val="20"/>
          <w:color w:val="auto"/>
        </w:rPr>
      </w:pPr>
    </w:p>
    <w:tbl>
      <w:tblPr>
        <w:tblLayout w:type="fixed"/>
        <w:tblInd w:w="260" w:type="dxa"/>
        <w:tblCellMar>
          <w:top w:w="0" w:type="dxa"/>
          <w:left w:w="0" w:type="dxa"/>
          <w:bottom w:w="0" w:type="dxa"/>
          <w:right w:w="0" w:type="dxa"/>
        </w:tblCellMar>
      </w:tblPr>
      <w:tr>
        <w:trPr>
          <w:trHeight w:val="222"/>
        </w:trPr>
        <w:tc>
          <w:tcPr>
            <w:tcW w:w="1940" w:type="dxa"/>
            <w:vAlign w:val="bottom"/>
            <w:tcBorders>
              <w:top w:val="single" w:sz="8" w:color="E8EAEB"/>
              <w:right w:val="single" w:sz="8" w:color="E8EAEB"/>
            </w:tcBorders>
          </w:tcPr>
          <w:p>
            <w:pPr>
              <w:spacing w:after="0"/>
              <w:rPr>
                <w:sz w:val="19"/>
                <w:szCs w:val="19"/>
                <w:color w:val="auto"/>
              </w:rPr>
            </w:pPr>
          </w:p>
        </w:tc>
        <w:tc>
          <w:tcPr>
            <w:tcW w:w="600" w:type="dxa"/>
            <w:vAlign w:val="bottom"/>
            <w:tcBorders>
              <w:top w:val="single" w:sz="8" w:color="E8EAEB"/>
              <w:right w:val="single" w:sz="8" w:color="E8EAEB"/>
            </w:tcBorders>
          </w:tcPr>
          <w:p>
            <w:pPr>
              <w:spacing w:after="0"/>
              <w:rPr>
                <w:sz w:val="19"/>
                <w:szCs w:val="19"/>
                <w:color w:val="auto"/>
              </w:rPr>
            </w:pPr>
          </w:p>
        </w:tc>
        <w:tc>
          <w:tcPr>
            <w:tcW w:w="5480" w:type="dxa"/>
            <w:vAlign w:val="bottom"/>
            <w:tcBorders>
              <w:top w:val="single" w:sz="8" w:color="E8EAEB"/>
              <w:right w:val="single" w:sz="8" w:color="E8EAEB"/>
            </w:tcBorders>
          </w:tcPr>
          <w:p>
            <w:pPr>
              <w:spacing w:after="0"/>
              <w:rPr>
                <w:sz w:val="19"/>
                <w:szCs w:val="19"/>
                <w:color w:val="auto"/>
              </w:rPr>
            </w:pPr>
          </w:p>
        </w:tc>
        <w:tc>
          <w:tcPr>
            <w:tcW w:w="1160" w:type="dxa"/>
            <w:vAlign w:val="bottom"/>
            <w:tcBorders>
              <w:top w:val="single" w:sz="8" w:color="E8EAEB"/>
              <w:right w:val="single" w:sz="8" w:color="E8EAEB"/>
            </w:tcBorders>
          </w:tcPr>
          <w:p>
            <w:pPr>
              <w:jc w:val="center"/>
              <w:ind w:right="3"/>
              <w:spacing w:after="0"/>
              <w:rPr>
                <w:sz w:val="20"/>
                <w:szCs w:val="20"/>
                <w:color w:val="auto"/>
              </w:rPr>
            </w:pPr>
            <w:r>
              <w:rPr>
                <w:rFonts w:ascii="Arial" w:cs="Arial" w:eastAsia="Arial" w:hAnsi="Arial"/>
                <w:sz w:val="11"/>
                <w:szCs w:val="11"/>
                <w:b w:val="1"/>
                <w:bCs w:val="1"/>
                <w:color w:val="009FE3"/>
                <w:w w:val="71"/>
              </w:rPr>
              <w:t> </w:t>
            </w:r>
          </w:p>
        </w:tc>
        <w:tc>
          <w:tcPr>
            <w:tcW w:w="11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6"/>
                <w:szCs w:val="16"/>
                <w:b w:val="1"/>
                <w:bCs w:val="1"/>
                <w:color w:val="009FE3"/>
                <w:w w:val="74"/>
              </w:rPr>
              <w:t> </w:t>
            </w:r>
          </w:p>
        </w:tc>
        <w:tc>
          <w:tcPr>
            <w:tcW w:w="440" w:type="dxa"/>
            <w:vAlign w:val="bottom"/>
            <w:tcBorders>
              <w:top w:val="single" w:sz="8" w:color="E8EAEB"/>
            </w:tcBorders>
          </w:tcPr>
          <w:p>
            <w:pPr>
              <w:spacing w:after="0"/>
              <w:rPr>
                <w:sz w:val="19"/>
                <w:szCs w:val="19"/>
                <w:color w:val="auto"/>
              </w:rPr>
            </w:pPr>
          </w:p>
        </w:tc>
      </w:tr>
      <w:tr>
        <w:trPr>
          <w:trHeight w:val="221"/>
        </w:trPr>
        <w:tc>
          <w:tcPr>
            <w:tcW w:w="19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b w:val="1"/>
                <w:bCs w:val="1"/>
                <w:color w:val="009FE3"/>
              </w:rPr>
              <w:t>Name</w:t>
            </w:r>
          </w:p>
        </w:tc>
        <w:tc>
          <w:tcPr>
            <w:tcW w:w="60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6"/>
                <w:szCs w:val="16"/>
                <w:b w:val="1"/>
                <w:bCs w:val="1"/>
                <w:color w:val="009FE3"/>
              </w:rPr>
              <w:t>Age</w:t>
            </w:r>
          </w:p>
        </w:tc>
        <w:tc>
          <w:tcPr>
            <w:tcW w:w="5480" w:type="dxa"/>
            <w:vAlign w:val="bottom"/>
            <w:tcBorders>
              <w:bottom w:val="single" w:sz="8" w:color="009FE3"/>
              <w:right w:val="single" w:sz="8" w:color="E8EAEB"/>
            </w:tcBorders>
          </w:tcPr>
          <w:p>
            <w:pPr>
              <w:ind w:left="1980"/>
              <w:spacing w:after="0"/>
              <w:rPr>
                <w:sz w:val="20"/>
                <w:szCs w:val="20"/>
                <w:color w:val="auto"/>
              </w:rPr>
            </w:pPr>
            <w:r>
              <w:rPr>
                <w:rFonts w:ascii="Arial" w:cs="Arial" w:eastAsia="Arial" w:hAnsi="Arial"/>
                <w:sz w:val="16"/>
                <w:szCs w:val="16"/>
                <w:b w:val="1"/>
                <w:bCs w:val="1"/>
                <w:color w:val="009FE3"/>
              </w:rPr>
              <w:t>Position with Viasat</w:t>
            </w:r>
          </w:p>
        </w:tc>
        <w:tc>
          <w:tcPr>
            <w:tcW w:w="1160" w:type="dxa"/>
            <w:vAlign w:val="bottom"/>
            <w:tcBorders>
              <w:bottom w:val="single" w:sz="8" w:color="009FE3"/>
              <w:right w:val="single" w:sz="8" w:color="E8EAEB"/>
            </w:tcBorders>
          </w:tcPr>
          <w:p>
            <w:pPr>
              <w:spacing w:after="0"/>
              <w:rPr>
                <w:sz w:val="20"/>
                <w:szCs w:val="20"/>
                <w:color w:val="auto"/>
              </w:rPr>
            </w:pPr>
            <w:r>
              <w:rPr>
                <w:rFonts w:ascii="Arial" w:cs="Arial" w:eastAsia="Arial" w:hAnsi="Arial"/>
                <w:sz w:val="16"/>
                <w:szCs w:val="16"/>
                <w:b w:val="1"/>
                <w:bCs w:val="1"/>
                <w:color w:val="009FE3"/>
              </w:rPr>
              <w:t>Director Since</w:t>
            </w:r>
          </w:p>
        </w:tc>
        <w:tc>
          <w:tcPr>
            <w:tcW w:w="1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b w:val="1"/>
                <w:bCs w:val="1"/>
                <w:color w:val="009FE3"/>
                <w:w w:val="93"/>
              </w:rPr>
              <w:t>Term Expires </w:t>
            </w:r>
          </w:p>
        </w:tc>
        <w:tc>
          <w:tcPr>
            <w:tcW w:w="440" w:type="dxa"/>
            <w:vAlign w:val="bottom"/>
            <w:tcBorders>
              <w:bottom w:val="single" w:sz="8" w:color="009FE3"/>
            </w:tcBorders>
          </w:tcPr>
          <w:p>
            <w:pPr>
              <w:jc w:val="center"/>
              <w:spacing w:after="0"/>
              <w:rPr>
                <w:sz w:val="20"/>
                <w:szCs w:val="20"/>
                <w:color w:val="auto"/>
              </w:rPr>
            </w:pPr>
            <w:r>
              <w:rPr>
                <w:rFonts w:ascii="Arial" w:cs="Arial" w:eastAsia="Arial" w:hAnsi="Arial"/>
                <w:sz w:val="16"/>
                <w:szCs w:val="16"/>
                <w:b w:val="1"/>
                <w:bCs w:val="1"/>
                <w:color w:val="009FE3"/>
                <w:w w:val="98"/>
              </w:rPr>
              <w:t>Class</w:t>
            </w:r>
          </w:p>
        </w:tc>
      </w:tr>
      <w:tr>
        <w:trPr>
          <w:trHeight w:val="232"/>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69</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Chairman of the Board and Chief Executive Officer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1986</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2026</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III</w:t>
            </w:r>
          </w:p>
        </w:tc>
      </w:tr>
      <w:tr>
        <w:trPr>
          <w:trHeight w:val="230"/>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Richard Baldridge</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66</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Director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2016</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2025</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w:t>
            </w:r>
          </w:p>
        </w:tc>
      </w:tr>
      <w:tr>
        <w:trPr>
          <w:trHeight w:val="230"/>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James Bridenstine</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49</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Director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2021</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2025</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w:t>
            </w:r>
          </w:p>
        </w:tc>
      </w:tr>
      <w:tr>
        <w:trPr>
          <w:trHeight w:val="230"/>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Sean Pak</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51</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Director (Lead Independent Director)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2018</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2025</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w:t>
            </w:r>
          </w:p>
        </w:tc>
      </w:tr>
      <w:tr>
        <w:trPr>
          <w:trHeight w:val="230"/>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John Stenbit</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84</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Director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2004</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2024</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w:t>
            </w:r>
          </w:p>
        </w:tc>
      </w:tr>
      <w:tr>
        <w:trPr>
          <w:trHeight w:val="230"/>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Andrew Sukawaty</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69</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Director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2023</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2024</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w:t>
            </w:r>
          </w:p>
        </w:tc>
      </w:tr>
      <w:tr>
        <w:trPr>
          <w:trHeight w:val="230"/>
        </w:trPr>
        <w:tc>
          <w:tcPr>
            <w:tcW w:w="19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Rajeev Suri</w:t>
            </w:r>
          </w:p>
        </w:tc>
        <w:tc>
          <w:tcPr>
            <w:tcW w:w="60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56</w:t>
            </w:r>
          </w:p>
        </w:tc>
        <w:tc>
          <w:tcPr>
            <w:tcW w:w="5480" w:type="dxa"/>
            <w:vAlign w:val="bottom"/>
            <w:tcBorders>
              <w:bottom w:val="single" w:sz="8" w:color="E8EAEB"/>
              <w:right w:val="single" w:sz="8" w:color="E8EAEB"/>
            </w:tcBorders>
          </w:tcPr>
          <w:p>
            <w:pPr>
              <w:ind w:left="160"/>
              <w:spacing w:after="0"/>
              <w:rPr>
                <w:sz w:val="20"/>
                <w:szCs w:val="20"/>
                <w:color w:val="auto"/>
              </w:rPr>
            </w:pPr>
            <w:r>
              <w:rPr>
                <w:rFonts w:ascii="Arial" w:cs="Arial" w:eastAsia="Arial" w:hAnsi="Arial"/>
                <w:sz w:val="16"/>
                <w:szCs w:val="16"/>
                <w:color w:val="202E39"/>
              </w:rPr>
              <w:t>Director</w:t>
            </w:r>
          </w:p>
        </w:tc>
        <w:tc>
          <w:tcPr>
            <w:tcW w:w="11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2023</w:t>
            </w:r>
          </w:p>
        </w:tc>
        <w:tc>
          <w:tcPr>
            <w:tcW w:w="11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5"/>
              </w:rPr>
              <w:t>2026</w:t>
            </w:r>
          </w:p>
        </w:tc>
        <w:tc>
          <w:tcPr>
            <w:tcW w:w="4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III</w:t>
            </w:r>
          </w:p>
        </w:tc>
      </w:tr>
      <w:tr>
        <w:trPr>
          <w:trHeight w:val="230"/>
        </w:trPr>
        <w:tc>
          <w:tcPr>
            <w:tcW w:w="19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Theresa Wise</w:t>
            </w:r>
          </w:p>
        </w:tc>
        <w:tc>
          <w:tcPr>
            <w:tcW w:w="600" w:type="dxa"/>
            <w:vAlign w:val="bottom"/>
            <w:tcBorders>
              <w:bottom w:val="single" w:sz="8" w:color="009FE3"/>
              <w:right w:val="single" w:sz="8" w:color="E8EAEB"/>
            </w:tcBorders>
          </w:tcPr>
          <w:p>
            <w:pPr>
              <w:jc w:val="right"/>
              <w:ind w:right="121"/>
              <w:spacing w:after="0"/>
              <w:rPr>
                <w:sz w:val="20"/>
                <w:szCs w:val="20"/>
                <w:color w:val="auto"/>
              </w:rPr>
            </w:pPr>
            <w:r>
              <w:rPr>
                <w:rFonts w:ascii="Arial" w:cs="Arial" w:eastAsia="Arial" w:hAnsi="Arial"/>
                <w:sz w:val="16"/>
                <w:szCs w:val="16"/>
                <w:color w:val="202E39"/>
              </w:rPr>
              <w:t>57</w:t>
            </w:r>
          </w:p>
        </w:tc>
        <w:tc>
          <w:tcPr>
            <w:tcW w:w="5480" w:type="dxa"/>
            <w:vAlign w:val="bottom"/>
            <w:tcBorders>
              <w:bottom w:val="single" w:sz="8" w:color="009FE3"/>
              <w:right w:val="single" w:sz="8" w:color="E8EAEB"/>
            </w:tcBorders>
          </w:tcPr>
          <w:p>
            <w:pPr>
              <w:ind w:left="160"/>
              <w:spacing w:after="0"/>
              <w:rPr>
                <w:sz w:val="20"/>
                <w:szCs w:val="20"/>
                <w:color w:val="auto"/>
              </w:rPr>
            </w:pPr>
            <w:r>
              <w:rPr>
                <w:rFonts w:ascii="Arial" w:cs="Arial" w:eastAsia="Arial" w:hAnsi="Arial"/>
                <w:sz w:val="16"/>
                <w:szCs w:val="16"/>
                <w:color w:val="202E39"/>
              </w:rPr>
              <w:t>Director</w:t>
            </w:r>
          </w:p>
        </w:tc>
        <w:tc>
          <w:tcPr>
            <w:tcW w:w="11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rPr>
              <w:t>2020</w:t>
            </w:r>
          </w:p>
        </w:tc>
        <w:tc>
          <w:tcPr>
            <w:tcW w:w="1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w w:val="95"/>
              </w:rPr>
              <w:t>2024</w:t>
            </w:r>
          </w:p>
        </w:tc>
        <w:tc>
          <w:tcPr>
            <w:tcW w:w="440" w:type="dxa"/>
            <w:vAlign w:val="bottom"/>
            <w:tcBorders>
              <w:bottom w:val="single" w:sz="8" w:color="009FE3"/>
            </w:tcBorders>
          </w:tcPr>
          <w:p>
            <w:pPr>
              <w:jc w:val="center"/>
              <w:spacing w:after="0"/>
              <w:rPr>
                <w:sz w:val="20"/>
                <w:szCs w:val="20"/>
                <w:color w:val="auto"/>
              </w:rPr>
            </w:pPr>
            <w:r>
              <w:rPr>
                <w:rFonts w:ascii="Arial" w:cs="Arial" w:eastAsia="Arial" w:hAnsi="Arial"/>
                <w:sz w:val="16"/>
                <w:szCs w:val="16"/>
                <w:color w:val="202E39"/>
              </w:rPr>
              <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92075</wp:posOffset>
            </wp:positionV>
            <wp:extent cx="425450"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12       </w:t>
      </w:r>
    </w:p>
    <w:p>
      <w:pPr>
        <w:sectPr>
          <w:pgSz w:w="11900" w:h="16838" w:orient="portrait"/>
          <w:cols w:equalWidth="0" w:num="1">
            <w:col w:w="11000"/>
          </w:cols>
          <w:pgMar w:left="320" w:top="474"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8620"/>
        <w:spacing w:after="0"/>
        <w:rPr>
          <w:sz w:val="20"/>
          <w:szCs w:val="20"/>
          <w:color w:val="auto"/>
        </w:rPr>
      </w:pPr>
      <w:r>
        <w:rPr>
          <w:rFonts w:ascii="Arial" w:cs="Arial" w:eastAsia="Arial" w:hAnsi="Arial"/>
          <w:sz w:val="14"/>
          <w:szCs w:val="14"/>
          <w:color w:val="009FE3"/>
        </w:rPr>
        <w:t>PROPOSAL 1:</w:t>
      </w:r>
      <w:r>
        <w:rPr>
          <w:rFonts w:ascii="Arial" w:cs="Arial" w:eastAsia="Arial" w:hAnsi="Arial"/>
          <w:sz w:val="14"/>
          <w:szCs w:val="14"/>
          <w:color w:val="202E39"/>
        </w:rPr>
        <w:t xml:space="preserve"> </w:t>
      </w:r>
      <w:r>
        <w:rPr>
          <w:rFonts w:ascii="Arial" w:cs="Arial" w:eastAsia="Arial" w:hAnsi="Arial"/>
          <w:sz w:val="14"/>
          <w:szCs w:val="14"/>
          <w:color w:val="009FE3"/>
        </w:rPr>
        <w:t xml:space="preserve"> •</w:t>
      </w:r>
      <w:r>
        <w:rPr>
          <w:rFonts w:ascii="Arial" w:cs="Arial" w:eastAsia="Arial" w:hAnsi="Arial"/>
          <w:sz w:val="14"/>
          <w:szCs w:val="14"/>
          <w:color w:val="202E39"/>
        </w:rPr>
        <w:t xml:space="preserve">  Election of Directors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Board Diversity Matrix</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9FE3"/>
        </w:rPr>
        <w:t>As of July 26, 2024</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following chart shows certain self-identified personal characteristics of our directors and nominees, in accordance with Nasdaq Listing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158115</wp:posOffset>
            </wp:positionV>
            <wp:extent cx="8255" cy="701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70104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158115</wp:posOffset>
            </wp:positionV>
            <wp:extent cx="8255" cy="701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70104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158115</wp:posOffset>
            </wp:positionV>
            <wp:extent cx="8255" cy="701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701040"/>
                    </a:xfrm>
                    <a:prstGeom prst="rect">
                      <a:avLst/>
                    </a:prstGeom>
                    <a:noFill/>
                  </pic:spPr>
                </pic:pic>
              </a:graphicData>
            </a:graphic>
          </wp:anchor>
        </w:drawing>
      </w:r>
    </w:p>
    <w:p>
      <w:pPr>
        <w:spacing w:after="0" w:line="20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340" w:type="dxa"/>
            <w:vAlign w:val="bottom"/>
            <w:tcBorders>
              <w:top w:val="single" w:sz="8" w:color="E8EAEB"/>
              <w:right w:val="single" w:sz="8" w:color="E8EAEB"/>
            </w:tcBorders>
          </w:tcPr>
          <w:p>
            <w:pPr>
              <w:ind w:left="80"/>
              <w:spacing w:after="0"/>
              <w:rPr>
                <w:sz w:val="20"/>
                <w:szCs w:val="20"/>
                <w:color w:val="auto"/>
              </w:rPr>
            </w:pPr>
            <w:r>
              <w:rPr>
                <w:rFonts w:ascii="Arial" w:cs="Arial" w:eastAsia="Arial" w:hAnsi="Arial"/>
                <w:sz w:val="16"/>
                <w:szCs w:val="16"/>
                <w:b w:val="1"/>
                <w:bCs w:val="1"/>
                <w:color w:val="009FE3"/>
              </w:rPr>
              <w:t xml:space="preserve">Total Number of Directors: </w:t>
            </w:r>
            <w:r>
              <w:rPr>
                <w:rFonts w:ascii="Arial" w:cs="Arial" w:eastAsia="Arial" w:hAnsi="Arial"/>
                <w:sz w:val="16"/>
                <w:szCs w:val="16"/>
                <w:color w:val="202E39"/>
              </w:rPr>
              <w:t>9 (1)</w:t>
            </w:r>
          </w:p>
        </w:tc>
        <w:tc>
          <w:tcPr>
            <w:tcW w:w="720" w:type="dxa"/>
            <w:vAlign w:val="bottom"/>
            <w:tcBorders>
              <w:top w:val="single" w:sz="8" w:color="E8EAEB"/>
            </w:tcBorders>
          </w:tcPr>
          <w:p>
            <w:pPr>
              <w:spacing w:after="0"/>
              <w:rPr>
                <w:sz w:val="19"/>
                <w:szCs w:val="19"/>
                <w:color w:val="auto"/>
              </w:rPr>
            </w:pPr>
          </w:p>
        </w:tc>
        <w:tc>
          <w:tcPr>
            <w:tcW w:w="100" w:type="dxa"/>
            <w:vAlign w:val="bottom"/>
            <w:tcBorders>
              <w:top w:val="single" w:sz="8" w:color="E8EAEB"/>
            </w:tcBorders>
          </w:tcPr>
          <w:p>
            <w:pPr>
              <w:spacing w:after="0"/>
              <w:rPr>
                <w:sz w:val="19"/>
                <w:szCs w:val="19"/>
                <w:color w:val="auto"/>
              </w:rPr>
            </w:pPr>
          </w:p>
        </w:tc>
        <w:tc>
          <w:tcPr>
            <w:tcW w:w="640" w:type="dxa"/>
            <w:vAlign w:val="bottom"/>
            <w:tcBorders>
              <w:top w:val="single" w:sz="8" w:color="E8EAEB"/>
            </w:tcBorders>
          </w:tcPr>
          <w:p>
            <w:pPr>
              <w:spacing w:after="0"/>
              <w:rPr>
                <w:sz w:val="19"/>
                <w:szCs w:val="19"/>
                <w:color w:val="auto"/>
              </w:rPr>
            </w:pPr>
          </w:p>
        </w:tc>
        <w:tc>
          <w:tcPr>
            <w:tcW w:w="140" w:type="dxa"/>
            <w:vAlign w:val="bottom"/>
            <w:tcBorders>
              <w:top w:val="single" w:sz="8" w:color="E8EAEB"/>
            </w:tcBorders>
          </w:tcPr>
          <w:p>
            <w:pPr>
              <w:spacing w:after="0"/>
              <w:rPr>
                <w:sz w:val="19"/>
                <w:szCs w:val="19"/>
                <w:color w:val="auto"/>
              </w:rPr>
            </w:pPr>
          </w:p>
        </w:tc>
        <w:tc>
          <w:tcPr>
            <w:tcW w:w="1020" w:type="dxa"/>
            <w:vAlign w:val="bottom"/>
            <w:tcBorders>
              <w:top w:val="single" w:sz="8" w:color="E8EAEB"/>
            </w:tcBorders>
          </w:tcPr>
          <w:p>
            <w:pPr>
              <w:spacing w:after="0"/>
              <w:rPr>
                <w:sz w:val="19"/>
                <w:szCs w:val="19"/>
                <w:color w:val="auto"/>
              </w:rPr>
            </w:pPr>
          </w:p>
        </w:tc>
        <w:tc>
          <w:tcPr>
            <w:tcW w:w="100" w:type="dxa"/>
            <w:vAlign w:val="bottom"/>
            <w:tcBorders>
              <w:top w:val="single" w:sz="8" w:color="E8EAEB"/>
            </w:tcBorders>
          </w:tcPr>
          <w:p>
            <w:pPr>
              <w:spacing w:after="0"/>
              <w:rPr>
                <w:sz w:val="19"/>
                <w:szCs w:val="19"/>
                <w:color w:val="auto"/>
              </w:rPr>
            </w:pPr>
          </w:p>
        </w:tc>
        <w:tc>
          <w:tcPr>
            <w:tcW w:w="1680" w:type="dxa"/>
            <w:vAlign w:val="bottom"/>
            <w:tcBorders>
              <w:top w:val="single" w:sz="8" w:color="E8EAEB"/>
            </w:tcBorders>
          </w:tcPr>
          <w:p>
            <w:pPr>
              <w:spacing w:after="0"/>
              <w:rPr>
                <w:sz w:val="19"/>
                <w:szCs w:val="19"/>
                <w:color w:val="auto"/>
              </w:rPr>
            </w:pPr>
          </w:p>
        </w:tc>
        <w:tc>
          <w:tcPr>
            <w:tcW w:w="20" w:type="dxa"/>
            <w:vAlign w:val="bottom"/>
          </w:tcPr>
          <w:p>
            <w:pPr>
              <w:spacing w:after="0"/>
              <w:rPr>
                <w:sz w:val="19"/>
                <w:szCs w:val="19"/>
                <w:color w:val="auto"/>
              </w:rPr>
            </w:pPr>
          </w:p>
        </w:tc>
      </w:tr>
      <w:tr>
        <w:trPr>
          <w:trHeight w:val="334"/>
        </w:trPr>
        <w:tc>
          <w:tcPr>
            <w:tcW w:w="6340" w:type="dxa"/>
            <w:vAlign w:val="bottom"/>
            <w:tcBorders>
              <w:right w:val="single" w:sz="8" w:color="E8EAEB"/>
            </w:tcBorders>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6"/>
                <w:szCs w:val="16"/>
                <w:b w:val="1"/>
                <w:bCs w:val="1"/>
                <w:color w:val="009FE3"/>
              </w:rPr>
              <w:t xml:space="preserve">    </w:t>
            </w:r>
          </w:p>
        </w:tc>
        <w:tc>
          <w:tcPr>
            <w:tcW w:w="100" w:type="dxa"/>
            <w:vAlign w:val="bottom"/>
          </w:tcPr>
          <w:p>
            <w:pPr>
              <w:spacing w:after="0"/>
              <w:rPr>
                <w:sz w:val="24"/>
                <w:szCs w:val="24"/>
                <w:color w:val="auto"/>
              </w:rPr>
            </w:pPr>
          </w:p>
        </w:tc>
        <w:tc>
          <w:tcPr>
            <w:tcW w:w="640" w:type="dxa"/>
            <w:vAlign w:val="bottom"/>
          </w:tcPr>
          <w:p>
            <w:pPr>
              <w:jc w:val="center"/>
              <w:ind w:left="1"/>
              <w:spacing w:after="0"/>
              <w:rPr>
                <w:sz w:val="20"/>
                <w:szCs w:val="20"/>
                <w:color w:val="auto"/>
              </w:rPr>
            </w:pPr>
            <w:r>
              <w:rPr>
                <w:rFonts w:ascii="Arial" w:cs="Arial" w:eastAsia="Arial" w:hAnsi="Arial"/>
                <w:sz w:val="16"/>
                <w:szCs w:val="16"/>
                <w:b w:val="1"/>
                <w:bCs w:val="1"/>
                <w:color w:val="009FE3"/>
              </w:rPr>
              <w:t xml:space="preserve">    </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009FE3"/>
                <w:w w:val="98"/>
              </w:rPr>
              <w:t>Did Not</w:t>
            </w:r>
          </w:p>
        </w:tc>
      </w:tr>
      <w:tr>
        <w:trPr>
          <w:trHeight w:val="230"/>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b w:val="1"/>
                <w:bCs w:val="1"/>
                <w:color w:val="009FE3"/>
              </w:rPr>
              <w:t>Part I: Gender Identity</w:t>
            </w:r>
          </w:p>
        </w:tc>
        <w:tc>
          <w:tcPr>
            <w:tcW w:w="720" w:type="dxa"/>
            <w:vAlign w:val="bottom"/>
          </w:tcPr>
          <w:p>
            <w:pPr>
              <w:ind w:left="80"/>
              <w:spacing w:after="0"/>
              <w:rPr>
                <w:sz w:val="20"/>
                <w:szCs w:val="20"/>
                <w:color w:val="auto"/>
              </w:rPr>
            </w:pPr>
            <w:r>
              <w:rPr>
                <w:rFonts w:ascii="Arial" w:cs="Arial" w:eastAsia="Arial" w:hAnsi="Arial"/>
                <w:sz w:val="16"/>
                <w:szCs w:val="16"/>
                <w:b w:val="1"/>
                <w:bCs w:val="1"/>
                <w:color w:val="009FE3"/>
                <w:w w:val="87"/>
              </w:rPr>
              <w:t>Female </w:t>
            </w:r>
          </w:p>
        </w:tc>
        <w:tc>
          <w:tcPr>
            <w:tcW w:w="100" w:type="dxa"/>
            <w:vAlign w:val="bottom"/>
          </w:tcPr>
          <w:p>
            <w:pPr>
              <w:ind w:left="60"/>
              <w:spacing w:after="0"/>
              <w:rPr>
                <w:sz w:val="20"/>
                <w:szCs w:val="20"/>
                <w:color w:val="auto"/>
              </w:rPr>
            </w:pPr>
            <w:r>
              <w:rPr>
                <w:rFonts w:ascii="Arial" w:cs="Arial" w:eastAsia="Arial" w:hAnsi="Arial"/>
                <w:sz w:val="1"/>
                <w:szCs w:val="1"/>
                <w:b w:val="1"/>
                <w:bCs w:val="1"/>
                <w:color w:val="009FE3"/>
                <w:w w:val="4294967236"/>
              </w:rPr>
              <w:t> </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9FE3"/>
              </w:rPr>
              <w:t xml:space="preserve">Male 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009FE3"/>
                <w:w w:val="72"/>
              </w:rPr>
              <w:t> </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9FE3"/>
                <w:w w:val="86"/>
              </w:rPr>
              <w:t> Non-Binary </w:t>
            </w:r>
          </w:p>
        </w:tc>
        <w:tc>
          <w:tcPr>
            <w:tcW w:w="100" w:type="dxa"/>
            <w:vAlign w:val="bottom"/>
          </w:tcPr>
          <w:p>
            <w:pPr>
              <w:ind w:left="60"/>
              <w:spacing w:after="0"/>
              <w:rPr>
                <w:sz w:val="20"/>
                <w:szCs w:val="20"/>
                <w:color w:val="auto"/>
              </w:rPr>
            </w:pPr>
            <w:r>
              <w:rPr>
                <w:rFonts w:ascii="Arial" w:cs="Arial" w:eastAsia="Arial" w:hAnsi="Arial"/>
                <w:sz w:val="1"/>
                <w:szCs w:val="1"/>
                <w:b w:val="1"/>
                <w:bCs w:val="1"/>
                <w:color w:val="009FE3"/>
                <w:w w:val="4294967236"/>
              </w:rPr>
              <w:t> </w:t>
            </w:r>
          </w:p>
        </w:tc>
        <w:tc>
          <w:tcPr>
            <w:tcW w:w="1700" w:type="dxa"/>
            <w:vAlign w:val="bottom"/>
            <w:gridSpan w:val="2"/>
          </w:tcPr>
          <w:p>
            <w:pPr>
              <w:jc w:val="center"/>
              <w:ind w:left="1"/>
              <w:spacing w:after="0"/>
              <w:rPr>
                <w:sz w:val="20"/>
                <w:szCs w:val="20"/>
                <w:color w:val="auto"/>
              </w:rPr>
            </w:pPr>
            <w:r>
              <w:rPr>
                <w:rFonts w:ascii="Arial" w:cs="Arial" w:eastAsia="Arial" w:hAnsi="Arial"/>
                <w:sz w:val="16"/>
                <w:szCs w:val="16"/>
                <w:b w:val="1"/>
                <w:bCs w:val="1"/>
                <w:color w:val="009FE3"/>
                <w:w w:val="96"/>
              </w:rPr>
              <w:t xml:space="preserve">    Disclose Gender    </w:t>
            </w:r>
          </w:p>
        </w:tc>
      </w:tr>
      <w:tr>
        <w:trPr>
          <w:trHeight w:val="21"/>
        </w:trPr>
        <w:tc>
          <w:tcPr>
            <w:tcW w:w="6340" w:type="dxa"/>
            <w:vAlign w:val="bottom"/>
            <w:tcBorders>
              <w:bottom w:val="single" w:sz="8" w:color="009FE3"/>
              <w:right w:val="single" w:sz="8" w:color="E8EAEB"/>
            </w:tcBorders>
          </w:tcPr>
          <w:p>
            <w:pPr>
              <w:spacing w:after="0" w:line="20" w:lineRule="exact"/>
              <w:rPr>
                <w:sz w:val="1"/>
                <w:szCs w:val="1"/>
                <w:color w:val="auto"/>
              </w:rPr>
            </w:pPr>
          </w:p>
        </w:tc>
        <w:tc>
          <w:tcPr>
            <w:tcW w:w="7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64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10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680" w:type="dxa"/>
            <w:vAlign w:val="bottom"/>
            <w:tcBorders>
              <w:bottom w:val="single" w:sz="8" w:color="009FE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Directors</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89"/>
              </w:rPr>
              <w:t>1</w:t>
            </w:r>
          </w:p>
        </w:tc>
        <w:tc>
          <w:tcPr>
            <w:tcW w:w="1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202E39"/>
                <w:w w:val="97"/>
              </w:rPr>
              <w:t>8 (1)</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640" w:type="dxa"/>
            <w:vAlign w:val="bottom"/>
            <w:tcBorders>
              <w:bottom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314"/>
        </w:trPr>
        <w:tc>
          <w:tcPr>
            <w:tcW w:w="6340" w:type="dxa"/>
            <w:vAlign w:val="bottom"/>
          </w:tcPr>
          <w:p>
            <w:pPr>
              <w:ind w:left="80"/>
              <w:spacing w:after="0"/>
              <w:rPr>
                <w:sz w:val="20"/>
                <w:szCs w:val="20"/>
                <w:color w:val="auto"/>
              </w:rPr>
            </w:pPr>
            <w:r>
              <w:rPr>
                <w:rFonts w:ascii="Arial" w:cs="Arial" w:eastAsia="Arial" w:hAnsi="Arial"/>
                <w:sz w:val="16"/>
                <w:szCs w:val="16"/>
                <w:b w:val="1"/>
                <w:bCs w:val="1"/>
                <w:color w:val="009FE3"/>
              </w:rPr>
              <w:t>Part II: Demographic Background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
        </w:trPr>
        <w:tc>
          <w:tcPr>
            <w:tcW w:w="6340" w:type="dxa"/>
            <w:vAlign w:val="bottom"/>
            <w:tcBorders>
              <w:bottom w:val="single" w:sz="8" w:color="009FE3"/>
            </w:tcBorders>
          </w:tcPr>
          <w:p>
            <w:pPr>
              <w:spacing w:after="0"/>
              <w:rPr>
                <w:sz w:val="4"/>
                <w:szCs w:val="4"/>
                <w:color w:val="auto"/>
              </w:rPr>
            </w:pPr>
          </w:p>
        </w:tc>
        <w:tc>
          <w:tcPr>
            <w:tcW w:w="720" w:type="dxa"/>
            <w:vAlign w:val="bottom"/>
            <w:tcBorders>
              <w:bottom w:val="single" w:sz="8" w:color="009FE3"/>
            </w:tcBorders>
          </w:tcPr>
          <w:p>
            <w:pPr>
              <w:spacing w:after="0"/>
              <w:rPr>
                <w:sz w:val="4"/>
                <w:szCs w:val="4"/>
                <w:color w:val="auto"/>
              </w:rPr>
            </w:pPr>
          </w:p>
        </w:tc>
        <w:tc>
          <w:tcPr>
            <w:tcW w:w="100" w:type="dxa"/>
            <w:vAlign w:val="bottom"/>
            <w:tcBorders>
              <w:bottom w:val="single" w:sz="8" w:color="009FE3"/>
            </w:tcBorders>
          </w:tcPr>
          <w:p>
            <w:pPr>
              <w:spacing w:after="0"/>
              <w:rPr>
                <w:sz w:val="4"/>
                <w:szCs w:val="4"/>
                <w:color w:val="auto"/>
              </w:rPr>
            </w:pPr>
          </w:p>
        </w:tc>
        <w:tc>
          <w:tcPr>
            <w:tcW w:w="640" w:type="dxa"/>
            <w:vAlign w:val="bottom"/>
            <w:tcBorders>
              <w:bottom w:val="single" w:sz="8" w:color="009FE3"/>
            </w:tcBorders>
          </w:tcPr>
          <w:p>
            <w:pPr>
              <w:spacing w:after="0"/>
              <w:rPr>
                <w:sz w:val="4"/>
                <w:szCs w:val="4"/>
                <w:color w:val="auto"/>
              </w:rPr>
            </w:pPr>
          </w:p>
        </w:tc>
        <w:tc>
          <w:tcPr>
            <w:tcW w:w="140" w:type="dxa"/>
            <w:vAlign w:val="bottom"/>
            <w:tcBorders>
              <w:bottom w:val="single" w:sz="8" w:color="009FE3"/>
            </w:tcBorders>
          </w:tcPr>
          <w:p>
            <w:pPr>
              <w:spacing w:after="0"/>
              <w:rPr>
                <w:sz w:val="4"/>
                <w:szCs w:val="4"/>
                <w:color w:val="auto"/>
              </w:rPr>
            </w:pPr>
          </w:p>
        </w:tc>
        <w:tc>
          <w:tcPr>
            <w:tcW w:w="1020" w:type="dxa"/>
            <w:vAlign w:val="bottom"/>
            <w:tcBorders>
              <w:bottom w:val="single" w:sz="8" w:color="009FE3"/>
            </w:tcBorders>
          </w:tcPr>
          <w:p>
            <w:pPr>
              <w:spacing w:after="0"/>
              <w:rPr>
                <w:sz w:val="4"/>
                <w:szCs w:val="4"/>
                <w:color w:val="auto"/>
              </w:rPr>
            </w:pPr>
          </w:p>
        </w:tc>
        <w:tc>
          <w:tcPr>
            <w:tcW w:w="100" w:type="dxa"/>
            <w:vAlign w:val="bottom"/>
            <w:tcBorders>
              <w:bottom w:val="single" w:sz="8" w:color="009FE3"/>
            </w:tcBorders>
          </w:tcPr>
          <w:p>
            <w:pPr>
              <w:spacing w:after="0"/>
              <w:rPr>
                <w:sz w:val="4"/>
                <w:szCs w:val="4"/>
                <w:color w:val="auto"/>
              </w:rPr>
            </w:pPr>
          </w:p>
        </w:tc>
        <w:tc>
          <w:tcPr>
            <w:tcW w:w="1680" w:type="dxa"/>
            <w:vAlign w:val="bottom"/>
            <w:tcBorders>
              <w:bottom w:val="single" w:sz="8" w:color="009FE3"/>
            </w:tcBorders>
          </w:tcPr>
          <w:p>
            <w:pPr>
              <w:spacing w:after="0"/>
              <w:rPr>
                <w:sz w:val="4"/>
                <w:szCs w:val="4"/>
                <w:color w:val="auto"/>
              </w:rPr>
            </w:pPr>
          </w:p>
        </w:tc>
        <w:tc>
          <w:tcPr>
            <w:tcW w:w="20" w:type="dxa"/>
            <w:vAlign w:val="bottom"/>
          </w:tcPr>
          <w:p>
            <w:pPr>
              <w:spacing w:after="0"/>
              <w:rPr>
                <w:sz w:val="4"/>
                <w:szCs w:val="4"/>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African American or Black</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Alaskan Native or Native American</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1</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Asian</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Hispanic or Latinx</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Native Hawaiian or Pacific Islander</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White</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89"/>
              </w:rPr>
              <w:t>1</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7"/>
              </w:rPr>
              <w:t>5 (1)</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Two or More Races or Ethnicities</w:t>
            </w:r>
          </w:p>
        </w:tc>
        <w:tc>
          <w:tcPr>
            <w:tcW w:w="720" w:type="dxa"/>
            <w:vAlign w:val="bottom"/>
          </w:tcPr>
          <w:p>
            <w:pPr>
              <w:jc w:val="center"/>
              <w:ind w:left="81"/>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6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202E39"/>
                <w:w w:val="99"/>
              </w:rPr>
              <w:t>—</w:t>
            </w:r>
          </w:p>
        </w:tc>
        <w:tc>
          <w:tcPr>
            <w:tcW w:w="100" w:type="dxa"/>
            <w:vAlign w:val="bottom"/>
            <w:tcBorders>
              <w:right w:val="single" w:sz="8" w:color="E8EAEB"/>
            </w:tcBorders>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202E39"/>
                <w:w w:val="99"/>
              </w:rPr>
              <w:t>—</w:t>
            </w:r>
          </w:p>
        </w:tc>
      </w:tr>
      <w:tr>
        <w:trPr>
          <w:trHeight w:val="29"/>
        </w:trPr>
        <w:tc>
          <w:tcPr>
            <w:tcW w:w="6340" w:type="dxa"/>
            <w:vAlign w:val="bottom"/>
            <w:tcBorders>
              <w:bottom w:val="single" w:sz="8" w:color="E8EAEB"/>
              <w:right w:val="single" w:sz="8" w:color="E8EAEB"/>
            </w:tcBorders>
          </w:tcPr>
          <w:p>
            <w:pPr>
              <w:spacing w:after="0"/>
              <w:rPr>
                <w:sz w:val="2"/>
                <w:szCs w:val="2"/>
                <w:color w:val="auto"/>
              </w:rPr>
            </w:pPr>
          </w:p>
        </w:tc>
        <w:tc>
          <w:tcPr>
            <w:tcW w:w="7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640" w:type="dxa"/>
            <w:vAlign w:val="bottom"/>
            <w:tcBorders>
              <w:bottom w:val="single" w:sz="8" w:color="E8EAEB"/>
              <w:right w:val="single" w:sz="8" w:color="E8EAEB"/>
            </w:tcBorders>
          </w:tcPr>
          <w:p>
            <w:pPr>
              <w:spacing w:after="0"/>
              <w:rPr>
                <w:sz w:val="2"/>
                <w:szCs w:val="2"/>
                <w:color w:val="auto"/>
              </w:rPr>
            </w:pPr>
          </w:p>
        </w:tc>
        <w:tc>
          <w:tcPr>
            <w:tcW w:w="14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680" w:type="dxa"/>
            <w:vAlign w:val="bottom"/>
            <w:tcBorders>
              <w:bottom w:val="single" w:sz="8" w:color="E8EAEB"/>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LGBTQ+</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560"/>
              <w:spacing w:after="0"/>
              <w:rPr>
                <w:sz w:val="20"/>
                <w:szCs w:val="20"/>
                <w:color w:val="auto"/>
              </w:rPr>
            </w:pPr>
            <w:r>
              <w:rPr>
                <w:rFonts w:ascii="Arial" w:cs="Arial" w:eastAsia="Arial" w:hAnsi="Arial"/>
                <w:sz w:val="16"/>
                <w:szCs w:val="16"/>
                <w:color w:val="202E39"/>
              </w:rPr>
              <w:t>—</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
        </w:trPr>
        <w:tc>
          <w:tcPr>
            <w:tcW w:w="6340" w:type="dxa"/>
            <w:vAlign w:val="bottom"/>
            <w:tcBorders>
              <w:bottom w:val="single" w:sz="8" w:color="E8EAEB"/>
              <w:right w:val="single" w:sz="8" w:color="E8EAEB"/>
            </w:tcBorders>
          </w:tcPr>
          <w:p>
            <w:pPr>
              <w:spacing w:after="0"/>
              <w:rPr>
                <w:sz w:val="3"/>
                <w:szCs w:val="3"/>
                <w:color w:val="auto"/>
              </w:rPr>
            </w:pPr>
          </w:p>
        </w:tc>
        <w:tc>
          <w:tcPr>
            <w:tcW w:w="720" w:type="dxa"/>
            <w:vAlign w:val="bottom"/>
            <w:tcBorders>
              <w:bottom w:val="single" w:sz="8" w:color="E8EAEB"/>
            </w:tcBorders>
          </w:tcPr>
          <w:p>
            <w:pPr>
              <w:spacing w:after="0"/>
              <w:rPr>
                <w:sz w:val="3"/>
                <w:szCs w:val="3"/>
                <w:color w:val="auto"/>
              </w:rPr>
            </w:pPr>
          </w:p>
        </w:tc>
        <w:tc>
          <w:tcPr>
            <w:tcW w:w="100" w:type="dxa"/>
            <w:vAlign w:val="bottom"/>
            <w:tcBorders>
              <w:bottom w:val="single" w:sz="8" w:color="E8EAEB"/>
            </w:tcBorders>
          </w:tcPr>
          <w:p>
            <w:pPr>
              <w:spacing w:after="0"/>
              <w:rPr>
                <w:sz w:val="3"/>
                <w:szCs w:val="3"/>
                <w:color w:val="auto"/>
              </w:rPr>
            </w:pPr>
          </w:p>
        </w:tc>
        <w:tc>
          <w:tcPr>
            <w:tcW w:w="640" w:type="dxa"/>
            <w:vAlign w:val="bottom"/>
            <w:tcBorders>
              <w:bottom w:val="single" w:sz="8" w:color="E8EAEB"/>
            </w:tcBorders>
          </w:tcPr>
          <w:p>
            <w:pPr>
              <w:spacing w:after="0"/>
              <w:rPr>
                <w:sz w:val="3"/>
                <w:szCs w:val="3"/>
                <w:color w:val="auto"/>
              </w:rPr>
            </w:pPr>
          </w:p>
        </w:tc>
        <w:tc>
          <w:tcPr>
            <w:tcW w:w="140" w:type="dxa"/>
            <w:vAlign w:val="bottom"/>
            <w:tcBorders>
              <w:bottom w:val="single" w:sz="8" w:color="E8EAEB"/>
            </w:tcBorders>
          </w:tcPr>
          <w:p>
            <w:pPr>
              <w:spacing w:after="0"/>
              <w:rPr>
                <w:sz w:val="3"/>
                <w:szCs w:val="3"/>
                <w:color w:val="auto"/>
              </w:rPr>
            </w:pPr>
          </w:p>
        </w:tc>
        <w:tc>
          <w:tcPr>
            <w:tcW w:w="1020" w:type="dxa"/>
            <w:vAlign w:val="bottom"/>
            <w:tcBorders>
              <w:bottom w:val="single" w:sz="8" w:color="E8EAEB"/>
            </w:tcBorders>
          </w:tcPr>
          <w:p>
            <w:pPr>
              <w:spacing w:after="0"/>
              <w:rPr>
                <w:sz w:val="3"/>
                <w:szCs w:val="3"/>
                <w:color w:val="auto"/>
              </w:rPr>
            </w:pPr>
          </w:p>
        </w:tc>
        <w:tc>
          <w:tcPr>
            <w:tcW w:w="100" w:type="dxa"/>
            <w:vAlign w:val="bottom"/>
            <w:tcBorders>
              <w:bottom w:val="single" w:sz="8" w:color="E8EAEB"/>
            </w:tcBorders>
          </w:tcPr>
          <w:p>
            <w:pPr>
              <w:spacing w:after="0"/>
              <w:rPr>
                <w:sz w:val="3"/>
                <w:szCs w:val="3"/>
                <w:color w:val="auto"/>
              </w:rPr>
            </w:pPr>
          </w:p>
        </w:tc>
        <w:tc>
          <w:tcPr>
            <w:tcW w:w="1680" w:type="dxa"/>
            <w:vAlign w:val="bottom"/>
            <w:tcBorders>
              <w:bottom w:val="single" w:sz="8" w:color="E8EAEB"/>
            </w:tcBorders>
          </w:tcPr>
          <w:p>
            <w:pPr>
              <w:spacing w:after="0"/>
              <w:rPr>
                <w:sz w:val="3"/>
                <w:szCs w:val="3"/>
                <w:color w:val="auto"/>
              </w:rPr>
            </w:pPr>
          </w:p>
        </w:tc>
        <w:tc>
          <w:tcPr>
            <w:tcW w:w="20" w:type="dxa"/>
            <w:vAlign w:val="bottom"/>
          </w:tcPr>
          <w:p>
            <w:pPr>
              <w:spacing w:after="0"/>
              <w:rPr>
                <w:sz w:val="3"/>
                <w:szCs w:val="3"/>
                <w:color w:val="auto"/>
              </w:rPr>
            </w:pPr>
          </w:p>
        </w:tc>
      </w:tr>
      <w:tr>
        <w:trPr>
          <w:trHeight w:val="227"/>
        </w:trPr>
        <w:tc>
          <w:tcPr>
            <w:tcW w:w="63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Did Not Disclose Demographic Background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560"/>
              <w:spacing w:after="0"/>
              <w:rPr>
                <w:sz w:val="20"/>
                <w:szCs w:val="20"/>
                <w:color w:val="auto"/>
              </w:rPr>
            </w:pPr>
            <w:r>
              <w:rPr>
                <w:rFonts w:ascii="Arial" w:cs="Arial" w:eastAsia="Arial" w:hAnsi="Arial"/>
                <w:sz w:val="16"/>
                <w:szCs w:val="16"/>
                <w:color w:val="202E39"/>
              </w:rPr>
              <w:t>—</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
        </w:trPr>
        <w:tc>
          <w:tcPr>
            <w:tcW w:w="6340" w:type="dxa"/>
            <w:vAlign w:val="bottom"/>
            <w:tcBorders>
              <w:bottom w:val="single" w:sz="8" w:color="009FE3"/>
              <w:right w:val="single" w:sz="8" w:color="E8EAEB"/>
            </w:tcBorders>
          </w:tcPr>
          <w:p>
            <w:pPr>
              <w:spacing w:after="0"/>
              <w:rPr>
                <w:sz w:val="3"/>
                <w:szCs w:val="3"/>
                <w:color w:val="auto"/>
              </w:rPr>
            </w:pPr>
          </w:p>
        </w:tc>
        <w:tc>
          <w:tcPr>
            <w:tcW w:w="720" w:type="dxa"/>
            <w:vAlign w:val="bottom"/>
            <w:tcBorders>
              <w:bottom w:val="single" w:sz="8" w:color="009FE3"/>
            </w:tcBorders>
          </w:tcPr>
          <w:p>
            <w:pPr>
              <w:spacing w:after="0"/>
              <w:rPr>
                <w:sz w:val="3"/>
                <w:szCs w:val="3"/>
                <w:color w:val="auto"/>
              </w:rPr>
            </w:pPr>
          </w:p>
        </w:tc>
        <w:tc>
          <w:tcPr>
            <w:tcW w:w="100" w:type="dxa"/>
            <w:vAlign w:val="bottom"/>
            <w:tcBorders>
              <w:bottom w:val="single" w:sz="8" w:color="009FE3"/>
            </w:tcBorders>
          </w:tcPr>
          <w:p>
            <w:pPr>
              <w:spacing w:after="0"/>
              <w:rPr>
                <w:sz w:val="3"/>
                <w:szCs w:val="3"/>
                <w:color w:val="auto"/>
              </w:rPr>
            </w:pPr>
          </w:p>
        </w:tc>
        <w:tc>
          <w:tcPr>
            <w:tcW w:w="640" w:type="dxa"/>
            <w:vAlign w:val="bottom"/>
            <w:tcBorders>
              <w:bottom w:val="single" w:sz="8" w:color="009FE3"/>
            </w:tcBorders>
          </w:tcPr>
          <w:p>
            <w:pPr>
              <w:spacing w:after="0"/>
              <w:rPr>
                <w:sz w:val="3"/>
                <w:szCs w:val="3"/>
                <w:color w:val="auto"/>
              </w:rPr>
            </w:pPr>
          </w:p>
        </w:tc>
        <w:tc>
          <w:tcPr>
            <w:tcW w:w="140" w:type="dxa"/>
            <w:vAlign w:val="bottom"/>
            <w:tcBorders>
              <w:bottom w:val="single" w:sz="8" w:color="009FE3"/>
            </w:tcBorders>
          </w:tcPr>
          <w:p>
            <w:pPr>
              <w:spacing w:after="0"/>
              <w:rPr>
                <w:sz w:val="3"/>
                <w:szCs w:val="3"/>
                <w:color w:val="auto"/>
              </w:rPr>
            </w:pPr>
          </w:p>
        </w:tc>
        <w:tc>
          <w:tcPr>
            <w:tcW w:w="1020" w:type="dxa"/>
            <w:vAlign w:val="bottom"/>
            <w:tcBorders>
              <w:bottom w:val="single" w:sz="8" w:color="009FE3"/>
            </w:tcBorders>
          </w:tcPr>
          <w:p>
            <w:pPr>
              <w:spacing w:after="0"/>
              <w:rPr>
                <w:sz w:val="3"/>
                <w:szCs w:val="3"/>
                <w:color w:val="auto"/>
              </w:rPr>
            </w:pPr>
          </w:p>
        </w:tc>
        <w:tc>
          <w:tcPr>
            <w:tcW w:w="100" w:type="dxa"/>
            <w:vAlign w:val="bottom"/>
            <w:tcBorders>
              <w:bottom w:val="single" w:sz="8" w:color="009FE3"/>
            </w:tcBorders>
          </w:tcPr>
          <w:p>
            <w:pPr>
              <w:spacing w:after="0"/>
              <w:rPr>
                <w:sz w:val="3"/>
                <w:szCs w:val="3"/>
                <w:color w:val="auto"/>
              </w:rPr>
            </w:pPr>
          </w:p>
        </w:tc>
        <w:tc>
          <w:tcPr>
            <w:tcW w:w="1680" w:type="dxa"/>
            <w:vAlign w:val="bottom"/>
            <w:tcBorders>
              <w:bottom w:val="single" w:sz="8" w:color="009FE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09" w:lineRule="exact"/>
        <w:rPr>
          <w:sz w:val="20"/>
          <w:szCs w:val="20"/>
          <w:color w:val="auto"/>
        </w:rPr>
      </w:pPr>
    </w:p>
    <w:p>
      <w:pPr>
        <w:ind w:left="680" w:hanging="419"/>
        <w:spacing w:after="0"/>
        <w:tabs>
          <w:tab w:leader="none" w:pos="680" w:val="left"/>
        </w:tabs>
        <w:numPr>
          <w:ilvl w:val="0"/>
          <w:numId w:val="17"/>
        </w:numPr>
        <w:rPr>
          <w:rFonts w:ascii="Arial" w:cs="Arial" w:eastAsia="Arial" w:hAnsi="Arial"/>
          <w:sz w:val="14"/>
          <w:szCs w:val="14"/>
          <w:color w:val="202E39"/>
        </w:rPr>
      </w:pPr>
      <w:r>
        <w:rPr>
          <w:rFonts w:ascii="Arial" w:cs="Arial" w:eastAsia="Arial" w:hAnsi="Arial"/>
          <w:sz w:val="14"/>
          <w:szCs w:val="14"/>
          <w:color w:val="202E39"/>
        </w:rPr>
        <w:t>Includes Robert Johnson, who is a Class I director whose term expires at this year’s annual meeting of stockholders and who is not standing for re-election.</w:t>
      </w:r>
    </w:p>
    <w:p>
      <w:pPr>
        <w:spacing w:after="0" w:line="141"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13</w:t>
      </w:r>
    </w:p>
    <w:p>
      <w:pPr>
        <w:sectPr>
          <w:pgSz w:w="11900" w:h="16838" w:orient="portrait"/>
          <w:cols w:equalWidth="0" w:num="1">
            <w:col w:w="11020"/>
          </w:cols>
          <w:pgMar w:left="320" w:top="474"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Election of Directors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Class I Directors Nominated for Election at this Annual Meeting</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41"/>
        </w:trPr>
        <w:tc>
          <w:tcPr>
            <w:tcW w:w="1880" w:type="dxa"/>
            <w:vAlign w:val="bottom"/>
          </w:tcPr>
          <w:p>
            <w:pPr>
              <w:jc w:val="right"/>
              <w:spacing w:after="0"/>
              <w:rPr>
                <w:sz w:val="20"/>
                <w:szCs w:val="20"/>
                <w:color w:val="auto"/>
              </w:rPr>
            </w:pPr>
            <w:r>
              <w:rPr>
                <w:rFonts w:ascii="Arial" w:cs="Arial" w:eastAsia="Arial" w:hAnsi="Arial"/>
                <w:sz w:val="21"/>
                <w:szCs w:val="21"/>
                <w:color w:val="202E39"/>
              </w:rPr>
              <w:t xml:space="preserve">John Stenbit </w:t>
            </w:r>
            <w:r>
              <w:rPr>
                <w:rFonts w:ascii="Arial" w:cs="Arial" w:eastAsia="Arial" w:hAnsi="Arial"/>
                <w:sz w:val="15"/>
                <w:szCs w:val="15"/>
                <w:color w:val="202E39"/>
              </w:rPr>
              <w:t xml:space="preserve"> </w:t>
            </w:r>
          </w:p>
        </w:tc>
        <w:tc>
          <w:tcPr>
            <w:tcW w:w="20" w:type="dxa"/>
            <w:vAlign w:val="bottom"/>
            <w:shd w:val="clear" w:color="auto" w:fill="E8EAEB"/>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John Stenbit has been a director of Viasat since 2004, and is a consultant for various government and</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20" w:type="dxa"/>
            <w:vAlign w:val="bottom"/>
            <w:shd w:val="clear" w:color="auto" w:fill="E8EAEB"/>
          </w:tcPr>
          <w:p>
            <w:pPr>
              <w:spacing w:after="0"/>
              <w:rPr>
                <w:sz w:val="14"/>
                <w:szCs w:val="14"/>
                <w:color w:val="auto"/>
              </w:rPr>
            </w:pPr>
          </w:p>
        </w:tc>
        <w:tc>
          <w:tcPr>
            <w:tcW w:w="8060" w:type="dxa"/>
            <w:vAlign w:val="bottom"/>
          </w:tcPr>
          <w:p>
            <w:pPr>
              <w:ind w:left="180"/>
              <w:spacing w:after="0" w:line="172" w:lineRule="exact"/>
              <w:rPr>
                <w:sz w:val="20"/>
                <w:szCs w:val="20"/>
                <w:color w:val="auto"/>
              </w:rPr>
            </w:pPr>
            <w:r>
              <w:rPr>
                <w:rFonts w:ascii="Arial" w:cs="Arial" w:eastAsia="Arial" w:hAnsi="Arial"/>
                <w:sz w:val="16"/>
                <w:szCs w:val="16"/>
                <w:color w:val="202E39"/>
                <w:w w:val="99"/>
              </w:rPr>
              <w:t>commercial clients. From 2001 to 2004, Mr. Stenbit served as the Assistant Secretary of Defense for Command,</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9"/>
              </w:rPr>
              <w:t>Control, Communications, and Intelligence, or C3I, and later as Assistant Secretary of Defense of Networks and</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9"/>
              </w:rPr>
              <w:t>Information Integration / Department of Defense Chief Information Officer, the C3I successor organization. From</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8"/>
              </w:rPr>
              <w:t>1977 to 2001, Mr. Stenbit worked for TRW, Inc., retiring as Executive Vice President. Mr. Stenbit was a Fulbright</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Fellow and Aerospace Corporation Fellow at the Technische Hogeschool, Einhoven, Netherlands. He also has</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significant expertise and perspective as a member of the boards of directors of private and public companies in</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various industries. Mr. Stenbit previously served as a director of Loral Space &amp; Communications Inc. (Nasdaq:</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9"/>
              </w:rPr>
              <w:t>LORL), Cogent, Inc., SM&amp;A Corporation and SI International, Inc., as the chair of the R&amp;D Advisory Committees</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for the Federal Aviation Administration and the Central Intelligence Agency, and as a member of the Advisory</w:t>
            </w:r>
          </w:p>
        </w:tc>
        <w:tc>
          <w:tcPr>
            <w:tcW w:w="0" w:type="dxa"/>
            <w:vAlign w:val="bottom"/>
          </w:tcPr>
          <w:p>
            <w:pPr>
              <w:spacing w:after="0"/>
              <w:rPr>
                <w:sz w:val="1"/>
                <w:szCs w:val="1"/>
                <w:color w:val="auto"/>
              </w:rPr>
            </w:pPr>
          </w:p>
        </w:tc>
      </w:tr>
      <w:tr>
        <w:trPr>
          <w:trHeight w:val="207"/>
        </w:trPr>
        <w:tc>
          <w:tcPr>
            <w:tcW w:w="1880" w:type="dxa"/>
            <w:vAlign w:val="bottom"/>
            <w:vMerge w:val="restart"/>
          </w:tcPr>
          <w:p>
            <w:pPr>
              <w:jc w:val="right"/>
              <w:ind w:right="112"/>
              <w:spacing w:after="0"/>
              <w:rPr>
                <w:sz w:val="20"/>
                <w:szCs w:val="20"/>
                <w:color w:val="auto"/>
              </w:rPr>
            </w:pPr>
            <w:r>
              <w:rPr>
                <w:rFonts w:ascii="Arial" w:cs="Arial" w:eastAsia="Arial" w:hAnsi="Arial"/>
                <w:sz w:val="16"/>
                <w:szCs w:val="16"/>
                <w:color w:val="202E39"/>
              </w:rPr>
              <w:t>Director Since:</w:t>
            </w:r>
          </w:p>
        </w:tc>
        <w:tc>
          <w:tcPr>
            <w:tcW w:w="20" w:type="dxa"/>
            <w:vAlign w:val="bottom"/>
            <w:shd w:val="clear" w:color="auto" w:fill="E8EAEB"/>
          </w:tcPr>
          <w:p>
            <w:pPr>
              <w:spacing w:after="0"/>
              <w:rPr>
                <w:sz w:val="17"/>
                <w:szCs w:val="17"/>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Board of the National Security Agency and of the Science Advisory Group of the U.S. Strategic Command.</w:t>
            </w:r>
          </w:p>
        </w:tc>
        <w:tc>
          <w:tcPr>
            <w:tcW w:w="0" w:type="dxa"/>
            <w:vAlign w:val="bottom"/>
          </w:tcPr>
          <w:p>
            <w:pPr>
              <w:spacing w:after="0"/>
              <w:rPr>
                <w:sz w:val="1"/>
                <w:szCs w:val="1"/>
                <w:color w:val="auto"/>
              </w:rPr>
            </w:pPr>
          </w:p>
        </w:tc>
      </w:tr>
      <w:tr>
        <w:trPr>
          <w:trHeight w:val="69"/>
        </w:trPr>
        <w:tc>
          <w:tcPr>
            <w:tcW w:w="1880" w:type="dxa"/>
            <w:vAlign w:val="bottom"/>
            <w:vMerge w:val="continue"/>
          </w:tcPr>
          <w:p>
            <w:pPr>
              <w:spacing w:after="0"/>
              <w:rPr>
                <w:sz w:val="6"/>
                <w:szCs w:val="6"/>
                <w:color w:val="auto"/>
              </w:rPr>
            </w:pPr>
          </w:p>
        </w:tc>
        <w:tc>
          <w:tcPr>
            <w:tcW w:w="20" w:type="dxa"/>
            <w:vAlign w:val="bottom"/>
            <w:shd w:val="clear" w:color="auto" w:fill="E8EAEB"/>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right"/>
              <w:ind w:right="112"/>
              <w:spacing w:after="0"/>
              <w:rPr>
                <w:sz w:val="20"/>
                <w:szCs w:val="20"/>
                <w:color w:val="auto"/>
              </w:rPr>
            </w:pPr>
            <w:r>
              <w:rPr>
                <w:rFonts w:ascii="Arial" w:cs="Arial" w:eastAsia="Arial" w:hAnsi="Arial"/>
                <w:sz w:val="16"/>
                <w:szCs w:val="16"/>
                <w:color w:val="202E39"/>
              </w:rPr>
              <w:t>2004</w:t>
            </w:r>
          </w:p>
        </w:tc>
        <w:tc>
          <w:tcPr>
            <w:tcW w:w="20" w:type="dxa"/>
            <w:vAlign w:val="bottom"/>
            <w:shd w:val="clear" w:color="auto" w:fill="E8EAEB"/>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009FE3"/>
                <w:w w:val="99"/>
              </w:rPr>
              <w:t xml:space="preserve">Mr. Stenbit provides our Board with significant technological, defense and national security expertise </w:t>
            </w:r>
            <w:r>
              <w:rPr>
                <w:rFonts w:ascii="Arial" w:cs="Arial" w:eastAsia="Arial" w:hAnsi="Arial"/>
                <w:sz w:val="16"/>
                <w:szCs w:val="16"/>
                <w:color w:val="202E39"/>
                <w:w w:val="99"/>
              </w:rPr>
              <w:t>as a result</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8"/>
              </w:rPr>
              <w:t>of his distinguished career of corporate and government service focused on the communications, aerospace and</w:t>
            </w: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20" w:type="dxa"/>
            <w:vAlign w:val="bottom"/>
            <w:shd w:val="clear" w:color="auto" w:fill="E8EAEB"/>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satellite fields.</w:t>
            </w:r>
          </w:p>
        </w:tc>
        <w:tc>
          <w:tcPr>
            <w:tcW w:w="0" w:type="dxa"/>
            <w:vAlign w:val="bottom"/>
          </w:tcPr>
          <w:p>
            <w:pPr>
              <w:spacing w:after="0"/>
              <w:rPr>
                <w:sz w:val="1"/>
                <w:szCs w:val="1"/>
                <w:color w:val="auto"/>
              </w:rPr>
            </w:pPr>
          </w:p>
        </w:tc>
      </w:tr>
      <w:tr>
        <w:trPr>
          <w:trHeight w:val="237"/>
        </w:trPr>
        <w:tc>
          <w:tcPr>
            <w:tcW w:w="1880" w:type="dxa"/>
            <w:vAlign w:val="bottom"/>
            <w:vMerge w:val="restart"/>
          </w:tcPr>
          <w:p>
            <w:pPr>
              <w:jc w:val="right"/>
              <w:spacing w:after="0"/>
              <w:rPr>
                <w:sz w:val="20"/>
                <w:szCs w:val="20"/>
                <w:color w:val="auto"/>
              </w:rPr>
            </w:pPr>
            <w:r>
              <w:rPr>
                <w:rFonts w:ascii="Arial" w:cs="Arial" w:eastAsia="Arial" w:hAnsi="Arial"/>
                <w:sz w:val="21"/>
                <w:szCs w:val="21"/>
                <w:color w:val="202E39"/>
              </w:rPr>
              <w:t xml:space="preserve">Andrew Sukawaty </w:t>
            </w:r>
            <w:r>
              <w:rPr>
                <w:rFonts w:ascii="Arial" w:cs="Arial" w:eastAsia="Arial" w:hAnsi="Arial"/>
                <w:sz w:val="15"/>
                <w:szCs w:val="15"/>
                <w:color w:val="202E39"/>
              </w:rPr>
              <w:t xml:space="preserve"> </w:t>
            </w:r>
          </w:p>
        </w:tc>
        <w:tc>
          <w:tcPr>
            <w:tcW w:w="20" w:type="dxa"/>
            <w:vAlign w:val="bottom"/>
          </w:tcPr>
          <w:p>
            <w:pPr>
              <w:spacing w:after="0"/>
              <w:rPr>
                <w:sz w:val="20"/>
                <w:szCs w:val="20"/>
                <w:color w:val="auto"/>
              </w:rPr>
            </w:pPr>
          </w:p>
        </w:tc>
        <w:tc>
          <w:tcPr>
            <w:tcW w:w="8060" w:type="dxa"/>
            <w:vAlign w:val="bottom"/>
            <w:vMerge w:val="restart"/>
          </w:tcPr>
          <w:p>
            <w:pPr>
              <w:ind w:left="180"/>
              <w:spacing w:after="0"/>
              <w:rPr>
                <w:sz w:val="20"/>
                <w:szCs w:val="20"/>
                <w:color w:val="auto"/>
              </w:rPr>
            </w:pPr>
            <w:r>
              <w:rPr>
                <w:rFonts w:ascii="Arial" w:cs="Arial" w:eastAsia="Arial" w:hAnsi="Arial"/>
                <w:sz w:val="16"/>
                <w:szCs w:val="16"/>
                <w:color w:val="202E39"/>
              </w:rPr>
              <w:t>Andrew Sukawaty has been a director of Viasat since the closing of the Inmarsat Acquisition in May 2023. Mr.</w:t>
            </w:r>
          </w:p>
        </w:tc>
        <w:tc>
          <w:tcPr>
            <w:tcW w:w="0" w:type="dxa"/>
            <w:vAlign w:val="bottom"/>
          </w:tcPr>
          <w:p>
            <w:pPr>
              <w:spacing w:after="0"/>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20" w:type="dxa"/>
            <w:vAlign w:val="bottom"/>
            <w:shd w:val="clear" w:color="auto" w:fill="E8EAEB"/>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20" w:type="dxa"/>
            <w:vAlign w:val="bottom"/>
            <w:shd w:val="clear" w:color="auto" w:fill="E8EAEB"/>
          </w:tcPr>
          <w:p>
            <w:pPr>
              <w:spacing w:after="0"/>
              <w:rPr>
                <w:sz w:val="14"/>
                <w:szCs w:val="14"/>
                <w:color w:val="auto"/>
              </w:rPr>
            </w:pPr>
          </w:p>
        </w:tc>
        <w:tc>
          <w:tcPr>
            <w:tcW w:w="8060" w:type="dxa"/>
            <w:vAlign w:val="bottom"/>
          </w:tcPr>
          <w:p>
            <w:pPr>
              <w:ind w:left="180"/>
              <w:spacing w:after="0" w:line="172" w:lineRule="exact"/>
              <w:rPr>
                <w:sz w:val="20"/>
                <w:szCs w:val="20"/>
                <w:color w:val="auto"/>
              </w:rPr>
            </w:pPr>
            <w:r>
              <w:rPr>
                <w:rFonts w:ascii="Arial" w:cs="Arial" w:eastAsia="Arial" w:hAnsi="Arial"/>
                <w:sz w:val="16"/>
                <w:szCs w:val="16"/>
                <w:color w:val="202E39"/>
              </w:rPr>
              <w:t>Sukawaty served as the Chairman of the Board of Inmarsat until the closing of the Inmarsat Acquisition, and</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previously served as both Chairman and Chief Executive Officer of Inmarsat between 2003 and 2012. He is a</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9"/>
              </w:rPr>
              <w:t>founding partner of Corten Advisers UK LLP, Chairman of Hg Capital USA, and a director of Hg Capital LLC and</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RELX plc. Previously, Mr. Sukawaty was a Senior Independent Director of Sky plc, Chairman of Ziggo N.V.,</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8"/>
              </w:rPr>
              <w:t>Xyratex Technologies and Telenet, and Deputy Chairman of O2 plc. He has also previously served as an advisor</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to Apax Partners and Warburg Pincus and has previously been Chief Executive Officer and President of Sprint</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PCS, a global national wireless carrier, and Chief Executive Officer of NTL Limited. In addition, Mr. Sukawaty</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8"/>
              </w:rPr>
              <w:t>previously held various management positions with U.S. West and AT&amp;T and served on the boards of directors of</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9"/>
              </w:rPr>
              <w:t>various listed companies. Mr. Sukawaty holds a B.B.A. from the University of Wisconsin and an M.B.A. from the</w:t>
            </w:r>
          </w:p>
        </w:tc>
        <w:tc>
          <w:tcPr>
            <w:tcW w:w="0" w:type="dxa"/>
            <w:vAlign w:val="bottom"/>
          </w:tcPr>
          <w:p>
            <w:pPr>
              <w:spacing w:after="0"/>
              <w:rPr>
                <w:sz w:val="1"/>
                <w:szCs w:val="1"/>
                <w:color w:val="auto"/>
              </w:rPr>
            </w:pPr>
          </w:p>
        </w:tc>
      </w:tr>
      <w:tr>
        <w:trPr>
          <w:trHeight w:val="207"/>
        </w:trPr>
        <w:tc>
          <w:tcPr>
            <w:tcW w:w="1880" w:type="dxa"/>
            <w:vAlign w:val="bottom"/>
            <w:vMerge w:val="restart"/>
          </w:tcPr>
          <w:p>
            <w:pPr>
              <w:jc w:val="right"/>
              <w:ind w:right="112"/>
              <w:spacing w:after="0"/>
              <w:rPr>
                <w:sz w:val="20"/>
                <w:szCs w:val="20"/>
                <w:color w:val="auto"/>
              </w:rPr>
            </w:pPr>
            <w:r>
              <w:rPr>
                <w:rFonts w:ascii="Arial" w:cs="Arial" w:eastAsia="Arial" w:hAnsi="Arial"/>
                <w:sz w:val="16"/>
                <w:szCs w:val="16"/>
                <w:color w:val="202E39"/>
              </w:rPr>
              <w:t>Director Since:</w:t>
            </w:r>
          </w:p>
        </w:tc>
        <w:tc>
          <w:tcPr>
            <w:tcW w:w="20" w:type="dxa"/>
            <w:vAlign w:val="bottom"/>
            <w:shd w:val="clear" w:color="auto" w:fill="E8EAEB"/>
          </w:tcPr>
          <w:p>
            <w:pPr>
              <w:spacing w:after="0"/>
              <w:rPr>
                <w:sz w:val="17"/>
                <w:szCs w:val="17"/>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University of Minnesota.</w:t>
            </w:r>
          </w:p>
        </w:tc>
        <w:tc>
          <w:tcPr>
            <w:tcW w:w="0" w:type="dxa"/>
            <w:vAlign w:val="bottom"/>
          </w:tcPr>
          <w:p>
            <w:pPr>
              <w:spacing w:after="0"/>
              <w:rPr>
                <w:sz w:val="1"/>
                <w:szCs w:val="1"/>
                <w:color w:val="auto"/>
              </w:rPr>
            </w:pPr>
          </w:p>
        </w:tc>
      </w:tr>
      <w:tr>
        <w:trPr>
          <w:trHeight w:val="69"/>
        </w:trPr>
        <w:tc>
          <w:tcPr>
            <w:tcW w:w="1880" w:type="dxa"/>
            <w:vAlign w:val="bottom"/>
            <w:vMerge w:val="continue"/>
          </w:tcPr>
          <w:p>
            <w:pPr>
              <w:spacing w:after="0"/>
              <w:rPr>
                <w:sz w:val="6"/>
                <w:szCs w:val="6"/>
                <w:color w:val="auto"/>
              </w:rPr>
            </w:pPr>
          </w:p>
        </w:tc>
        <w:tc>
          <w:tcPr>
            <w:tcW w:w="20" w:type="dxa"/>
            <w:vAlign w:val="bottom"/>
            <w:shd w:val="clear" w:color="auto" w:fill="E8EAEB"/>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right"/>
              <w:ind w:right="112"/>
              <w:spacing w:after="0"/>
              <w:rPr>
                <w:sz w:val="20"/>
                <w:szCs w:val="20"/>
                <w:color w:val="auto"/>
              </w:rPr>
            </w:pPr>
            <w:r>
              <w:rPr>
                <w:rFonts w:ascii="Arial" w:cs="Arial" w:eastAsia="Arial" w:hAnsi="Arial"/>
                <w:sz w:val="16"/>
                <w:szCs w:val="16"/>
                <w:color w:val="202E39"/>
              </w:rPr>
              <w:t>2023</w:t>
            </w:r>
          </w:p>
        </w:tc>
        <w:tc>
          <w:tcPr>
            <w:tcW w:w="20" w:type="dxa"/>
            <w:vAlign w:val="bottom"/>
            <w:shd w:val="clear" w:color="auto" w:fill="E8EAEB"/>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009FE3"/>
              </w:rPr>
              <w:t>Mr. Sukawaty provides our Board with extensive experience building a global mobile communications company</w:t>
            </w: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20" w:type="dxa"/>
            <w:vAlign w:val="bottom"/>
            <w:shd w:val="clear" w:color="auto" w:fill="E8EAEB"/>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based on his service as Chairman and Chief Executive Officer of Inmarsat.</w:t>
            </w:r>
          </w:p>
        </w:tc>
        <w:tc>
          <w:tcPr>
            <w:tcW w:w="0" w:type="dxa"/>
            <w:vAlign w:val="bottom"/>
          </w:tcPr>
          <w:p>
            <w:pPr>
              <w:spacing w:after="0"/>
              <w:rPr>
                <w:sz w:val="1"/>
                <w:szCs w:val="1"/>
                <w:color w:val="auto"/>
              </w:rPr>
            </w:pPr>
          </w:p>
        </w:tc>
      </w:tr>
      <w:tr>
        <w:trPr>
          <w:trHeight w:val="237"/>
        </w:trPr>
        <w:tc>
          <w:tcPr>
            <w:tcW w:w="1880" w:type="dxa"/>
            <w:vAlign w:val="bottom"/>
            <w:vMerge w:val="restart"/>
          </w:tcPr>
          <w:p>
            <w:pPr>
              <w:jc w:val="right"/>
              <w:spacing w:after="0"/>
              <w:rPr>
                <w:sz w:val="20"/>
                <w:szCs w:val="20"/>
                <w:color w:val="auto"/>
              </w:rPr>
            </w:pPr>
            <w:r>
              <w:rPr>
                <w:rFonts w:ascii="Arial" w:cs="Arial" w:eastAsia="Arial" w:hAnsi="Arial"/>
                <w:sz w:val="21"/>
                <w:szCs w:val="21"/>
                <w:color w:val="202E39"/>
              </w:rPr>
              <w:t xml:space="preserve">Theresa Wise </w:t>
            </w:r>
            <w:r>
              <w:rPr>
                <w:rFonts w:ascii="Arial" w:cs="Arial" w:eastAsia="Arial" w:hAnsi="Arial"/>
                <w:sz w:val="15"/>
                <w:szCs w:val="15"/>
                <w:color w:val="202E39"/>
              </w:rPr>
              <w:t xml:space="preserve"> </w:t>
            </w:r>
          </w:p>
        </w:tc>
        <w:tc>
          <w:tcPr>
            <w:tcW w:w="20" w:type="dxa"/>
            <w:vAlign w:val="bottom"/>
          </w:tcPr>
          <w:p>
            <w:pPr>
              <w:spacing w:after="0"/>
              <w:rPr>
                <w:sz w:val="20"/>
                <w:szCs w:val="20"/>
                <w:color w:val="auto"/>
              </w:rPr>
            </w:pPr>
          </w:p>
        </w:tc>
        <w:tc>
          <w:tcPr>
            <w:tcW w:w="8060" w:type="dxa"/>
            <w:vAlign w:val="bottom"/>
            <w:vMerge w:val="restart"/>
          </w:tcPr>
          <w:p>
            <w:pPr>
              <w:ind w:left="180"/>
              <w:spacing w:after="0"/>
              <w:rPr>
                <w:sz w:val="20"/>
                <w:szCs w:val="20"/>
                <w:color w:val="auto"/>
              </w:rPr>
            </w:pPr>
            <w:r>
              <w:rPr>
                <w:rFonts w:ascii="Arial" w:cs="Arial" w:eastAsia="Arial" w:hAnsi="Arial"/>
                <w:sz w:val="16"/>
                <w:szCs w:val="16"/>
                <w:color w:val="202E39"/>
              </w:rPr>
              <w:t>Theresa Wise has been a director of Viasat since 2020, and is Chief Executive Officer and principal for Utaza,</w:t>
            </w:r>
          </w:p>
        </w:tc>
        <w:tc>
          <w:tcPr>
            <w:tcW w:w="0" w:type="dxa"/>
            <w:vAlign w:val="bottom"/>
          </w:tcPr>
          <w:p>
            <w:pPr>
              <w:spacing w:after="0"/>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20" w:type="dxa"/>
            <w:vAlign w:val="bottom"/>
            <w:shd w:val="clear" w:color="auto" w:fill="E8EAEB"/>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20" w:type="dxa"/>
            <w:vAlign w:val="bottom"/>
            <w:shd w:val="clear" w:color="auto" w:fill="E8EAEB"/>
          </w:tcPr>
          <w:p>
            <w:pPr>
              <w:spacing w:after="0"/>
              <w:rPr>
                <w:sz w:val="14"/>
                <w:szCs w:val="14"/>
                <w:color w:val="auto"/>
              </w:rPr>
            </w:pPr>
          </w:p>
        </w:tc>
        <w:tc>
          <w:tcPr>
            <w:tcW w:w="8060" w:type="dxa"/>
            <w:vAlign w:val="bottom"/>
          </w:tcPr>
          <w:p>
            <w:pPr>
              <w:ind w:left="180"/>
              <w:spacing w:after="0" w:line="172" w:lineRule="exact"/>
              <w:rPr>
                <w:sz w:val="20"/>
                <w:szCs w:val="20"/>
                <w:color w:val="auto"/>
              </w:rPr>
            </w:pPr>
            <w:r>
              <w:rPr>
                <w:rFonts w:ascii="Arial" w:cs="Arial" w:eastAsia="Arial" w:hAnsi="Arial"/>
                <w:sz w:val="16"/>
                <w:szCs w:val="16"/>
                <w:color w:val="202E39"/>
              </w:rPr>
              <w:t>LLC, an information technology consulting company, a role she has held since 2017. Dr. Wise is the former</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w w:val="99"/>
              </w:rPr>
              <w:t>Senior Vice President and Chief Information Officer of Delta Air Lines, a commercial airline, a role she held from</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2008 to 2016. Prior to joining Delta, Dr. Wise held several positions at Northwest Airlines Corporation, a</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commercial airline, including serving as the company’s Chief Information Officer from 2001 until Northwest</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Airlines Corporation’s merger with Delta in 2008. Dr. Wise currently serves on the board of directors of IBS</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0" w:type="dxa"/>
            <w:vAlign w:val="bottom"/>
            <w:shd w:val="clear" w:color="auto" w:fill="E8EAEB"/>
          </w:tcPr>
          <w:p>
            <w:pPr>
              <w:spacing w:after="0"/>
              <w:rPr>
                <w:sz w:val="16"/>
                <w:szCs w:val="16"/>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Software. Dr. Wise received a B.A. degree in mathematics and chemistry from St. Olaf College and Ph.D. and</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7"/>
                <w:szCs w:val="17"/>
                <w:color w:val="auto"/>
              </w:rPr>
            </w:pPr>
          </w:p>
        </w:tc>
        <w:tc>
          <w:tcPr>
            <w:tcW w:w="20" w:type="dxa"/>
            <w:vAlign w:val="bottom"/>
            <w:shd w:val="clear" w:color="auto" w:fill="E8EAEB"/>
          </w:tcPr>
          <w:p>
            <w:pPr>
              <w:spacing w:after="0"/>
              <w:rPr>
                <w:sz w:val="17"/>
                <w:szCs w:val="17"/>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M.S. degrees in applied math from Cornell University.</w:t>
            </w: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4"/>
                <w:szCs w:val="24"/>
                <w:color w:val="auto"/>
              </w:rPr>
            </w:pPr>
          </w:p>
        </w:tc>
        <w:tc>
          <w:tcPr>
            <w:tcW w:w="20" w:type="dxa"/>
            <w:vAlign w:val="bottom"/>
            <w:shd w:val="clear" w:color="auto" w:fill="E8EAEB"/>
          </w:tcPr>
          <w:p>
            <w:pPr>
              <w:spacing w:after="0"/>
              <w:rPr>
                <w:sz w:val="24"/>
                <w:szCs w:val="24"/>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009FE3"/>
                <w:w w:val="99"/>
              </w:rPr>
              <w:t>Dr. Wise provides our Board with expertise</w:t>
            </w:r>
            <w:r>
              <w:rPr>
                <w:rFonts w:ascii="Arial" w:cs="Arial" w:eastAsia="Arial" w:hAnsi="Arial"/>
                <w:sz w:val="16"/>
                <w:szCs w:val="16"/>
                <w:color w:val="202E39"/>
                <w:w w:val="99"/>
              </w:rPr>
              <w:t>, perspective and proven experience in applying IT strategy and data</w:t>
            </w:r>
          </w:p>
        </w:tc>
        <w:tc>
          <w:tcPr>
            <w:tcW w:w="0" w:type="dxa"/>
            <w:vAlign w:val="bottom"/>
          </w:tcPr>
          <w:p>
            <w:pPr>
              <w:spacing w:after="0"/>
              <w:rPr>
                <w:sz w:val="1"/>
                <w:szCs w:val="1"/>
                <w:color w:val="auto"/>
              </w:rPr>
            </w:pPr>
          </w:p>
        </w:tc>
      </w:tr>
      <w:tr>
        <w:trPr>
          <w:trHeight w:val="207"/>
        </w:trPr>
        <w:tc>
          <w:tcPr>
            <w:tcW w:w="1880" w:type="dxa"/>
            <w:vAlign w:val="bottom"/>
            <w:vMerge w:val="restart"/>
          </w:tcPr>
          <w:p>
            <w:pPr>
              <w:jc w:val="right"/>
              <w:ind w:right="112"/>
              <w:spacing w:after="0"/>
              <w:rPr>
                <w:sz w:val="20"/>
                <w:szCs w:val="20"/>
                <w:color w:val="auto"/>
              </w:rPr>
            </w:pPr>
            <w:r>
              <w:rPr>
                <w:rFonts w:ascii="Arial" w:cs="Arial" w:eastAsia="Arial" w:hAnsi="Arial"/>
                <w:sz w:val="16"/>
                <w:szCs w:val="16"/>
                <w:color w:val="202E39"/>
              </w:rPr>
              <w:t>Director Since:</w:t>
            </w:r>
          </w:p>
        </w:tc>
        <w:tc>
          <w:tcPr>
            <w:tcW w:w="20" w:type="dxa"/>
            <w:vAlign w:val="bottom"/>
            <w:shd w:val="clear" w:color="auto" w:fill="E8EAEB"/>
          </w:tcPr>
          <w:p>
            <w:pPr>
              <w:spacing w:after="0"/>
              <w:rPr>
                <w:sz w:val="17"/>
                <w:szCs w:val="17"/>
                <w:color w:val="auto"/>
              </w:rPr>
            </w:pPr>
          </w:p>
        </w:tc>
        <w:tc>
          <w:tcPr>
            <w:tcW w:w="8060" w:type="dxa"/>
            <w:vAlign w:val="bottom"/>
          </w:tcPr>
          <w:p>
            <w:pPr>
              <w:ind w:left="180"/>
              <w:spacing w:after="0"/>
              <w:rPr>
                <w:sz w:val="20"/>
                <w:szCs w:val="20"/>
                <w:color w:val="auto"/>
              </w:rPr>
            </w:pPr>
            <w:r>
              <w:rPr>
                <w:rFonts w:ascii="Arial" w:cs="Arial" w:eastAsia="Arial" w:hAnsi="Arial"/>
                <w:sz w:val="16"/>
                <w:szCs w:val="16"/>
                <w:color w:val="202E39"/>
              </w:rPr>
              <w:t>analytics to advance end-user experiences.</w:t>
            </w:r>
          </w:p>
        </w:tc>
        <w:tc>
          <w:tcPr>
            <w:tcW w:w="0" w:type="dxa"/>
            <w:vAlign w:val="bottom"/>
          </w:tcPr>
          <w:p>
            <w:pPr>
              <w:spacing w:after="0"/>
              <w:rPr>
                <w:sz w:val="1"/>
                <w:szCs w:val="1"/>
                <w:color w:val="auto"/>
              </w:rPr>
            </w:pPr>
          </w:p>
        </w:tc>
      </w:tr>
      <w:tr>
        <w:trPr>
          <w:trHeight w:val="135"/>
        </w:trPr>
        <w:tc>
          <w:tcPr>
            <w:tcW w:w="1880" w:type="dxa"/>
            <w:vAlign w:val="bottom"/>
            <w:vMerge w:val="continue"/>
          </w:tcPr>
          <w:p>
            <w:pPr>
              <w:spacing w:after="0"/>
              <w:rPr>
                <w:sz w:val="11"/>
                <w:szCs w:val="11"/>
                <w:color w:val="auto"/>
              </w:rPr>
            </w:pPr>
          </w:p>
        </w:tc>
        <w:tc>
          <w:tcPr>
            <w:tcW w:w="20" w:type="dxa"/>
            <w:vAlign w:val="bottom"/>
            <w:shd w:val="clear" w:color="auto" w:fill="E8EAEB"/>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80" w:type="dxa"/>
            <w:vAlign w:val="bottom"/>
          </w:tcPr>
          <w:p>
            <w:pPr>
              <w:jc w:val="right"/>
              <w:ind w:right="112"/>
              <w:spacing w:after="0"/>
              <w:rPr>
                <w:sz w:val="20"/>
                <w:szCs w:val="20"/>
                <w:color w:val="auto"/>
              </w:rPr>
            </w:pPr>
            <w:r>
              <w:rPr>
                <w:rFonts w:ascii="Arial" w:cs="Arial" w:eastAsia="Arial" w:hAnsi="Arial"/>
                <w:sz w:val="16"/>
                <w:szCs w:val="16"/>
                <w:color w:val="202E39"/>
              </w:rPr>
              <w:t>2020</w:t>
            </w:r>
          </w:p>
        </w:tc>
        <w:tc>
          <w:tcPr>
            <w:tcW w:w="20" w:type="dxa"/>
            <w:vAlign w:val="bottom"/>
            <w:shd w:val="clear" w:color="auto" w:fill="E8EAEB"/>
          </w:tcPr>
          <w:p>
            <w:pPr>
              <w:spacing w:after="0"/>
              <w:rPr>
                <w:sz w:val="18"/>
                <w:szCs w:val="18"/>
                <w:color w:val="auto"/>
              </w:rPr>
            </w:pPr>
          </w:p>
        </w:tc>
        <w:tc>
          <w:tcPr>
            <w:tcW w:w="8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-4898390</wp:posOffset>
            </wp:positionV>
            <wp:extent cx="1009650" cy="1001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9650" cy="100139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-3012440</wp:posOffset>
            </wp:positionV>
            <wp:extent cx="1001395" cy="1001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1395" cy="1001395"/>
                    </a:xfrm>
                    <a:prstGeom prst="rect">
                      <a:avLst/>
                    </a:prstGeom>
                    <a:noFill/>
                  </pic:spPr>
                </pic:pic>
              </a:graphicData>
            </a:graphic>
          </wp:anchor>
        </w:drawing>
        <w:drawing>
          <wp:anchor simplePos="0" relativeHeight="251657728" behindDoc="1" locked="0" layoutInCell="0" allowOverlap="1">
            <wp:simplePos x="0" y="0"/>
            <wp:positionH relativeFrom="column">
              <wp:posOffset>554355</wp:posOffset>
            </wp:positionH>
            <wp:positionV relativeFrom="paragraph">
              <wp:posOffset>92075</wp:posOffset>
            </wp:positionV>
            <wp:extent cx="425450" cy="150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14       </w:t>
      </w:r>
    </w:p>
    <w:p>
      <w:pPr>
        <w:sectPr>
          <w:pgSz w:w="11900" w:h="16838" w:orient="portrait"/>
          <w:cols w:equalWidth="0" w:num="1">
            <w:col w:w="10980"/>
          </w:cols>
          <w:pgMar w:left="320" w:top="474" w:right="5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PROPOSAL 1:</w:t>
      </w:r>
      <w:r>
        <w:rPr>
          <w:rFonts w:ascii="Arial" w:cs="Arial" w:eastAsia="Arial" w:hAnsi="Arial"/>
          <w:sz w:val="14"/>
          <w:szCs w:val="14"/>
          <w:color w:val="202E39"/>
        </w:rPr>
        <w:t xml:space="preserve"> </w:t>
      </w:r>
      <w:r>
        <w:rPr>
          <w:rFonts w:ascii="Arial" w:cs="Arial" w:eastAsia="Arial" w:hAnsi="Arial"/>
          <w:sz w:val="14"/>
          <w:szCs w:val="14"/>
          <w:color w:val="009FE3"/>
        </w:rPr>
        <w:t xml:space="preserve"> •</w:t>
      </w:r>
      <w:r>
        <w:rPr>
          <w:rFonts w:ascii="Arial" w:cs="Arial" w:eastAsia="Arial" w:hAnsi="Arial"/>
          <w:sz w:val="14"/>
          <w:szCs w:val="14"/>
          <w:color w:val="202E39"/>
        </w:rPr>
        <w:t xml:space="preserve">  Election of Directors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Class II Directors with Terms Expiring in 2025</w:t>
      </w:r>
    </w:p>
    <w:p>
      <w:pPr>
        <w:sectPr>
          <w:pgSz w:w="11900" w:h="16838" w:orient="portrait"/>
          <w:cols w:equalWidth="0" w:num="1">
            <w:col w:w="10980"/>
          </w:cols>
          <w:pgMar w:left="320" w:top="474" w:right="599" w:bottom="1440" w:gutter="0" w:footer="0" w:header="0"/>
        </w:sectPr>
      </w:pPr>
    </w:p>
    <w:p>
      <w:pPr>
        <w:spacing w:after="0" w:line="240" w:lineRule="exact"/>
        <w:rPr>
          <w:sz w:val="20"/>
          <w:szCs w:val="20"/>
          <w:color w:val="auto"/>
        </w:rPr>
      </w:pPr>
    </w:p>
    <w:p>
      <w:pPr>
        <w:ind w:left="260" w:right="80"/>
        <w:spacing w:after="0" w:line="260" w:lineRule="auto"/>
        <w:rPr>
          <w:sz w:val="20"/>
          <w:szCs w:val="20"/>
          <w:color w:val="auto"/>
        </w:rPr>
      </w:pPr>
      <w:r>
        <w:rPr>
          <w:rFonts w:ascii="Arial" w:cs="Arial" w:eastAsia="Arial" w:hAnsi="Arial"/>
          <w:sz w:val="15"/>
          <w:szCs w:val="15"/>
          <w:color w:val="202E39"/>
        </w:rPr>
        <w:t>Richard Baldridge has been a director of Viasat since 2016. Mr. Baldridge joined Viasat in 1999, serving as Executive Vice President, Chief Financial Officer and Chief Operating Officer from 2000, as Executive Vice President and Chief Operating Officer from 2002, and as President and Chief Operating Officer from 2003. Mr. Baldridge served as President and Chief Executive Officer from November 2020 through July 2022, and served as Vice Chairman from July 2022 until his retirement in June 2023.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1998 to 1999. From 1994 to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-1415415</wp:posOffset>
            </wp:positionV>
            <wp:extent cx="8255" cy="1719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19580"/>
                    </a:xfrm>
                    <a:prstGeom prst="rect">
                      <a:avLst/>
                    </a:prstGeom>
                    <a:noFill/>
                  </pic:spPr>
                </pic:pic>
              </a:graphicData>
            </a:graphic>
          </wp:anchor>
        </w:drawing>
      </w:r>
    </w:p>
    <w:p>
      <w:pPr>
        <w:spacing w:after="0" w:line="64" w:lineRule="exact"/>
        <w:rPr>
          <w:sz w:val="20"/>
          <w:szCs w:val="20"/>
          <w:color w:val="auto"/>
        </w:rPr>
      </w:pPr>
    </w:p>
    <w:p>
      <w:pPr>
        <w:ind w:left="260"/>
        <w:spacing w:after="0" w:line="269" w:lineRule="auto"/>
        <w:rPr>
          <w:sz w:val="20"/>
          <w:szCs w:val="20"/>
          <w:color w:val="auto"/>
        </w:rPr>
      </w:pPr>
      <w:r>
        <w:rPr>
          <w:rFonts w:ascii="Arial" w:cs="Arial" w:eastAsia="Arial" w:hAnsi="Arial"/>
          <w:sz w:val="16"/>
          <w:szCs w:val="16"/>
          <w:color w:val="009FE3"/>
        </w:rPr>
        <w:t xml:space="preserve">Mr. Baldridge provides our Board with significant operational and financial expertise </w:t>
      </w:r>
      <w:r>
        <w:rPr>
          <w:rFonts w:ascii="Arial" w:cs="Arial" w:eastAsia="Arial" w:hAnsi="Arial"/>
          <w:sz w:val="16"/>
          <w:szCs w:val="16"/>
          <w:color w:val="202E39"/>
        </w:rPr>
        <w:t>based on his executive leadership</w:t>
      </w:r>
      <w:r>
        <w:rPr>
          <w:rFonts w:ascii="Arial" w:cs="Arial" w:eastAsia="Arial" w:hAnsi="Arial"/>
          <w:sz w:val="16"/>
          <w:szCs w:val="16"/>
          <w:color w:val="009FE3"/>
        </w:rPr>
        <w:t xml:space="preserve"> </w:t>
      </w:r>
      <w:r>
        <w:rPr>
          <w:rFonts w:ascii="Arial" w:cs="Arial" w:eastAsia="Arial" w:hAnsi="Arial"/>
          <w:sz w:val="16"/>
          <w:szCs w:val="16"/>
          <w:color w:val="202E39"/>
        </w:rPr>
        <w:t>roles at Viasat and other companies.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202E39"/>
        </w:rPr>
        <w:t>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1001395" cy="1001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1395" cy="100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02E39"/>
        </w:rPr>
        <w:t> 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02E39"/>
        </w:rPr>
        <w:t> 2016</w:t>
      </w:r>
    </w:p>
    <w:p>
      <w:pPr>
        <w:spacing w:after="0" w:line="615" w:lineRule="exact"/>
        <w:rPr>
          <w:sz w:val="20"/>
          <w:szCs w:val="20"/>
          <w:color w:val="auto"/>
        </w:rPr>
      </w:pPr>
    </w:p>
    <w:p>
      <w:pPr>
        <w:sectPr>
          <w:pgSz w:w="11900" w:h="16838" w:orient="portrait"/>
          <w:cols w:equalWidth="0" w:num="2">
            <w:col w:w="8500" w:space="420"/>
            <w:col w:w="2060"/>
          </w:cols>
          <w:pgMar w:left="320" w:top="474" w:right="599" w:bottom="1440" w:gutter="0" w:footer="0" w:header="0"/>
          <w:type w:val="continuous"/>
        </w:sectPr>
      </w:pPr>
    </w:p>
    <w:p>
      <w:pPr>
        <w:spacing w:after="0" w:line="14" w:lineRule="exact"/>
        <w:rPr>
          <w:sz w:val="20"/>
          <w:szCs w:val="20"/>
          <w:color w:val="auto"/>
        </w:rPr>
      </w:pPr>
    </w:p>
    <w:p>
      <w:pPr>
        <w:ind w:left="260" w:right="20"/>
        <w:spacing w:after="0" w:line="244" w:lineRule="auto"/>
        <w:rPr>
          <w:sz w:val="20"/>
          <w:szCs w:val="20"/>
          <w:color w:val="auto"/>
        </w:rPr>
      </w:pPr>
      <w:r>
        <w:rPr>
          <w:rFonts w:ascii="Arial" w:cs="Arial" w:eastAsia="Arial" w:hAnsi="Arial"/>
          <w:sz w:val="16"/>
          <w:szCs w:val="16"/>
          <w:color w:val="202E39"/>
        </w:rPr>
        <w:t>James Bridenstine has been a director of Viasat since 2021. Since June 2022, Mr. Bridenstine has worked as an independent consultant. From January 2021 to June 2022, Mr. Bridenstine worked as a senior advisor to Acorn Growth Companies, a private equity firm. From April 2018 until January 2021, Mr. Bridenstine served as Administrator of NASA. From 2013 to 2018, Mr. Bridenstine was a member of the United States House of Representatives, where he served on the Armed Services Committee and the Committee on Science, Space and Technology. Mr. Bridenstine’s career in federal service began in 1998 as a pilot in the United States Navy. Mr. Bridenstine earned a B.A. degree with three majors – Economics, Business and Psychology – from Rice University and an M.B.A. degree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-941705</wp:posOffset>
            </wp:positionV>
            <wp:extent cx="8255" cy="1468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468755"/>
                    </a:xfrm>
                    <a:prstGeom prst="rect">
                      <a:avLst/>
                    </a:prstGeom>
                    <a:noFill/>
                  </pic:spPr>
                </pic:pic>
              </a:graphicData>
            </a:graphic>
          </wp:anchor>
        </w:drawing>
      </w:r>
    </w:p>
    <w:p>
      <w:pPr>
        <w:spacing w:after="0" w:line="74"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009FE3"/>
        </w:rPr>
        <w:t xml:space="preserve">Mr. Bridenstine provides our Board with extensive experience </w:t>
      </w:r>
      <w:r>
        <w:rPr>
          <w:rFonts w:ascii="Arial" w:cs="Arial" w:eastAsia="Arial" w:hAnsi="Arial"/>
          <w:sz w:val="16"/>
          <w:szCs w:val="16"/>
          <w:color w:val="202E39"/>
        </w:rPr>
        <w:t>in space technology, innovation and safety based on his</w:t>
      </w:r>
      <w:r>
        <w:rPr>
          <w:rFonts w:ascii="Arial" w:cs="Arial" w:eastAsia="Arial" w:hAnsi="Arial"/>
          <w:sz w:val="16"/>
          <w:szCs w:val="16"/>
          <w:color w:val="009FE3"/>
        </w:rPr>
        <w:t xml:space="preserve"> </w:t>
      </w:r>
      <w:r>
        <w:rPr>
          <w:rFonts w:ascii="Arial" w:cs="Arial" w:eastAsia="Arial" w:hAnsi="Arial"/>
          <w:sz w:val="16"/>
          <w:szCs w:val="16"/>
          <w:color w:val="202E39"/>
        </w:rPr>
        <w:t>leadership role at NASA, as well as military and aerospace expertise based on his public service in the United States Navy and Congress.</w:t>
      </w:r>
    </w:p>
    <w:p>
      <w:pPr>
        <w:spacing w:after="0" w:line="375" w:lineRule="exact"/>
        <w:rPr>
          <w:sz w:val="20"/>
          <w:szCs w:val="20"/>
          <w:color w:val="auto"/>
        </w:rPr>
      </w:pPr>
    </w:p>
    <w:p>
      <w:pPr>
        <w:ind w:left="260" w:right="100"/>
        <w:spacing w:after="0" w:line="263" w:lineRule="auto"/>
        <w:rPr>
          <w:sz w:val="20"/>
          <w:szCs w:val="20"/>
          <w:color w:val="auto"/>
        </w:rPr>
      </w:pPr>
      <w:r>
        <w:rPr>
          <w:rFonts w:ascii="Arial" w:cs="Arial" w:eastAsia="Arial" w:hAnsi="Arial"/>
          <w:sz w:val="15"/>
          <w:szCs w:val="15"/>
          <w:color w:val="202E39"/>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(cum laude) from Harvard Law School, and B.S. and M. Eng. degrees in Electrical Engineering and Computer Science from 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-831850</wp:posOffset>
            </wp:positionV>
            <wp:extent cx="8255" cy="1468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468755"/>
                    </a:xfrm>
                    <a:prstGeom prst="rect">
                      <a:avLst/>
                    </a:prstGeom>
                    <a:noFill/>
                  </pic:spPr>
                </pic:pic>
              </a:graphicData>
            </a:graphic>
          </wp:anchor>
        </w:drawing>
      </w:r>
    </w:p>
    <w:p>
      <w:pPr>
        <w:spacing w:after="0" w:line="63" w:lineRule="exact"/>
        <w:rPr>
          <w:sz w:val="20"/>
          <w:szCs w:val="20"/>
          <w:color w:val="auto"/>
        </w:rPr>
      </w:pPr>
    </w:p>
    <w:p>
      <w:pPr>
        <w:jc w:val="both"/>
        <w:ind w:left="260" w:right="100"/>
        <w:spacing w:after="0" w:line="254" w:lineRule="auto"/>
        <w:rPr>
          <w:sz w:val="20"/>
          <w:szCs w:val="20"/>
          <w:color w:val="auto"/>
        </w:rPr>
      </w:pPr>
      <w:r>
        <w:rPr>
          <w:rFonts w:ascii="Arial" w:cs="Arial" w:eastAsia="Arial" w:hAnsi="Arial"/>
          <w:sz w:val="16"/>
          <w:szCs w:val="16"/>
          <w:color w:val="009FE3"/>
        </w:rPr>
        <w:t xml:space="preserve">Mr. Pak provides our Board with significant expertise </w:t>
      </w:r>
      <w:r>
        <w:rPr>
          <w:rFonts w:ascii="Arial" w:cs="Arial" w:eastAsia="Arial" w:hAnsi="Arial"/>
          <w:sz w:val="16"/>
          <w:szCs w:val="16"/>
          <w:color w:val="202E39"/>
        </w:rPr>
        <w:t>in intellectual property development, strategy and enforcement,</w:t>
      </w:r>
      <w:r>
        <w:rPr>
          <w:rFonts w:ascii="Arial" w:cs="Arial" w:eastAsia="Arial" w:hAnsi="Arial"/>
          <w:sz w:val="16"/>
          <w:szCs w:val="16"/>
          <w:color w:val="009FE3"/>
        </w:rPr>
        <w:t xml:space="preserve"> </w:t>
      </w:r>
      <w:r>
        <w:rPr>
          <w:rFonts w:ascii="Arial" w:cs="Arial" w:eastAsia="Arial" w:hAnsi="Arial"/>
          <w:sz w:val="16"/>
          <w:szCs w:val="16"/>
          <w:color w:val="202E39"/>
        </w:rPr>
        <w:t>and international business strategy, along with technological and engineering expertise in satellite systems, electrical engineering and computer science.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202E39"/>
        </w:rPr>
        <w:t> James Bridenstine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88900</wp:posOffset>
            </wp:positionV>
            <wp:extent cx="1001395" cy="1001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1395" cy="100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202E39"/>
        </w:rPr>
        <w:t> 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02E39"/>
        </w:rPr>
        <w:t> 2021</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202E39"/>
        </w:rPr>
        <w:t> Sean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88900</wp:posOffset>
            </wp:positionV>
            <wp:extent cx="1001395" cy="1001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1395" cy="100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202E39"/>
        </w:rPr>
        <w:t> Director Since: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02E39"/>
        </w:rPr>
        <w:t> 2018</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15</w:t>
      </w:r>
    </w:p>
    <w:p>
      <w:pPr>
        <w:sectPr>
          <w:pgSz w:w="11900" w:h="16838" w:orient="portrait"/>
          <w:cols w:equalWidth="0" w:num="2">
            <w:col w:w="8480" w:space="440"/>
            <w:col w:w="2060"/>
          </w:cols>
          <w:pgMar w:left="320" w:top="474" w:right="5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Election of Directors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Class III Directors with Terms Expiring in 2026</w:t>
      </w:r>
    </w:p>
    <w:p>
      <w:pPr>
        <w:sectPr>
          <w:pgSz w:w="11900" w:h="16838" w:orient="portrait"/>
          <w:cols w:equalWidth="0" w:num="1">
            <w:col w:w="10980"/>
          </w:cols>
          <w:pgMar w:left="320" w:top="474" w:right="599" w:bottom="1440" w:gutter="0" w:footer="0" w:header="0"/>
        </w:sect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20"/>
          <w:szCs w:val="20"/>
          <w:color w:val="202E39"/>
        </w:rPr>
        <w:t xml:space="preserve">Mark Dankberg </w:t>
      </w:r>
      <w:r>
        <w:rPr>
          <w:rFonts w:ascii="Arial" w:cs="Arial" w:eastAsia="Arial" w:hAnsi="Arial"/>
          <w:sz w:val="14"/>
          <w:szCs w:val="14"/>
          <w:color w:val="202E39"/>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-145415</wp:posOffset>
            </wp:positionV>
            <wp:extent cx="1135380" cy="1485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538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202E39"/>
        </w:rPr>
        <w:t>Director Since:</w:t>
      </w:r>
    </w:p>
    <w:p>
      <w:pPr>
        <w:spacing w:after="0" w:line="1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202E39"/>
        </w:rPr>
        <w:t>1986</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21"/>
          <w:szCs w:val="21"/>
          <w:color w:val="202E39"/>
        </w:rPr>
        <w:t xml:space="preserve">Rajeev Suri </w:t>
      </w:r>
      <w:r>
        <w:rPr>
          <w:rFonts w:ascii="Arial" w:cs="Arial" w:eastAsia="Arial" w:hAnsi="Arial"/>
          <w:sz w:val="15"/>
          <w:szCs w:val="15"/>
          <w:color w:val="202E39"/>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-152400</wp:posOffset>
            </wp:positionV>
            <wp:extent cx="1126490" cy="1619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6490"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202E39"/>
        </w:rPr>
        <w:t>Director Since:</w:t>
      </w:r>
    </w:p>
    <w:p>
      <w:pPr>
        <w:spacing w:after="0" w:line="1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202E39"/>
        </w:rPr>
        <w:t>2023</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202E39"/>
        </w:rPr>
        <w:t>Mark Dankberg is a founder of Viasat and serves as its Chairman of the Board and Chief Executive Officer. He previously served as Executive Chairman from November 2020 to June 2022, and as Chairman of the Board and Chief Executive Officer from Viasat’s inception in 1986 until November 2020. Mr. Dankberg has significant expertise and perspective as a member of the board of directors of companies in various industries, including communications. Mr. Dankberg currently serves on the board of directors of Lytx, Inc., a privately-held company that provides fleet 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98" w:lineRule="exact"/>
        <w:rPr>
          <w:sz w:val="20"/>
          <w:szCs w:val="20"/>
          <w:color w:val="auto"/>
        </w:rPr>
      </w:pPr>
    </w:p>
    <w:p>
      <w:pPr>
        <w:ind w:right="560"/>
        <w:spacing w:after="0" w:line="303" w:lineRule="auto"/>
        <w:rPr>
          <w:sz w:val="20"/>
          <w:szCs w:val="20"/>
          <w:color w:val="auto"/>
        </w:rPr>
      </w:pPr>
      <w:r>
        <w:rPr>
          <w:rFonts w:ascii="Arial" w:cs="Arial" w:eastAsia="Arial" w:hAnsi="Arial"/>
          <w:sz w:val="15"/>
          <w:szCs w:val="15"/>
          <w:color w:val="009FE3"/>
        </w:rPr>
        <w:t xml:space="preserve">Mr. Dankberg provides our Board with significant operational, business and technological expertise </w:t>
      </w:r>
      <w:r>
        <w:rPr>
          <w:rFonts w:ascii="Arial" w:cs="Arial" w:eastAsia="Arial" w:hAnsi="Arial"/>
          <w:sz w:val="15"/>
          <w:szCs w:val="15"/>
          <w:color w:val="202E39"/>
        </w:rPr>
        <w:t>in the</w:t>
      </w:r>
      <w:r>
        <w:rPr>
          <w:rFonts w:ascii="Arial" w:cs="Arial" w:eastAsia="Arial" w:hAnsi="Arial"/>
          <w:sz w:val="15"/>
          <w:szCs w:val="15"/>
          <w:color w:val="009FE3"/>
        </w:rPr>
        <w:t xml:space="preserve"> </w:t>
      </w:r>
      <w:r>
        <w:rPr>
          <w:rFonts w:ascii="Arial" w:cs="Arial" w:eastAsia="Arial" w:hAnsi="Arial"/>
          <w:sz w:val="15"/>
          <w:szCs w:val="15"/>
          <w:color w:val="202E39"/>
        </w:rPr>
        <w:t>satellite and communications industries, and intimate knowledge of the issues facing our management.</w:t>
      </w:r>
    </w:p>
    <w:p>
      <w:pPr>
        <w:spacing w:after="0" w:line="366" w:lineRule="exact"/>
        <w:rPr>
          <w:sz w:val="20"/>
          <w:szCs w:val="20"/>
          <w:color w:val="auto"/>
        </w:rPr>
      </w:pPr>
    </w:p>
    <w:p>
      <w:pPr>
        <w:spacing w:after="0" w:line="260" w:lineRule="auto"/>
        <w:rPr>
          <w:sz w:val="20"/>
          <w:szCs w:val="20"/>
          <w:color w:val="auto"/>
        </w:rPr>
      </w:pPr>
      <w:r>
        <w:rPr>
          <w:rFonts w:ascii="Arial" w:cs="Arial" w:eastAsia="Arial" w:hAnsi="Arial"/>
          <w:sz w:val="15"/>
          <w:szCs w:val="15"/>
          <w:color w:val="202E39"/>
        </w:rPr>
        <w:t>Rajeev Suri has been a director of Viasat since the closing of the Inmarsat Acquisition in May 2023. In November 2023, Mr. Suri was appointed Chairman of the Digicel Group, a telecommunications network operator. Previously, Mr. Suri served as the Chief Executive Officer of Inmarsat from 2021 to 2023. Mr. Suri joined Inmarsat from Nokia, where he was President and Chief Executive Officer from 2014 to 2020. From 2009 to 2014, Mr. Suri served as Chief Executive Officer of Nokia Solutions and Networks. In 2021, he was appointed as a Commissioner of the United Nations Broadband Commission and in 2022 was elected as chair of the Global Satellite Operators Association (GSOA). Previously, Mr. Suri served as co-chair of the digitalization task force for the B20 and a member of various digital and healthcare committees at the World Economic Forum. Mr. Suri was also a member of the Chinese Premier’s Global CEO Council from 2014 to 2020 and in 2015 received China’s Marco Polo award. Mr. Suri currently serves as a director of Stryker Corporation (NYSE: SYK) and Singtel. Mr. Suri holds a B.E. in Electronics and Communications and an honorary doctorate from Manipal University.</w:t>
      </w:r>
    </w:p>
    <w:p>
      <w:pPr>
        <w:spacing w:after="0" w:line="87" w:lineRule="exact"/>
        <w:rPr>
          <w:sz w:val="20"/>
          <w:szCs w:val="20"/>
          <w:color w:val="auto"/>
        </w:rPr>
      </w:pPr>
    </w:p>
    <w:p>
      <w:pPr>
        <w:jc w:val="both"/>
        <w:ind w:right="300"/>
        <w:spacing w:after="0" w:line="303" w:lineRule="auto"/>
        <w:rPr>
          <w:sz w:val="20"/>
          <w:szCs w:val="20"/>
          <w:color w:val="auto"/>
        </w:rPr>
      </w:pPr>
      <w:r>
        <w:rPr>
          <w:rFonts w:ascii="Arial" w:cs="Arial" w:eastAsia="Arial" w:hAnsi="Arial"/>
          <w:sz w:val="15"/>
          <w:szCs w:val="15"/>
          <w:color w:val="009FE3"/>
        </w:rPr>
        <w:t xml:space="preserve">Mr. Suri provides our Board with significant experience regarding the strategic and operational challenges of leading global technology companies </w:t>
      </w:r>
      <w:r>
        <w:rPr>
          <w:rFonts w:ascii="Arial" w:cs="Arial" w:eastAsia="Arial" w:hAnsi="Arial"/>
          <w:sz w:val="15"/>
          <w:szCs w:val="15"/>
          <w:color w:val="202E39"/>
        </w:rPr>
        <w:t>based on his service as Chief Executive Officer of Inmarsat and Nokia.</w:t>
      </w:r>
    </w:p>
    <w:p>
      <w:pPr>
        <w:spacing w:after="0" w:line="145" w:lineRule="exact"/>
        <w:rPr>
          <w:sz w:val="20"/>
          <w:szCs w:val="20"/>
          <w:color w:val="auto"/>
        </w:rPr>
      </w:pPr>
    </w:p>
    <w:p>
      <w:pPr>
        <w:sectPr>
          <w:pgSz w:w="11900" w:h="16838" w:orient="portrait"/>
          <w:cols w:equalWidth="0" w:num="2">
            <w:col w:w="2780" w:space="340"/>
            <w:col w:w="7860"/>
          </w:cols>
          <w:pgMar w:left="320" w:top="474" w:right="599" w:bottom="1440" w:gutter="0" w:footer="0" w:header="0"/>
          <w:type w:val="continuous"/>
        </w:sectPr>
      </w:pPr>
    </w:p>
    <w:p>
      <w:pPr>
        <w:ind w:left="260"/>
        <w:spacing w:after="0"/>
        <w:rPr>
          <w:sz w:val="20"/>
          <w:szCs w:val="20"/>
          <w:color w:val="auto"/>
        </w:rPr>
      </w:pPr>
      <w:r>
        <w:rPr>
          <w:rFonts w:ascii="Arial" w:cs="Arial" w:eastAsia="Arial" w:hAnsi="Arial"/>
          <w:sz w:val="19"/>
          <w:szCs w:val="19"/>
          <w:b w:val="1"/>
          <w:bCs w:val="1"/>
          <w:color w:val="202E39"/>
        </w:rPr>
        <w:t>Recommendation of the Board</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5"/>
          <w:szCs w:val="15"/>
          <w:color w:val="202E39"/>
        </w:rPr>
        <w:t>The Board unanimously recommends that you vote “</w:t>
      </w:r>
      <w:r>
        <w:rPr>
          <w:rFonts w:ascii="Arial" w:cs="Arial" w:eastAsia="Arial" w:hAnsi="Arial"/>
          <w:sz w:val="15"/>
          <w:szCs w:val="15"/>
          <w:b w:val="1"/>
          <w:bCs w:val="1"/>
          <w:color w:val="202E39"/>
        </w:rPr>
        <w:t>FOR</w:t>
      </w:r>
      <w:r>
        <w:rPr>
          <w:rFonts w:ascii="Arial" w:cs="Arial" w:eastAsia="Arial" w:hAnsi="Arial"/>
          <w:sz w:val="15"/>
          <w:szCs w:val="15"/>
          <w:color w:val="202E39"/>
        </w:rPr>
        <w:t>” the election of Messrs. Stenbit and Sukawaty and Dr.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107950</wp:posOffset>
            </wp:positionV>
            <wp:extent cx="425450" cy="150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16       </w:t>
      </w:r>
    </w:p>
    <w:p>
      <w:pPr>
        <w:sectPr>
          <w:pgSz w:w="11900" w:h="16838" w:orient="portrait"/>
          <w:cols w:equalWidth="0" w:num="1">
            <w:col w:w="10980"/>
          </w:cols>
          <w:pgMar w:left="320" w:top="474" w:right="5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PROPOSAL 2:</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Ratification of Appointment of Independent Registered Public Accounting Firm</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Overview</w:t>
      </w:r>
    </w:p>
    <w:p>
      <w:pPr>
        <w:spacing w:after="0" w:line="108" w:lineRule="exact"/>
        <w:rPr>
          <w:sz w:val="20"/>
          <w:szCs w:val="20"/>
          <w:color w:val="auto"/>
        </w:rPr>
      </w:pPr>
    </w:p>
    <w:p>
      <w:pPr>
        <w:ind w:left="260" w:right="140"/>
        <w:spacing w:after="0" w:line="249" w:lineRule="auto"/>
        <w:rPr>
          <w:sz w:val="20"/>
          <w:szCs w:val="20"/>
          <w:color w:val="auto"/>
        </w:rPr>
      </w:pPr>
      <w:r>
        <w:rPr>
          <w:rFonts w:ascii="Arial" w:cs="Arial" w:eastAsia="Arial" w:hAnsi="Arial"/>
          <w:sz w:val="16"/>
          <w:szCs w:val="16"/>
          <w:color w:val="202E39"/>
        </w:rPr>
        <w:t>The Audit Committee has selected PricewaterhouseCoopers LLP as Viasat’s independent registered public accounting firm for our fiscal year ending March 31, 2025.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78" w:lineRule="exact"/>
        <w:rPr>
          <w:sz w:val="20"/>
          <w:szCs w:val="20"/>
          <w:color w:val="auto"/>
        </w:rPr>
      </w:pPr>
    </w:p>
    <w:p>
      <w:pPr>
        <w:ind w:left="260" w:right="80"/>
        <w:spacing w:after="0" w:line="245" w:lineRule="auto"/>
        <w:rPr>
          <w:sz w:val="20"/>
          <w:szCs w:val="20"/>
          <w:color w:val="auto"/>
        </w:rPr>
      </w:pPr>
      <w:r>
        <w:rPr>
          <w:rFonts w:ascii="Arial" w:cs="Arial" w:eastAsia="Arial" w:hAnsi="Arial"/>
          <w:sz w:val="16"/>
          <w:szCs w:val="16"/>
          <w:color w:val="202E39"/>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Principal Accountant Fees and Services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following is a summary of the PricewaterhouseCoopers fees for professional services rendered for the fiscal years ended March 31, 2024 and</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March 31, 2023:</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97"/>
        </w:trPr>
        <w:tc>
          <w:tcPr>
            <w:tcW w:w="3240" w:type="dxa"/>
            <w:vAlign w:val="bottom"/>
            <w:tcBorders>
              <w:top w:val="single" w:sz="8" w:color="E8EAEB"/>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Fee Category</w:t>
            </w:r>
          </w:p>
        </w:tc>
        <w:tc>
          <w:tcPr>
            <w:tcW w:w="2140" w:type="dxa"/>
            <w:vAlign w:val="bottom"/>
            <w:tcBorders>
              <w:top w:val="single" w:sz="8" w:color="E8EAEB"/>
              <w:bottom w:val="single" w:sz="8" w:color="009FE3"/>
              <w:right w:val="single" w:sz="8" w:color="E8EAEB"/>
            </w:tcBorders>
          </w:tcPr>
          <w:p>
            <w:pPr>
              <w:ind w:left="1020"/>
              <w:spacing w:after="0"/>
              <w:rPr>
                <w:sz w:val="20"/>
                <w:szCs w:val="20"/>
                <w:color w:val="auto"/>
              </w:rPr>
            </w:pPr>
            <w:r>
              <w:rPr>
                <w:rFonts w:ascii="Arial" w:cs="Arial" w:eastAsia="Arial" w:hAnsi="Arial"/>
                <w:sz w:val="14"/>
                <w:szCs w:val="14"/>
                <w:b w:val="1"/>
                <w:bCs w:val="1"/>
                <w:color w:val="009FE3"/>
                <w:w w:val="98"/>
              </w:rPr>
              <w:t>FY 2024 Fees ($)</w:t>
            </w:r>
          </w:p>
        </w:tc>
        <w:tc>
          <w:tcPr>
            <w:tcW w:w="2120" w:type="dxa"/>
            <w:vAlign w:val="bottom"/>
            <w:tcBorders>
              <w:top w:val="single" w:sz="8" w:color="E8EAEB"/>
              <w:bottom w:val="single" w:sz="8" w:color="009FE3"/>
            </w:tcBorders>
          </w:tcPr>
          <w:p>
            <w:pPr>
              <w:jc w:val="center"/>
              <w:ind w:left="943"/>
              <w:spacing w:after="0"/>
              <w:rPr>
                <w:sz w:val="20"/>
                <w:szCs w:val="20"/>
                <w:color w:val="auto"/>
              </w:rPr>
            </w:pPr>
            <w:r>
              <w:rPr>
                <w:rFonts w:ascii="Arial" w:cs="Arial" w:eastAsia="Arial" w:hAnsi="Arial"/>
                <w:sz w:val="14"/>
                <w:szCs w:val="14"/>
                <w:b w:val="1"/>
                <w:bCs w:val="1"/>
                <w:color w:val="009FE3"/>
              </w:rPr>
              <w:t>FY 2023 Fees ($)</w:t>
            </w:r>
          </w:p>
        </w:tc>
      </w:tr>
      <w:tr>
        <w:trPr>
          <w:trHeight w:val="228"/>
        </w:trPr>
        <w:tc>
          <w:tcPr>
            <w:tcW w:w="32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Audit Fees</w:t>
            </w:r>
          </w:p>
        </w:tc>
        <w:tc>
          <w:tcPr>
            <w:tcW w:w="2140" w:type="dxa"/>
            <w:vAlign w:val="bottom"/>
            <w:tcBorders>
              <w:bottom w:val="single" w:sz="8" w:color="E8EAEB"/>
              <w:right w:val="single" w:sz="8" w:color="E8EAEB"/>
            </w:tcBorders>
          </w:tcPr>
          <w:p>
            <w:pPr>
              <w:jc w:val="center"/>
              <w:ind w:left="923"/>
              <w:spacing w:after="0"/>
              <w:rPr>
                <w:sz w:val="20"/>
                <w:szCs w:val="20"/>
                <w:color w:val="auto"/>
              </w:rPr>
            </w:pPr>
            <w:r>
              <w:rPr>
                <w:rFonts w:ascii="Arial" w:cs="Arial" w:eastAsia="Arial" w:hAnsi="Arial"/>
                <w:sz w:val="16"/>
                <w:szCs w:val="16"/>
                <w:color w:val="202E39"/>
                <w:w w:val="98"/>
              </w:rPr>
              <w:t>6,601,578</w:t>
            </w:r>
          </w:p>
        </w:tc>
        <w:tc>
          <w:tcPr>
            <w:tcW w:w="2120" w:type="dxa"/>
            <w:vAlign w:val="bottom"/>
            <w:tcBorders>
              <w:bottom w:val="single" w:sz="8" w:color="E8EAEB"/>
            </w:tcBorders>
          </w:tcPr>
          <w:p>
            <w:pPr>
              <w:jc w:val="center"/>
              <w:ind w:left="943"/>
              <w:spacing w:after="0"/>
              <w:rPr>
                <w:sz w:val="20"/>
                <w:szCs w:val="20"/>
                <w:color w:val="auto"/>
              </w:rPr>
            </w:pPr>
            <w:r>
              <w:rPr>
                <w:rFonts w:ascii="Arial" w:cs="Arial" w:eastAsia="Arial" w:hAnsi="Arial"/>
                <w:sz w:val="16"/>
                <w:szCs w:val="16"/>
                <w:color w:val="202E39"/>
                <w:w w:val="98"/>
              </w:rPr>
              <w:t>4,615,624</w:t>
            </w:r>
          </w:p>
        </w:tc>
      </w:tr>
      <w:tr>
        <w:trPr>
          <w:trHeight w:val="230"/>
        </w:trPr>
        <w:tc>
          <w:tcPr>
            <w:tcW w:w="32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Audit-Related Fees</w:t>
            </w:r>
          </w:p>
        </w:tc>
        <w:tc>
          <w:tcPr>
            <w:tcW w:w="2140" w:type="dxa"/>
            <w:vAlign w:val="bottom"/>
            <w:tcBorders>
              <w:bottom w:val="single" w:sz="8" w:color="E8EAEB"/>
              <w:right w:val="single" w:sz="8" w:color="E8EAEB"/>
            </w:tcBorders>
          </w:tcPr>
          <w:p>
            <w:pPr>
              <w:jc w:val="center"/>
              <w:ind w:left="903"/>
              <w:spacing w:after="0"/>
              <w:rPr>
                <w:sz w:val="20"/>
                <w:szCs w:val="20"/>
                <w:color w:val="auto"/>
              </w:rPr>
            </w:pPr>
            <w:r>
              <w:rPr>
                <w:rFonts w:ascii="Arial" w:cs="Arial" w:eastAsia="Arial" w:hAnsi="Arial"/>
                <w:sz w:val="16"/>
                <w:szCs w:val="16"/>
                <w:color w:val="202E39"/>
                <w:w w:val="96"/>
              </w:rPr>
              <w:t>    811,000</w:t>
            </w:r>
          </w:p>
        </w:tc>
        <w:tc>
          <w:tcPr>
            <w:tcW w:w="2120" w:type="dxa"/>
            <w:vAlign w:val="bottom"/>
            <w:tcBorders>
              <w:bottom w:val="single" w:sz="8" w:color="E8EAEB"/>
            </w:tcBorders>
          </w:tcPr>
          <w:p>
            <w:pPr>
              <w:jc w:val="center"/>
              <w:ind w:left="943"/>
              <w:spacing w:after="0"/>
              <w:rPr>
                <w:sz w:val="20"/>
                <w:szCs w:val="20"/>
                <w:color w:val="auto"/>
              </w:rPr>
            </w:pPr>
            <w:r>
              <w:rPr>
                <w:rFonts w:ascii="Arial" w:cs="Arial" w:eastAsia="Arial" w:hAnsi="Arial"/>
                <w:sz w:val="16"/>
                <w:szCs w:val="16"/>
                <w:color w:val="202E39"/>
                <w:w w:val="99"/>
              </w:rPr>
              <w:t>    212,000</w:t>
            </w:r>
          </w:p>
        </w:tc>
      </w:tr>
      <w:tr>
        <w:trPr>
          <w:trHeight w:val="230"/>
        </w:trPr>
        <w:tc>
          <w:tcPr>
            <w:tcW w:w="32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Tax Fees</w:t>
            </w:r>
          </w:p>
        </w:tc>
        <w:tc>
          <w:tcPr>
            <w:tcW w:w="2140" w:type="dxa"/>
            <w:vAlign w:val="bottom"/>
            <w:tcBorders>
              <w:bottom w:val="single" w:sz="8" w:color="E8EAEB"/>
              <w:right w:val="single" w:sz="8" w:color="E8EAEB"/>
            </w:tcBorders>
          </w:tcPr>
          <w:p>
            <w:pPr>
              <w:jc w:val="center"/>
              <w:ind w:left="903"/>
              <w:spacing w:after="0"/>
              <w:rPr>
                <w:sz w:val="20"/>
                <w:szCs w:val="20"/>
                <w:color w:val="auto"/>
              </w:rPr>
            </w:pPr>
            <w:r>
              <w:rPr>
                <w:rFonts w:ascii="Arial" w:cs="Arial" w:eastAsia="Arial" w:hAnsi="Arial"/>
                <w:sz w:val="16"/>
                <w:szCs w:val="16"/>
                <w:color w:val="202E39"/>
                <w:w w:val="96"/>
              </w:rPr>
              <w:t>    118,527</w:t>
            </w:r>
          </w:p>
        </w:tc>
        <w:tc>
          <w:tcPr>
            <w:tcW w:w="2120" w:type="dxa"/>
            <w:vAlign w:val="bottom"/>
            <w:tcBorders>
              <w:bottom w:val="single" w:sz="8" w:color="E8EAEB"/>
            </w:tcBorders>
          </w:tcPr>
          <w:p>
            <w:pPr>
              <w:jc w:val="center"/>
              <w:ind w:left="943"/>
              <w:spacing w:after="0"/>
              <w:rPr>
                <w:sz w:val="20"/>
                <w:szCs w:val="20"/>
                <w:color w:val="auto"/>
              </w:rPr>
            </w:pPr>
            <w:r>
              <w:rPr>
                <w:rFonts w:ascii="Arial" w:cs="Arial" w:eastAsia="Arial" w:hAnsi="Arial"/>
                <w:sz w:val="16"/>
                <w:szCs w:val="16"/>
                <w:color w:val="202E39"/>
                <w:w w:val="98"/>
              </w:rPr>
              <w:t>       72,939</w:t>
            </w:r>
          </w:p>
        </w:tc>
      </w:tr>
      <w:tr>
        <w:trPr>
          <w:trHeight w:val="230"/>
        </w:trPr>
        <w:tc>
          <w:tcPr>
            <w:tcW w:w="32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All Other Fees</w:t>
            </w:r>
          </w:p>
        </w:tc>
        <w:tc>
          <w:tcPr>
            <w:tcW w:w="2140" w:type="dxa"/>
            <w:vAlign w:val="bottom"/>
            <w:tcBorders>
              <w:bottom w:val="single" w:sz="8" w:color="009FE3"/>
              <w:right w:val="single" w:sz="8" w:color="E8EAEB"/>
            </w:tcBorders>
          </w:tcPr>
          <w:p>
            <w:pPr>
              <w:jc w:val="center"/>
              <w:ind w:left="903"/>
              <w:spacing w:after="0"/>
              <w:rPr>
                <w:sz w:val="20"/>
                <w:szCs w:val="20"/>
                <w:color w:val="auto"/>
              </w:rPr>
            </w:pPr>
            <w:r>
              <w:rPr>
                <w:rFonts w:ascii="Arial" w:cs="Arial" w:eastAsia="Arial" w:hAnsi="Arial"/>
                <w:sz w:val="16"/>
                <w:szCs w:val="16"/>
                <w:color w:val="202E39"/>
                <w:w w:val="97"/>
              </w:rPr>
              <w:t>        8,960</w:t>
            </w:r>
          </w:p>
        </w:tc>
        <w:tc>
          <w:tcPr>
            <w:tcW w:w="2120" w:type="dxa"/>
            <w:vAlign w:val="bottom"/>
            <w:tcBorders>
              <w:bottom w:val="single" w:sz="8" w:color="009FE3"/>
            </w:tcBorders>
          </w:tcPr>
          <w:p>
            <w:pPr>
              <w:jc w:val="center"/>
              <w:ind w:left="943"/>
              <w:spacing w:after="0"/>
              <w:rPr>
                <w:sz w:val="20"/>
                <w:szCs w:val="20"/>
                <w:color w:val="auto"/>
              </w:rPr>
            </w:pPr>
            <w:r>
              <w:rPr>
                <w:rFonts w:ascii="Arial" w:cs="Arial" w:eastAsia="Arial" w:hAnsi="Arial"/>
                <w:sz w:val="16"/>
                <w:szCs w:val="16"/>
                <w:color w:val="202E39"/>
                <w:w w:val="98"/>
              </w:rPr>
              <w:t>       29,571</w:t>
            </w:r>
          </w:p>
        </w:tc>
      </w:tr>
      <w:tr>
        <w:trPr>
          <w:trHeight w:val="230"/>
        </w:trPr>
        <w:tc>
          <w:tcPr>
            <w:tcW w:w="32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Total Fees</w:t>
            </w:r>
          </w:p>
        </w:tc>
        <w:tc>
          <w:tcPr>
            <w:tcW w:w="2140" w:type="dxa"/>
            <w:vAlign w:val="bottom"/>
            <w:tcBorders>
              <w:bottom w:val="single" w:sz="8" w:color="009FE3"/>
              <w:right w:val="single" w:sz="8" w:color="E8EAEB"/>
            </w:tcBorders>
          </w:tcPr>
          <w:p>
            <w:pPr>
              <w:jc w:val="center"/>
              <w:ind w:left="923"/>
              <w:spacing w:after="0"/>
              <w:rPr>
                <w:sz w:val="20"/>
                <w:szCs w:val="20"/>
                <w:color w:val="auto"/>
              </w:rPr>
            </w:pPr>
            <w:r>
              <w:rPr>
                <w:rFonts w:ascii="Arial" w:cs="Arial" w:eastAsia="Arial" w:hAnsi="Arial"/>
                <w:sz w:val="16"/>
                <w:szCs w:val="16"/>
                <w:color w:val="202E39"/>
                <w:w w:val="98"/>
              </w:rPr>
              <w:t>7,540,065</w:t>
            </w:r>
          </w:p>
        </w:tc>
        <w:tc>
          <w:tcPr>
            <w:tcW w:w="2120" w:type="dxa"/>
            <w:vAlign w:val="bottom"/>
            <w:tcBorders>
              <w:bottom w:val="single" w:sz="8" w:color="009FE3"/>
            </w:tcBorders>
          </w:tcPr>
          <w:p>
            <w:pPr>
              <w:jc w:val="center"/>
              <w:ind w:left="943"/>
              <w:spacing w:after="0"/>
              <w:rPr>
                <w:sz w:val="20"/>
                <w:szCs w:val="20"/>
                <w:color w:val="auto"/>
              </w:rPr>
            </w:pPr>
            <w:r>
              <w:rPr>
                <w:rFonts w:ascii="Arial" w:cs="Arial" w:eastAsia="Arial" w:hAnsi="Arial"/>
                <w:sz w:val="16"/>
                <w:szCs w:val="16"/>
                <w:color w:val="202E39"/>
                <w:w w:val="98"/>
              </w:rPr>
              <w:t>4,930,134</w:t>
            </w:r>
          </w:p>
        </w:tc>
      </w:tr>
    </w:tbl>
    <w:p>
      <w:pPr>
        <w:spacing w:after="0" w:line="93" w:lineRule="exact"/>
        <w:rPr>
          <w:sz w:val="20"/>
          <w:szCs w:val="20"/>
          <w:color w:val="auto"/>
        </w:rPr>
      </w:pPr>
    </w:p>
    <w:p>
      <w:pPr>
        <w:ind w:left="260" w:right="60"/>
        <w:spacing w:after="0" w:line="254" w:lineRule="auto"/>
        <w:rPr>
          <w:sz w:val="20"/>
          <w:szCs w:val="20"/>
          <w:color w:val="auto"/>
        </w:rPr>
      </w:pPr>
      <w:r>
        <w:rPr>
          <w:rFonts w:ascii="Arial" w:cs="Arial" w:eastAsia="Arial" w:hAnsi="Arial"/>
          <w:sz w:val="16"/>
          <w:szCs w:val="16"/>
          <w:i w:val="1"/>
          <w:iCs w:val="1"/>
          <w:color w:val="009FE3"/>
        </w:rPr>
        <w:t>Audit Fees.</w:t>
      </w:r>
      <w:r>
        <w:rPr>
          <w:rFonts w:ascii="Arial" w:cs="Arial" w:eastAsia="Arial" w:hAnsi="Arial"/>
          <w:sz w:val="16"/>
          <w:szCs w:val="16"/>
          <w:color w:val="202E39"/>
        </w:rPr>
        <w:t xml:space="preserve">  This category includes the audit of our annual consolidated financial statements and the audit of our internal control over financial reporting,</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73" w:lineRule="exact"/>
        <w:rPr>
          <w:sz w:val="20"/>
          <w:szCs w:val="20"/>
          <w:color w:val="auto"/>
        </w:rPr>
      </w:pPr>
    </w:p>
    <w:p>
      <w:pPr>
        <w:ind w:left="260" w:right="180"/>
        <w:spacing w:after="0" w:line="249" w:lineRule="auto"/>
        <w:rPr>
          <w:sz w:val="20"/>
          <w:szCs w:val="20"/>
          <w:color w:val="auto"/>
        </w:rPr>
      </w:pPr>
      <w:r>
        <w:rPr>
          <w:rFonts w:ascii="Arial" w:cs="Arial" w:eastAsia="Arial" w:hAnsi="Arial"/>
          <w:sz w:val="16"/>
          <w:szCs w:val="16"/>
          <w:i w:val="1"/>
          <w:iCs w:val="1"/>
          <w:color w:val="009FE3"/>
        </w:rPr>
        <w:t>Audit-Related Fees.</w:t>
      </w:r>
      <w:r>
        <w:rPr>
          <w:rFonts w:ascii="Arial" w:cs="Arial" w:eastAsia="Arial" w:hAnsi="Arial"/>
          <w:sz w:val="16"/>
          <w:szCs w:val="16"/>
          <w:color w:val="202E39"/>
        </w:rPr>
        <w:t xml:space="preserve">  This category consists of assurance and related services provided by PricewaterhouseCoopers that are reasonably related to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of the audit or review of our consolidated financial statements, and are not reported above as Audit Fees. These services include work performed in connection with registration statements such as issuance of comfort letters, accounting consultations in connection with acquisitions, and consultations concerning financial accounting and reporting standards.</w:t>
      </w:r>
    </w:p>
    <w:p>
      <w:pPr>
        <w:spacing w:after="0" w:line="78" w:lineRule="exact"/>
        <w:rPr>
          <w:sz w:val="20"/>
          <w:szCs w:val="20"/>
          <w:color w:val="auto"/>
        </w:rPr>
      </w:pPr>
    </w:p>
    <w:p>
      <w:pPr>
        <w:ind w:left="260" w:right="120"/>
        <w:spacing w:after="0" w:line="254" w:lineRule="auto"/>
        <w:rPr>
          <w:sz w:val="20"/>
          <w:szCs w:val="20"/>
          <w:color w:val="auto"/>
        </w:rPr>
      </w:pPr>
      <w:r>
        <w:rPr>
          <w:rFonts w:ascii="Arial" w:cs="Arial" w:eastAsia="Arial" w:hAnsi="Arial"/>
          <w:sz w:val="16"/>
          <w:szCs w:val="16"/>
          <w:i w:val="1"/>
          <w:iCs w:val="1"/>
          <w:color w:val="009FE3"/>
        </w:rPr>
        <w:t>Tax Fees.</w:t>
      </w:r>
      <w:r>
        <w:rPr>
          <w:rFonts w:ascii="Arial" w:cs="Arial" w:eastAsia="Arial" w:hAnsi="Arial"/>
          <w:sz w:val="16"/>
          <w:szCs w:val="16"/>
          <w:color w:val="202E39"/>
        </w:rPr>
        <w:t xml:space="preserve">  This category consists of professional services rendered by PricewaterhouseCoopers, primarily in connection with tax compliance, tax</w:t>
      </w:r>
      <w:r>
        <w:rPr>
          <w:rFonts w:ascii="Arial" w:cs="Arial" w:eastAsia="Arial" w:hAnsi="Arial"/>
          <w:sz w:val="16"/>
          <w:szCs w:val="16"/>
          <w:i w:val="1"/>
          <w:iCs w:val="1"/>
          <w:color w:val="009FE3"/>
        </w:rPr>
        <w:t xml:space="preserve"> </w:t>
      </w:r>
      <w:r>
        <w:rPr>
          <w:rFonts w:ascii="Arial" w:cs="Arial" w:eastAsia="Arial" w:hAnsi="Arial"/>
          <w:sz w:val="16"/>
          <w:szCs w:val="16"/>
          <w:color w:val="202E39"/>
        </w:rPr>
        <w:t>planning and tax advice activities. These services include assistance with the preparation of tax returns, claims for refunds, value added tax compliance, and consultations on state, local and international tax matters.</w:t>
      </w:r>
    </w:p>
    <w:p>
      <w:pPr>
        <w:spacing w:after="0" w:line="73" w:lineRule="exact"/>
        <w:rPr>
          <w:sz w:val="20"/>
          <w:szCs w:val="20"/>
          <w:color w:val="auto"/>
        </w:rPr>
      </w:pPr>
    </w:p>
    <w:p>
      <w:pPr>
        <w:ind w:left="260" w:right="540"/>
        <w:spacing w:after="0" w:line="269" w:lineRule="auto"/>
        <w:rPr>
          <w:sz w:val="20"/>
          <w:szCs w:val="20"/>
          <w:color w:val="auto"/>
        </w:rPr>
      </w:pPr>
      <w:r>
        <w:rPr>
          <w:rFonts w:ascii="Arial" w:cs="Arial" w:eastAsia="Arial" w:hAnsi="Arial"/>
          <w:sz w:val="16"/>
          <w:szCs w:val="16"/>
          <w:i w:val="1"/>
          <w:iCs w:val="1"/>
          <w:color w:val="009FE3"/>
        </w:rPr>
        <w:t>All Other Fees.</w:t>
      </w:r>
      <w:r>
        <w:rPr>
          <w:rFonts w:ascii="Arial" w:cs="Arial" w:eastAsia="Arial" w:hAnsi="Arial"/>
          <w:sz w:val="16"/>
          <w:szCs w:val="16"/>
          <w:color w:val="202E39"/>
        </w:rPr>
        <w:t xml:space="preserve">  This category consists of fees for products and services other than the services reported above, including fees for subscription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PricewaterhouseCoopers’ online research tool.</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17</w:t>
      </w:r>
    </w:p>
    <w:p>
      <w:pPr>
        <w:sectPr>
          <w:pgSz w:w="11900" w:h="16838" w:orient="portrait"/>
          <w:cols w:equalWidth="0" w:num="1">
            <w:col w:w="10980"/>
          </w:cols>
          <w:pgMar w:left="320" w:top="474" w:right="5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2: 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Ratification of Appointment of Independent Registered Public Accounting Firm</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Pre-Approval Policy of the Audit Committee</w:t>
      </w:r>
    </w:p>
    <w:p>
      <w:pPr>
        <w:spacing w:after="0" w:line="108"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color w:val="202E39"/>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2024, the fees paid to PricewaterhouseCoopers shown in the table above were pre-approved in accordance with this policy.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Recommendation of the Board</w:t>
      </w:r>
    </w:p>
    <w:p>
      <w:pPr>
        <w:spacing w:after="0" w:line="106" w:lineRule="exact"/>
        <w:rPr>
          <w:sz w:val="20"/>
          <w:szCs w:val="20"/>
          <w:color w:val="auto"/>
        </w:rPr>
      </w:pPr>
    </w:p>
    <w:p>
      <w:pPr>
        <w:ind w:left="260" w:right="580"/>
        <w:spacing w:after="0" w:line="272" w:lineRule="auto"/>
        <w:rPr>
          <w:sz w:val="20"/>
          <w:szCs w:val="20"/>
          <w:color w:val="auto"/>
        </w:rPr>
      </w:pPr>
      <w:r>
        <w:rPr>
          <w:rFonts w:ascii="Arial" w:cs="Arial" w:eastAsia="Arial" w:hAnsi="Arial"/>
          <w:sz w:val="16"/>
          <w:szCs w:val="16"/>
          <w:color w:val="202E39"/>
        </w:rPr>
        <w:t>The Board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ratification of the appointment of PricewaterhouseCoopers as Viasat’s independent registered public accounting firm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69850</wp:posOffset>
            </wp:positionV>
            <wp:extent cx="425450" cy="150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18       </w:t>
      </w:r>
    </w:p>
    <w:p>
      <w:pPr>
        <w:sectPr>
          <w:pgSz w:w="11900" w:h="16838" w:orient="portrait"/>
          <w:cols w:equalWidth="0" w:num="1">
            <w:col w:w="10980"/>
          </w:cols>
          <w:pgMar w:left="320" w:top="474" w:right="5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PROPOSAL 3:</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Advisory Vote On Executive Compensation</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Overview</w:t>
      </w:r>
    </w:p>
    <w:p>
      <w:pPr>
        <w:spacing w:after="0" w:line="108" w:lineRule="exact"/>
        <w:rPr>
          <w:sz w:val="20"/>
          <w:szCs w:val="20"/>
          <w:color w:val="auto"/>
        </w:rPr>
      </w:pPr>
    </w:p>
    <w:p>
      <w:pPr>
        <w:ind w:left="260" w:right="40"/>
        <w:spacing w:after="0" w:line="267" w:lineRule="auto"/>
        <w:rPr>
          <w:sz w:val="20"/>
          <w:szCs w:val="20"/>
          <w:color w:val="auto"/>
        </w:rPr>
      </w:pPr>
      <w:r>
        <w:rPr>
          <w:rFonts w:ascii="Arial" w:cs="Arial" w:eastAsia="Arial" w:hAnsi="Arial"/>
          <w:sz w:val="15"/>
          <w:szCs w:val="15"/>
          <w:color w:val="202E39"/>
        </w:rPr>
        <w:t>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66" w:lineRule="exact"/>
        <w:rPr>
          <w:sz w:val="20"/>
          <w:szCs w:val="20"/>
          <w:color w:val="auto"/>
        </w:rPr>
      </w:pPr>
    </w:p>
    <w:p>
      <w:pPr>
        <w:ind w:left="260" w:right="200"/>
        <w:spacing w:after="0" w:line="254" w:lineRule="auto"/>
        <w:rPr>
          <w:sz w:val="20"/>
          <w:szCs w:val="20"/>
          <w:color w:val="auto"/>
        </w:rPr>
      </w:pPr>
      <w:r>
        <w:rPr>
          <w:rFonts w:ascii="Arial" w:cs="Arial" w:eastAsia="Arial" w:hAnsi="Arial"/>
          <w:sz w:val="16"/>
          <w:szCs w:val="16"/>
          <w:i w:val="1"/>
          <w:iCs w:val="1"/>
          <w:color w:val="009FE3"/>
        </w:rPr>
        <w:t>Stockholder Engagement and Responsiveness.</w:t>
      </w:r>
      <w:r>
        <w:rPr>
          <w:rFonts w:ascii="Arial" w:cs="Arial" w:eastAsia="Arial" w:hAnsi="Arial"/>
          <w:sz w:val="16"/>
          <w:szCs w:val="16"/>
          <w:i w:val="1"/>
          <w:i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our governance and compensation practices, and to address any concerns they may have. During fiscal year 2024, we engaged in substantive conversations with stockholders representing approximately 76% of our total outstanding common stock.</w:t>
      </w:r>
    </w:p>
    <w:p>
      <w:pPr>
        <w:spacing w:after="0" w:line="73" w:lineRule="exact"/>
        <w:rPr>
          <w:sz w:val="20"/>
          <w:szCs w:val="20"/>
          <w:color w:val="auto"/>
        </w:rPr>
      </w:pPr>
    </w:p>
    <w:p>
      <w:pPr>
        <w:ind w:left="260" w:right="40"/>
        <w:spacing w:after="0" w:line="269" w:lineRule="auto"/>
        <w:rPr>
          <w:sz w:val="20"/>
          <w:szCs w:val="20"/>
          <w:color w:val="auto"/>
        </w:rPr>
      </w:pPr>
      <w:r>
        <w:rPr>
          <w:rFonts w:ascii="Arial" w:cs="Arial" w:eastAsia="Arial" w:hAnsi="Arial"/>
          <w:sz w:val="16"/>
          <w:szCs w:val="16"/>
          <w:color w:val="202E39"/>
        </w:rPr>
        <w:t>Our Board has demonstrated responsiveness to feedback received during these discussions with stockholders through the changes we have made to our executive compensation program over the years,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129540</wp:posOffset>
            </wp:positionV>
            <wp:extent cx="6810375" cy="3162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3162935"/>
                    </a:xfrm>
                    <a:prstGeom prst="rect">
                      <a:avLst/>
                    </a:prstGeom>
                    <a:noFill/>
                  </pic:spPr>
                </pic:pic>
              </a:graphicData>
            </a:graphic>
          </wp:anchor>
        </w:drawing>
      </w:r>
    </w:p>
    <w:p>
      <w:pPr>
        <w:spacing w:after="0" w:line="184" w:lineRule="exact"/>
        <w:rPr>
          <w:sz w:val="20"/>
          <w:szCs w:val="20"/>
          <w:color w:val="auto"/>
        </w:rPr>
      </w:pPr>
    </w:p>
    <w:tbl>
      <w:tblPr>
        <w:tblLayout w:type="fixed"/>
        <w:tblInd w:w="260" w:type="dxa"/>
        <w:tblCellMar>
          <w:top w:w="0" w:type="dxa"/>
          <w:left w:w="0" w:type="dxa"/>
          <w:bottom w:w="0" w:type="dxa"/>
          <w:right w:w="0" w:type="dxa"/>
        </w:tblCellMar>
      </w:tblPr>
      <w:tr>
        <w:trPr>
          <w:trHeight w:val="295"/>
        </w:trPr>
        <w:tc>
          <w:tcPr>
            <w:tcW w:w="5380" w:type="dxa"/>
            <w:vAlign w:val="bottom"/>
            <w:tcBorders>
              <w:bottom w:val="single" w:sz="8" w:color="009FE3"/>
            </w:tcBorders>
            <w:shd w:val="clear" w:color="auto" w:fill="009FE3"/>
          </w:tcPr>
          <w:p>
            <w:pPr>
              <w:ind w:left="2120"/>
              <w:spacing w:after="0"/>
              <w:rPr>
                <w:sz w:val="20"/>
                <w:szCs w:val="20"/>
                <w:color w:val="auto"/>
              </w:rPr>
            </w:pPr>
            <w:r>
              <w:rPr>
                <w:rFonts w:ascii="Arial" w:cs="Arial" w:eastAsia="Arial" w:hAnsi="Arial"/>
                <w:sz w:val="16"/>
                <w:szCs w:val="16"/>
                <w:b w:val="1"/>
                <w:bCs w:val="1"/>
                <w:color w:val="FFFFFF"/>
              </w:rPr>
              <w:t>What We Heard</w:t>
            </w:r>
          </w:p>
        </w:tc>
        <w:tc>
          <w:tcPr>
            <w:tcW w:w="5360" w:type="dxa"/>
            <w:vAlign w:val="bottom"/>
            <w:tcBorders>
              <w:bottom w:val="single" w:sz="8" w:color="009FE3"/>
            </w:tcBorders>
            <w:shd w:val="clear" w:color="auto" w:fill="009FE3"/>
          </w:tcPr>
          <w:p>
            <w:pPr>
              <w:ind w:left="2240"/>
              <w:spacing w:after="0"/>
              <w:rPr>
                <w:sz w:val="20"/>
                <w:szCs w:val="20"/>
                <w:color w:val="auto"/>
              </w:rPr>
            </w:pPr>
            <w:r>
              <w:rPr>
                <w:rFonts w:ascii="Arial" w:cs="Arial" w:eastAsia="Arial" w:hAnsi="Arial"/>
                <w:sz w:val="16"/>
                <w:szCs w:val="16"/>
                <w:b w:val="1"/>
                <w:bCs w:val="1"/>
                <w:color w:val="FFFFFF"/>
              </w:rPr>
              <w:t>What We Did</w:t>
            </w:r>
          </w:p>
        </w:tc>
      </w:tr>
      <w:tr>
        <w:trPr>
          <w:trHeight w:val="238"/>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Implemented a performance-based equity program</w:t>
            </w:r>
          </w:p>
        </w:tc>
      </w:tr>
      <w:tr>
        <w:trPr>
          <w:trHeight w:val="207"/>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stockholder interests</w:t>
            </w:r>
          </w:p>
        </w:tc>
        <w:tc>
          <w:tcPr>
            <w:tcW w:w="5360" w:type="dxa"/>
            <w:vAlign w:val="bottom"/>
            <w:shd w:val="clear" w:color="auto" w:fill="EDEEEF"/>
          </w:tcPr>
          <w:p>
            <w:pPr>
              <w:spacing w:after="0"/>
              <w:rPr>
                <w:sz w:val="17"/>
                <w:szCs w:val="17"/>
                <w:color w:val="auto"/>
              </w:rPr>
            </w:pPr>
          </w:p>
        </w:tc>
      </w:tr>
      <w:tr>
        <w:trPr>
          <w:trHeight w:val="293"/>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w w:val="99"/>
              </w:rPr>
              <w:t>Increased weighting of objective, financial criteria in bonus determination</w:t>
            </w:r>
          </w:p>
        </w:tc>
      </w:tr>
      <w:tr>
        <w:trPr>
          <w:trHeight w:val="184"/>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bonus payouts</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w w:val="99"/>
              </w:rPr>
              <w:t>to 50% for Chief Executive Officer, consistent with weighting for all other</w:t>
            </w:r>
          </w:p>
        </w:tc>
      </w:tr>
      <w:tr>
        <w:trPr>
          <w:trHeight w:val="207"/>
        </w:trPr>
        <w:tc>
          <w:tcPr>
            <w:tcW w:w="5380" w:type="dxa"/>
            <w:vAlign w:val="bottom"/>
            <w:shd w:val="clear" w:color="auto" w:fill="EDEEEF"/>
          </w:tcPr>
          <w:p>
            <w:pPr>
              <w:spacing w:after="0"/>
              <w:rPr>
                <w:sz w:val="17"/>
                <w:szCs w:val="17"/>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executive officers</w:t>
            </w:r>
          </w:p>
        </w:tc>
      </w:tr>
      <w:tr>
        <w:trPr>
          <w:trHeight w:val="293"/>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207"/>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percentages for each executive officer</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compensation</w:t>
            </w:r>
          </w:p>
        </w:tc>
      </w:tr>
      <w:tr>
        <w:trPr>
          <w:trHeight w:val="293"/>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Adopt a maximum cap on annual bonus payouts</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w w:val="99"/>
              </w:rPr>
              <w:t>Implemented a maximum annual bonus payout, equal to 250% of target,</w:t>
            </w:r>
          </w:p>
        </w:tc>
      </w:tr>
      <w:tr>
        <w:trPr>
          <w:trHeight w:val="207"/>
        </w:trPr>
        <w:tc>
          <w:tcPr>
            <w:tcW w:w="5380" w:type="dxa"/>
            <w:vAlign w:val="bottom"/>
            <w:shd w:val="clear" w:color="auto" w:fill="EDEEEF"/>
          </w:tcPr>
          <w:p>
            <w:pPr>
              <w:spacing w:after="0"/>
              <w:rPr>
                <w:sz w:val="17"/>
                <w:szCs w:val="17"/>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for all executive officers</w:t>
            </w:r>
          </w:p>
        </w:tc>
      </w:tr>
      <w:tr>
        <w:trPr>
          <w:trHeight w:val="315"/>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Enhanced peer group disclosure in proxy statement</w:t>
            </w:r>
          </w:p>
        </w:tc>
      </w:tr>
      <w:tr>
        <w:trPr>
          <w:trHeight w:val="293"/>
        </w:trPr>
        <w:tc>
          <w:tcPr>
            <w:tcW w:w="538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Implement a clawback policy</w:t>
            </w: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Adopted a clawback policy to enable recovery of cash and equity</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incentive compensation (including time-based and performance-based</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equity awards) related to a financial restatement resulting from an</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executive officer’s misconduct. In fiscal year 2024, we also adopted a</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compensation recovery policy as required by Rule 10D-1 under the</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Securities Exchange Act of 1934, as amended, and the corresponding</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rules adopted by NASDAQ, which provides for the mandatory recovery</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w w:val="99"/>
              </w:rPr>
              <w:t>of certain erroneously awarded incentive compensation from our officers</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in the event of an accounting restatement to correct the Company’s</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240"/>
              <w:spacing w:after="0"/>
              <w:rPr>
                <w:sz w:val="20"/>
                <w:szCs w:val="20"/>
                <w:color w:val="auto"/>
              </w:rPr>
            </w:pPr>
            <w:r>
              <w:rPr>
                <w:rFonts w:ascii="Arial" w:cs="Arial" w:eastAsia="Arial" w:hAnsi="Arial"/>
                <w:sz w:val="16"/>
                <w:szCs w:val="16"/>
                <w:color w:val="202E39"/>
              </w:rPr>
              <w:t>material noncompliance with any financial reporting requirement under</w:t>
            </w:r>
          </w:p>
        </w:tc>
      </w:tr>
      <w:tr>
        <w:trPr>
          <w:trHeight w:val="242"/>
        </w:trPr>
        <w:tc>
          <w:tcPr>
            <w:tcW w:w="5380" w:type="dxa"/>
            <w:vAlign w:val="bottom"/>
            <w:tcBorders>
              <w:bottom w:val="single" w:sz="8" w:color="EDEEEF"/>
            </w:tcBorders>
            <w:shd w:val="clear" w:color="auto" w:fill="EDEEEF"/>
          </w:tcPr>
          <w:p>
            <w:pPr>
              <w:spacing w:after="0"/>
              <w:rPr>
                <w:sz w:val="21"/>
                <w:szCs w:val="21"/>
                <w:color w:val="auto"/>
              </w:rPr>
            </w:pPr>
          </w:p>
        </w:tc>
        <w:tc>
          <w:tcPr>
            <w:tcW w:w="5360" w:type="dxa"/>
            <w:vAlign w:val="bottom"/>
            <w:tcBorders>
              <w:bottom w:val="single" w:sz="8" w:color="EDEEEF"/>
            </w:tcBorders>
            <w:shd w:val="clear" w:color="auto" w:fill="EDEEEF"/>
          </w:tcPr>
          <w:p>
            <w:pPr>
              <w:ind w:left="240"/>
              <w:spacing w:after="0"/>
              <w:rPr>
                <w:sz w:val="20"/>
                <w:szCs w:val="20"/>
                <w:color w:val="auto"/>
              </w:rPr>
            </w:pPr>
            <w:r>
              <w:rPr>
                <w:rFonts w:ascii="Arial" w:cs="Arial" w:eastAsia="Arial" w:hAnsi="Arial"/>
                <w:sz w:val="16"/>
                <w:szCs w:val="16"/>
                <w:color w:val="202E39"/>
              </w:rPr>
              <w:t>securities laws.</w:t>
            </w:r>
          </w:p>
        </w:tc>
      </w:tr>
      <w:tr>
        <w:trPr>
          <w:trHeight w:val="20"/>
        </w:trPr>
        <w:tc>
          <w:tcPr>
            <w:tcW w:w="5380" w:type="dxa"/>
            <w:vAlign w:val="bottom"/>
            <w:shd w:val="clear" w:color="auto" w:fill="009FE3"/>
          </w:tcPr>
          <w:p>
            <w:pPr>
              <w:spacing w:after="0" w:line="20" w:lineRule="exact"/>
              <w:rPr>
                <w:sz w:val="1"/>
                <w:szCs w:val="1"/>
                <w:color w:val="auto"/>
              </w:rPr>
            </w:pPr>
          </w:p>
        </w:tc>
        <w:tc>
          <w:tcPr>
            <w:tcW w:w="5360" w:type="dxa"/>
            <w:vAlign w:val="bottom"/>
            <w:shd w:val="clear" w:color="auto" w:fill="009FE3"/>
          </w:tcPr>
          <w:p>
            <w:pPr>
              <w:spacing w:after="0" w:line="20" w:lineRule="exact"/>
              <w:rPr>
                <w:sz w:val="1"/>
                <w:szCs w:val="1"/>
                <w:color w:val="auto"/>
              </w:rPr>
            </w:pPr>
          </w:p>
        </w:tc>
      </w:tr>
    </w:tbl>
    <w:p>
      <w:pPr>
        <w:spacing w:after="0" w:line="93" w:lineRule="exact"/>
        <w:rPr>
          <w:sz w:val="20"/>
          <w:szCs w:val="20"/>
          <w:color w:val="auto"/>
        </w:rPr>
      </w:pPr>
    </w:p>
    <w:p>
      <w:pPr>
        <w:jc w:val="both"/>
        <w:ind w:left="260" w:right="60"/>
        <w:spacing w:after="0" w:line="269" w:lineRule="auto"/>
        <w:rPr>
          <w:sz w:val="20"/>
          <w:szCs w:val="20"/>
          <w:color w:val="auto"/>
        </w:rPr>
      </w:pPr>
      <w:r>
        <w:rPr>
          <w:rFonts w:ascii="Arial" w:cs="Arial" w:eastAsia="Arial" w:hAnsi="Arial"/>
          <w:sz w:val="16"/>
          <w:szCs w:val="16"/>
          <w:color w:val="202E39"/>
        </w:rPr>
        <w:t>We are committed to continuing an active dialogue with our stockholders to ensure that the Board’s decisions are informed by investor feedback, and that we continue to evolve our corporate governance practices and compensation programs to best support long-term value creation.</w:t>
      </w:r>
    </w:p>
    <w:p>
      <w:pPr>
        <w:spacing w:after="0" w:line="59" w:lineRule="exact"/>
        <w:rPr>
          <w:sz w:val="20"/>
          <w:szCs w:val="20"/>
          <w:color w:val="auto"/>
        </w:rPr>
      </w:pPr>
    </w:p>
    <w:p>
      <w:pPr>
        <w:ind w:left="260" w:right="60"/>
        <w:spacing w:after="0" w:line="246" w:lineRule="auto"/>
        <w:rPr>
          <w:sz w:val="20"/>
          <w:szCs w:val="20"/>
          <w:color w:val="auto"/>
        </w:rPr>
      </w:pPr>
      <w:r>
        <w:rPr>
          <w:rFonts w:ascii="Arial" w:cs="Arial" w:eastAsia="Arial" w:hAnsi="Arial"/>
          <w:sz w:val="16"/>
          <w:szCs w:val="16"/>
          <w:i w:val="1"/>
          <w:iCs w:val="1"/>
          <w:color w:val="009FE3"/>
        </w:rPr>
        <w:t>Executive Compensation Philosophy</w:t>
      </w:r>
      <w:r>
        <w:rPr>
          <w:rFonts w:ascii="Arial" w:cs="Arial" w:eastAsia="Arial" w:hAnsi="Arial"/>
          <w:sz w:val="16"/>
          <w:szCs w:val="16"/>
          <w:color w:val="009FE3"/>
        </w:rPr>
        <w:t>.</w:t>
      </w:r>
      <w:r>
        <w:rPr>
          <w:rFonts w:ascii="Arial" w:cs="Arial" w:eastAsia="Arial" w:hAnsi="Arial"/>
          <w:sz w:val="16"/>
          <w:szCs w:val="16"/>
          <w:b w:val="1"/>
          <w:b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Our executive compensation program has been designed to encourage high performance, promote accountability</w:t>
      </w:r>
      <w:r>
        <w:rPr>
          <w:rFonts w:ascii="Arial" w:cs="Arial" w:eastAsia="Arial" w:hAnsi="Arial"/>
          <w:sz w:val="16"/>
          <w:szCs w:val="16"/>
          <w:i w:val="1"/>
          <w:iCs w:val="1"/>
          <w:color w:val="009FE3"/>
        </w:rPr>
        <w:t xml:space="preserve"> </w:t>
      </w:r>
      <w:r>
        <w:rPr>
          <w:rFonts w:ascii="Arial" w:cs="Arial" w:eastAsia="Arial" w:hAnsi="Arial"/>
          <w:sz w:val="16"/>
          <w:szCs w:val="16"/>
          <w:color w:val="202E39"/>
        </w:rPr>
        <w:t>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w:t>
      </w:r>
    </w:p>
    <w:p>
      <w:pPr>
        <w:spacing w:after="0" w:line="122"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19</w:t>
      </w:r>
    </w:p>
    <w:p>
      <w:pPr>
        <w:sectPr>
          <w:pgSz w:w="11900" w:h="16838" w:orient="portrait"/>
          <w:cols w:equalWidth="0" w:num="1">
            <w:col w:w="11000"/>
          </w:cols>
          <w:pgMar w:left="320" w:top="474" w:right="5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3: 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Advisory Vote On Executive Compensation</w:t>
      </w:r>
    </w:p>
    <w:p>
      <w:pPr>
        <w:spacing w:after="0" w:line="139" w:lineRule="exact"/>
        <w:rPr>
          <w:sz w:val="20"/>
          <w:szCs w:val="20"/>
          <w:color w:val="auto"/>
        </w:rPr>
      </w:pPr>
    </w:p>
    <w:p>
      <w:pPr>
        <w:ind w:left="260" w:right="80"/>
        <w:spacing w:after="0" w:line="254" w:lineRule="auto"/>
        <w:rPr>
          <w:sz w:val="20"/>
          <w:szCs w:val="20"/>
          <w:color w:val="auto"/>
        </w:rPr>
      </w:pPr>
      <w:r>
        <w:rPr>
          <w:rFonts w:ascii="Arial" w:cs="Arial" w:eastAsia="Arial" w:hAnsi="Arial"/>
          <w:sz w:val="16"/>
          <w:szCs w:val="16"/>
          <w:color w:val="202E39"/>
        </w:rPr>
        <w:t>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73"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202E39"/>
        </w:rPr>
        <w:t>We request stockholder approval, on an advisory basis, of the compensation of our Named Executive Officers, as disclosed in our proxy statement for the 2024 annual meeting of stockholders pursuant to the compensation disclosure rules of the SEC, including the Compensation Discussion and Analysis, the Summary Compensation Table and the other related compensation tables and disclosures.</w:t>
      </w:r>
    </w:p>
    <w:p>
      <w:pPr>
        <w:spacing w:after="0" w:line="73" w:lineRule="exact"/>
        <w:rPr>
          <w:sz w:val="20"/>
          <w:szCs w:val="20"/>
          <w:color w:val="auto"/>
        </w:rPr>
      </w:pPr>
    </w:p>
    <w:p>
      <w:pPr>
        <w:ind w:left="260" w:right="80"/>
        <w:spacing w:after="0" w:line="269" w:lineRule="auto"/>
        <w:rPr>
          <w:sz w:val="20"/>
          <w:szCs w:val="20"/>
          <w:color w:val="auto"/>
        </w:rPr>
      </w:pPr>
      <w:r>
        <w:rPr>
          <w:rFonts w:ascii="Arial" w:cs="Arial" w:eastAsia="Arial" w:hAnsi="Arial"/>
          <w:sz w:val="16"/>
          <w:szCs w:val="16"/>
          <w:color w:val="202E39"/>
        </w:rPr>
        <w:t>While this advisory vote is non-binding, our Board values the opinions that our stockholders express in their votes and will, as a matter of good corporate practice, take into account the outcome of the vote when considering future compensation decisions.</w:t>
      </w:r>
    </w:p>
    <w:p>
      <w:pPr>
        <w:spacing w:after="0" w:line="61" w:lineRule="exact"/>
        <w:rPr>
          <w:sz w:val="20"/>
          <w:szCs w:val="20"/>
          <w:color w:val="auto"/>
        </w:rPr>
      </w:pPr>
    </w:p>
    <w:p>
      <w:pPr>
        <w:ind w:left="260" w:right="60"/>
        <w:spacing w:after="0" w:line="254" w:lineRule="auto"/>
        <w:rPr>
          <w:sz w:val="20"/>
          <w:szCs w:val="20"/>
          <w:color w:val="auto"/>
        </w:rPr>
      </w:pPr>
      <w:r>
        <w:rPr>
          <w:rFonts w:ascii="Arial" w:cs="Arial" w:eastAsia="Arial" w:hAnsi="Arial"/>
          <w:sz w:val="16"/>
          <w:szCs w:val="16"/>
          <w:color w:val="202E39"/>
        </w:rPr>
        <w:t>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2025 annual meeting of stockholders.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Recommendation of the Board</w:t>
      </w:r>
    </w:p>
    <w:p>
      <w:pPr>
        <w:spacing w:after="0" w:line="106" w:lineRule="exact"/>
        <w:rPr>
          <w:sz w:val="20"/>
          <w:szCs w:val="20"/>
          <w:color w:val="auto"/>
        </w:rPr>
      </w:pPr>
    </w:p>
    <w:p>
      <w:pPr>
        <w:ind w:left="260" w:right="160"/>
        <w:spacing w:after="0" w:line="272" w:lineRule="auto"/>
        <w:rPr>
          <w:sz w:val="20"/>
          <w:szCs w:val="20"/>
          <w:color w:val="auto"/>
        </w:rPr>
      </w:pPr>
      <w:r>
        <w:rPr>
          <w:rFonts w:ascii="Arial" w:cs="Arial" w:eastAsia="Arial" w:hAnsi="Arial"/>
          <w:sz w:val="16"/>
          <w:szCs w:val="16"/>
          <w:color w:val="202E39"/>
        </w:rPr>
        <w:t>The Board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approval of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69850</wp:posOffset>
            </wp:positionV>
            <wp:extent cx="425450" cy="150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20       </w:t>
      </w:r>
    </w:p>
    <w:p>
      <w:pPr>
        <w:sectPr>
          <w:pgSz w:w="11900" w:h="16838" w:orient="portrait"/>
          <w:cols w:equalWidth="0" w:num="1">
            <w:col w:w="10960"/>
          </w:cols>
          <w:pgMar w:left="320" w:top="474" w:right="6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PROPOSAL 4:</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Amendment and Restatement of the 1996 Equity Participation Plan</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Overview</w:t>
      </w:r>
    </w:p>
    <w:p>
      <w:pPr>
        <w:spacing w:after="0" w:line="108" w:lineRule="exact"/>
        <w:rPr>
          <w:sz w:val="20"/>
          <w:szCs w:val="20"/>
          <w:color w:val="auto"/>
        </w:rPr>
      </w:pPr>
    </w:p>
    <w:p>
      <w:pPr>
        <w:ind w:left="260" w:right="60"/>
        <w:spacing w:after="0" w:line="249" w:lineRule="auto"/>
        <w:rPr>
          <w:sz w:val="20"/>
          <w:szCs w:val="20"/>
          <w:color w:val="auto"/>
        </w:rPr>
      </w:pPr>
      <w:r>
        <w:rPr>
          <w:rFonts w:ascii="Arial" w:cs="Arial" w:eastAsia="Arial" w:hAnsi="Arial"/>
          <w:sz w:val="16"/>
          <w:szCs w:val="16"/>
          <w:color w:val="202E39"/>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July 15, 2024, our Board approved the Restated Equity Plan, subject to stockholder approval at the annual meeting. The Restated Equity Plan will become effective on the day of the annual meeting, assuming approval of this Proposal 4 by our stockholders.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009FE3"/>
        </w:rPr>
        <w:t>Summary of Material Amendments</w:t>
      </w:r>
      <w:r>
        <w:rPr>
          <w:rFonts w:ascii="Arial" w:cs="Arial" w:eastAsia="Arial" w:hAnsi="Arial"/>
          <w:sz w:val="16"/>
          <w:szCs w:val="16"/>
          <w:color w:val="009FE3"/>
        </w:rPr>
        <w:t>.</w:t>
      </w:r>
      <w:r>
        <w:rPr>
          <w:rFonts w:ascii="Arial" w:cs="Arial" w:eastAsia="Arial" w:hAnsi="Arial"/>
          <w:sz w:val="16"/>
          <w:szCs w:val="16"/>
          <w:color w:val="202E39"/>
        </w:rPr>
        <w:t xml:space="preserve">   The Restated Equity Plan will implement the following material changes:</w:t>
      </w:r>
    </w:p>
    <w:p>
      <w:pPr>
        <w:spacing w:after="0" w:line="118" w:lineRule="exact"/>
        <w:rPr>
          <w:sz w:val="20"/>
          <w:szCs w:val="20"/>
          <w:color w:val="auto"/>
        </w:rPr>
      </w:pPr>
    </w:p>
    <w:p>
      <w:pPr>
        <w:ind w:left="780" w:right="60" w:hanging="203"/>
        <w:spacing w:after="0" w:line="245" w:lineRule="auto"/>
        <w:tabs>
          <w:tab w:leader="none" w:pos="780" w:val="left"/>
        </w:tabs>
        <w:numPr>
          <w:ilvl w:val="0"/>
          <w:numId w:val="18"/>
        </w:numPr>
        <w:rPr>
          <w:rFonts w:ascii="Arial" w:cs="Arial" w:eastAsia="Arial" w:hAnsi="Arial"/>
          <w:sz w:val="16"/>
          <w:szCs w:val="16"/>
          <w:color w:val="009FE3"/>
        </w:rPr>
      </w:pPr>
      <w:r>
        <w:rPr>
          <w:rFonts w:ascii="Arial" w:cs="Arial" w:eastAsia="Arial" w:hAnsi="Arial"/>
          <w:sz w:val="16"/>
          <w:szCs w:val="16"/>
          <w:i w:val="1"/>
          <w:iCs w:val="1"/>
          <w:color w:val="202E39"/>
        </w:rPr>
        <w:t>Increase in Share Reserve.</w:t>
      </w:r>
      <w:r>
        <w:rPr>
          <w:rFonts w:ascii="Arial" w:cs="Arial" w:eastAsia="Arial" w:hAnsi="Arial"/>
          <w:sz w:val="16"/>
          <w:szCs w:val="16"/>
          <w:color w:val="202E39"/>
        </w:rPr>
        <w:t xml:space="preserve">  If approved by the stockholders, the Restated Equity Plan will provide for an increase of 3,430,000 shares over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number of shares of common stock currently available for issuance under the Equity Plan. The shares remaining available for issuance under the Equity Plan are insufficient to meet our forecasted needs during the year. After carefully forecasting our anticipated workforce, we believe that this increase will be sufficient to provide equity incentives to attract, retain, and motivate executives and employees for approximately one year; however, the share reserve may last longer or shorter depending on our hiring needs and fluctuations in our stock price, among other things. The Board will continue to evaluate equity needs in the context of the business and broader compensation program in the future.</w:t>
      </w:r>
    </w:p>
    <w:p>
      <w:pPr>
        <w:spacing w:after="0" w:line="95" w:lineRule="exact"/>
        <w:rPr>
          <w:rFonts w:ascii="Arial" w:cs="Arial" w:eastAsia="Arial" w:hAnsi="Arial"/>
          <w:sz w:val="16"/>
          <w:szCs w:val="16"/>
          <w:color w:val="009FE3"/>
        </w:rPr>
      </w:pPr>
    </w:p>
    <w:p>
      <w:pPr>
        <w:ind w:left="780" w:right="80" w:hanging="203"/>
        <w:spacing w:after="0" w:line="254" w:lineRule="auto"/>
        <w:tabs>
          <w:tab w:leader="none" w:pos="780" w:val="left"/>
        </w:tabs>
        <w:numPr>
          <w:ilvl w:val="0"/>
          <w:numId w:val="18"/>
        </w:numPr>
        <w:rPr>
          <w:rFonts w:ascii="Arial" w:cs="Arial" w:eastAsia="Arial" w:hAnsi="Arial"/>
          <w:sz w:val="16"/>
          <w:szCs w:val="16"/>
          <w:color w:val="009FE3"/>
        </w:rPr>
      </w:pPr>
      <w:r>
        <w:rPr>
          <w:rFonts w:ascii="Arial" w:cs="Arial" w:eastAsia="Arial" w:hAnsi="Arial"/>
          <w:sz w:val="16"/>
          <w:szCs w:val="16"/>
          <w:i w:val="1"/>
          <w:iCs w:val="1"/>
          <w:color w:val="202E39"/>
        </w:rPr>
        <w:t>Extension of Time Period for Granting Incentive Stock Options.</w:t>
      </w:r>
      <w:r>
        <w:rPr>
          <w:rFonts w:ascii="Arial" w:cs="Arial" w:eastAsia="Arial" w:hAnsi="Arial"/>
          <w:sz w:val="16"/>
          <w:szCs w:val="16"/>
          <w:color w:val="202E39"/>
        </w:rPr>
        <w:t xml:space="preserve">  The Restated Equity Plan will permit the granting of stock options that are</w:t>
      </w:r>
      <w:r>
        <w:rPr>
          <w:rFonts w:ascii="Arial" w:cs="Arial" w:eastAsia="Arial" w:hAnsi="Arial"/>
          <w:sz w:val="16"/>
          <w:szCs w:val="16"/>
          <w:i w:val="1"/>
          <w:iCs w:val="1"/>
          <w:color w:val="202E39"/>
        </w:rPr>
        <w:t xml:space="preserve"> </w:t>
      </w:r>
      <w:r>
        <w:rPr>
          <w:rFonts w:ascii="Arial" w:cs="Arial" w:eastAsia="Arial" w:hAnsi="Arial"/>
          <w:sz w:val="16"/>
          <w:szCs w:val="16"/>
          <w:color w:val="202E39"/>
        </w:rPr>
        <w:t>intended to qualify as incentive stock options, or ISOs, as defined under Section 422 of the Internal Revenue Code, or the Code, through July 14, 2034.</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The Board recommends that you vote “FOR” the Restated Equity Plan.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Why You Should Vote for the Restated Equity Plan</w:t>
      </w:r>
    </w:p>
    <w:p>
      <w:pPr>
        <w:spacing w:after="0" w:line="108" w:lineRule="exact"/>
        <w:rPr>
          <w:sz w:val="20"/>
          <w:szCs w:val="20"/>
          <w:color w:val="auto"/>
        </w:rPr>
      </w:pPr>
    </w:p>
    <w:p>
      <w:pPr>
        <w:ind w:left="260"/>
        <w:spacing w:after="0" w:line="243" w:lineRule="auto"/>
        <w:rPr>
          <w:sz w:val="20"/>
          <w:szCs w:val="20"/>
          <w:color w:val="auto"/>
        </w:rPr>
      </w:pPr>
      <w:r>
        <w:rPr>
          <w:rFonts w:ascii="Arial" w:cs="Arial" w:eastAsia="Arial" w:hAnsi="Arial"/>
          <w:sz w:val="16"/>
          <w:szCs w:val="16"/>
          <w:i w:val="1"/>
          <w:iCs w:val="1"/>
          <w:color w:val="009FE3"/>
        </w:rPr>
        <w:t>Equity Incentive Awards Are an Important Part of Our Compensation Philosophy</w:t>
      </w:r>
      <w:r>
        <w:rPr>
          <w:rFonts w:ascii="Arial" w:cs="Arial" w:eastAsia="Arial" w:hAnsi="Arial"/>
          <w:sz w:val="16"/>
          <w:szCs w:val="16"/>
          <w:color w:val="009FE3"/>
        </w:rPr>
        <w:t>.</w:t>
      </w:r>
      <w:r>
        <w:rPr>
          <w:rFonts w:ascii="Arial" w:cs="Arial" w:eastAsia="Arial" w:hAnsi="Arial"/>
          <w:sz w:val="16"/>
          <w:szCs w:val="16"/>
          <w:color w:val="202E39"/>
        </w:rPr>
        <w:t xml:space="preserve">  Our equity compensation plans are critical to our ongoing effort to</w:t>
      </w:r>
      <w:r>
        <w:rPr>
          <w:rFonts w:ascii="Arial" w:cs="Arial" w:eastAsia="Arial" w:hAnsi="Arial"/>
          <w:sz w:val="16"/>
          <w:szCs w:val="16"/>
          <w:i w:val="1"/>
          <w:iCs w:val="1"/>
          <w:color w:val="009FE3"/>
        </w:rPr>
        <w:t xml:space="preserve"> </w:t>
      </w:r>
      <w:r>
        <w:rPr>
          <w:rFonts w:ascii="Arial" w:cs="Arial" w:eastAsia="Arial" w:hAnsi="Arial"/>
          <w:sz w:val="16"/>
          <w:szCs w:val="16"/>
          <w:color w:val="202E39"/>
        </w:rPr>
        <w:t>build stockholder value. As discussed in the Compensation Discussion and Analysis section of this proxy statement, equity incentive awards are central to our compensation program. Our Board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and restricted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Subject to ongoing compensation reviews, our executive officers receive a combination of restricted stock units, performance stock units and performance stock options as we believe the forms of these awards continue to drive strong retention value while promoting further alignment with stockholder interests by motivating executive officers to achieve superior performance results.</w:t>
      </w:r>
    </w:p>
    <w:p>
      <w:pPr>
        <w:spacing w:after="0" w:line="82" w:lineRule="exact"/>
        <w:rPr>
          <w:sz w:val="20"/>
          <w:szCs w:val="20"/>
          <w:color w:val="auto"/>
        </w:rPr>
      </w:pPr>
    </w:p>
    <w:p>
      <w:pPr>
        <w:ind w:left="260" w:right="80"/>
        <w:spacing w:after="0" w:line="254" w:lineRule="auto"/>
        <w:rPr>
          <w:sz w:val="20"/>
          <w:szCs w:val="20"/>
          <w:color w:val="auto"/>
        </w:rPr>
      </w:pPr>
      <w:r>
        <w:rPr>
          <w:rFonts w:ascii="Arial" w:cs="Arial" w:eastAsia="Arial" w:hAnsi="Arial"/>
          <w:sz w:val="16"/>
          <w:szCs w:val="16"/>
          <w:color w:val="202E39"/>
        </w:rPr>
        <w:t>We believe our strategy is working. During the last two years, our employee turnover rate, inclusive of both voluntary and involuntary turnover, has averaged 20.3%, which is lower than the annual employee turnover rate for companies in a similar industry. We believe employee retention is particularly important to our success due to the extended time required to design, construct and launch our advanced satellite systems.</w:t>
      </w:r>
    </w:p>
    <w:p>
      <w:pPr>
        <w:spacing w:after="0" w:line="73" w:lineRule="exact"/>
        <w:rPr>
          <w:sz w:val="20"/>
          <w:szCs w:val="20"/>
          <w:color w:val="auto"/>
        </w:rPr>
      </w:pPr>
    </w:p>
    <w:p>
      <w:pPr>
        <w:ind w:left="260" w:right="20"/>
        <w:spacing w:after="0" w:line="249" w:lineRule="auto"/>
        <w:rPr>
          <w:sz w:val="20"/>
          <w:szCs w:val="20"/>
          <w:color w:val="auto"/>
        </w:rPr>
      </w:pPr>
      <w:r>
        <w:rPr>
          <w:rFonts w:ascii="Arial" w:cs="Arial" w:eastAsia="Arial" w:hAnsi="Arial"/>
          <w:sz w:val="16"/>
          <w:szCs w:val="16"/>
          <w:color w:val="202E39"/>
        </w:rPr>
        <w:t>Also, our equity incentive program is broad-based, which has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July 1, 2024, 47.3% of our employees held outstanding equity awards and all of our non-employee directors held outstanding equity awards.</w:t>
      </w:r>
    </w:p>
    <w:p>
      <w:pPr>
        <w:spacing w:after="0" w:line="78"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i w:val="1"/>
          <w:iCs w:val="1"/>
          <w:color w:val="009FE3"/>
        </w:rPr>
        <w:t>The Equity Plan Will No Longer Have Shares Available for Grant.</w:t>
      </w:r>
      <w:r>
        <w:rPr>
          <w:rFonts w:ascii="Arial" w:cs="Arial" w:eastAsia="Arial" w:hAnsi="Arial"/>
          <w:sz w:val="16"/>
          <w:szCs w:val="16"/>
          <w:color w:val="202E39"/>
        </w:rPr>
        <w:t xml:space="preserve">  Under our current forecasts, the Equity Plan will run out of shares available for grant in</w:t>
      </w:r>
      <w:r>
        <w:rPr>
          <w:rFonts w:ascii="Arial" w:cs="Arial" w:eastAsia="Arial" w:hAnsi="Arial"/>
          <w:sz w:val="16"/>
          <w:szCs w:val="16"/>
          <w:i w:val="1"/>
          <w:iCs w:val="1"/>
          <w:color w:val="009FE3"/>
        </w:rPr>
        <w:t xml:space="preserve"> </w:t>
      </w:r>
      <w:r>
        <w:rPr>
          <w:rFonts w:ascii="Arial" w:cs="Arial" w:eastAsia="Arial" w:hAnsi="Arial"/>
          <w:sz w:val="16"/>
          <w:szCs w:val="16"/>
          <w:color w:val="202E39"/>
        </w:rPr>
        <w:t>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21</w:t>
      </w:r>
    </w:p>
    <w:p>
      <w:pPr>
        <w:sectPr>
          <w:pgSz w:w="11900" w:h="16838" w:orient="portrait"/>
          <w:cols w:equalWidth="0" w:num="1">
            <w:col w:w="10980"/>
          </w:cols>
          <w:pgMar w:left="320" w:top="474" w:right="5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Amendment and Restatement of the 1996 Equity Participation Plan</w:t>
      </w:r>
    </w:p>
    <w:p>
      <w:pPr>
        <w:spacing w:after="0" w:line="139" w:lineRule="exact"/>
        <w:rPr>
          <w:sz w:val="20"/>
          <w:szCs w:val="20"/>
          <w:color w:val="auto"/>
        </w:rPr>
      </w:pPr>
    </w:p>
    <w:p>
      <w:pPr>
        <w:ind w:left="260" w:right="40"/>
        <w:spacing w:after="0" w:line="245" w:lineRule="auto"/>
        <w:rPr>
          <w:sz w:val="20"/>
          <w:szCs w:val="20"/>
          <w:color w:val="auto"/>
        </w:rPr>
      </w:pPr>
      <w:r>
        <w:rPr>
          <w:rFonts w:ascii="Arial" w:cs="Arial" w:eastAsia="Arial" w:hAnsi="Arial"/>
          <w:sz w:val="16"/>
          <w:szCs w:val="16"/>
          <w:i w:val="1"/>
          <w:iCs w:val="1"/>
          <w:color w:val="009FE3"/>
        </w:rPr>
        <w:t>We Manage Our Equity Incentive Award Use Carefully.</w:t>
      </w:r>
      <w:r>
        <w:rPr>
          <w:rFonts w:ascii="Arial" w:cs="Arial" w:eastAsia="Arial" w:hAnsi="Arial"/>
          <w:sz w:val="16"/>
          <w:szCs w:val="16"/>
          <w:color w:val="202E39"/>
        </w:rPr>
        <w:t xml:space="preserve">  We manage our long-term stockholder dilution by limiting the number of equity awards granted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plans as of July 1, 2024, and the proposed increase in shares authorized for issuance under the Restated Equity Plan. For information about our Employee Stock Purchase Plan, please see ”Equity Compensation Plan Information” below.</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Equity Compensation Plans as of July 1, 2024</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420" w:type="dxa"/>
            <w:vAlign w:val="bottom"/>
            <w:tcBorders>
              <w:top w:val="single" w:sz="8" w:color="E8EAEB"/>
              <w:right w:val="single" w:sz="8" w:color="E8EAEB"/>
            </w:tcBorders>
          </w:tcPr>
          <w:p>
            <w:pPr>
              <w:spacing w:after="0"/>
              <w:rPr>
                <w:sz w:val="18"/>
                <w:szCs w:val="18"/>
                <w:color w:val="auto"/>
              </w:rPr>
            </w:pPr>
          </w:p>
        </w:tc>
        <w:tc>
          <w:tcPr>
            <w:tcW w:w="440" w:type="dxa"/>
            <w:vAlign w:val="bottom"/>
            <w:tcBorders>
              <w:top w:val="single" w:sz="8" w:color="E8EAEB"/>
            </w:tcBorders>
          </w:tcPr>
          <w:p>
            <w:pPr>
              <w:spacing w:after="0"/>
              <w:rPr>
                <w:sz w:val="18"/>
                <w:szCs w:val="18"/>
                <w:color w:val="auto"/>
              </w:rPr>
            </w:pPr>
          </w:p>
        </w:tc>
        <w:tc>
          <w:tcPr>
            <w:tcW w:w="1140" w:type="dxa"/>
            <w:vAlign w:val="bottom"/>
            <w:tcBorders>
              <w:top w:val="single" w:sz="8" w:color="E8EAEB"/>
              <w:right w:val="single" w:sz="8" w:color="E8EAEB"/>
            </w:tcBorders>
          </w:tcPr>
          <w:p>
            <w:pPr>
              <w:spacing w:after="0"/>
              <w:rPr>
                <w:sz w:val="18"/>
                <w:szCs w:val="18"/>
                <w:color w:val="auto"/>
              </w:rPr>
            </w:pPr>
          </w:p>
        </w:tc>
        <w:tc>
          <w:tcPr>
            <w:tcW w:w="2120" w:type="dxa"/>
            <w:vAlign w:val="bottom"/>
            <w:tcBorders>
              <w:top w:val="single" w:sz="8" w:color="E8EAEB"/>
              <w:right w:val="single" w:sz="8" w:color="E8EAEB"/>
            </w:tcBorders>
          </w:tcPr>
          <w:p>
            <w:pPr>
              <w:jc w:val="center"/>
              <w:ind w:left="323"/>
              <w:spacing w:after="0"/>
              <w:rPr>
                <w:sz w:val="20"/>
                <w:szCs w:val="20"/>
                <w:color w:val="auto"/>
              </w:rPr>
            </w:pPr>
            <w:r>
              <w:rPr>
                <w:rFonts w:ascii="Arial" w:cs="Arial" w:eastAsia="Arial" w:hAnsi="Arial"/>
                <w:sz w:val="14"/>
                <w:szCs w:val="14"/>
                <w:b w:val="1"/>
                <w:bCs w:val="1"/>
                <w:color w:val="009FE3"/>
              </w:rPr>
              <w:t>As a % of</w:t>
            </w:r>
          </w:p>
        </w:tc>
        <w:tc>
          <w:tcPr>
            <w:tcW w:w="440" w:type="dxa"/>
            <w:vAlign w:val="bottom"/>
            <w:tcBorders>
              <w:top w:val="single" w:sz="8" w:color="E8EAEB"/>
            </w:tcBorders>
          </w:tcPr>
          <w:p>
            <w:pPr>
              <w:spacing w:after="0"/>
              <w:rPr>
                <w:sz w:val="18"/>
                <w:szCs w:val="18"/>
                <w:color w:val="auto"/>
              </w:rPr>
            </w:pPr>
          </w:p>
        </w:tc>
        <w:tc>
          <w:tcPr>
            <w:tcW w:w="1180" w:type="dxa"/>
            <w:vAlign w:val="bottom"/>
            <w:tcBorders>
              <w:top w:val="single" w:sz="8" w:color="E8EAEB"/>
            </w:tcBorders>
          </w:tcPr>
          <w:p>
            <w:pPr>
              <w:spacing w:after="0"/>
              <w:rPr>
                <w:sz w:val="18"/>
                <w:szCs w:val="18"/>
                <w:color w:val="auto"/>
              </w:rPr>
            </w:pPr>
          </w:p>
        </w:tc>
      </w:tr>
      <w:tr>
        <w:trPr>
          <w:trHeight w:val="158"/>
        </w:trPr>
        <w:tc>
          <w:tcPr>
            <w:tcW w:w="5420" w:type="dxa"/>
            <w:vAlign w:val="bottom"/>
            <w:tcBorders>
              <w:right w:val="single" w:sz="8" w:color="E8EAEB"/>
            </w:tcBorders>
          </w:tcPr>
          <w:p>
            <w:pPr>
              <w:spacing w:after="0"/>
              <w:rPr>
                <w:sz w:val="13"/>
                <w:szCs w:val="13"/>
                <w:color w:val="auto"/>
              </w:rPr>
            </w:pPr>
          </w:p>
        </w:tc>
        <w:tc>
          <w:tcPr>
            <w:tcW w:w="1580" w:type="dxa"/>
            <w:vAlign w:val="bottom"/>
            <w:tcBorders>
              <w:right w:val="single" w:sz="8" w:color="E8EAEB"/>
            </w:tcBorders>
            <w:gridSpan w:val="2"/>
          </w:tcPr>
          <w:p>
            <w:pPr>
              <w:jc w:val="right"/>
              <w:ind w:right="382"/>
              <w:spacing w:after="0" w:line="158" w:lineRule="exact"/>
              <w:rPr>
                <w:sz w:val="20"/>
                <w:szCs w:val="20"/>
                <w:color w:val="auto"/>
              </w:rPr>
            </w:pPr>
            <w:r>
              <w:rPr>
                <w:rFonts w:ascii="Arial" w:cs="Arial" w:eastAsia="Arial" w:hAnsi="Arial"/>
                <w:sz w:val="14"/>
                <w:szCs w:val="14"/>
                <w:b w:val="1"/>
                <w:bCs w:val="1"/>
                <w:color w:val="009FE3"/>
              </w:rPr>
              <w:t>Number of</w:t>
            </w:r>
          </w:p>
        </w:tc>
        <w:tc>
          <w:tcPr>
            <w:tcW w:w="2120" w:type="dxa"/>
            <w:vAlign w:val="bottom"/>
            <w:tcBorders>
              <w:right w:val="single" w:sz="8" w:color="E8EAEB"/>
            </w:tcBorders>
          </w:tcPr>
          <w:p>
            <w:pPr>
              <w:jc w:val="center"/>
              <w:ind w:left="323"/>
              <w:spacing w:after="0" w:line="158" w:lineRule="exact"/>
              <w:rPr>
                <w:sz w:val="20"/>
                <w:szCs w:val="20"/>
                <w:color w:val="auto"/>
              </w:rPr>
            </w:pPr>
            <w:r>
              <w:rPr>
                <w:rFonts w:ascii="Arial" w:cs="Arial" w:eastAsia="Arial" w:hAnsi="Arial"/>
                <w:sz w:val="14"/>
                <w:szCs w:val="14"/>
                <w:b w:val="1"/>
                <w:bCs w:val="1"/>
                <w:color w:val="009FE3"/>
              </w:rPr>
              <w:t>Shares</w:t>
            </w:r>
          </w:p>
        </w:tc>
        <w:tc>
          <w:tcPr>
            <w:tcW w:w="440" w:type="dxa"/>
            <w:vAlign w:val="bottom"/>
          </w:tcPr>
          <w:p>
            <w:pPr>
              <w:spacing w:after="0"/>
              <w:rPr>
                <w:sz w:val="13"/>
                <w:szCs w:val="13"/>
                <w:color w:val="auto"/>
              </w:rPr>
            </w:pPr>
          </w:p>
        </w:tc>
        <w:tc>
          <w:tcPr>
            <w:tcW w:w="1180" w:type="dxa"/>
            <w:vAlign w:val="bottom"/>
          </w:tcPr>
          <w:p>
            <w:pPr>
              <w:jc w:val="right"/>
              <w:ind w:right="542"/>
              <w:spacing w:after="0" w:line="158" w:lineRule="exact"/>
              <w:rPr>
                <w:sz w:val="20"/>
                <w:szCs w:val="20"/>
                <w:color w:val="auto"/>
              </w:rPr>
            </w:pPr>
            <w:r>
              <w:rPr>
                <w:rFonts w:ascii="Arial" w:cs="Arial" w:eastAsia="Arial" w:hAnsi="Arial"/>
                <w:sz w:val="14"/>
                <w:szCs w:val="14"/>
                <w:b w:val="1"/>
                <w:bCs w:val="1"/>
                <w:color w:val="009FE3"/>
              </w:rPr>
              <w:t>Dollar</w:t>
            </w:r>
          </w:p>
        </w:tc>
      </w:tr>
      <w:tr>
        <w:trPr>
          <w:trHeight w:val="193"/>
        </w:trPr>
        <w:tc>
          <w:tcPr>
            <w:tcW w:w="5420" w:type="dxa"/>
            <w:vAlign w:val="bottom"/>
            <w:tcBorders>
              <w:right w:val="single" w:sz="8" w:color="E8EAEB"/>
            </w:tcBorders>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right w:val="single" w:sz="8" w:color="E8EAEB"/>
            </w:tcBorders>
          </w:tcPr>
          <w:p>
            <w:pPr>
              <w:jc w:val="right"/>
              <w:ind w:right="502"/>
              <w:spacing w:after="0"/>
              <w:rPr>
                <w:sz w:val="20"/>
                <w:szCs w:val="20"/>
                <w:color w:val="auto"/>
              </w:rPr>
            </w:pPr>
            <w:r>
              <w:rPr>
                <w:rFonts w:ascii="Arial" w:cs="Arial" w:eastAsia="Arial" w:hAnsi="Arial"/>
                <w:sz w:val="14"/>
                <w:szCs w:val="14"/>
                <w:b w:val="1"/>
                <w:bCs w:val="1"/>
                <w:color w:val="009FE3"/>
              </w:rPr>
              <w:t>Shares</w:t>
            </w:r>
          </w:p>
        </w:tc>
        <w:tc>
          <w:tcPr>
            <w:tcW w:w="2120" w:type="dxa"/>
            <w:vAlign w:val="bottom"/>
            <w:tcBorders>
              <w:right w:val="single" w:sz="8" w:color="E8EAEB"/>
            </w:tcBorders>
          </w:tcPr>
          <w:p>
            <w:pPr>
              <w:ind w:left="440"/>
              <w:spacing w:after="0"/>
              <w:rPr>
                <w:sz w:val="20"/>
                <w:szCs w:val="20"/>
                <w:color w:val="auto"/>
              </w:rPr>
            </w:pPr>
            <w:r>
              <w:rPr>
                <w:rFonts w:ascii="Arial" w:cs="Arial" w:eastAsia="Arial" w:hAnsi="Arial"/>
                <w:sz w:val="14"/>
                <w:szCs w:val="14"/>
                <w:b w:val="1"/>
                <w:bCs w:val="1"/>
                <w:color w:val="009FE3"/>
              </w:rPr>
              <w:t xml:space="preserve">      Outstanding (1)    </w:t>
            </w:r>
          </w:p>
        </w:tc>
        <w:tc>
          <w:tcPr>
            <w:tcW w:w="44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4"/>
                <w:szCs w:val="14"/>
                <w:b w:val="1"/>
                <w:bCs w:val="1"/>
                <w:color w:val="009FE3"/>
              </w:rPr>
              <w:t>Value (2)</w:t>
            </w:r>
          </w:p>
        </w:tc>
      </w:tr>
      <w:tr>
        <w:trPr>
          <w:trHeight w:val="40"/>
        </w:trPr>
        <w:tc>
          <w:tcPr>
            <w:tcW w:w="5420" w:type="dxa"/>
            <w:vAlign w:val="bottom"/>
            <w:tcBorders>
              <w:bottom w:val="single" w:sz="8" w:color="009FE3"/>
              <w:right w:val="single" w:sz="8" w:color="E8EAEB"/>
            </w:tcBorders>
          </w:tcPr>
          <w:p>
            <w:pPr>
              <w:spacing w:after="0"/>
              <w:rPr>
                <w:sz w:val="3"/>
                <w:szCs w:val="3"/>
                <w:color w:val="auto"/>
              </w:rPr>
            </w:pPr>
          </w:p>
        </w:tc>
        <w:tc>
          <w:tcPr>
            <w:tcW w:w="440" w:type="dxa"/>
            <w:vAlign w:val="bottom"/>
            <w:tcBorders>
              <w:bottom w:val="single" w:sz="8" w:color="009FE3"/>
            </w:tcBorders>
          </w:tcPr>
          <w:p>
            <w:pPr>
              <w:spacing w:after="0"/>
              <w:rPr>
                <w:sz w:val="3"/>
                <w:szCs w:val="3"/>
                <w:color w:val="auto"/>
              </w:rPr>
            </w:pPr>
          </w:p>
        </w:tc>
        <w:tc>
          <w:tcPr>
            <w:tcW w:w="1140" w:type="dxa"/>
            <w:vAlign w:val="bottom"/>
            <w:tcBorders>
              <w:bottom w:val="single" w:sz="8" w:color="009FE3"/>
              <w:right w:val="single" w:sz="8" w:color="E8EAEB"/>
            </w:tcBorders>
          </w:tcPr>
          <w:p>
            <w:pPr>
              <w:spacing w:after="0"/>
              <w:rPr>
                <w:sz w:val="3"/>
                <w:szCs w:val="3"/>
                <w:color w:val="auto"/>
              </w:rPr>
            </w:pPr>
          </w:p>
        </w:tc>
        <w:tc>
          <w:tcPr>
            <w:tcW w:w="2120" w:type="dxa"/>
            <w:vAlign w:val="bottom"/>
            <w:tcBorders>
              <w:bottom w:val="single" w:sz="8" w:color="009FE3"/>
              <w:right w:val="single" w:sz="8" w:color="E8EAEB"/>
            </w:tcBorders>
          </w:tcPr>
          <w:p>
            <w:pPr>
              <w:spacing w:after="0"/>
              <w:rPr>
                <w:sz w:val="3"/>
                <w:szCs w:val="3"/>
                <w:color w:val="auto"/>
              </w:rPr>
            </w:pPr>
          </w:p>
        </w:tc>
        <w:tc>
          <w:tcPr>
            <w:tcW w:w="440" w:type="dxa"/>
            <w:vAlign w:val="bottom"/>
            <w:tcBorders>
              <w:bottom w:val="single" w:sz="8" w:color="009FE3"/>
            </w:tcBorders>
          </w:tcPr>
          <w:p>
            <w:pPr>
              <w:spacing w:after="0"/>
              <w:rPr>
                <w:sz w:val="3"/>
                <w:szCs w:val="3"/>
                <w:color w:val="auto"/>
              </w:rPr>
            </w:pPr>
          </w:p>
        </w:tc>
        <w:tc>
          <w:tcPr>
            <w:tcW w:w="1180" w:type="dxa"/>
            <w:vAlign w:val="bottom"/>
            <w:tcBorders>
              <w:bottom w:val="single" w:sz="8" w:color="009FE3"/>
            </w:tcBorders>
          </w:tcPr>
          <w:p>
            <w:pPr>
              <w:spacing w:after="0"/>
              <w:rPr>
                <w:sz w:val="3"/>
                <w:szCs w:val="3"/>
                <w:color w:val="auto"/>
              </w:rPr>
            </w:pPr>
          </w:p>
        </w:tc>
      </w:tr>
      <w:tr>
        <w:trPr>
          <w:trHeight w:val="248"/>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b w:val="1"/>
                <w:bCs w:val="1"/>
                <w:i w:val="1"/>
                <w:iCs w:val="1"/>
                <w:color w:val="202E39"/>
              </w:rPr>
              <w:t>Equity Plan</w:t>
            </w:r>
          </w:p>
        </w:tc>
        <w:tc>
          <w:tcPr>
            <w:tcW w:w="440" w:type="dxa"/>
            <w:vAlign w:val="bottom"/>
          </w:tcPr>
          <w:p>
            <w:pPr>
              <w:spacing w:after="0"/>
              <w:rPr>
                <w:sz w:val="21"/>
                <w:szCs w:val="21"/>
                <w:color w:val="auto"/>
              </w:rPr>
            </w:pPr>
          </w:p>
        </w:tc>
        <w:tc>
          <w:tcPr>
            <w:tcW w:w="1140" w:type="dxa"/>
            <w:vAlign w:val="bottom"/>
            <w:tcBorders>
              <w:right w:val="single" w:sz="8" w:color="E8EAEB"/>
            </w:tcBorders>
          </w:tcPr>
          <w:p>
            <w:pPr>
              <w:spacing w:after="0"/>
              <w:rPr>
                <w:sz w:val="21"/>
                <w:szCs w:val="21"/>
                <w:color w:val="auto"/>
              </w:rPr>
            </w:pPr>
          </w:p>
        </w:tc>
        <w:tc>
          <w:tcPr>
            <w:tcW w:w="2120" w:type="dxa"/>
            <w:vAlign w:val="bottom"/>
            <w:tcBorders>
              <w:right w:val="single" w:sz="8" w:color="E8EAEB"/>
            </w:tcBorders>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7"/>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Options outstanding (3)</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3,578,932</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2.8%</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w w:val="97"/>
              </w:rPr>
              <w:t>45,022,965</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Weighted average exercise price of outstanding options</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32.57</w:t>
            </w:r>
          </w:p>
        </w:tc>
        <w:tc>
          <w:tcPr>
            <w:tcW w:w="212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Weighted average remaining term of outstanding options</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w w:val="98"/>
              </w:rPr>
              <w:t>4.06 years</w:t>
            </w:r>
          </w:p>
        </w:tc>
        <w:tc>
          <w:tcPr>
            <w:tcW w:w="212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Restricted stock units outstanding (4)</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7,058,416</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5.5%</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w w:val="97"/>
              </w:rPr>
              <w:t>88,794,873</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Performance stock units outstanding (5)</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576,386</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0.5%</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rPr>
              <w:t>7,250,936</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Shares available for grant under Equity Plan (6)</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4,913,570</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3.8%</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w w:val="97"/>
              </w:rPr>
              <w:t>61,812,706</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18"/>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Proposed increase in shares available for future issuance under Restated</w:t>
            </w:r>
          </w:p>
        </w:tc>
        <w:tc>
          <w:tcPr>
            <w:tcW w:w="440" w:type="dxa"/>
            <w:vAlign w:val="bottom"/>
          </w:tcPr>
          <w:p>
            <w:pPr>
              <w:spacing w:after="0"/>
              <w:rPr>
                <w:sz w:val="18"/>
                <w:szCs w:val="18"/>
                <w:color w:val="auto"/>
              </w:rPr>
            </w:pPr>
          </w:p>
        </w:tc>
        <w:tc>
          <w:tcPr>
            <w:tcW w:w="1140" w:type="dxa"/>
            <w:vAlign w:val="bottom"/>
            <w:tcBorders>
              <w:right w:val="single" w:sz="8" w:color="E8EAEB"/>
            </w:tcBorders>
          </w:tcPr>
          <w:p>
            <w:pPr>
              <w:spacing w:after="0"/>
              <w:rPr>
                <w:sz w:val="18"/>
                <w:szCs w:val="18"/>
                <w:color w:val="auto"/>
              </w:rPr>
            </w:pPr>
          </w:p>
        </w:tc>
        <w:tc>
          <w:tcPr>
            <w:tcW w:w="2120" w:type="dxa"/>
            <w:vAlign w:val="bottom"/>
            <w:tcBorders>
              <w:right w:val="single" w:sz="8" w:color="E8EAEB"/>
            </w:tcBorders>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Equity Plan (over existing share reserve under Equity Plan)</w:t>
            </w:r>
          </w:p>
        </w:tc>
        <w:tc>
          <w:tcPr>
            <w:tcW w:w="440" w:type="dxa"/>
            <w:vAlign w:val="bottom"/>
          </w:tcPr>
          <w:p>
            <w:pPr>
              <w:spacing w:after="0"/>
              <w:rPr>
                <w:sz w:val="17"/>
                <w:szCs w:val="17"/>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3,430,000</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2.7%</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w w:val="97"/>
              </w:rPr>
              <w:t>43,149,400</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8"/>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b w:val="1"/>
                <w:bCs w:val="1"/>
                <w:i w:val="1"/>
                <w:iCs w:val="1"/>
                <w:color w:val="202E39"/>
              </w:rPr>
              <w:t xml:space="preserve">RigNet, Inc. 2010 Omnibus Incentive Plan </w:t>
            </w:r>
            <w:r>
              <w:rPr>
                <w:rFonts w:ascii="Arial" w:cs="Arial" w:eastAsia="Arial" w:hAnsi="Arial"/>
                <w:sz w:val="16"/>
                <w:szCs w:val="16"/>
                <w:color w:val="202E39"/>
              </w:rPr>
              <w:t>(7)</w:t>
            </w:r>
          </w:p>
        </w:tc>
        <w:tc>
          <w:tcPr>
            <w:tcW w:w="440" w:type="dxa"/>
            <w:vAlign w:val="bottom"/>
          </w:tcPr>
          <w:p>
            <w:pPr>
              <w:spacing w:after="0"/>
              <w:rPr>
                <w:sz w:val="21"/>
                <w:szCs w:val="21"/>
                <w:color w:val="auto"/>
              </w:rPr>
            </w:pPr>
          </w:p>
        </w:tc>
        <w:tc>
          <w:tcPr>
            <w:tcW w:w="1140" w:type="dxa"/>
            <w:vAlign w:val="bottom"/>
            <w:tcBorders>
              <w:right w:val="single" w:sz="8" w:color="E8EAEB"/>
            </w:tcBorders>
          </w:tcPr>
          <w:p>
            <w:pPr>
              <w:spacing w:after="0"/>
              <w:rPr>
                <w:sz w:val="21"/>
                <w:szCs w:val="21"/>
                <w:color w:val="auto"/>
              </w:rPr>
            </w:pPr>
          </w:p>
        </w:tc>
        <w:tc>
          <w:tcPr>
            <w:tcW w:w="2120" w:type="dxa"/>
            <w:vAlign w:val="bottom"/>
            <w:tcBorders>
              <w:right w:val="single" w:sz="8" w:color="E8EAEB"/>
            </w:tcBorders>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7"/>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Options outstanding</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33,295</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0.0%</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rPr>
              <w:t>418,851</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Weighted average exercise price of outstanding options</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93.21</w:t>
            </w:r>
          </w:p>
        </w:tc>
        <w:tc>
          <w:tcPr>
            <w:tcW w:w="212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Weighted average remaining term of outstanding options</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w w:val="98"/>
              </w:rPr>
              <w:t>1.45 years</w:t>
            </w:r>
          </w:p>
        </w:tc>
        <w:tc>
          <w:tcPr>
            <w:tcW w:w="212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Restricted stock units outstanding</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42"/>
              <w:spacing w:after="0"/>
              <w:rPr>
                <w:sz w:val="20"/>
                <w:szCs w:val="20"/>
                <w:color w:val="auto"/>
              </w:rPr>
            </w:pPr>
            <w:r>
              <w:rPr>
                <w:rFonts w:ascii="Arial" w:cs="Arial" w:eastAsia="Arial" w:hAnsi="Arial"/>
                <w:sz w:val="16"/>
                <w:szCs w:val="16"/>
                <w:color w:val="202E39"/>
              </w:rPr>
              <w:t>— </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0.0%</w:t>
            </w:r>
          </w:p>
        </w:tc>
        <w:tc>
          <w:tcPr>
            <w:tcW w:w="440" w:type="dxa"/>
            <w:vAlign w:val="bottom"/>
          </w:tcPr>
          <w:p>
            <w:pPr>
              <w:spacing w:after="0"/>
              <w:rPr>
                <w:sz w:val="20"/>
                <w:szCs w:val="20"/>
                <w:color w:val="auto"/>
              </w:rPr>
            </w:pPr>
          </w:p>
        </w:tc>
        <w:tc>
          <w:tcPr>
            <w:tcW w:w="1180" w:type="dxa"/>
            <w:vAlign w:val="bottom"/>
          </w:tcPr>
          <w:p>
            <w:pPr>
              <w:jc w:val="right"/>
              <w:ind w:right="342"/>
              <w:spacing w:after="0"/>
              <w:rPr>
                <w:sz w:val="20"/>
                <w:szCs w:val="20"/>
                <w:color w:val="auto"/>
              </w:rPr>
            </w:pPr>
            <w:r>
              <w:rPr>
                <w:rFonts w:ascii="Arial" w:cs="Arial" w:eastAsia="Arial" w:hAnsi="Arial"/>
                <w:sz w:val="16"/>
                <w:szCs w:val="16"/>
                <w:color w:val="202E39"/>
              </w:rPr>
              <w:t>— </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Shares available for grant</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42"/>
              <w:spacing w:after="0"/>
              <w:rPr>
                <w:sz w:val="20"/>
                <w:szCs w:val="20"/>
                <w:color w:val="auto"/>
              </w:rPr>
            </w:pPr>
            <w:r>
              <w:rPr>
                <w:rFonts w:ascii="Arial" w:cs="Arial" w:eastAsia="Arial" w:hAnsi="Arial"/>
                <w:sz w:val="16"/>
                <w:szCs w:val="16"/>
                <w:color w:val="202E39"/>
              </w:rPr>
              <w:t>— </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0.0%</w:t>
            </w:r>
          </w:p>
        </w:tc>
        <w:tc>
          <w:tcPr>
            <w:tcW w:w="440" w:type="dxa"/>
            <w:vAlign w:val="bottom"/>
          </w:tcPr>
          <w:p>
            <w:pPr>
              <w:spacing w:after="0"/>
              <w:rPr>
                <w:sz w:val="20"/>
                <w:szCs w:val="20"/>
                <w:color w:val="auto"/>
              </w:rPr>
            </w:pPr>
          </w:p>
        </w:tc>
        <w:tc>
          <w:tcPr>
            <w:tcW w:w="1180" w:type="dxa"/>
            <w:vAlign w:val="bottom"/>
          </w:tcPr>
          <w:p>
            <w:pPr>
              <w:jc w:val="right"/>
              <w:ind w:right="342"/>
              <w:spacing w:after="0"/>
              <w:rPr>
                <w:sz w:val="20"/>
                <w:szCs w:val="20"/>
                <w:color w:val="auto"/>
              </w:rPr>
            </w:pPr>
            <w:r>
              <w:rPr>
                <w:rFonts w:ascii="Arial" w:cs="Arial" w:eastAsia="Arial" w:hAnsi="Arial"/>
                <w:sz w:val="16"/>
                <w:szCs w:val="16"/>
                <w:color w:val="202E39"/>
              </w:rPr>
              <w:t>— </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8"/>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b w:val="1"/>
                <w:bCs w:val="1"/>
                <w:i w:val="1"/>
                <w:iCs w:val="1"/>
                <w:color w:val="202E39"/>
              </w:rPr>
              <w:t xml:space="preserve">RigNet, Inc. 2019 Omnibus Incentive Plan </w:t>
            </w:r>
            <w:r>
              <w:rPr>
                <w:rFonts w:ascii="Arial" w:cs="Arial" w:eastAsia="Arial" w:hAnsi="Arial"/>
                <w:sz w:val="16"/>
                <w:szCs w:val="16"/>
                <w:color w:val="202E39"/>
              </w:rPr>
              <w:t>(7)</w:t>
            </w:r>
          </w:p>
        </w:tc>
        <w:tc>
          <w:tcPr>
            <w:tcW w:w="440" w:type="dxa"/>
            <w:vAlign w:val="bottom"/>
          </w:tcPr>
          <w:p>
            <w:pPr>
              <w:spacing w:after="0"/>
              <w:rPr>
                <w:sz w:val="21"/>
                <w:szCs w:val="21"/>
                <w:color w:val="auto"/>
              </w:rPr>
            </w:pPr>
          </w:p>
        </w:tc>
        <w:tc>
          <w:tcPr>
            <w:tcW w:w="1140" w:type="dxa"/>
            <w:vAlign w:val="bottom"/>
            <w:tcBorders>
              <w:right w:val="single" w:sz="8" w:color="E8EAEB"/>
            </w:tcBorders>
          </w:tcPr>
          <w:p>
            <w:pPr>
              <w:spacing w:after="0"/>
              <w:rPr>
                <w:sz w:val="21"/>
                <w:szCs w:val="21"/>
                <w:color w:val="auto"/>
              </w:rPr>
            </w:pPr>
          </w:p>
        </w:tc>
        <w:tc>
          <w:tcPr>
            <w:tcW w:w="2120" w:type="dxa"/>
            <w:vAlign w:val="bottom"/>
            <w:tcBorders>
              <w:right w:val="single" w:sz="8" w:color="E8EAEB"/>
            </w:tcBorders>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7"/>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Options outstanding</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7,654</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0.0%</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rPr>
              <w:t>96,287</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Weighted average exercise price of outstanding options</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31.28</w:t>
            </w:r>
          </w:p>
        </w:tc>
        <w:tc>
          <w:tcPr>
            <w:tcW w:w="212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Weighted average remaining term of outstanding options</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w w:val="98"/>
              </w:rPr>
              <w:t>2.07 years</w:t>
            </w:r>
          </w:p>
        </w:tc>
        <w:tc>
          <w:tcPr>
            <w:tcW w:w="212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Restricted stock units outstanding</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02"/>
              <w:spacing w:after="0"/>
              <w:rPr>
                <w:sz w:val="20"/>
                <w:szCs w:val="20"/>
                <w:color w:val="auto"/>
              </w:rPr>
            </w:pPr>
            <w:r>
              <w:rPr>
                <w:rFonts w:ascii="Arial" w:cs="Arial" w:eastAsia="Arial" w:hAnsi="Arial"/>
                <w:sz w:val="16"/>
                <w:szCs w:val="16"/>
                <w:color w:val="202E39"/>
              </w:rPr>
              <w:t>30,719</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0.0%</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202E39"/>
              </w:rPr>
              <w:t>386,445</w:t>
            </w:r>
          </w:p>
        </w:tc>
      </w:tr>
      <w:tr>
        <w:trPr>
          <w:trHeight w:val="55"/>
        </w:trPr>
        <w:tc>
          <w:tcPr>
            <w:tcW w:w="54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40" w:type="dxa"/>
            <w:vAlign w:val="bottom"/>
            <w:tcBorders>
              <w:bottom w:val="single" w:sz="8" w:color="E8EAEB"/>
              <w:right w:val="single" w:sz="8" w:color="E8EAEB"/>
            </w:tcBorders>
          </w:tcPr>
          <w:p>
            <w:pPr>
              <w:spacing w:after="0"/>
              <w:rPr>
                <w:sz w:val="4"/>
                <w:szCs w:val="4"/>
                <w:color w:val="auto"/>
              </w:rPr>
            </w:pPr>
          </w:p>
        </w:tc>
        <w:tc>
          <w:tcPr>
            <w:tcW w:w="2120" w:type="dxa"/>
            <w:vAlign w:val="bottom"/>
            <w:tcBorders>
              <w:bottom w:val="single" w:sz="8" w:color="E8EAEB"/>
              <w:right w:val="single" w:sz="8" w:color="E8EAEB"/>
            </w:tcBorders>
          </w:tcPr>
          <w:p>
            <w:pPr>
              <w:spacing w:after="0"/>
              <w:rPr>
                <w:sz w:val="4"/>
                <w:szCs w:val="4"/>
                <w:color w:val="auto"/>
              </w:rPr>
            </w:pPr>
          </w:p>
        </w:tc>
        <w:tc>
          <w:tcPr>
            <w:tcW w:w="440" w:type="dxa"/>
            <w:vAlign w:val="bottom"/>
            <w:tcBorders>
              <w:bottom w:val="single" w:sz="8" w:color="E8EAEB"/>
            </w:tcBorders>
          </w:tcPr>
          <w:p>
            <w:pPr>
              <w:spacing w:after="0"/>
              <w:rPr>
                <w:sz w:val="4"/>
                <w:szCs w:val="4"/>
                <w:color w:val="auto"/>
              </w:rPr>
            </w:pPr>
          </w:p>
        </w:tc>
        <w:tc>
          <w:tcPr>
            <w:tcW w:w="1180" w:type="dxa"/>
            <w:vAlign w:val="bottom"/>
            <w:tcBorders>
              <w:bottom w:val="single" w:sz="8" w:color="E8EAEB"/>
            </w:tcBorders>
          </w:tcPr>
          <w:p>
            <w:pPr>
              <w:spacing w:after="0"/>
              <w:rPr>
                <w:sz w:val="4"/>
                <w:szCs w:val="4"/>
                <w:color w:val="auto"/>
              </w:rPr>
            </w:pPr>
          </w:p>
        </w:tc>
      </w:tr>
      <w:tr>
        <w:trPr>
          <w:trHeight w:val="240"/>
        </w:trPr>
        <w:tc>
          <w:tcPr>
            <w:tcW w:w="54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Shares available for grant</w:t>
            </w:r>
          </w:p>
        </w:tc>
        <w:tc>
          <w:tcPr>
            <w:tcW w:w="440" w:type="dxa"/>
            <w:vAlign w:val="bottom"/>
          </w:tcPr>
          <w:p>
            <w:pPr>
              <w:spacing w:after="0"/>
              <w:rPr>
                <w:sz w:val="20"/>
                <w:szCs w:val="20"/>
                <w:color w:val="auto"/>
              </w:rPr>
            </w:pPr>
          </w:p>
        </w:tc>
        <w:tc>
          <w:tcPr>
            <w:tcW w:w="1140" w:type="dxa"/>
            <w:vAlign w:val="bottom"/>
            <w:tcBorders>
              <w:right w:val="single" w:sz="8" w:color="E8EAEB"/>
            </w:tcBorders>
          </w:tcPr>
          <w:p>
            <w:pPr>
              <w:jc w:val="right"/>
              <w:ind w:right="342"/>
              <w:spacing w:after="0"/>
              <w:rPr>
                <w:sz w:val="20"/>
                <w:szCs w:val="20"/>
                <w:color w:val="auto"/>
              </w:rPr>
            </w:pPr>
            <w:r>
              <w:rPr>
                <w:rFonts w:ascii="Arial" w:cs="Arial" w:eastAsia="Arial" w:hAnsi="Arial"/>
                <w:sz w:val="16"/>
                <w:szCs w:val="16"/>
                <w:color w:val="202E39"/>
              </w:rPr>
              <w:t>— </w:t>
            </w:r>
          </w:p>
        </w:tc>
        <w:tc>
          <w:tcPr>
            <w:tcW w:w="2120" w:type="dxa"/>
            <w:vAlign w:val="bottom"/>
            <w:tcBorders>
              <w:right w:val="single" w:sz="8" w:color="E8EAEB"/>
            </w:tcBorders>
          </w:tcPr>
          <w:p>
            <w:pPr>
              <w:jc w:val="center"/>
              <w:ind w:left="323"/>
              <w:spacing w:after="0"/>
              <w:rPr>
                <w:sz w:val="20"/>
                <w:szCs w:val="20"/>
                <w:color w:val="auto"/>
              </w:rPr>
            </w:pPr>
            <w:r>
              <w:rPr>
                <w:rFonts w:ascii="Arial" w:cs="Arial" w:eastAsia="Arial" w:hAnsi="Arial"/>
                <w:sz w:val="16"/>
                <w:szCs w:val="16"/>
                <w:color w:val="202E39"/>
                <w:w w:val="88"/>
              </w:rPr>
              <w:t>  0.0%</w:t>
            </w:r>
          </w:p>
        </w:tc>
        <w:tc>
          <w:tcPr>
            <w:tcW w:w="440" w:type="dxa"/>
            <w:vAlign w:val="bottom"/>
          </w:tcPr>
          <w:p>
            <w:pPr>
              <w:jc w:val="right"/>
              <w:spacing w:after="0"/>
              <w:rPr>
                <w:sz w:val="20"/>
                <w:szCs w:val="20"/>
                <w:color w:val="auto"/>
              </w:rPr>
            </w:pPr>
            <w:r>
              <w:rPr>
                <w:rFonts w:ascii="Arial" w:cs="Arial" w:eastAsia="Arial" w:hAnsi="Arial"/>
                <w:sz w:val="16"/>
                <w:szCs w:val="16"/>
                <w:color w:val="202E39"/>
              </w:rPr>
              <w:t>$</w:t>
            </w:r>
          </w:p>
        </w:tc>
        <w:tc>
          <w:tcPr>
            <w:tcW w:w="1180" w:type="dxa"/>
            <w:vAlign w:val="bottom"/>
          </w:tcPr>
          <w:p>
            <w:pPr>
              <w:jc w:val="right"/>
              <w:ind w:right="342"/>
              <w:spacing w:after="0"/>
              <w:rPr>
                <w:sz w:val="20"/>
                <w:szCs w:val="20"/>
                <w:color w:val="auto"/>
              </w:rPr>
            </w:pPr>
            <w:r>
              <w:rPr>
                <w:rFonts w:ascii="Arial" w:cs="Arial" w:eastAsia="Arial" w:hAnsi="Arial"/>
                <w:sz w:val="16"/>
                <w:szCs w:val="16"/>
                <w:color w:val="202E39"/>
              </w:rPr>
              <w:t>— </w:t>
            </w:r>
          </w:p>
        </w:tc>
      </w:tr>
      <w:tr>
        <w:trPr>
          <w:trHeight w:val="55"/>
        </w:trPr>
        <w:tc>
          <w:tcPr>
            <w:tcW w:w="5420" w:type="dxa"/>
            <w:vAlign w:val="bottom"/>
            <w:tcBorders>
              <w:bottom w:val="single" w:sz="8" w:color="009FE3"/>
              <w:right w:val="single" w:sz="8" w:color="E8EAEB"/>
            </w:tcBorders>
          </w:tcPr>
          <w:p>
            <w:pPr>
              <w:spacing w:after="0"/>
              <w:rPr>
                <w:sz w:val="4"/>
                <w:szCs w:val="4"/>
                <w:color w:val="auto"/>
              </w:rPr>
            </w:pPr>
          </w:p>
        </w:tc>
        <w:tc>
          <w:tcPr>
            <w:tcW w:w="440" w:type="dxa"/>
            <w:vAlign w:val="bottom"/>
            <w:tcBorders>
              <w:bottom w:val="single" w:sz="8" w:color="009FE3"/>
            </w:tcBorders>
          </w:tcPr>
          <w:p>
            <w:pPr>
              <w:spacing w:after="0"/>
              <w:rPr>
                <w:sz w:val="4"/>
                <w:szCs w:val="4"/>
                <w:color w:val="auto"/>
              </w:rPr>
            </w:pPr>
          </w:p>
        </w:tc>
        <w:tc>
          <w:tcPr>
            <w:tcW w:w="1140" w:type="dxa"/>
            <w:vAlign w:val="bottom"/>
            <w:tcBorders>
              <w:bottom w:val="single" w:sz="8" w:color="009FE3"/>
              <w:right w:val="single" w:sz="8" w:color="E8EAEB"/>
            </w:tcBorders>
          </w:tcPr>
          <w:p>
            <w:pPr>
              <w:spacing w:after="0"/>
              <w:rPr>
                <w:sz w:val="4"/>
                <w:szCs w:val="4"/>
                <w:color w:val="auto"/>
              </w:rPr>
            </w:pPr>
          </w:p>
        </w:tc>
        <w:tc>
          <w:tcPr>
            <w:tcW w:w="2120" w:type="dxa"/>
            <w:vAlign w:val="bottom"/>
            <w:tcBorders>
              <w:bottom w:val="single" w:sz="8" w:color="009FE3"/>
              <w:right w:val="single" w:sz="8" w:color="E8EAEB"/>
            </w:tcBorders>
          </w:tcPr>
          <w:p>
            <w:pPr>
              <w:spacing w:after="0"/>
              <w:rPr>
                <w:sz w:val="4"/>
                <w:szCs w:val="4"/>
                <w:color w:val="auto"/>
              </w:rPr>
            </w:pPr>
          </w:p>
        </w:tc>
        <w:tc>
          <w:tcPr>
            <w:tcW w:w="440" w:type="dxa"/>
            <w:vAlign w:val="bottom"/>
            <w:tcBorders>
              <w:bottom w:val="single" w:sz="8" w:color="009FE3"/>
            </w:tcBorders>
          </w:tcPr>
          <w:p>
            <w:pPr>
              <w:spacing w:after="0"/>
              <w:rPr>
                <w:sz w:val="4"/>
                <w:szCs w:val="4"/>
                <w:color w:val="auto"/>
              </w:rPr>
            </w:pPr>
          </w:p>
        </w:tc>
        <w:tc>
          <w:tcPr>
            <w:tcW w:w="1180" w:type="dxa"/>
            <w:vAlign w:val="bottom"/>
            <w:tcBorders>
              <w:bottom w:val="single" w:sz="8" w:color="009FE3"/>
            </w:tcBorders>
          </w:tcPr>
          <w:p>
            <w:pPr>
              <w:spacing w:after="0"/>
              <w:rPr>
                <w:sz w:val="4"/>
                <w:szCs w:val="4"/>
                <w:color w:val="auto"/>
              </w:rPr>
            </w:pPr>
          </w:p>
        </w:tc>
      </w:tr>
    </w:tbl>
    <w:p>
      <w:pPr>
        <w:spacing w:after="0" w:line="109" w:lineRule="exact"/>
        <w:rPr>
          <w:sz w:val="20"/>
          <w:szCs w:val="20"/>
          <w:color w:val="auto"/>
        </w:rPr>
      </w:pPr>
    </w:p>
    <w:p>
      <w:pPr>
        <w:ind w:left="680" w:hanging="419"/>
        <w:spacing w:after="0"/>
        <w:tabs>
          <w:tab w:leader="none" w:pos="680" w:val="left"/>
        </w:tabs>
        <w:numPr>
          <w:ilvl w:val="0"/>
          <w:numId w:val="19"/>
        </w:numPr>
        <w:rPr>
          <w:rFonts w:ascii="Arial" w:cs="Arial" w:eastAsia="Arial" w:hAnsi="Arial"/>
          <w:sz w:val="14"/>
          <w:szCs w:val="14"/>
          <w:color w:val="202E39"/>
        </w:rPr>
      </w:pPr>
      <w:r>
        <w:rPr>
          <w:rFonts w:ascii="Arial" w:cs="Arial" w:eastAsia="Arial" w:hAnsi="Arial"/>
          <w:sz w:val="14"/>
          <w:szCs w:val="14"/>
          <w:color w:val="202E39"/>
        </w:rPr>
        <w:t>Based on 127,738,637 shares of Viasat common stock outstanding as of July 1, 2024.</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19"/>
        </w:numPr>
        <w:rPr>
          <w:rFonts w:ascii="Arial" w:cs="Arial" w:eastAsia="Arial" w:hAnsi="Arial"/>
          <w:sz w:val="14"/>
          <w:szCs w:val="14"/>
          <w:color w:val="202E39"/>
        </w:rPr>
      </w:pPr>
      <w:r>
        <w:rPr>
          <w:rFonts w:ascii="Arial" w:cs="Arial" w:eastAsia="Arial" w:hAnsi="Arial"/>
          <w:sz w:val="14"/>
          <w:szCs w:val="14"/>
          <w:color w:val="202E39"/>
        </w:rPr>
        <w:t>Based on the closing price per share of Viasat common stock on July 1, 2024 ($12.58).</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19"/>
        </w:numPr>
        <w:rPr>
          <w:rFonts w:ascii="Arial" w:cs="Arial" w:eastAsia="Arial" w:hAnsi="Arial"/>
          <w:sz w:val="14"/>
          <w:szCs w:val="14"/>
          <w:color w:val="202E39"/>
        </w:rPr>
      </w:pPr>
      <w:r>
        <w:rPr>
          <w:rFonts w:ascii="Arial" w:cs="Arial" w:eastAsia="Arial" w:hAnsi="Arial"/>
          <w:sz w:val="14"/>
          <w:szCs w:val="14"/>
          <w:color w:val="202E39"/>
        </w:rPr>
        <w:t>Includes an aggregate of 3,356,983 market-based performance stock options (based on “target” level of performance) that remain outstanding as of July 1, 2024.</w:t>
      </w:r>
    </w:p>
    <w:p>
      <w:pPr>
        <w:spacing w:after="0" w:line="62" w:lineRule="exact"/>
        <w:rPr>
          <w:rFonts w:ascii="Arial" w:cs="Arial" w:eastAsia="Arial" w:hAnsi="Arial"/>
          <w:sz w:val="14"/>
          <w:szCs w:val="14"/>
          <w:color w:val="202E39"/>
        </w:rPr>
      </w:pPr>
    </w:p>
    <w:p>
      <w:pPr>
        <w:ind w:left="680" w:right="360" w:hanging="419"/>
        <w:spacing w:after="0" w:line="270" w:lineRule="auto"/>
        <w:tabs>
          <w:tab w:leader="none" w:pos="680" w:val="left"/>
        </w:tabs>
        <w:numPr>
          <w:ilvl w:val="0"/>
          <w:numId w:val="19"/>
        </w:numPr>
        <w:rPr>
          <w:rFonts w:ascii="Arial" w:cs="Arial" w:eastAsia="Arial" w:hAnsi="Arial"/>
          <w:sz w:val="14"/>
          <w:szCs w:val="14"/>
          <w:color w:val="202E39"/>
        </w:rPr>
      </w:pPr>
      <w:r>
        <w:rPr>
          <w:rFonts w:ascii="Arial" w:cs="Arial" w:eastAsia="Arial" w:hAnsi="Arial"/>
          <w:sz w:val="14"/>
          <w:szCs w:val="14"/>
          <w:color w:val="202E39"/>
        </w:rPr>
        <w:t>Includes an aggregate of 30,525 restricted stock units that were granted from the RigNet Share Reserve (as defined below) on or after April 30, 2021 and prior to June 8, 2022 that remain outstanding as of July 1, 2024 under the Equity Plan.</w:t>
      </w:r>
    </w:p>
    <w:p>
      <w:pPr>
        <w:spacing w:after="0" w:line="18" w:lineRule="exact"/>
        <w:rPr>
          <w:rFonts w:ascii="Arial" w:cs="Arial" w:eastAsia="Arial" w:hAnsi="Arial"/>
          <w:sz w:val="14"/>
          <w:szCs w:val="14"/>
          <w:color w:val="202E39"/>
        </w:rPr>
      </w:pPr>
    </w:p>
    <w:p>
      <w:pPr>
        <w:ind w:left="680" w:hanging="419"/>
        <w:spacing w:after="0"/>
        <w:tabs>
          <w:tab w:leader="none" w:pos="680" w:val="left"/>
        </w:tabs>
        <w:numPr>
          <w:ilvl w:val="0"/>
          <w:numId w:val="19"/>
        </w:numPr>
        <w:rPr>
          <w:rFonts w:ascii="Arial" w:cs="Arial" w:eastAsia="Arial" w:hAnsi="Arial"/>
          <w:sz w:val="14"/>
          <w:szCs w:val="14"/>
          <w:color w:val="202E39"/>
        </w:rPr>
      </w:pPr>
      <w:r>
        <w:rPr>
          <w:rFonts w:ascii="Arial" w:cs="Arial" w:eastAsia="Arial" w:hAnsi="Arial"/>
          <w:sz w:val="14"/>
          <w:szCs w:val="14"/>
          <w:color w:val="202E39"/>
        </w:rPr>
        <w:t>Performance-based restricted stock units are reflected based on “target” level of performance.</w:t>
      </w:r>
    </w:p>
    <w:p>
      <w:pPr>
        <w:spacing w:after="0" w:line="62" w:lineRule="exact"/>
        <w:rPr>
          <w:rFonts w:ascii="Arial" w:cs="Arial" w:eastAsia="Arial" w:hAnsi="Arial"/>
          <w:sz w:val="14"/>
          <w:szCs w:val="14"/>
          <w:color w:val="202E39"/>
        </w:rPr>
      </w:pPr>
    </w:p>
    <w:p>
      <w:pPr>
        <w:ind w:left="680" w:right="140" w:hanging="419"/>
        <w:spacing w:after="0" w:line="239" w:lineRule="auto"/>
        <w:tabs>
          <w:tab w:leader="none" w:pos="680" w:val="left"/>
        </w:tabs>
        <w:numPr>
          <w:ilvl w:val="0"/>
          <w:numId w:val="19"/>
        </w:numPr>
        <w:rPr>
          <w:rFonts w:ascii="Arial" w:cs="Arial" w:eastAsia="Arial" w:hAnsi="Arial"/>
          <w:sz w:val="14"/>
          <w:szCs w:val="14"/>
          <w:color w:val="202E39"/>
        </w:rPr>
      </w:pPr>
      <w:r>
        <w:rPr>
          <w:rFonts w:ascii="Arial" w:cs="Arial" w:eastAsia="Arial" w:hAnsi="Arial"/>
          <w:sz w:val="14"/>
          <w:szCs w:val="14"/>
          <w:color w:val="202E39"/>
        </w:rPr>
        <w:t>For purposes of calculating the shares that remain available for grant under the Equity Plan, each “full value” award is counted using the applicable ratio as specified in the Equity Plan and performance stock options and performance stock units are calculated assuming “maximum” performance. In connection with Viasat’s acquisition of RigNet, Inc. (RigNet), Viasat assumed the RigNet, Inc. 2019 Omnibus Incentive Plan, or the RigNet 2019 Plan, and certain outstanding awards thereunder, including the assumption of the shares of common stock of RigNet available for issuance under the RigNet 2019 Plan.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As of June 8, 2022, Viasat ceased granting any new awards out of the RigNet Share Reserve, although shares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81280</wp:posOffset>
            </wp:positionV>
            <wp:extent cx="425450" cy="150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22       </w:t>
      </w:r>
    </w:p>
    <w:p>
      <w:pPr>
        <w:sectPr>
          <w:pgSz w:w="11900" w:h="16838" w:orient="portrait"/>
          <w:cols w:equalWidth="0" w:num="1">
            <w:col w:w="11000"/>
          </w:cols>
          <w:pgMar w:left="320" w:top="474"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3"/>
          <w:szCs w:val="13"/>
          <w:color w:val="009FE3"/>
        </w:rPr>
        <w:t>PROPOSAL 4:</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Amendment and Restatement of the 1996 Equity Participation Plan</w:t>
      </w:r>
    </w:p>
    <w:p>
      <w:pPr>
        <w:spacing w:after="0" w:line="153" w:lineRule="exact"/>
        <w:rPr>
          <w:sz w:val="20"/>
          <w:szCs w:val="20"/>
          <w:color w:val="auto"/>
        </w:rPr>
      </w:pPr>
    </w:p>
    <w:p>
      <w:pPr>
        <w:ind w:left="680" w:right="20"/>
        <w:spacing w:after="0" w:line="241" w:lineRule="auto"/>
        <w:rPr>
          <w:sz w:val="20"/>
          <w:szCs w:val="20"/>
          <w:color w:val="auto"/>
        </w:rPr>
      </w:pPr>
      <w:r>
        <w:rPr>
          <w:rFonts w:ascii="Arial" w:cs="Arial" w:eastAsia="Arial" w:hAnsi="Arial"/>
          <w:sz w:val="14"/>
          <w:szCs w:val="14"/>
          <w:color w:val="202E39"/>
        </w:rPr>
        <w:t>to awards granted from the RigNet Share Reserve prior to June 8, 2022 (“RigNet Share Reserve Awards”) that remained outstanding as of such date (a total of 88,374 shares as of June 8, 2022) were eligible to be recycled back into the Equity Plan in accordance with its terms and added back to the share reserve of the Equity Plan on or after such date, as discussed below. The “Shares available for grant under Equity Plan” in the table above includes any shares that have become available under the Equity Plan on or after June 8, 2022 as a result of the recycling of shares subject to RigNet Share Reserve Awards. As of July 1, 2024, RigNet Share Reserve Awards with respect to an aggregate of 30,525 restricted stock units that were granted from the RigNet Share Reserve on or after April 30, 2021 and prior to June 8, 2022 remain outstanding under the Equity Plan, which awards are included in the total restricted stock units outstanding under the Equity Plan listed in the table above.</w:t>
      </w:r>
    </w:p>
    <w:p>
      <w:pPr>
        <w:spacing w:after="0" w:line="38" w:lineRule="exact"/>
        <w:rPr>
          <w:sz w:val="20"/>
          <w:szCs w:val="20"/>
          <w:color w:val="auto"/>
        </w:rPr>
      </w:pPr>
    </w:p>
    <w:p>
      <w:pPr>
        <w:jc w:val="both"/>
        <w:ind w:left="680" w:right="40" w:hanging="419"/>
        <w:spacing w:after="0" w:line="252" w:lineRule="auto"/>
        <w:tabs>
          <w:tab w:leader="none" w:pos="680" w:val="left"/>
        </w:tabs>
        <w:numPr>
          <w:ilvl w:val="0"/>
          <w:numId w:val="20"/>
        </w:numPr>
        <w:rPr>
          <w:rFonts w:ascii="Arial" w:cs="Arial" w:eastAsia="Arial" w:hAnsi="Arial"/>
          <w:sz w:val="14"/>
          <w:szCs w:val="14"/>
          <w:color w:val="202E39"/>
        </w:rPr>
      </w:pPr>
      <w:r>
        <w:rPr>
          <w:rFonts w:ascii="Arial" w:cs="Arial" w:eastAsia="Arial" w:hAnsi="Arial"/>
          <w:sz w:val="14"/>
          <w:szCs w:val="14"/>
          <w:color w:val="202E39"/>
        </w:rPr>
        <w:t>In connection with our acquisition of RigNet in April 2021, we assumed the RigNet 2019 Plan and the RigNet 2010 Omnibus Incentive Plan (together we refer to these assumed RigNet plans as the RigNet Plans), and the awards outstanding thereunder, which assumed awards were automatically converted into awards with the right to shares of Viasat common stock (in each case after appropriate adjustment of the number of shares to reflect the transaction).</w:t>
      </w:r>
    </w:p>
    <w:p>
      <w:pPr>
        <w:spacing w:after="0" w:line="68" w:lineRule="exact"/>
        <w:rPr>
          <w:sz w:val="20"/>
          <w:szCs w:val="20"/>
          <w:color w:val="auto"/>
        </w:rPr>
      </w:pPr>
    </w:p>
    <w:p>
      <w:pPr>
        <w:ind w:left="260" w:right="20"/>
        <w:spacing w:after="0" w:line="244" w:lineRule="auto"/>
        <w:rPr>
          <w:sz w:val="20"/>
          <w:szCs w:val="20"/>
          <w:color w:val="auto"/>
        </w:rPr>
      </w:pPr>
      <w:r>
        <w:rPr>
          <w:rFonts w:ascii="Arial" w:cs="Arial" w:eastAsia="Arial" w:hAnsi="Arial"/>
          <w:sz w:val="16"/>
          <w:szCs w:val="16"/>
          <w:color w:val="202E39"/>
        </w:rPr>
        <w:t>In fiscal years 2024, 2023 and 2022, our annual gross burn rates under the Equity Plan were 2.58%, 3.67% and 3.79%, respectively (calculated by dividing (1) the number of shares subject to equity awards granted during the applicable fiscal year by (2) the weighted-average number of shares outstanding during such fiscal year). As permitted under the burn rate calculation policy published by ISS, the foregoing burn rate calculations exclude the performance-based stock options granted during fiscal years 2024, 2023 and 2022. In fiscal years 2024, 2023 and 2022, we issued market-based performance stock options to purchase an aggregate of 1,513,923, 557,687 and 599,292 shares of our common stock at “target” performance, respectively, which represented 1.29%, 0.73% and 0.82% of the weighted-average number of shares outstanding during fiscal years 2024, 2023 and 2022, respectively.</w:t>
      </w:r>
    </w:p>
    <w:p>
      <w:pPr>
        <w:spacing w:after="0" w:line="84" w:lineRule="exact"/>
        <w:rPr>
          <w:sz w:val="20"/>
          <w:szCs w:val="20"/>
          <w:color w:val="auto"/>
        </w:rPr>
      </w:pPr>
    </w:p>
    <w:p>
      <w:pPr>
        <w:ind w:left="260" w:right="40"/>
        <w:spacing w:after="0" w:line="247" w:lineRule="auto"/>
        <w:rPr>
          <w:sz w:val="20"/>
          <w:szCs w:val="20"/>
          <w:color w:val="auto"/>
        </w:rPr>
      </w:pPr>
      <w:r>
        <w:rPr>
          <w:rFonts w:ascii="Arial" w:cs="Arial" w:eastAsia="Arial" w:hAnsi="Arial"/>
          <w:sz w:val="16"/>
          <w:szCs w:val="16"/>
          <w:color w:val="202E39"/>
        </w:rPr>
        <w:t>In fiscal years 2024, 2023 and 2022, our end of year equity overhang rates for the Equity Plan were 15.80%, 14.43% and 14.87%,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3,430,000 shares to be reserved under the Restated Equity Plan would dilute the holdings of stockholders by up to an additional 2.7%, based on the number of shares of Viasat common stock outstanding as of July 1, 2024.</w:t>
      </w:r>
    </w:p>
    <w:p>
      <w:pPr>
        <w:spacing w:after="0" w:line="78" w:lineRule="exact"/>
        <w:rPr>
          <w:sz w:val="20"/>
          <w:szCs w:val="20"/>
          <w:color w:val="auto"/>
        </w:rPr>
      </w:pPr>
    </w:p>
    <w:p>
      <w:pPr>
        <w:ind w:left="260" w:right="40"/>
        <w:spacing w:after="0" w:line="267" w:lineRule="auto"/>
        <w:rPr>
          <w:sz w:val="20"/>
          <w:szCs w:val="20"/>
          <w:color w:val="auto"/>
        </w:rPr>
      </w:pPr>
      <w:r>
        <w:rPr>
          <w:rFonts w:ascii="Arial" w:cs="Arial" w:eastAsia="Arial" w:hAnsi="Arial"/>
          <w:sz w:val="15"/>
          <w:szCs w:val="15"/>
          <w:color w:val="202E39"/>
        </w:rPr>
        <w:t>In requesting approval of the Restated Equity Plan, we are asking stockholders for a pool of shares anticipated for approximately one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will not create a subcommittee to evaluate the risks and benefits for issuing the additional authorized shares requested.</w:t>
      </w:r>
    </w:p>
    <w:p>
      <w:pPr>
        <w:spacing w:after="0" w:line="66"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i w:val="1"/>
          <w:iCs w:val="1"/>
          <w:color w:val="009FE3"/>
        </w:rPr>
        <w:t>The Restated Equity Plan Combines Compensation and Governance Best Practices.</w:t>
      </w:r>
      <w:r>
        <w:rPr>
          <w:rFonts w:ascii="Arial" w:cs="Arial" w:eastAsia="Arial" w:hAnsi="Arial"/>
          <w:sz w:val="16"/>
          <w:szCs w:val="16"/>
          <w:color w:val="202E39"/>
        </w:rPr>
        <w:t xml:space="preserve">  The Restated Equity Plan includes provisions that are designed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protect our stockholders’ interests and to reflect corporate governance “best practices” including:</w:t>
      </w:r>
    </w:p>
    <w:p>
      <w:pPr>
        <w:spacing w:after="0" w:line="74" w:lineRule="exact"/>
        <w:rPr>
          <w:sz w:val="20"/>
          <w:szCs w:val="20"/>
          <w:color w:val="auto"/>
        </w:rPr>
      </w:pPr>
    </w:p>
    <w:p>
      <w:pPr>
        <w:ind w:left="780" w:right="440" w:hanging="203"/>
        <w:spacing w:after="0" w:line="303" w:lineRule="auto"/>
        <w:tabs>
          <w:tab w:leader="none" w:pos="780" w:val="left"/>
        </w:tabs>
        <w:numPr>
          <w:ilvl w:val="0"/>
          <w:numId w:val="21"/>
        </w:numPr>
        <w:rPr>
          <w:rFonts w:ascii="Arial" w:cs="Arial" w:eastAsia="Arial" w:hAnsi="Arial"/>
          <w:sz w:val="15"/>
          <w:szCs w:val="15"/>
          <w:color w:val="009FE3"/>
        </w:rPr>
      </w:pPr>
      <w:r>
        <w:rPr>
          <w:rFonts w:ascii="Arial" w:cs="Arial" w:eastAsia="Arial" w:hAnsi="Arial"/>
          <w:sz w:val="15"/>
          <w:szCs w:val="15"/>
          <w:i w:val="1"/>
          <w:iCs w:val="1"/>
          <w:color w:val="202E39"/>
        </w:rPr>
        <w:t xml:space="preserve">Continued broad-based eligibility for equity awards.  </w:t>
      </w:r>
      <w:r>
        <w:rPr>
          <w:rFonts w:ascii="Arial" w:cs="Arial" w:eastAsia="Arial" w:hAnsi="Arial"/>
          <w:sz w:val="15"/>
          <w:szCs w:val="15"/>
          <w:color w:val="202E39"/>
        </w:rPr>
        <w:t>We grant equity awards to a significant number of our employees. By doing so, we link</w:t>
      </w:r>
      <w:r>
        <w:rPr>
          <w:rFonts w:ascii="Arial" w:cs="Arial" w:eastAsia="Arial" w:hAnsi="Arial"/>
          <w:sz w:val="15"/>
          <w:szCs w:val="15"/>
          <w:i w:val="1"/>
          <w:iCs w:val="1"/>
          <w:color w:val="202E39"/>
        </w:rPr>
        <w:t xml:space="preserve"> </w:t>
      </w:r>
      <w:r>
        <w:rPr>
          <w:rFonts w:ascii="Arial" w:cs="Arial" w:eastAsia="Arial" w:hAnsi="Arial"/>
          <w:sz w:val="15"/>
          <w:szCs w:val="15"/>
          <w:color w:val="202E39"/>
        </w:rPr>
        <w:t>employee interests with stockholder interests throughout the organization and motivate our employees to act as owners of the business.</w:t>
      </w:r>
    </w:p>
    <w:p>
      <w:pPr>
        <w:spacing w:after="0" w:line="50" w:lineRule="exact"/>
        <w:rPr>
          <w:rFonts w:ascii="Arial" w:cs="Arial" w:eastAsia="Arial" w:hAnsi="Arial"/>
          <w:sz w:val="15"/>
          <w:szCs w:val="15"/>
          <w:color w:val="009FE3"/>
        </w:rPr>
      </w:pPr>
    </w:p>
    <w:p>
      <w:pPr>
        <w:ind w:left="780" w:right="80" w:hanging="203"/>
        <w:spacing w:after="0" w:line="254" w:lineRule="auto"/>
        <w:tabs>
          <w:tab w:leader="none" w:pos="780" w:val="left"/>
        </w:tabs>
        <w:numPr>
          <w:ilvl w:val="0"/>
          <w:numId w:val="21"/>
        </w:numPr>
        <w:rPr>
          <w:rFonts w:ascii="Arial" w:cs="Arial" w:eastAsia="Arial" w:hAnsi="Arial"/>
          <w:sz w:val="16"/>
          <w:szCs w:val="16"/>
          <w:color w:val="009FE3"/>
        </w:rPr>
      </w:pPr>
      <w:r>
        <w:rPr>
          <w:rFonts w:ascii="Arial" w:cs="Arial" w:eastAsia="Arial" w:hAnsi="Arial"/>
          <w:sz w:val="16"/>
          <w:szCs w:val="16"/>
          <w:i w:val="1"/>
          <w:iCs w:val="1"/>
          <w:color w:val="202E39"/>
        </w:rPr>
        <w:t>Stockholder approval is required for additional shares</w:t>
      </w:r>
      <w:r>
        <w:rPr>
          <w:rFonts w:ascii="Arial" w:cs="Arial" w:eastAsia="Arial" w:hAnsi="Arial"/>
          <w:sz w:val="16"/>
          <w:szCs w:val="16"/>
          <w:color w:val="202E39"/>
        </w:rPr>
        <w:t>.  The Restated Equity Plan does not contain an annual “evergreen” provision.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Restated Equity Plan authorizes a fixed number of shares, so that stockholder approval is required to increase the maximum number of shares of our common stock which may be issued under the Restated Equity Plan.</w:t>
      </w:r>
    </w:p>
    <w:p>
      <w:pPr>
        <w:spacing w:after="0" w:line="86" w:lineRule="exact"/>
        <w:rPr>
          <w:rFonts w:ascii="Arial" w:cs="Arial" w:eastAsia="Arial" w:hAnsi="Arial"/>
          <w:sz w:val="16"/>
          <w:szCs w:val="16"/>
          <w:color w:val="009FE3"/>
        </w:rPr>
      </w:pPr>
    </w:p>
    <w:p>
      <w:pPr>
        <w:ind w:left="780" w:right="260" w:hanging="203"/>
        <w:spacing w:after="0" w:line="254" w:lineRule="auto"/>
        <w:tabs>
          <w:tab w:leader="none" w:pos="780" w:val="left"/>
        </w:tabs>
        <w:numPr>
          <w:ilvl w:val="0"/>
          <w:numId w:val="21"/>
        </w:numPr>
        <w:rPr>
          <w:rFonts w:ascii="Arial" w:cs="Arial" w:eastAsia="Arial" w:hAnsi="Arial"/>
          <w:sz w:val="16"/>
          <w:szCs w:val="16"/>
          <w:color w:val="009FE3"/>
        </w:rPr>
      </w:pPr>
      <w:r>
        <w:rPr>
          <w:rFonts w:ascii="Arial" w:cs="Arial" w:eastAsia="Arial" w:hAnsi="Arial"/>
          <w:sz w:val="16"/>
          <w:szCs w:val="16"/>
          <w:i w:val="1"/>
          <w:iCs w:val="1"/>
          <w:color w:val="202E39"/>
        </w:rPr>
        <w:t xml:space="preserve">No discount stock options or stock appreciation rights.  </w:t>
      </w:r>
      <w:r>
        <w:rPr>
          <w:rFonts w:ascii="Arial" w:cs="Arial" w:eastAsia="Arial" w:hAnsi="Arial"/>
          <w:sz w:val="16"/>
          <w:szCs w:val="16"/>
          <w:color w:val="202E39"/>
        </w:rPr>
        <w:t>All stock options and stock appreciation rights will have an exercise price equal to or</w:t>
      </w:r>
      <w:r>
        <w:rPr>
          <w:rFonts w:ascii="Arial" w:cs="Arial" w:eastAsia="Arial" w:hAnsi="Arial"/>
          <w:sz w:val="16"/>
          <w:szCs w:val="16"/>
          <w:i w:val="1"/>
          <w:iCs w:val="1"/>
          <w:color w:val="202E39"/>
        </w:rPr>
        <w:t xml:space="preserve"> </w:t>
      </w:r>
      <w:r>
        <w:rPr>
          <w:rFonts w:ascii="Arial" w:cs="Arial" w:eastAsia="Arial" w:hAnsi="Arial"/>
          <w:sz w:val="16"/>
          <w:szCs w:val="16"/>
          <w:color w:val="202E39"/>
        </w:rPr>
        <w:t>greater than the fair market value of our common stock on the date the stock option or stock appreciation right is granted. To date, we have not granted any stock appreciation rights.</w:t>
      </w:r>
    </w:p>
    <w:p>
      <w:pPr>
        <w:spacing w:after="0" w:line="86" w:lineRule="exact"/>
        <w:rPr>
          <w:rFonts w:ascii="Arial" w:cs="Arial" w:eastAsia="Arial" w:hAnsi="Arial"/>
          <w:sz w:val="16"/>
          <w:szCs w:val="16"/>
          <w:color w:val="009FE3"/>
        </w:rPr>
      </w:pPr>
    </w:p>
    <w:p>
      <w:pPr>
        <w:ind w:left="780" w:right="500" w:hanging="203"/>
        <w:spacing w:after="0" w:line="269" w:lineRule="auto"/>
        <w:tabs>
          <w:tab w:leader="none" w:pos="780" w:val="left"/>
        </w:tabs>
        <w:numPr>
          <w:ilvl w:val="0"/>
          <w:numId w:val="21"/>
        </w:numPr>
        <w:rPr>
          <w:rFonts w:ascii="Arial" w:cs="Arial" w:eastAsia="Arial" w:hAnsi="Arial"/>
          <w:sz w:val="16"/>
          <w:szCs w:val="16"/>
          <w:color w:val="009FE3"/>
        </w:rPr>
      </w:pPr>
      <w:r>
        <w:rPr>
          <w:rFonts w:ascii="Arial" w:cs="Arial" w:eastAsia="Arial" w:hAnsi="Arial"/>
          <w:sz w:val="16"/>
          <w:szCs w:val="16"/>
          <w:i w:val="1"/>
          <w:iCs w:val="1"/>
          <w:color w:val="202E39"/>
        </w:rPr>
        <w:t>Minimum vesting provision.</w:t>
      </w:r>
      <w:r>
        <w:rPr>
          <w:rFonts w:ascii="Arial" w:cs="Arial" w:eastAsia="Arial" w:hAnsi="Arial"/>
          <w:sz w:val="16"/>
          <w:szCs w:val="16"/>
          <w:color w:val="202E39"/>
        </w:rPr>
        <w:t xml:space="preserve">  The Restated Equity Plan imposes a minimum one-year vesting requirement on all equity awards, with limited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exceptions.</w:t>
      </w:r>
    </w:p>
    <w:p>
      <w:pPr>
        <w:spacing w:after="0" w:line="21" w:lineRule="exact"/>
        <w:rPr>
          <w:rFonts w:ascii="Arial" w:cs="Arial" w:eastAsia="Arial" w:hAnsi="Arial"/>
          <w:sz w:val="16"/>
          <w:szCs w:val="16"/>
          <w:color w:val="009FE3"/>
        </w:rPr>
      </w:pPr>
    </w:p>
    <w:p>
      <w:pPr>
        <w:ind w:left="780" w:right="280" w:hanging="203"/>
        <w:spacing w:after="0" w:line="269" w:lineRule="auto"/>
        <w:tabs>
          <w:tab w:leader="none" w:pos="780" w:val="left"/>
        </w:tabs>
        <w:numPr>
          <w:ilvl w:val="0"/>
          <w:numId w:val="21"/>
        </w:numPr>
        <w:rPr>
          <w:rFonts w:ascii="Arial" w:cs="Arial" w:eastAsia="Arial" w:hAnsi="Arial"/>
          <w:sz w:val="16"/>
          <w:szCs w:val="16"/>
          <w:color w:val="009FE3"/>
        </w:rPr>
      </w:pPr>
      <w:r>
        <w:rPr>
          <w:rFonts w:ascii="Arial" w:cs="Arial" w:eastAsia="Arial" w:hAnsi="Arial"/>
          <w:sz w:val="16"/>
          <w:szCs w:val="16"/>
          <w:i w:val="1"/>
          <w:iCs w:val="1"/>
          <w:color w:val="202E39"/>
        </w:rPr>
        <w:t>No single-trigger vesting of awards for employees.</w:t>
      </w:r>
      <w:r>
        <w:rPr>
          <w:rFonts w:ascii="Arial" w:cs="Arial" w:eastAsia="Arial" w:hAnsi="Arial"/>
          <w:sz w:val="16"/>
          <w:szCs w:val="16"/>
          <w:color w:val="202E39"/>
        </w:rPr>
        <w:t xml:space="preserve">  The Restated Equity Plan does not provide employees with any single-trigger accelerated</w:t>
      </w:r>
      <w:r>
        <w:rPr>
          <w:rFonts w:ascii="Arial" w:cs="Arial" w:eastAsia="Arial" w:hAnsi="Arial"/>
          <w:sz w:val="16"/>
          <w:szCs w:val="16"/>
          <w:i w:val="1"/>
          <w:iCs w:val="1"/>
          <w:color w:val="202E39"/>
        </w:rPr>
        <w:t xml:space="preserve"> </w:t>
      </w:r>
      <w:r>
        <w:rPr>
          <w:rFonts w:ascii="Arial" w:cs="Arial" w:eastAsia="Arial" w:hAnsi="Arial"/>
          <w:sz w:val="16"/>
          <w:szCs w:val="16"/>
          <w:color w:val="202E39"/>
        </w:rPr>
        <w:t>vesting provisions for changes in control.</w:t>
      </w:r>
    </w:p>
    <w:p>
      <w:pPr>
        <w:spacing w:after="0" w:line="21" w:lineRule="exact"/>
        <w:rPr>
          <w:rFonts w:ascii="Arial" w:cs="Arial" w:eastAsia="Arial" w:hAnsi="Arial"/>
          <w:sz w:val="16"/>
          <w:szCs w:val="16"/>
          <w:color w:val="009FE3"/>
        </w:rPr>
      </w:pPr>
    </w:p>
    <w:p>
      <w:pPr>
        <w:ind w:left="780" w:right="100" w:hanging="203"/>
        <w:spacing w:after="0" w:line="249" w:lineRule="auto"/>
        <w:tabs>
          <w:tab w:leader="none" w:pos="780" w:val="left"/>
        </w:tabs>
        <w:numPr>
          <w:ilvl w:val="0"/>
          <w:numId w:val="21"/>
        </w:numPr>
        <w:rPr>
          <w:rFonts w:ascii="Arial" w:cs="Arial" w:eastAsia="Arial" w:hAnsi="Arial"/>
          <w:sz w:val="16"/>
          <w:szCs w:val="16"/>
          <w:color w:val="009FE3"/>
        </w:rPr>
      </w:pPr>
      <w:r>
        <w:rPr>
          <w:rFonts w:ascii="Arial" w:cs="Arial" w:eastAsia="Arial" w:hAnsi="Arial"/>
          <w:sz w:val="16"/>
          <w:szCs w:val="16"/>
          <w:i w:val="1"/>
          <w:iCs w:val="1"/>
          <w:color w:val="202E39"/>
        </w:rPr>
        <w:t>Limitations on awards.</w:t>
      </w:r>
      <w:r>
        <w:rPr>
          <w:rFonts w:ascii="Arial" w:cs="Arial" w:eastAsia="Arial" w:hAnsi="Arial"/>
          <w:sz w:val="16"/>
          <w:szCs w:val="16"/>
          <w:color w:val="202E39"/>
        </w:rPr>
        <w:t xml:space="preserve">  Not more than 2,000,000 shares may be subject to options or stock appreciation rights for any one individual per fiscal</w:t>
      </w:r>
      <w:r>
        <w:rPr>
          <w:rFonts w:ascii="Arial" w:cs="Arial" w:eastAsia="Arial" w:hAnsi="Arial"/>
          <w:sz w:val="16"/>
          <w:szCs w:val="16"/>
          <w:i w:val="1"/>
          <w:iCs w:val="1"/>
          <w:color w:val="202E39"/>
        </w:rPr>
        <w:t xml:space="preserve"> </w:t>
      </w:r>
      <w:r>
        <w:rPr>
          <w:rFonts w:ascii="Arial" w:cs="Arial" w:eastAsia="Arial" w:hAnsi="Arial"/>
          <w:sz w:val="16"/>
          <w:szCs w:val="16"/>
          <w:color w:val="202E39"/>
        </w:rPr>
        <w:t>year. The Restated Equity Plan also has an individual award limit of 1,200,000 shares per fiscal year for grants of restricted stock, performance awards, dividend equivalents, restricted stock units and stock payments. In addition, the maximum aggregate amount of cash that may be paid in cash to any one person during any fiscal year with respect to one or more awards initially payable in cash is $10,000,000.</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23</w:t>
      </w:r>
    </w:p>
    <w:p>
      <w:pPr>
        <w:sectPr>
          <w:pgSz w:w="11900" w:h="16838" w:orient="portrait"/>
          <w:cols w:equalWidth="0" w:num="1">
            <w:col w:w="10980"/>
          </w:cols>
          <w:pgMar w:left="320" w:top="474"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Amendment and Restatement of the 1996 Equity Participation Plan</w:t>
      </w:r>
    </w:p>
    <w:p>
      <w:pPr>
        <w:spacing w:after="0" w:line="139" w:lineRule="exact"/>
        <w:rPr>
          <w:sz w:val="20"/>
          <w:szCs w:val="20"/>
          <w:color w:val="auto"/>
        </w:rPr>
      </w:pPr>
    </w:p>
    <w:p>
      <w:pPr>
        <w:ind w:left="780" w:right="40" w:hanging="203"/>
        <w:spacing w:after="0" w:line="269" w:lineRule="auto"/>
        <w:tabs>
          <w:tab w:leader="none" w:pos="780" w:val="left"/>
        </w:tabs>
        <w:numPr>
          <w:ilvl w:val="0"/>
          <w:numId w:val="22"/>
        </w:numPr>
        <w:rPr>
          <w:rFonts w:ascii="Arial" w:cs="Arial" w:eastAsia="Arial" w:hAnsi="Arial"/>
          <w:sz w:val="16"/>
          <w:szCs w:val="16"/>
          <w:color w:val="009FE3"/>
        </w:rPr>
      </w:pPr>
      <w:r>
        <w:rPr>
          <w:rFonts w:ascii="Arial" w:cs="Arial" w:eastAsia="Arial" w:hAnsi="Arial"/>
          <w:sz w:val="16"/>
          <w:szCs w:val="16"/>
          <w:i w:val="1"/>
          <w:iCs w:val="1"/>
          <w:color w:val="202E39"/>
        </w:rPr>
        <w:t xml:space="preserve">Repricing is not allowed.  </w:t>
      </w:r>
      <w:r>
        <w:rPr>
          <w:rFonts w:ascii="Arial" w:cs="Arial" w:eastAsia="Arial" w:hAnsi="Arial"/>
          <w:sz w:val="16"/>
          <w:szCs w:val="16"/>
          <w:color w:val="202E39"/>
        </w:rPr>
        <w:t>The Restated Equity Plan prohibits the repricing or other exchange of underwater stock options and stock appreciation</w:t>
      </w:r>
      <w:r>
        <w:rPr>
          <w:rFonts w:ascii="Arial" w:cs="Arial" w:eastAsia="Arial" w:hAnsi="Arial"/>
          <w:sz w:val="16"/>
          <w:szCs w:val="16"/>
          <w:i w:val="1"/>
          <w:iCs w:val="1"/>
          <w:color w:val="202E39"/>
        </w:rPr>
        <w:t xml:space="preserve"> </w:t>
      </w:r>
      <w:r>
        <w:rPr>
          <w:rFonts w:ascii="Arial" w:cs="Arial" w:eastAsia="Arial" w:hAnsi="Arial"/>
          <w:sz w:val="16"/>
          <w:szCs w:val="16"/>
          <w:color w:val="202E39"/>
        </w:rPr>
        <w:t>rights for new awards or cash without prior stockholder approval.</w:t>
      </w:r>
    </w:p>
    <w:p>
      <w:pPr>
        <w:spacing w:after="0" w:line="21" w:lineRule="exact"/>
        <w:rPr>
          <w:rFonts w:ascii="Arial" w:cs="Arial" w:eastAsia="Arial" w:hAnsi="Arial"/>
          <w:sz w:val="16"/>
          <w:szCs w:val="16"/>
          <w:color w:val="009FE3"/>
        </w:rPr>
      </w:pPr>
    </w:p>
    <w:p>
      <w:pPr>
        <w:ind w:left="780" w:hanging="203"/>
        <w:spacing w:after="0"/>
        <w:tabs>
          <w:tab w:leader="none" w:pos="780" w:val="left"/>
        </w:tabs>
        <w:numPr>
          <w:ilvl w:val="0"/>
          <w:numId w:val="22"/>
        </w:numPr>
        <w:rPr>
          <w:rFonts w:ascii="Arial" w:cs="Arial" w:eastAsia="Arial" w:hAnsi="Arial"/>
          <w:sz w:val="16"/>
          <w:szCs w:val="16"/>
          <w:color w:val="009FE3"/>
        </w:rPr>
      </w:pPr>
      <w:r>
        <w:rPr>
          <w:rFonts w:ascii="Arial" w:cs="Arial" w:eastAsia="Arial" w:hAnsi="Arial"/>
          <w:sz w:val="16"/>
          <w:szCs w:val="16"/>
          <w:i w:val="1"/>
          <w:iCs w:val="1"/>
          <w:color w:val="202E39"/>
        </w:rPr>
        <w:t>No tax gross-ups</w:t>
      </w:r>
      <w:r>
        <w:rPr>
          <w:rFonts w:ascii="Arial" w:cs="Arial" w:eastAsia="Arial" w:hAnsi="Arial"/>
          <w:sz w:val="16"/>
          <w:szCs w:val="16"/>
          <w:color w:val="202E39"/>
        </w:rPr>
        <w:t>.   The Restated Equity Plan does not provide for any tax gross-ups.</w:t>
      </w:r>
    </w:p>
    <w:p>
      <w:pPr>
        <w:spacing w:after="0" w:line="65" w:lineRule="exact"/>
        <w:rPr>
          <w:rFonts w:ascii="Arial" w:cs="Arial" w:eastAsia="Arial" w:hAnsi="Arial"/>
          <w:sz w:val="16"/>
          <w:szCs w:val="16"/>
          <w:color w:val="009FE3"/>
        </w:rPr>
      </w:pPr>
    </w:p>
    <w:p>
      <w:pPr>
        <w:ind w:left="780" w:hanging="203"/>
        <w:spacing w:after="0" w:line="249" w:lineRule="auto"/>
        <w:tabs>
          <w:tab w:leader="none" w:pos="780" w:val="left"/>
        </w:tabs>
        <w:numPr>
          <w:ilvl w:val="0"/>
          <w:numId w:val="22"/>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limit on full value awards.  </w:t>
      </w:r>
      <w:r>
        <w:rPr>
          <w:rFonts w:ascii="Arial" w:cs="Arial" w:eastAsia="Arial" w:hAnsi="Arial"/>
          <w:sz w:val="16"/>
          <w:szCs w:val="16"/>
          <w:color w:val="202E39"/>
        </w:rPr>
        <w:t>For purposes of calculating the shares that remain available for issuance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grants of stock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w:t>
      </w:r>
    </w:p>
    <w:p>
      <w:pPr>
        <w:spacing w:after="0" w:line="38" w:lineRule="exact"/>
        <w:rPr>
          <w:rFonts w:ascii="Arial" w:cs="Arial" w:eastAsia="Arial" w:hAnsi="Arial"/>
          <w:sz w:val="16"/>
          <w:szCs w:val="16"/>
          <w:color w:val="009FE3"/>
        </w:rPr>
      </w:pPr>
    </w:p>
    <w:p>
      <w:pPr>
        <w:ind w:left="780" w:right="20" w:hanging="203"/>
        <w:spacing w:after="0" w:line="260" w:lineRule="auto"/>
        <w:tabs>
          <w:tab w:leader="none" w:pos="780" w:val="left"/>
        </w:tabs>
        <w:numPr>
          <w:ilvl w:val="0"/>
          <w:numId w:val="22"/>
        </w:numPr>
        <w:rPr>
          <w:rFonts w:ascii="Arial" w:cs="Arial" w:eastAsia="Arial" w:hAnsi="Arial"/>
          <w:sz w:val="15"/>
          <w:szCs w:val="15"/>
          <w:color w:val="009FE3"/>
        </w:rPr>
      </w:pPr>
      <w:r>
        <w:rPr>
          <w:rFonts w:ascii="Arial" w:cs="Arial" w:eastAsia="Arial" w:hAnsi="Arial"/>
          <w:sz w:val="15"/>
          <w:szCs w:val="15"/>
          <w:i w:val="1"/>
          <w:iCs w:val="1"/>
          <w:color w:val="202E39"/>
        </w:rPr>
        <w:t xml:space="preserve">Reasonable share counting provisions.  </w:t>
      </w:r>
      <w:r>
        <w:rPr>
          <w:rFonts w:ascii="Arial" w:cs="Arial" w:eastAsia="Arial" w:hAnsi="Arial"/>
          <w:sz w:val="15"/>
          <w:szCs w:val="15"/>
          <w:color w:val="202E39"/>
        </w:rPr>
        <w:t>In general, and as described in more detail below, when awards granted under the Restated Equity Plan</w:t>
      </w:r>
      <w:r>
        <w:rPr>
          <w:rFonts w:ascii="Arial" w:cs="Arial" w:eastAsia="Arial" w:hAnsi="Arial"/>
          <w:sz w:val="15"/>
          <w:szCs w:val="15"/>
          <w:i w:val="1"/>
          <w:iCs w:val="1"/>
          <w:color w:val="202E39"/>
        </w:rPr>
        <w:t xml:space="preserve"> </w:t>
      </w:r>
      <w:r>
        <w:rPr>
          <w:rFonts w:ascii="Arial" w:cs="Arial" w:eastAsia="Arial" w:hAnsi="Arial"/>
          <w:sz w:val="15"/>
          <w:szCs w:val="15"/>
          <w:color w:val="202E39"/>
        </w:rPr>
        <w:t>(including RigNet Share Reserve Awards) expire or are canceled, or are settled in 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(or, in the case of a RigNet Share Reserve Award that was a full value award, two (2) shares for each share subject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w:t>
      </w:r>
    </w:p>
    <w:p>
      <w:pPr>
        <w:spacing w:after="0" w:line="31" w:lineRule="exact"/>
        <w:rPr>
          <w:rFonts w:ascii="Arial" w:cs="Arial" w:eastAsia="Arial" w:hAnsi="Arial"/>
          <w:sz w:val="15"/>
          <w:szCs w:val="15"/>
          <w:color w:val="009FE3"/>
        </w:rPr>
      </w:pPr>
    </w:p>
    <w:p>
      <w:pPr>
        <w:ind w:left="780" w:right="60" w:hanging="203"/>
        <w:spacing w:after="0" w:line="269" w:lineRule="auto"/>
        <w:tabs>
          <w:tab w:leader="none" w:pos="780" w:val="left"/>
        </w:tabs>
        <w:numPr>
          <w:ilvl w:val="0"/>
          <w:numId w:val="22"/>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dividend and dividend equivalent payments on unvested awards.  </w:t>
      </w:r>
      <w:r>
        <w:rPr>
          <w:rFonts w:ascii="Arial" w:cs="Arial" w:eastAsia="Arial" w:hAnsi="Arial"/>
          <w:sz w:val="16"/>
          <w:szCs w:val="16"/>
          <w:color w:val="202E39"/>
        </w:rPr>
        <w:t>Dividends and dividend equivalents may not be paid on awards</w:t>
      </w:r>
      <w:r>
        <w:rPr>
          <w:rFonts w:ascii="Arial" w:cs="Arial" w:eastAsia="Arial" w:hAnsi="Arial"/>
          <w:sz w:val="16"/>
          <w:szCs w:val="16"/>
          <w:i w:val="1"/>
          <w:iCs w:val="1"/>
          <w:color w:val="202E39"/>
        </w:rPr>
        <w:t xml:space="preserve"> </w:t>
      </w:r>
      <w:r>
        <w:rPr>
          <w:rFonts w:ascii="Arial" w:cs="Arial" w:eastAsia="Arial" w:hAnsi="Arial"/>
          <w:sz w:val="16"/>
          <w:szCs w:val="16"/>
          <w:color w:val="202E39"/>
        </w:rPr>
        <w:t>subject to vesting conditions unless and until such conditions are met.</w:t>
      </w:r>
    </w:p>
    <w:p>
      <w:pPr>
        <w:spacing w:after="0" w:line="21" w:lineRule="exact"/>
        <w:rPr>
          <w:rFonts w:ascii="Arial" w:cs="Arial" w:eastAsia="Arial" w:hAnsi="Arial"/>
          <w:sz w:val="16"/>
          <w:szCs w:val="16"/>
          <w:color w:val="009FE3"/>
        </w:rPr>
      </w:pPr>
    </w:p>
    <w:p>
      <w:pPr>
        <w:ind w:left="780" w:hanging="203"/>
        <w:spacing w:after="0" w:line="245" w:lineRule="auto"/>
        <w:tabs>
          <w:tab w:leader="none" w:pos="780" w:val="left"/>
        </w:tabs>
        <w:numPr>
          <w:ilvl w:val="0"/>
          <w:numId w:val="22"/>
        </w:numPr>
        <w:rPr>
          <w:rFonts w:ascii="Arial" w:cs="Arial" w:eastAsia="Arial" w:hAnsi="Arial"/>
          <w:sz w:val="16"/>
          <w:szCs w:val="16"/>
          <w:color w:val="009FE3"/>
        </w:rPr>
      </w:pPr>
      <w:r>
        <w:rPr>
          <w:rFonts w:ascii="Arial" w:cs="Arial" w:eastAsia="Arial" w:hAnsi="Arial"/>
          <w:sz w:val="16"/>
          <w:szCs w:val="16"/>
          <w:i w:val="1"/>
          <w:iCs w:val="1"/>
          <w:color w:val="202E39"/>
        </w:rPr>
        <w:t>CEO Stock Holding Policy</w:t>
      </w:r>
      <w:r>
        <w:rPr>
          <w:rFonts w:ascii="Arial" w:cs="Arial" w:eastAsia="Arial" w:hAnsi="Arial"/>
          <w:sz w:val="16"/>
          <w:szCs w:val="16"/>
          <w:color w:val="202E39"/>
        </w:rPr>
        <w:t>. Our CEO Stock Holding Policy requires our Chief Executive Officer to hold 100% of net shares (</w:t>
      </w:r>
      <w:r>
        <w:rPr>
          <w:rFonts w:ascii="Arial" w:cs="Arial" w:eastAsia="Arial" w:hAnsi="Arial"/>
          <w:sz w:val="16"/>
          <w:szCs w:val="16"/>
          <w:i w:val="1"/>
          <w:iCs w:val="1"/>
          <w:color w:val="202E39"/>
        </w:rPr>
        <w:t>i.e.</w:t>
      </w:r>
      <w:r>
        <w:rPr>
          <w:rFonts w:ascii="Arial" w:cs="Arial" w:eastAsia="Arial" w:hAnsi="Arial"/>
          <w:sz w:val="16"/>
          <w:szCs w:val="16"/>
          <w:color w:val="202E39"/>
        </w:rPr>
        <w:t>, shares remaining</w:t>
      </w:r>
      <w:r>
        <w:rPr>
          <w:rFonts w:ascii="Arial" w:cs="Arial" w:eastAsia="Arial" w:hAnsi="Arial"/>
          <w:sz w:val="16"/>
          <w:szCs w:val="16"/>
          <w:i w:val="1"/>
          <w:iCs w:val="1"/>
          <w:color w:val="202E39"/>
        </w:rPr>
        <w:t xml:space="preserve"> </w:t>
      </w:r>
      <w:r>
        <w:rPr>
          <w:rFonts w:ascii="Arial" w:cs="Arial" w:eastAsia="Arial" w:hAnsi="Arial"/>
          <w:sz w:val="16"/>
          <w:szCs w:val="16"/>
          <w:color w:val="202E39"/>
        </w:rPr>
        <w:t>after shares are sold, tendered or withheld to pay the exercise price or settle tax liabilities in connection with such exercise, vesting or settlement) of our common stock acquired pursuant to the exercise, vesting or settlement of equity awards (including stock options and RSUs) until the earlier of twelve months following the issuance of such shares upon the exercise, vesting or settlement of such awards or the Chief Executive Officer’s termination of employment. This holding requirement further aligns the interests of our Chief Executive Officer with the interests of the stockholders and continues the at-risk nature of the compensation program for the duration of the holding period.</w:t>
      </w:r>
    </w:p>
    <w:p>
      <w:pPr>
        <w:spacing w:after="0" w:line="42" w:lineRule="exact"/>
        <w:rPr>
          <w:rFonts w:ascii="Arial" w:cs="Arial" w:eastAsia="Arial" w:hAnsi="Arial"/>
          <w:sz w:val="16"/>
          <w:szCs w:val="16"/>
          <w:color w:val="009FE3"/>
        </w:rPr>
      </w:pPr>
    </w:p>
    <w:p>
      <w:pPr>
        <w:ind w:left="780" w:right="140" w:hanging="203"/>
        <w:spacing w:after="0" w:line="249" w:lineRule="auto"/>
        <w:tabs>
          <w:tab w:leader="none" w:pos="780" w:val="left"/>
        </w:tabs>
        <w:numPr>
          <w:ilvl w:val="0"/>
          <w:numId w:val="22"/>
        </w:numPr>
        <w:rPr>
          <w:rFonts w:ascii="Arial" w:cs="Arial" w:eastAsia="Arial" w:hAnsi="Arial"/>
          <w:sz w:val="16"/>
          <w:szCs w:val="16"/>
          <w:color w:val="009FE3"/>
        </w:rPr>
      </w:pPr>
      <w:r>
        <w:rPr>
          <w:rFonts w:ascii="Arial" w:cs="Arial" w:eastAsia="Arial" w:hAnsi="Arial"/>
          <w:sz w:val="16"/>
          <w:szCs w:val="16"/>
          <w:i w:val="1"/>
          <w:iCs w:val="1"/>
          <w:color w:val="202E39"/>
        </w:rPr>
        <w:t xml:space="preserve">Clawback. </w:t>
      </w:r>
      <w:r>
        <w:rPr>
          <w:rFonts w:ascii="Arial" w:cs="Arial" w:eastAsia="Arial" w:hAnsi="Arial"/>
          <w:sz w:val="16"/>
          <w:szCs w:val="16"/>
          <w:color w:val="202E39"/>
        </w:rPr>
        <w:t>All awards granted under the Restated Equity Plan will be subject to recoupment in accordance with our existing clawback policy</w:t>
      </w:r>
      <w:r>
        <w:rPr>
          <w:rFonts w:ascii="Arial" w:cs="Arial" w:eastAsia="Arial" w:hAnsi="Arial"/>
          <w:sz w:val="16"/>
          <w:szCs w:val="16"/>
          <w:i w:val="1"/>
          <w:iCs w:val="1"/>
          <w:color w:val="202E39"/>
        </w:rPr>
        <w:t xml:space="preserve"> </w:t>
      </w:r>
      <w:r>
        <w:rPr>
          <w:rFonts w:ascii="Arial" w:cs="Arial" w:eastAsia="Arial" w:hAnsi="Arial"/>
          <w:sz w:val="16"/>
          <w:szCs w:val="16"/>
          <w:color w:val="202E39"/>
        </w:rPr>
        <w:t>(which covers both time-based and performance-based awards as described further below under “Compensation Discussion and Analysis”) and any clawback policy we may be required to adopt pursuant to applicable law and listing requirements, including as required by Rule 10-D under the Securities Exchange Act of 1934, as amended, and the corresponding rules to be adopted by the Nasdaq Stock Market.</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009FE3"/>
        </w:rPr>
        <w:t>Stockholder Approval Requirement</w:t>
      </w:r>
      <w:r>
        <w:rPr>
          <w:rFonts w:ascii="Arial" w:cs="Arial" w:eastAsia="Arial" w:hAnsi="Arial"/>
          <w:sz w:val="16"/>
          <w:szCs w:val="16"/>
          <w:color w:val="009FE3"/>
        </w:rPr>
        <w:t>.</w:t>
      </w:r>
      <w:r>
        <w:rPr>
          <w:rFonts w:ascii="Arial" w:cs="Arial" w:eastAsia="Arial" w:hAnsi="Arial"/>
          <w:sz w:val="16"/>
          <w:szCs w:val="16"/>
          <w:color w:val="202E39"/>
        </w:rPr>
        <w:t xml:space="preserve">   In general, stockholder approval of the Restated Equity Plan will implement the foregoing changes while</w:t>
      </w:r>
    </w:p>
    <w:p>
      <w:pPr>
        <w:spacing w:after="0" w:line="14" w:lineRule="exact"/>
        <w:rPr>
          <w:sz w:val="20"/>
          <w:szCs w:val="20"/>
          <w:color w:val="auto"/>
        </w:rPr>
      </w:pPr>
    </w:p>
    <w:p>
      <w:pPr>
        <w:ind w:left="260" w:right="20" w:firstLine="1"/>
        <w:spacing w:after="0" w:line="251" w:lineRule="auto"/>
        <w:tabs>
          <w:tab w:leader="none" w:pos="497" w:val="left"/>
        </w:tabs>
        <w:numPr>
          <w:ilvl w:val="0"/>
          <w:numId w:val="23"/>
        </w:numPr>
        <w:rPr>
          <w:rFonts w:ascii="Arial" w:cs="Arial" w:eastAsia="Arial" w:hAnsi="Arial"/>
          <w:sz w:val="16"/>
          <w:szCs w:val="16"/>
          <w:color w:val="202E39"/>
        </w:rPr>
      </w:pPr>
      <w:r>
        <w:rPr>
          <w:rFonts w:ascii="Arial" w:cs="Arial" w:eastAsia="Arial" w:hAnsi="Arial"/>
          <w:sz w:val="16"/>
          <w:szCs w:val="16"/>
          <w:color w:val="202E39"/>
        </w:rPr>
        <w:t>complying with the terms of the Equity Plan regarding amendments, (2) meeting the stockholder approval requirements of Nasdaq, and (3) preserving our ability to grant stock options under the Restated Equity Plan that are intended to qualify as ISOs.</w:t>
      </w:r>
    </w:p>
    <w:p>
      <w:pPr>
        <w:spacing w:after="0" w:line="74"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If this Proposal 4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Summary of the Restated Equity Plan</w:t>
      </w:r>
    </w:p>
    <w:p>
      <w:pPr>
        <w:spacing w:after="0" w:line="108" w:lineRule="exact"/>
        <w:rPr>
          <w:sz w:val="20"/>
          <w:szCs w:val="20"/>
          <w:color w:val="auto"/>
        </w:rPr>
      </w:pPr>
    </w:p>
    <w:p>
      <w:pPr>
        <w:ind w:left="260" w:right="80"/>
        <w:spacing w:after="0" w:line="269" w:lineRule="auto"/>
        <w:rPr>
          <w:sz w:val="20"/>
          <w:szCs w:val="20"/>
          <w:color w:val="auto"/>
        </w:rPr>
      </w:pPr>
      <w:r>
        <w:rPr>
          <w:rFonts w:ascii="Arial" w:cs="Arial" w:eastAsia="Arial" w:hAnsi="Arial"/>
          <w:sz w:val="16"/>
          <w:szCs w:val="16"/>
          <w:color w:val="202E39"/>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6"/>
          <w:szCs w:val="16"/>
          <w:i w:val="1"/>
          <w:iCs w:val="1"/>
          <w:color w:val="202E39"/>
        </w:rPr>
        <w:t>Appendix A</w:t>
      </w:r>
      <w:r>
        <w:rPr>
          <w:rFonts w:ascii="Arial" w:cs="Arial" w:eastAsia="Arial" w:hAnsi="Arial"/>
          <w:sz w:val="16"/>
          <w:szCs w:val="16"/>
          <w:color w:val="202E39"/>
        </w:rPr>
        <w:t xml:space="preserve"> to this proxy statement.</w:t>
      </w:r>
    </w:p>
    <w:p>
      <w:pPr>
        <w:spacing w:after="0" w:line="61" w:lineRule="exact"/>
        <w:rPr>
          <w:sz w:val="20"/>
          <w:szCs w:val="20"/>
          <w:color w:val="auto"/>
        </w:rPr>
      </w:pPr>
    </w:p>
    <w:p>
      <w:pPr>
        <w:ind w:left="260" w:right="180"/>
        <w:spacing w:after="0" w:line="262" w:lineRule="auto"/>
        <w:rPr>
          <w:sz w:val="20"/>
          <w:szCs w:val="20"/>
          <w:color w:val="auto"/>
        </w:rPr>
      </w:pPr>
      <w:r>
        <w:rPr>
          <w:rFonts w:ascii="Arial" w:cs="Arial" w:eastAsia="Arial" w:hAnsi="Arial"/>
          <w:sz w:val="15"/>
          <w:szCs w:val="15"/>
          <w:i w:val="1"/>
          <w:iCs w:val="1"/>
          <w:color w:val="009FE3"/>
        </w:rPr>
        <w:t>General Nature and Purpose.</w:t>
      </w:r>
      <w:r>
        <w:rPr>
          <w:rFonts w:ascii="Arial" w:cs="Arial" w:eastAsia="Arial" w:hAnsi="Arial"/>
          <w:sz w:val="15"/>
          <w:szCs w:val="15"/>
          <w:color w:val="202E39"/>
        </w:rPr>
        <w:t xml:space="preserve">  The Restated Equity Plan was adopted (1) to further our growth, development and financial success by providing</w:t>
      </w:r>
      <w:r>
        <w:rPr>
          <w:rFonts w:ascii="Arial" w:cs="Arial" w:eastAsia="Arial" w:hAnsi="Arial"/>
          <w:sz w:val="15"/>
          <w:szCs w:val="15"/>
          <w:i w:val="1"/>
          <w:iCs w:val="1"/>
          <w:color w:val="009FE3"/>
        </w:rPr>
        <w:t xml:space="preserve"> </w:t>
      </w:r>
      <w:r>
        <w:rPr>
          <w:rFonts w:ascii="Arial" w:cs="Arial" w:eastAsia="Arial" w:hAnsi="Arial"/>
          <w:sz w:val="15"/>
          <w:szCs w:val="15"/>
          <w:color w:val="202E39"/>
        </w:rPr>
        <w:t>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w:t>
      </w:r>
    </w:p>
    <w:p>
      <w:pPr>
        <w:spacing w:after="0" w:line="1" w:lineRule="exact"/>
        <w:rPr>
          <w:sz w:val="20"/>
          <w:szCs w:val="20"/>
          <w:color w:val="auto"/>
        </w:rPr>
      </w:pPr>
    </w:p>
    <w:p>
      <w:pPr>
        <w:ind w:left="260" w:firstLine="1"/>
        <w:spacing w:after="0" w:line="251" w:lineRule="auto"/>
        <w:tabs>
          <w:tab w:leader="none" w:pos="497" w:val="left"/>
        </w:tabs>
        <w:numPr>
          <w:ilvl w:val="0"/>
          <w:numId w:val="24"/>
        </w:numPr>
        <w:rPr>
          <w:rFonts w:ascii="Arial" w:cs="Arial" w:eastAsia="Arial" w:hAnsi="Arial"/>
          <w:sz w:val="16"/>
          <w:szCs w:val="16"/>
          <w:color w:val="202E39"/>
        </w:rPr>
      </w:pPr>
      <w:r>
        <w:rPr>
          <w:rFonts w:ascii="Arial" w:cs="Arial" w:eastAsia="Arial" w:hAnsi="Arial"/>
          <w:sz w:val="16"/>
          <w:szCs w:val="16"/>
          <w:color w:val="202E39"/>
        </w:rPr>
        <w:t>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80010</wp:posOffset>
            </wp:positionV>
            <wp:extent cx="425450" cy="150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24       </w:t>
      </w:r>
    </w:p>
    <w:p>
      <w:pPr>
        <w:sectPr>
          <w:pgSz w:w="11900" w:h="16838" w:orient="portrait"/>
          <w:cols w:equalWidth="0" w:num="1">
            <w:col w:w="10940"/>
          </w:cols>
          <w:pgMar w:left="320" w:top="474"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3"/>
          <w:szCs w:val="13"/>
          <w:color w:val="009FE3"/>
        </w:rPr>
        <w:t>PROPOSAL 4:</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Amendment and Restatement of the 1996 Equity Participation Plan</w:t>
      </w:r>
    </w:p>
    <w:p>
      <w:pPr>
        <w:spacing w:after="0" w:line="150"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73" w:lineRule="exact"/>
        <w:rPr>
          <w:sz w:val="20"/>
          <w:szCs w:val="20"/>
          <w:color w:val="auto"/>
        </w:rPr>
      </w:pPr>
    </w:p>
    <w:p>
      <w:pPr>
        <w:ind w:left="260" w:right="280"/>
        <w:spacing w:after="0" w:line="249" w:lineRule="auto"/>
        <w:rPr>
          <w:sz w:val="20"/>
          <w:szCs w:val="20"/>
          <w:color w:val="auto"/>
        </w:rPr>
      </w:pPr>
      <w:r>
        <w:rPr>
          <w:rFonts w:ascii="Arial" w:cs="Arial" w:eastAsia="Arial" w:hAnsi="Arial"/>
          <w:sz w:val="16"/>
          <w:szCs w:val="16"/>
          <w:i w:val="1"/>
          <w:iCs w:val="1"/>
          <w:color w:val="009FE3"/>
        </w:rPr>
        <w:t>Administration.</w:t>
      </w:r>
      <w:r>
        <w:rPr>
          <w:rFonts w:ascii="Arial" w:cs="Arial" w:eastAsia="Arial" w:hAnsi="Arial"/>
          <w:sz w:val="16"/>
          <w:szCs w:val="16"/>
          <w:color w:val="202E39"/>
        </w:rPr>
        <w:t xml:space="preserve">  The Compensation and Human Resources Committee of the Board will administer the Restated Equity Plan. The full Board will</w:t>
      </w:r>
      <w:r>
        <w:rPr>
          <w:rFonts w:ascii="Arial" w:cs="Arial" w:eastAsia="Arial" w:hAnsi="Arial"/>
          <w:sz w:val="16"/>
          <w:szCs w:val="16"/>
          <w:i w:val="1"/>
          <w:iCs w:val="1"/>
          <w:color w:val="009FE3"/>
        </w:rPr>
        <w:t xml:space="preserve"> </w:t>
      </w:r>
      <w:r>
        <w:rPr>
          <w:rFonts w:ascii="Arial" w:cs="Arial" w:eastAsia="Arial" w:hAnsi="Arial"/>
          <w:sz w:val="16"/>
          <w:szCs w:val="16"/>
          <w:color w:val="202E39"/>
        </w:rPr>
        <w:t>administer the Restated Equity Plan with respect to awards to non-employee directors. The Compensation and Human Resources Committee and the Board,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78" w:lineRule="exact"/>
        <w:rPr>
          <w:sz w:val="20"/>
          <w:szCs w:val="20"/>
          <w:color w:val="auto"/>
        </w:rPr>
      </w:pPr>
    </w:p>
    <w:p>
      <w:pPr>
        <w:ind w:left="260" w:right="60"/>
        <w:spacing w:after="0" w:line="254" w:lineRule="auto"/>
        <w:rPr>
          <w:sz w:val="20"/>
          <w:szCs w:val="20"/>
          <w:color w:val="auto"/>
        </w:rPr>
      </w:pPr>
      <w:r>
        <w:rPr>
          <w:rFonts w:ascii="Arial" w:cs="Arial" w:eastAsia="Arial" w:hAnsi="Arial"/>
          <w:sz w:val="16"/>
          <w:szCs w:val="16"/>
          <w:i w:val="1"/>
          <w:iCs w:val="1"/>
          <w:color w:val="009FE3"/>
        </w:rPr>
        <w:t>Shares Subject to Restated Equity Plan.</w:t>
      </w:r>
      <w:r>
        <w:rPr>
          <w:rFonts w:ascii="Arial" w:cs="Arial" w:eastAsia="Arial" w:hAnsi="Arial"/>
          <w:sz w:val="16"/>
          <w:szCs w:val="16"/>
          <w:color w:val="202E39"/>
        </w:rPr>
        <w:t xml:space="preserve">  If this Proposal 4 is approved, the Restated Equity Plan will provide for the issuance of an additional 3,430,000</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shares of our common stock over the existing share reserve under the Equity Plan. Accordingly, when the new share request is added to the shares previously authorized under the Equity Plan, the Restated Equity Plan will authorize the issuance of the sum of:</w:t>
      </w:r>
    </w:p>
    <w:p>
      <w:pPr>
        <w:spacing w:after="0" w:line="86" w:lineRule="exact"/>
        <w:rPr>
          <w:sz w:val="20"/>
          <w:szCs w:val="20"/>
          <w:color w:val="auto"/>
        </w:rPr>
      </w:pPr>
    </w:p>
    <w:p>
      <w:pPr>
        <w:ind w:left="780" w:hanging="203"/>
        <w:spacing w:after="0"/>
        <w:tabs>
          <w:tab w:leader="none" w:pos="780" w:val="left"/>
        </w:tabs>
        <w:numPr>
          <w:ilvl w:val="0"/>
          <w:numId w:val="25"/>
        </w:numPr>
        <w:rPr>
          <w:rFonts w:ascii="Arial" w:cs="Arial" w:eastAsia="Arial" w:hAnsi="Arial"/>
          <w:sz w:val="16"/>
          <w:szCs w:val="16"/>
          <w:color w:val="009FE3"/>
        </w:rPr>
      </w:pPr>
      <w:r>
        <w:rPr>
          <w:rFonts w:ascii="Arial" w:cs="Arial" w:eastAsia="Arial" w:hAnsi="Arial"/>
          <w:sz w:val="16"/>
          <w:szCs w:val="16"/>
          <w:color w:val="202E39"/>
        </w:rPr>
        <w:t>59,401,000 shares; plus</w:t>
      </w:r>
    </w:p>
    <w:p>
      <w:pPr>
        <w:spacing w:after="0" w:line="65" w:lineRule="exact"/>
        <w:rPr>
          <w:rFonts w:ascii="Arial" w:cs="Arial" w:eastAsia="Arial" w:hAnsi="Arial"/>
          <w:sz w:val="16"/>
          <w:szCs w:val="16"/>
          <w:color w:val="009FE3"/>
        </w:rPr>
      </w:pPr>
    </w:p>
    <w:p>
      <w:pPr>
        <w:ind w:left="780" w:right="40" w:hanging="203"/>
        <w:spacing w:after="0" w:line="245" w:lineRule="auto"/>
        <w:tabs>
          <w:tab w:leader="none" w:pos="780" w:val="left"/>
        </w:tabs>
        <w:numPr>
          <w:ilvl w:val="0"/>
          <w:numId w:val="25"/>
        </w:numPr>
        <w:rPr>
          <w:rFonts w:ascii="Arial" w:cs="Arial" w:eastAsia="Arial" w:hAnsi="Arial"/>
          <w:sz w:val="16"/>
          <w:szCs w:val="16"/>
          <w:color w:val="009FE3"/>
        </w:rPr>
      </w:pPr>
      <w:r>
        <w:rPr>
          <w:rFonts w:ascii="Arial" w:cs="Arial" w:eastAsia="Arial" w:hAnsi="Arial"/>
          <w:sz w:val="16"/>
          <w:szCs w:val="16"/>
          <w:color w:val="202E39"/>
        </w:rPr>
        <w:t>any shares that were subject to awards granted out of the RigNet Share Reserve between the closing of the RigNet acquisition on April 30, 2021 and June 8, 2022 (the RigNet Share Reserve Awards) that are recycled back into the Restated Equity Plan in accordance with its terms will be added back to the share reserve of the Restated Equity Plan, as discussed below. As of July 1, 2024, RigNet Share Reserve Awards with respect to a total of 30,525 shares that were granted out of the RigNet Share Reserve under the Equity Plan on or after April 30, 2021, the closing date of our acquisition of RigNet, but prior to June 8, 2022 remained outstanding under the Equity Plan and may become available for issuance under the Restated Equity Plan in this manner in the future.</w:t>
      </w:r>
    </w:p>
    <w:p>
      <w:pPr>
        <w:spacing w:after="0" w:line="82" w:lineRule="exact"/>
        <w:rPr>
          <w:sz w:val="20"/>
          <w:szCs w:val="20"/>
          <w:color w:val="auto"/>
        </w:rPr>
      </w:pPr>
    </w:p>
    <w:p>
      <w:pPr>
        <w:ind w:left="260" w:right="120"/>
        <w:spacing w:after="0" w:line="247" w:lineRule="auto"/>
        <w:rPr>
          <w:sz w:val="20"/>
          <w:szCs w:val="20"/>
          <w:color w:val="auto"/>
        </w:rPr>
      </w:pPr>
      <w:r>
        <w:rPr>
          <w:rFonts w:ascii="Arial" w:cs="Arial" w:eastAsia="Arial" w:hAnsi="Arial"/>
          <w:sz w:val="16"/>
          <w:szCs w:val="16"/>
          <w:color w:val="202E39"/>
        </w:rPr>
        <w:t>Under the terms of the Restated Equity Plan, the shares available for issuance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The payment of dividend equivalents in cash in conjunction with any outstanding awards will not be counted against the shares available for issuance under the Restated Equity Plan.</w:t>
      </w:r>
    </w:p>
    <w:p>
      <w:pPr>
        <w:spacing w:after="0" w:line="78" w:lineRule="exact"/>
        <w:rPr>
          <w:sz w:val="20"/>
          <w:szCs w:val="20"/>
          <w:color w:val="auto"/>
        </w:rPr>
      </w:pPr>
    </w:p>
    <w:p>
      <w:pPr>
        <w:ind w:left="260" w:right="120"/>
        <w:spacing w:after="0" w:line="245" w:lineRule="auto"/>
        <w:rPr>
          <w:sz w:val="20"/>
          <w:szCs w:val="20"/>
          <w:color w:val="auto"/>
        </w:rPr>
      </w:pPr>
      <w:r>
        <w:rPr>
          <w:rFonts w:ascii="Arial" w:cs="Arial" w:eastAsia="Arial" w:hAnsi="Arial"/>
          <w:sz w:val="16"/>
          <w:szCs w:val="16"/>
          <w:color w:val="202E39"/>
        </w:rPr>
        <w:t>If (1) any award under the Restated Equity Plan (including any RigNet Share Reserve Award) expires or is cancelled without having been fully exercised or paid or such award is settled for cash, (2) 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 (or, in the case of a RigNet Share Reserve Award that was a full value award, two (2) shares for each share subject to such award).</w:t>
      </w:r>
    </w:p>
    <w:p>
      <w:pPr>
        <w:spacing w:after="0" w:line="82" w:lineRule="exact"/>
        <w:rPr>
          <w:sz w:val="20"/>
          <w:szCs w:val="20"/>
          <w:color w:val="auto"/>
        </w:rPr>
      </w:pPr>
    </w:p>
    <w:p>
      <w:pPr>
        <w:ind w:left="260"/>
        <w:spacing w:after="0" w:line="262" w:lineRule="auto"/>
        <w:rPr>
          <w:sz w:val="20"/>
          <w:szCs w:val="20"/>
          <w:color w:val="auto"/>
        </w:rPr>
      </w:pPr>
      <w:r>
        <w:rPr>
          <w:rFonts w:ascii="Arial" w:cs="Arial" w:eastAsia="Arial" w:hAnsi="Arial"/>
          <w:sz w:val="15"/>
          <w:szCs w:val="15"/>
          <w:color w:val="202E39"/>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w:t>
      </w:r>
    </w:p>
    <w:p>
      <w:pPr>
        <w:spacing w:after="0" w:line="1" w:lineRule="exact"/>
        <w:rPr>
          <w:sz w:val="20"/>
          <w:szCs w:val="20"/>
          <w:color w:val="auto"/>
        </w:rPr>
      </w:pPr>
    </w:p>
    <w:p>
      <w:pPr>
        <w:ind w:left="260" w:right="60" w:firstLine="1"/>
        <w:spacing w:after="0" w:line="245" w:lineRule="auto"/>
        <w:tabs>
          <w:tab w:leader="none" w:pos="497" w:val="left"/>
        </w:tabs>
        <w:numPr>
          <w:ilvl w:val="0"/>
          <w:numId w:val="26"/>
        </w:numPr>
        <w:rPr>
          <w:rFonts w:ascii="Arial" w:cs="Arial" w:eastAsia="Arial" w:hAnsi="Arial"/>
          <w:sz w:val="16"/>
          <w:szCs w:val="16"/>
          <w:color w:val="202E39"/>
        </w:rPr>
      </w:pPr>
      <w:r>
        <w:rPr>
          <w:rFonts w:ascii="Arial" w:cs="Arial" w:eastAsia="Arial" w:hAnsi="Arial"/>
          <w:sz w:val="16"/>
          <w:szCs w:val="16"/>
          <w:color w:val="202E39"/>
        </w:rPr>
        <w:t>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w:t>
      </w:r>
    </w:p>
    <w:p>
      <w:pPr>
        <w:spacing w:after="0" w:line="80"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color w:val="202E39"/>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81" w:lineRule="exact"/>
        <w:rPr>
          <w:sz w:val="20"/>
          <w:szCs w:val="20"/>
          <w:color w:val="auto"/>
        </w:rPr>
      </w:pPr>
    </w:p>
    <w:p>
      <w:pPr>
        <w:ind w:left="260" w:right="60"/>
        <w:spacing w:after="0" w:line="249" w:lineRule="auto"/>
        <w:rPr>
          <w:sz w:val="20"/>
          <w:szCs w:val="20"/>
          <w:color w:val="auto"/>
        </w:rPr>
      </w:pPr>
      <w:r>
        <w:rPr>
          <w:rFonts w:ascii="Arial" w:cs="Arial" w:eastAsia="Arial" w:hAnsi="Arial"/>
          <w:sz w:val="16"/>
          <w:szCs w:val="16"/>
          <w:color w:val="202E39"/>
        </w:rPr>
        <w:t>Under the Restated Equity Plan, not more than 2,000,000 shares may be subject to options or stock appreciation rights granted to any one individual per fiscal year. The Restated Equity Plan also has an individual award limit of 1,200,000 shares per fiscal year for grants of restricted stock, performance awards, dividend equivalents, restricted stock units and stock payments. In addition, the maximum aggregate amount of cash that may be paid in cash to any one person during any fiscal year with respect to one or more awards initially payable in cash shall be $10,000,000.</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25</w:t>
      </w:r>
    </w:p>
    <w:p>
      <w:pPr>
        <w:sectPr>
          <w:pgSz w:w="11900" w:h="16838" w:orient="portrait"/>
          <w:cols w:equalWidth="0" w:num="1">
            <w:col w:w="10980"/>
          </w:cols>
          <w:pgMar w:left="320" w:top="474" w:right="5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Amendment and Restatement of the 1996 Equity Participation Plan</w:t>
      </w:r>
    </w:p>
    <w:p>
      <w:pPr>
        <w:spacing w:after="0" w:line="139" w:lineRule="exact"/>
        <w:rPr>
          <w:sz w:val="20"/>
          <w:szCs w:val="20"/>
          <w:color w:val="auto"/>
        </w:rPr>
      </w:pPr>
    </w:p>
    <w:p>
      <w:pPr>
        <w:ind w:left="260"/>
        <w:spacing w:after="0" w:line="247" w:lineRule="auto"/>
        <w:rPr>
          <w:sz w:val="20"/>
          <w:szCs w:val="20"/>
          <w:color w:val="auto"/>
        </w:rPr>
      </w:pPr>
      <w:r>
        <w:rPr>
          <w:rFonts w:ascii="Arial" w:cs="Arial" w:eastAsia="Arial" w:hAnsi="Arial"/>
          <w:sz w:val="16"/>
          <w:szCs w:val="16"/>
          <w:i w:val="1"/>
          <w:iCs w:val="1"/>
          <w:color w:val="009FE3"/>
        </w:rPr>
        <w:t>Eligibility.</w:t>
      </w:r>
      <w:r>
        <w:rPr>
          <w:rFonts w:ascii="Arial" w:cs="Arial" w:eastAsia="Arial" w:hAnsi="Arial"/>
          <w:sz w:val="16"/>
          <w:szCs w:val="16"/>
          <w:color w:val="202E39"/>
        </w:rPr>
        <w:t xml:space="preserve">  Any employee, consultant or non-employee director selected by the plan administrator is eligible to receive equity awards under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Equity Plan. The plan administrator, in its absolute discretion, will determine (1) among the eligible participants the individuals to whom awards are to be granted, (2) the number of shares to be granted, and (3) the terms and conditions of the awards. As of July 1, 2024, outstanding equity awards have been issued to approximately 3,500 of our approximately 7,400 employees, to none of our approximately 990 consultants, and to all eight of our non-employee directors under the Equity Plan.</w:t>
      </w:r>
    </w:p>
    <w:p>
      <w:pPr>
        <w:spacing w:after="0" w:line="78" w:lineRule="exact"/>
        <w:rPr>
          <w:sz w:val="20"/>
          <w:szCs w:val="20"/>
          <w:color w:val="auto"/>
        </w:rPr>
      </w:pPr>
    </w:p>
    <w:p>
      <w:pPr>
        <w:ind w:left="260"/>
        <w:spacing w:after="0" w:line="247" w:lineRule="auto"/>
        <w:rPr>
          <w:sz w:val="20"/>
          <w:szCs w:val="20"/>
          <w:color w:val="auto"/>
        </w:rPr>
      </w:pPr>
      <w:r>
        <w:rPr>
          <w:rFonts w:ascii="Arial" w:cs="Arial" w:eastAsia="Arial" w:hAnsi="Arial"/>
          <w:sz w:val="16"/>
          <w:szCs w:val="16"/>
          <w:i w:val="1"/>
          <w:iCs w:val="1"/>
          <w:color w:val="009FE3"/>
        </w:rPr>
        <w:t>Purchase Price of Optioned Shares.</w:t>
      </w:r>
      <w:r>
        <w:rPr>
          <w:rFonts w:ascii="Arial" w:cs="Arial" w:eastAsia="Arial" w:hAnsi="Arial"/>
          <w:sz w:val="16"/>
          <w:szCs w:val="16"/>
          <w:color w:val="202E39"/>
        </w:rPr>
        <w:t xml:space="preserve">  The price per share of the shares subject to each option is set by the plan administrator. However, the price per</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July 1, 2024, the closing price of Viasat common stock on the Nasdaq Global Select Market was $12.58 per share.</w:t>
      </w:r>
    </w:p>
    <w:p>
      <w:pPr>
        <w:spacing w:after="0" w:line="78"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i w:val="1"/>
          <w:iCs w:val="1"/>
          <w:color w:val="009FE3"/>
        </w:rPr>
        <w:t>Terms of Options.</w:t>
      </w:r>
      <w:r>
        <w:rPr>
          <w:rFonts w:ascii="Arial" w:cs="Arial" w:eastAsia="Arial" w:hAnsi="Arial"/>
          <w:sz w:val="16"/>
          <w:szCs w:val="16"/>
          <w:color w:val="202E39"/>
        </w:rPr>
        <w:t xml:space="preserve">  The term of an option is set by the plan administrator in its discretion. However, the term of an option cannot exceed six years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 the case of incentive stock options granted to an individual then owning more than 10% of the total combined voting power of all classes of stock of Viasat, the term may not exceed five years.</w:t>
      </w:r>
    </w:p>
    <w:p>
      <w:pPr>
        <w:spacing w:after="0" w:line="73" w:lineRule="exact"/>
        <w:rPr>
          <w:sz w:val="20"/>
          <w:szCs w:val="20"/>
          <w:color w:val="auto"/>
        </w:rPr>
      </w:pPr>
    </w:p>
    <w:p>
      <w:pPr>
        <w:jc w:val="both"/>
        <w:ind w:left="260" w:right="520"/>
        <w:spacing w:after="0" w:line="254" w:lineRule="auto"/>
        <w:rPr>
          <w:sz w:val="20"/>
          <w:szCs w:val="20"/>
          <w:color w:val="auto"/>
        </w:rPr>
      </w:pPr>
      <w:r>
        <w:rPr>
          <w:rFonts w:ascii="Arial" w:cs="Arial" w:eastAsia="Arial" w:hAnsi="Arial"/>
          <w:sz w:val="16"/>
          <w:szCs w:val="16"/>
          <w:i w:val="1"/>
          <w:iCs w:val="1"/>
          <w:color w:val="009FE3"/>
        </w:rPr>
        <w:t>Exercise of Options.</w:t>
      </w:r>
      <w:r>
        <w:rPr>
          <w:rFonts w:ascii="Arial" w:cs="Arial" w:eastAsia="Arial" w:hAnsi="Arial"/>
          <w:sz w:val="16"/>
          <w:szCs w:val="16"/>
          <w:color w:val="202E39"/>
        </w:rPr>
        <w:t xml:space="preserve">  Upon the exercise of an option under the Restated Equity Plan, the optionee must make full cash payment to the Corporate</w:t>
      </w:r>
      <w:r>
        <w:rPr>
          <w:rFonts w:ascii="Arial" w:cs="Arial" w:eastAsia="Arial" w:hAnsi="Arial"/>
          <w:sz w:val="16"/>
          <w:szCs w:val="16"/>
          <w:i w:val="1"/>
          <w:iCs w:val="1"/>
          <w:color w:val="009FE3"/>
        </w:rPr>
        <w:t xml:space="preserve"> </w:t>
      </w:r>
      <w:r>
        <w:rPr>
          <w:rFonts w:ascii="Arial" w:cs="Arial" w:eastAsia="Arial" w:hAnsi="Arial"/>
          <w:sz w:val="16"/>
          <w:szCs w:val="16"/>
          <w:color w:val="202E39"/>
        </w:rPr>
        <w:t>Secretary of Viasat for the shares with respect to which the option, or portion of the option, is exercised. However, the plan administrator may in its discretion allow various forms of payment, which are described in the Restated Equity Plan.</w:t>
      </w:r>
    </w:p>
    <w:p>
      <w:pPr>
        <w:spacing w:after="0" w:line="73" w:lineRule="exact"/>
        <w:rPr>
          <w:sz w:val="20"/>
          <w:szCs w:val="20"/>
          <w:color w:val="auto"/>
        </w:rPr>
      </w:pPr>
    </w:p>
    <w:p>
      <w:pPr>
        <w:ind w:left="260" w:right="60"/>
        <w:spacing w:after="0" w:line="245" w:lineRule="auto"/>
        <w:rPr>
          <w:sz w:val="20"/>
          <w:szCs w:val="20"/>
          <w:color w:val="auto"/>
        </w:rPr>
      </w:pPr>
      <w:r>
        <w:rPr>
          <w:rFonts w:ascii="Arial" w:cs="Arial" w:eastAsia="Arial" w:hAnsi="Arial"/>
          <w:sz w:val="16"/>
          <w:szCs w:val="16"/>
          <w:i w:val="1"/>
          <w:iCs w:val="1"/>
          <w:color w:val="009FE3"/>
        </w:rPr>
        <w:t>Other Stock Awards.</w:t>
      </w:r>
      <w:r>
        <w:rPr>
          <w:rFonts w:ascii="Arial" w:cs="Arial" w:eastAsia="Arial" w:hAnsi="Arial"/>
          <w:sz w:val="16"/>
          <w:szCs w:val="16"/>
          <w:color w:val="202E39"/>
        </w:rPr>
        <w:t xml:space="preserve">  The Restated Equity Plan allows for various other awards including restricted stock, performance awards, dividend equivalents,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w:t>
      </w:r>
    </w:p>
    <w:p>
      <w:pPr>
        <w:spacing w:after="0" w:line="82" w:lineRule="exact"/>
        <w:rPr>
          <w:sz w:val="20"/>
          <w:szCs w:val="20"/>
          <w:color w:val="auto"/>
        </w:rPr>
      </w:pPr>
    </w:p>
    <w:p>
      <w:pPr>
        <w:ind w:left="260" w:right="40"/>
        <w:spacing w:after="0" w:line="244" w:lineRule="auto"/>
        <w:rPr>
          <w:sz w:val="20"/>
          <w:szCs w:val="20"/>
          <w:color w:val="auto"/>
        </w:rPr>
      </w:pPr>
      <w:r>
        <w:rPr>
          <w:rFonts w:ascii="Arial" w:cs="Arial" w:eastAsia="Arial" w:hAnsi="Arial"/>
          <w:sz w:val="16"/>
          <w:szCs w:val="16"/>
          <w:i w:val="1"/>
          <w:iCs w:val="1"/>
          <w:color w:val="009FE3"/>
        </w:rPr>
        <w:t>Director Compensation.</w:t>
      </w:r>
      <w:r>
        <w:rPr>
          <w:rFonts w:ascii="Arial" w:cs="Arial" w:eastAsia="Arial" w:hAnsi="Arial"/>
          <w:sz w:val="16"/>
          <w:szCs w:val="16"/>
          <w:color w:val="202E39"/>
        </w:rPr>
        <w:t xml:space="preserve">  During the term of the Restated Equity Plan, a person who is initially elected to the Board and who is a non-employee director</w:t>
      </w:r>
      <w:r>
        <w:rPr>
          <w:rFonts w:ascii="Arial" w:cs="Arial" w:eastAsia="Arial" w:hAnsi="Arial"/>
          <w:sz w:val="16"/>
          <w:szCs w:val="16"/>
          <w:i w:val="1"/>
          <w:iCs w:val="1"/>
          <w:color w:val="009FE3"/>
        </w:rPr>
        <w:t xml:space="preserve"> </w:t>
      </w:r>
      <w:r>
        <w:rPr>
          <w:rFonts w:ascii="Arial" w:cs="Arial" w:eastAsia="Arial" w:hAnsi="Arial"/>
          <w:sz w:val="16"/>
          <w:szCs w:val="16"/>
          <w:color w:val="202E39"/>
        </w:rPr>
        <w:t>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 Under the Restated Equity Plan, awards to non-employee directors will be eligible for accelerated vesting in the event of a change in control or the director’s death or disability.</w:t>
      </w:r>
    </w:p>
    <w:p>
      <w:pPr>
        <w:spacing w:after="0" w:line="84"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i w:val="1"/>
          <w:iCs w:val="1"/>
          <w:color w:val="009FE3"/>
        </w:rPr>
        <w:t>Performance Criteria.</w:t>
      </w:r>
      <w:r>
        <w:rPr>
          <w:rFonts w:ascii="Arial" w:cs="Arial" w:eastAsia="Arial" w:hAnsi="Arial"/>
          <w:sz w:val="16"/>
          <w:szCs w:val="16"/>
          <w:color w:val="202E39"/>
        </w:rPr>
        <w:t xml:space="preserve">  Under the Restated Equity Plan, the plan administrator may grant awards that are paid, vest or become exercisable upon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attainment of performance criteria, which may include, but are not limited to, one or more of the following business criteria with respect to us, any of which may be measured with respect to our performance or the performance of a division, business unit or an individual:</w:t>
      </w:r>
    </w:p>
    <w:p>
      <w:pPr>
        <w:spacing w:after="0" w:line="86" w:lineRule="exact"/>
        <w:rPr>
          <w:sz w:val="20"/>
          <w:szCs w:val="20"/>
          <w:color w:val="auto"/>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net earnings (either before or after one or more of the following: interest, taxes, depreciation and amortization),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gross or net sales or revenue,</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net income (either before or after taxes),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operating earnings or profit,</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cash flow (including, but not limited to, operating cash flow and free cash flow),</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return on assets,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return on capital,</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return on stockholders’ equity,</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return on sales,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gross or net profit or operating margin,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costs,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funds from operations,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expenses,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working capital,</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earnings per share, or</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price per share of Viasat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99695</wp:posOffset>
            </wp:positionV>
            <wp:extent cx="425450" cy="150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26       </w:t>
      </w:r>
    </w:p>
    <w:p>
      <w:pPr>
        <w:sectPr>
          <w:pgSz w:w="11900" w:h="16838" w:orient="portrait"/>
          <w:cols w:equalWidth="0" w:num="1">
            <w:col w:w="10960"/>
          </w:cols>
          <w:pgMar w:left="320" w:top="474" w:right="6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3"/>
          <w:szCs w:val="13"/>
          <w:color w:val="009FE3"/>
        </w:rPr>
        <w:t>PROPOSAL 4:</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Amendment and Restatement of the 1996 Equity Participation Plan</w:t>
      </w:r>
    </w:p>
    <w:p>
      <w:pPr>
        <w:spacing w:after="0" w:line="150" w:lineRule="exact"/>
        <w:rPr>
          <w:sz w:val="20"/>
          <w:szCs w:val="20"/>
          <w:color w:val="auto"/>
        </w:rPr>
      </w:pPr>
    </w:p>
    <w:p>
      <w:pPr>
        <w:ind w:left="260" w:right="300"/>
        <w:spacing w:after="0" w:line="249" w:lineRule="auto"/>
        <w:rPr>
          <w:sz w:val="20"/>
          <w:szCs w:val="20"/>
          <w:color w:val="auto"/>
        </w:rPr>
      </w:pPr>
      <w:r>
        <w:rPr>
          <w:rFonts w:ascii="Arial" w:cs="Arial" w:eastAsia="Arial" w:hAnsi="Arial"/>
          <w:sz w:val="16"/>
          <w:szCs w:val="16"/>
          <w:color w:val="202E39"/>
        </w:rPr>
        <w:t>The plan administrator will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w:t>
      </w:r>
    </w:p>
    <w:p>
      <w:pPr>
        <w:spacing w:after="0" w:line="78" w:lineRule="exact"/>
        <w:rPr>
          <w:sz w:val="20"/>
          <w:szCs w:val="20"/>
          <w:color w:val="auto"/>
        </w:rPr>
      </w:pPr>
    </w:p>
    <w:p>
      <w:pPr>
        <w:ind w:left="260" w:right="60"/>
        <w:spacing w:after="0" w:line="243" w:lineRule="auto"/>
        <w:rPr>
          <w:sz w:val="20"/>
          <w:szCs w:val="20"/>
          <w:color w:val="auto"/>
        </w:rPr>
      </w:pPr>
      <w:r>
        <w:rPr>
          <w:rFonts w:ascii="Arial" w:cs="Arial" w:eastAsia="Arial" w:hAnsi="Arial"/>
          <w:sz w:val="16"/>
          <w:szCs w:val="16"/>
          <w:i w:val="1"/>
          <w:iCs w:val="1"/>
          <w:color w:val="009FE3"/>
        </w:rPr>
        <w:t>Minimum Vesting Requirement.</w:t>
      </w:r>
      <w:r>
        <w:rPr>
          <w:rFonts w:ascii="Arial" w:cs="Arial" w:eastAsia="Arial" w:hAnsi="Arial"/>
          <w:sz w:val="16"/>
          <w:szCs w:val="16"/>
          <w:color w:val="202E39"/>
        </w:rPr>
        <w:t xml:space="preserve">  The Restated Equity Plan contains a minimum vesting period which provides that no award agreements will provide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vesting of the award thereunder earlier than one year after the applicable grant date; provided, however, that the plan administrator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the minimum vesting restrictions will not apply to (1) awards granted after the effective date of the Restated Equity Plan that cover, in the aggregate, no more than 5% of the shares of common stock reserved for issuance under the Restated Equity Plan, (2) awards delivered in lieu of fully-vested cash-based awards under the Restated Equity Plan (or other fully-vested cash awards or payments), and (3) any awards to non-employee directors for which the vesting period runs from the date of one annual meeting of our stockholders to the next annual meeting of our stockholders (so long as such period is at least 50 weeks).</w:t>
      </w:r>
    </w:p>
    <w:p>
      <w:pPr>
        <w:spacing w:after="0" w:line="85"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i w:val="1"/>
          <w:iCs w:val="1"/>
          <w:color w:val="009FE3"/>
        </w:rPr>
        <w:t>Clawback.</w:t>
      </w:r>
      <w:r>
        <w:rPr>
          <w:rFonts w:ascii="Arial" w:cs="Arial" w:eastAsia="Arial" w:hAnsi="Arial"/>
          <w:sz w:val="16"/>
          <w:szCs w:val="16"/>
          <w:color w:val="202E39"/>
        </w:rPr>
        <w:t xml:space="preserve">  All awards granted under the Restated Equity Plan will be subject to recoupment in accordance with our existing clawback policy and any</w:t>
      </w:r>
      <w:r>
        <w:rPr>
          <w:rFonts w:ascii="Arial" w:cs="Arial" w:eastAsia="Arial" w:hAnsi="Arial"/>
          <w:sz w:val="16"/>
          <w:szCs w:val="16"/>
          <w:i w:val="1"/>
          <w:iCs w:val="1"/>
          <w:color w:val="009FE3"/>
        </w:rPr>
        <w:t xml:space="preserve"> </w:t>
      </w:r>
      <w:r>
        <w:rPr>
          <w:rFonts w:ascii="Arial" w:cs="Arial" w:eastAsia="Arial" w:hAnsi="Arial"/>
          <w:sz w:val="16"/>
          <w:szCs w:val="16"/>
          <w:color w:val="202E39"/>
        </w:rPr>
        <w:t>clawback policy we may be required to adopt pursuant to applicable law and listing requirements, including as required by Rule 10-D under the Securities Exchange Act of 1934, as amended, and the corresponding rules to be adopted by the Nasdaq Stock Market.</w:t>
      </w:r>
    </w:p>
    <w:p>
      <w:pPr>
        <w:spacing w:after="0" w:line="73" w:lineRule="exact"/>
        <w:rPr>
          <w:sz w:val="20"/>
          <w:szCs w:val="20"/>
          <w:color w:val="auto"/>
        </w:rPr>
      </w:pPr>
    </w:p>
    <w:p>
      <w:pPr>
        <w:ind w:left="260" w:right="500"/>
        <w:spacing w:after="0" w:line="269" w:lineRule="auto"/>
        <w:rPr>
          <w:sz w:val="20"/>
          <w:szCs w:val="20"/>
          <w:color w:val="auto"/>
        </w:rPr>
      </w:pPr>
      <w:r>
        <w:rPr>
          <w:rFonts w:ascii="Arial" w:cs="Arial" w:eastAsia="Arial" w:hAnsi="Arial"/>
          <w:sz w:val="16"/>
          <w:szCs w:val="16"/>
          <w:i w:val="1"/>
          <w:iCs w:val="1"/>
          <w:color w:val="009FE3"/>
        </w:rPr>
        <w:t>No Repricing.</w:t>
      </w:r>
      <w:r>
        <w:rPr>
          <w:rFonts w:ascii="Arial" w:cs="Arial" w:eastAsia="Arial" w:hAnsi="Arial"/>
          <w:sz w:val="16"/>
          <w:szCs w:val="16"/>
          <w:color w:val="202E39"/>
        </w:rPr>
        <w:t xml:space="preserve">  The Restated Equity Plan prohibits the repricing or other exchange of underwater stock options or stock appreciation rights for new</w:t>
      </w:r>
      <w:r>
        <w:rPr>
          <w:rFonts w:ascii="Arial" w:cs="Arial" w:eastAsia="Arial" w:hAnsi="Arial"/>
          <w:sz w:val="16"/>
          <w:szCs w:val="16"/>
          <w:i w:val="1"/>
          <w:iCs w:val="1"/>
          <w:color w:val="009FE3"/>
        </w:rPr>
        <w:t xml:space="preserve"> </w:t>
      </w:r>
      <w:r>
        <w:rPr>
          <w:rFonts w:ascii="Arial" w:cs="Arial" w:eastAsia="Arial" w:hAnsi="Arial"/>
          <w:sz w:val="16"/>
          <w:szCs w:val="16"/>
          <w:color w:val="202E39"/>
        </w:rPr>
        <w:t>awards or cash without prior stockholder approval.</w:t>
      </w:r>
    </w:p>
    <w:p>
      <w:pPr>
        <w:spacing w:after="0" w:line="61" w:lineRule="exact"/>
        <w:rPr>
          <w:sz w:val="20"/>
          <w:szCs w:val="20"/>
          <w:color w:val="auto"/>
        </w:rPr>
      </w:pPr>
    </w:p>
    <w:p>
      <w:pPr>
        <w:jc w:val="both"/>
        <w:ind w:left="260" w:right="20"/>
        <w:spacing w:after="0" w:line="249" w:lineRule="auto"/>
        <w:rPr>
          <w:sz w:val="20"/>
          <w:szCs w:val="20"/>
          <w:color w:val="auto"/>
        </w:rPr>
      </w:pPr>
      <w:r>
        <w:rPr>
          <w:rFonts w:ascii="Arial" w:cs="Arial" w:eastAsia="Arial" w:hAnsi="Arial"/>
          <w:sz w:val="16"/>
          <w:szCs w:val="16"/>
          <w:i w:val="1"/>
          <w:iCs w:val="1"/>
          <w:color w:val="009FE3"/>
        </w:rPr>
        <w:t>Amendment and Termination of the Plan.</w:t>
      </w:r>
      <w:r>
        <w:rPr>
          <w:rFonts w:ascii="Arial" w:cs="Arial" w:eastAsia="Arial" w:hAnsi="Arial"/>
          <w:sz w:val="16"/>
          <w:szCs w:val="16"/>
          <w:color w:val="202E39"/>
        </w:rPr>
        <w:t xml:space="preserve">  The Restated Equity Plan may be wholly or partially amended or otherwise modified, suspended or terminated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at any time or from time to time by the plan administrator. However, stockholder approval will be obtained of any amendment or modification to the extent required by applicable law, regulation or rule. The Restated Equity Plan will continue until terminated by the plan administrator. No incentive stock options may be granted under the Restated Equity Plan after July 14, 2034.</w:t>
      </w:r>
    </w:p>
    <w:p>
      <w:pPr>
        <w:spacing w:after="0" w:line="78" w:lineRule="exact"/>
        <w:rPr>
          <w:sz w:val="20"/>
          <w:szCs w:val="20"/>
          <w:color w:val="auto"/>
        </w:rPr>
      </w:pPr>
    </w:p>
    <w:p>
      <w:pPr>
        <w:ind w:left="260" w:right="120"/>
        <w:spacing w:after="0" w:line="303" w:lineRule="auto"/>
        <w:rPr>
          <w:sz w:val="20"/>
          <w:szCs w:val="20"/>
          <w:color w:val="auto"/>
        </w:rPr>
      </w:pPr>
      <w:r>
        <w:rPr>
          <w:rFonts w:ascii="Arial" w:cs="Arial" w:eastAsia="Arial" w:hAnsi="Arial"/>
          <w:sz w:val="15"/>
          <w:szCs w:val="15"/>
          <w:i w:val="1"/>
          <w:iCs w:val="1"/>
          <w:color w:val="009FE3"/>
        </w:rPr>
        <w:t>Securities Laws.</w:t>
      </w:r>
      <w:r>
        <w:rPr>
          <w:rFonts w:ascii="Arial" w:cs="Arial" w:eastAsia="Arial" w:hAnsi="Arial"/>
          <w:sz w:val="15"/>
          <w:szCs w:val="15"/>
          <w:color w:val="202E39"/>
        </w:rPr>
        <w:t xml:space="preserve">  The Restated Equity Plan is intended to comply with all provisions of the Securities Act of 1933, as amended, and the Securities</w:t>
      </w:r>
      <w:r>
        <w:rPr>
          <w:rFonts w:ascii="Arial" w:cs="Arial" w:eastAsia="Arial" w:hAnsi="Arial"/>
          <w:sz w:val="15"/>
          <w:szCs w:val="15"/>
          <w:i w:val="1"/>
          <w:iCs w:val="1"/>
          <w:color w:val="009FE3"/>
        </w:rPr>
        <w:t xml:space="preserve"> </w:t>
      </w:r>
      <w:r>
        <w:rPr>
          <w:rFonts w:ascii="Arial" w:cs="Arial" w:eastAsia="Arial" w:hAnsi="Arial"/>
          <w:sz w:val="15"/>
          <w:szCs w:val="15"/>
          <w:color w:val="202E39"/>
        </w:rPr>
        <w:t>Exchange Act of 1934, as amended, and any and all regulations and rules promulgated by the SEC thereunder, including, without limitation, Rule 16b-3.</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U.S. Federal Income Tax Consequences</w:t>
      </w:r>
    </w:p>
    <w:p>
      <w:pPr>
        <w:spacing w:after="0" w:line="108" w:lineRule="exact"/>
        <w:rPr>
          <w:sz w:val="20"/>
          <w:szCs w:val="20"/>
          <w:color w:val="auto"/>
        </w:rPr>
      </w:pPr>
    </w:p>
    <w:p>
      <w:pPr>
        <w:ind w:left="260" w:right="80"/>
        <w:spacing w:after="0" w:line="247" w:lineRule="auto"/>
        <w:rPr>
          <w:sz w:val="20"/>
          <w:szCs w:val="20"/>
          <w:color w:val="auto"/>
        </w:rPr>
      </w:pPr>
      <w:r>
        <w:rPr>
          <w:rFonts w:ascii="Arial" w:cs="Arial" w:eastAsia="Arial" w:hAnsi="Arial"/>
          <w:sz w:val="16"/>
          <w:szCs w:val="16"/>
          <w:color w:val="202E39"/>
        </w:rPr>
        <w:t>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78" w:lineRule="exact"/>
        <w:rPr>
          <w:sz w:val="20"/>
          <w:szCs w:val="20"/>
          <w:color w:val="auto"/>
        </w:rPr>
      </w:pPr>
    </w:p>
    <w:p>
      <w:pPr>
        <w:ind w:left="260"/>
        <w:spacing w:after="0" w:line="242" w:lineRule="auto"/>
        <w:rPr>
          <w:sz w:val="20"/>
          <w:szCs w:val="20"/>
          <w:color w:val="auto"/>
        </w:rPr>
      </w:pPr>
      <w:r>
        <w:rPr>
          <w:rFonts w:ascii="Arial" w:cs="Arial" w:eastAsia="Arial" w:hAnsi="Arial"/>
          <w:sz w:val="16"/>
          <w:szCs w:val="16"/>
          <w:i w:val="1"/>
          <w:iCs w:val="1"/>
          <w:color w:val="009FE3"/>
        </w:rPr>
        <w:t>Consequences to Employees: Incentive Stock Options.</w:t>
      </w:r>
      <w:r>
        <w:rPr>
          <w:rFonts w:ascii="Arial" w:cs="Arial" w:eastAsia="Arial" w:hAnsi="Arial"/>
          <w:sz w:val="16"/>
          <w:szCs w:val="16"/>
          <w:color w:val="202E39"/>
        </w:rPr>
        <w:t xml:space="preserve">  No income is recognized for federal income tax purposes by an optionee at the time an incentive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87" w:lineRule="exact"/>
        <w:rPr>
          <w:sz w:val="20"/>
          <w:szCs w:val="20"/>
          <w:color w:val="auto"/>
        </w:rPr>
      </w:pPr>
    </w:p>
    <w:p>
      <w:pPr>
        <w:ind w:left="260" w:right="300"/>
        <w:spacing w:after="0" w:line="249" w:lineRule="auto"/>
        <w:rPr>
          <w:sz w:val="20"/>
          <w:szCs w:val="20"/>
          <w:color w:val="auto"/>
        </w:rPr>
      </w:pPr>
      <w:r>
        <w:rPr>
          <w:rFonts w:ascii="Arial" w:cs="Arial" w:eastAsia="Arial" w:hAnsi="Arial"/>
          <w:sz w:val="16"/>
          <w:szCs w:val="16"/>
          <w:i w:val="1"/>
          <w:iCs w:val="1"/>
          <w:color w:val="009FE3"/>
        </w:rPr>
        <w:t>Consequences to Employees: Non-Qualified Stock Options.</w:t>
      </w:r>
      <w:r>
        <w:rPr>
          <w:rFonts w:ascii="Arial" w:cs="Arial" w:eastAsia="Arial" w:hAnsi="Arial"/>
          <w:sz w:val="16"/>
          <w:szCs w:val="16"/>
          <w:color w:val="202E39"/>
        </w:rPr>
        <w:t xml:space="preserve">  No income is recognized for federal income tax purposes by an optionee at the time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27</w:t>
      </w:r>
    </w:p>
    <w:p>
      <w:pPr>
        <w:sectPr>
          <w:pgSz w:w="11900" w:h="16838" w:orient="portrait"/>
          <w:cols w:equalWidth="0" w:num="1">
            <w:col w:w="10980"/>
          </w:cols>
          <w:pgMar w:left="320" w:top="474" w:right="5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Amendment and Restatement of the 1996 Equity Participation Plan</w:t>
      </w:r>
    </w:p>
    <w:p>
      <w:pPr>
        <w:spacing w:after="0" w:line="139"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78" w:lineRule="exact"/>
        <w:rPr>
          <w:sz w:val="20"/>
          <w:szCs w:val="20"/>
          <w:color w:val="auto"/>
        </w:rPr>
      </w:pPr>
    </w:p>
    <w:p>
      <w:pPr>
        <w:ind w:left="260" w:right="140"/>
        <w:spacing w:after="0" w:line="271" w:lineRule="auto"/>
        <w:rPr>
          <w:sz w:val="20"/>
          <w:szCs w:val="20"/>
          <w:color w:val="auto"/>
        </w:rPr>
      </w:pPr>
      <w:r>
        <w:rPr>
          <w:rFonts w:ascii="Arial" w:cs="Arial" w:eastAsia="Arial" w:hAnsi="Arial"/>
          <w:sz w:val="15"/>
          <w:szCs w:val="15"/>
          <w:i w:val="1"/>
          <w:iCs w:val="1"/>
          <w:color w:val="009FE3"/>
        </w:rPr>
        <w:t>Consequences to Viasat: Incentive Stock Options.</w:t>
      </w:r>
      <w:r>
        <w:rPr>
          <w:rFonts w:ascii="Arial" w:cs="Arial" w:eastAsia="Arial" w:hAnsi="Arial"/>
          <w:sz w:val="15"/>
          <w:szCs w:val="15"/>
          <w:color w:val="202E39"/>
        </w:rPr>
        <w:t xml:space="preserve">  We will not be allowed a deduction for federal income tax purposes at the time of the grant or</w:t>
      </w:r>
      <w:r>
        <w:rPr>
          <w:rFonts w:ascii="Arial" w:cs="Arial" w:eastAsia="Arial" w:hAnsi="Arial"/>
          <w:sz w:val="15"/>
          <w:szCs w:val="15"/>
          <w:i w:val="1"/>
          <w:iCs w:val="1"/>
          <w:color w:val="009FE3"/>
        </w:rPr>
        <w:t xml:space="preserve"> </w:t>
      </w:r>
      <w:r>
        <w:rPr>
          <w:rFonts w:ascii="Arial" w:cs="Arial" w:eastAsia="Arial" w:hAnsi="Arial"/>
          <w:sz w:val="15"/>
          <w:szCs w:val="15"/>
          <w:color w:val="202E39"/>
        </w:rPr>
        <w:t>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62" w:lineRule="exact"/>
        <w:rPr>
          <w:sz w:val="20"/>
          <w:szCs w:val="20"/>
          <w:color w:val="auto"/>
        </w:rPr>
      </w:pPr>
    </w:p>
    <w:p>
      <w:pPr>
        <w:ind w:left="260" w:right="200"/>
        <w:spacing w:after="0" w:line="269" w:lineRule="auto"/>
        <w:rPr>
          <w:sz w:val="20"/>
          <w:szCs w:val="20"/>
          <w:color w:val="auto"/>
        </w:rPr>
      </w:pPr>
      <w:r>
        <w:rPr>
          <w:rFonts w:ascii="Arial" w:cs="Arial" w:eastAsia="Arial" w:hAnsi="Arial"/>
          <w:sz w:val="16"/>
          <w:szCs w:val="16"/>
          <w:i w:val="1"/>
          <w:iCs w:val="1"/>
          <w:color w:val="009FE3"/>
        </w:rPr>
        <w:t>Consequences to Viasat: Non-Qualified Stock Options.</w:t>
      </w:r>
      <w:r>
        <w:rPr>
          <w:rFonts w:ascii="Arial" w:cs="Arial" w:eastAsia="Arial" w:hAnsi="Arial"/>
          <w:sz w:val="16"/>
          <w:szCs w:val="16"/>
          <w:color w:val="202E39"/>
        </w:rPr>
        <w:t xml:space="preserve">  Generally, we will be entitled to a deduction for federal income tax purposes in the year and in</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same amount as the optionee is considered to have realized ordinary income in connection with the exercise of a non-qualified stock option.</w:t>
      </w:r>
    </w:p>
    <w:p>
      <w:pPr>
        <w:spacing w:after="0" w:line="61" w:lineRule="exact"/>
        <w:rPr>
          <w:sz w:val="20"/>
          <w:szCs w:val="20"/>
          <w:color w:val="auto"/>
        </w:rPr>
      </w:pPr>
    </w:p>
    <w:p>
      <w:pPr>
        <w:ind w:left="260" w:right="100"/>
        <w:spacing w:after="0" w:line="244" w:lineRule="auto"/>
        <w:rPr>
          <w:sz w:val="20"/>
          <w:szCs w:val="20"/>
          <w:color w:val="auto"/>
        </w:rPr>
      </w:pPr>
      <w:r>
        <w:rPr>
          <w:rFonts w:ascii="Arial" w:cs="Arial" w:eastAsia="Arial" w:hAnsi="Arial"/>
          <w:sz w:val="16"/>
          <w:szCs w:val="16"/>
          <w:i w:val="1"/>
          <w:iCs w:val="1"/>
          <w:color w:val="009FE3"/>
        </w:rPr>
        <w:t>Restricted Stock.</w:t>
      </w:r>
      <w:r>
        <w:rPr>
          <w:rFonts w:ascii="Arial" w:cs="Arial" w:eastAsia="Arial" w:hAnsi="Arial"/>
          <w:sz w:val="16"/>
          <w:szCs w:val="16"/>
          <w:color w:val="202E39"/>
        </w:rPr>
        <w:t xml:space="preserve">  Generally, a participant in the Restated Equity Plan will not be taxed upon the grant or purchase of restricted stock that is subject to a</w:t>
      </w:r>
      <w:r>
        <w:rPr>
          <w:rFonts w:ascii="Arial" w:cs="Arial" w:eastAsia="Arial" w:hAnsi="Arial"/>
          <w:sz w:val="16"/>
          <w:szCs w:val="16"/>
          <w:i w:val="1"/>
          <w:iCs w:val="1"/>
          <w:color w:val="009FE3"/>
        </w:rPr>
        <w:t xml:space="preserve"> </w:t>
      </w:r>
      <w:r>
        <w:rPr>
          <w:rFonts w:ascii="Arial" w:cs="Arial" w:eastAsia="Arial" w:hAnsi="Arial"/>
          <w:sz w:val="16"/>
          <w:szCs w:val="16"/>
          <w:color w:val="202E39"/>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81" w:lineRule="exact"/>
        <w:rPr>
          <w:sz w:val="20"/>
          <w:szCs w:val="20"/>
          <w:color w:val="auto"/>
        </w:rPr>
      </w:pPr>
    </w:p>
    <w:p>
      <w:pPr>
        <w:ind w:left="260" w:right="120"/>
        <w:spacing w:after="0" w:line="279" w:lineRule="auto"/>
        <w:rPr>
          <w:sz w:val="20"/>
          <w:szCs w:val="20"/>
          <w:color w:val="auto"/>
        </w:rPr>
      </w:pPr>
      <w:r>
        <w:rPr>
          <w:rFonts w:ascii="Arial" w:cs="Arial" w:eastAsia="Arial" w:hAnsi="Arial"/>
          <w:sz w:val="15"/>
          <w:szCs w:val="15"/>
          <w:i w:val="1"/>
          <w:iCs w:val="1"/>
          <w:color w:val="009FE3"/>
        </w:rPr>
        <w:t>Stock Appreciation Rights.</w:t>
      </w:r>
      <w:r>
        <w:rPr>
          <w:rFonts w:ascii="Arial" w:cs="Arial" w:eastAsia="Arial" w:hAnsi="Arial"/>
          <w:sz w:val="15"/>
          <w:szCs w:val="15"/>
          <w:color w:val="202E39"/>
        </w:rPr>
        <w:t xml:space="preserve">  A participant will not be taxed upon the grant of a stock appreciation right. Upon the exercise of the stock appreciation right,</w:t>
      </w:r>
      <w:r>
        <w:rPr>
          <w:rFonts w:ascii="Arial" w:cs="Arial" w:eastAsia="Arial" w:hAnsi="Arial"/>
          <w:sz w:val="15"/>
          <w:szCs w:val="15"/>
          <w:i w:val="1"/>
          <w:iCs w:val="1"/>
          <w:color w:val="009FE3"/>
        </w:rPr>
        <w:t xml:space="preserve"> </w:t>
      </w:r>
      <w:r>
        <w:rPr>
          <w:rFonts w:ascii="Arial" w:cs="Arial" w:eastAsia="Arial" w:hAnsi="Arial"/>
          <w:sz w:val="15"/>
          <w:szCs w:val="15"/>
          <w:color w:val="202E39"/>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56"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i w:val="1"/>
          <w:iCs w:val="1"/>
          <w:color w:val="009FE3"/>
        </w:rPr>
        <w:t>Performance Awards, Dividend Equivalents, Restricted Stock Units and Stock Payments.</w:t>
      </w:r>
      <w:r>
        <w:rPr>
          <w:rFonts w:ascii="Arial" w:cs="Arial" w:eastAsia="Arial" w:hAnsi="Arial"/>
          <w:sz w:val="16"/>
          <w:szCs w:val="16"/>
          <w:color w:val="202E39"/>
        </w:rPr>
        <w:t xml:space="preserve">  A participant will have ordinary income upon receipt of stock</w:t>
      </w:r>
      <w:r>
        <w:rPr>
          <w:rFonts w:ascii="Arial" w:cs="Arial" w:eastAsia="Arial" w:hAnsi="Arial"/>
          <w:sz w:val="16"/>
          <w:szCs w:val="16"/>
          <w:i w:val="1"/>
          <w:iCs w:val="1"/>
          <w:color w:val="009FE3"/>
        </w:rPr>
        <w:t xml:space="preserve"> </w:t>
      </w:r>
      <w:r>
        <w:rPr>
          <w:rFonts w:ascii="Arial" w:cs="Arial" w:eastAsia="Arial" w:hAnsi="Arial"/>
          <w:sz w:val="16"/>
          <w:szCs w:val="16"/>
          <w:color w:val="202E39"/>
        </w:rPr>
        <w:t>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73" w:lineRule="exact"/>
        <w:rPr>
          <w:sz w:val="20"/>
          <w:szCs w:val="20"/>
          <w:color w:val="auto"/>
        </w:rPr>
      </w:pPr>
    </w:p>
    <w:p>
      <w:pPr>
        <w:ind w:left="260" w:right="180"/>
        <w:spacing w:after="0" w:line="247" w:lineRule="auto"/>
        <w:rPr>
          <w:sz w:val="20"/>
          <w:szCs w:val="20"/>
          <w:color w:val="auto"/>
        </w:rPr>
      </w:pPr>
      <w:r>
        <w:rPr>
          <w:rFonts w:ascii="Arial" w:cs="Arial" w:eastAsia="Arial" w:hAnsi="Arial"/>
          <w:sz w:val="16"/>
          <w:szCs w:val="16"/>
          <w:i w:val="1"/>
          <w:iCs w:val="1"/>
          <w:color w:val="009FE3"/>
        </w:rPr>
        <w:t>Section 162(m).</w:t>
      </w:r>
      <w:r>
        <w:rPr>
          <w:rFonts w:ascii="Arial" w:cs="Arial" w:eastAsia="Arial" w:hAnsi="Arial"/>
          <w:sz w:val="16"/>
          <w:szCs w:val="16"/>
          <w:color w:val="202E39"/>
        </w:rPr>
        <w:t xml:space="preserve">  Under Section 162(m) of the Code, in general, income tax deductions of publicly-traded companies may be limited to the extent total</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(including base salary, annual bonus, stock option exercises and non-qualified benefits paid in 1994 and thereafter) for certain “covered employees” exceeds $1 million in any one taxable year. As a result, we will not be able to take a deduction for any compensation in excess of $1 million that is paid to a covered employee. There is no guarantee that we will be able to take a deduction for any compensation in excess of $1 million that is paid to a covered employee under the Equity Plan or the Restated Equity Plan.</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New Plan Benefits</w:t>
      </w:r>
    </w:p>
    <w:p>
      <w:pPr>
        <w:spacing w:after="0" w:line="108" w:lineRule="exact"/>
        <w:rPr>
          <w:sz w:val="20"/>
          <w:szCs w:val="20"/>
          <w:color w:val="auto"/>
        </w:rPr>
      </w:pPr>
    </w:p>
    <w:p>
      <w:pPr>
        <w:jc w:val="both"/>
        <w:ind w:left="260" w:right="160"/>
        <w:spacing w:after="0" w:line="247" w:lineRule="auto"/>
        <w:rPr>
          <w:sz w:val="20"/>
          <w:szCs w:val="20"/>
          <w:color w:val="auto"/>
        </w:rPr>
      </w:pPr>
      <w:r>
        <w:rPr>
          <w:rFonts w:ascii="Arial" w:cs="Arial" w:eastAsia="Arial" w:hAnsi="Arial"/>
          <w:sz w:val="16"/>
          <w:szCs w:val="16"/>
          <w:color w:val="202E39"/>
        </w:rPr>
        <w:t>The number of awards that an eligible individual may receive under the Restated Equity Plan is in the discretion of the Board or the Compensation and Human Resources Committee and therefore cannot be determined in advance. As noted above, the Restated Equity Plan provides for automatic grants of restricted stock unit awards and stock options to non-employee directors. Other than these automatic awards, neither the Compensation and Human Resources Committee nor the Board has made any determination to grant any awards to any persons under the Restated Equity Plan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82550</wp:posOffset>
            </wp:positionV>
            <wp:extent cx="425450" cy="150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28       </w:t>
      </w:r>
    </w:p>
    <w:p>
      <w:pPr>
        <w:sectPr>
          <w:pgSz w:w="11900" w:h="16838" w:orient="portrait"/>
          <w:cols w:equalWidth="0" w:num="1">
            <w:col w:w="10980"/>
          </w:cols>
          <w:pgMar w:left="320" w:top="474" w:right="5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3"/>
          <w:szCs w:val="13"/>
          <w:color w:val="009FE3"/>
        </w:rPr>
        <w:t>PROPOSAL 4:</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Amendment and Restatement of the 1996 Equity Participation Plan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Plan Benefits Under Equity Plan</w:t>
      </w:r>
    </w:p>
    <w:p>
      <w:pPr>
        <w:spacing w:after="0" w:line="135"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color w:val="202E39"/>
        </w:rPr>
        <w:t>For illustrative purposes only, the following table sets forth the aggregate number of shares subject to restricted stock unit awards and stock options (both time-based and performance-based) granted under the Equity Plan during the last fiscal year to the following individuals and groups:</w:t>
      </w:r>
    </w:p>
    <w:p>
      <w:pPr>
        <w:spacing w:after="0" w:line="66"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5600" w:type="dxa"/>
            <w:vAlign w:val="bottom"/>
            <w:tcBorders>
              <w:top w:val="single" w:sz="8" w:color="E8EAEB"/>
              <w:right w:val="single" w:sz="8" w:color="E8EAEB"/>
            </w:tcBorders>
          </w:tcPr>
          <w:p>
            <w:pPr>
              <w:spacing w:after="0"/>
              <w:rPr>
                <w:sz w:val="15"/>
                <w:szCs w:val="15"/>
                <w:color w:val="auto"/>
              </w:rPr>
            </w:pPr>
          </w:p>
        </w:tc>
        <w:tc>
          <w:tcPr>
            <w:tcW w:w="2600" w:type="dxa"/>
            <w:vAlign w:val="bottom"/>
            <w:tcBorders>
              <w:top w:val="single" w:sz="8" w:color="E8EAEB"/>
              <w:right w:val="single" w:sz="8" w:color="E8EAEB"/>
            </w:tcBorders>
            <w:gridSpan w:val="5"/>
          </w:tcPr>
          <w:p>
            <w:pPr>
              <w:jc w:val="center"/>
              <w:spacing w:after="0"/>
              <w:rPr>
                <w:sz w:val="20"/>
                <w:szCs w:val="20"/>
                <w:color w:val="auto"/>
              </w:rPr>
            </w:pPr>
            <w:r>
              <w:rPr>
                <w:rFonts w:ascii="Arial" w:cs="Arial" w:eastAsia="Arial" w:hAnsi="Arial"/>
                <w:sz w:val="14"/>
                <w:szCs w:val="14"/>
                <w:b w:val="1"/>
                <w:bCs w:val="1"/>
                <w:color w:val="009FE3"/>
                <w:w w:val="99"/>
              </w:rPr>
              <w:t>Number of Shares</w:t>
            </w:r>
          </w:p>
        </w:tc>
        <w:tc>
          <w:tcPr>
            <w:tcW w:w="1540" w:type="dxa"/>
            <w:vAlign w:val="bottom"/>
            <w:tcBorders>
              <w:top w:val="single" w:sz="8" w:color="E8EAEB"/>
            </w:tcBorders>
          </w:tcPr>
          <w:p>
            <w:pPr>
              <w:spacing w:after="0"/>
              <w:rPr>
                <w:sz w:val="15"/>
                <w:szCs w:val="15"/>
                <w:color w:val="auto"/>
              </w:rPr>
            </w:pPr>
          </w:p>
        </w:tc>
        <w:tc>
          <w:tcPr>
            <w:tcW w:w="80" w:type="dxa"/>
            <w:vAlign w:val="bottom"/>
            <w:tcBorders>
              <w:top w:val="single" w:sz="8" w:color="E8EAEB"/>
            </w:tcBorders>
          </w:tcPr>
          <w:p>
            <w:pPr>
              <w:spacing w:after="0"/>
              <w:rPr>
                <w:sz w:val="15"/>
                <w:szCs w:val="15"/>
                <w:color w:val="auto"/>
              </w:rPr>
            </w:pPr>
          </w:p>
        </w:tc>
        <w:tc>
          <w:tcPr>
            <w:tcW w:w="160" w:type="dxa"/>
            <w:vAlign w:val="bottom"/>
            <w:tcBorders>
              <w:top w:val="single" w:sz="8" w:color="E8EAEB"/>
            </w:tcBorders>
          </w:tcPr>
          <w:p>
            <w:pPr>
              <w:spacing w:after="0"/>
              <w:rPr>
                <w:sz w:val="15"/>
                <w:szCs w:val="15"/>
                <w:color w:val="auto"/>
              </w:rPr>
            </w:pPr>
          </w:p>
        </w:tc>
        <w:tc>
          <w:tcPr>
            <w:tcW w:w="80" w:type="dxa"/>
            <w:vAlign w:val="bottom"/>
            <w:tcBorders>
              <w:top w:val="single" w:sz="8" w:color="E8EAEB"/>
            </w:tcBorders>
          </w:tcPr>
          <w:p>
            <w:pPr>
              <w:spacing w:after="0"/>
              <w:rPr>
                <w:sz w:val="15"/>
                <w:szCs w:val="15"/>
                <w:color w:val="auto"/>
              </w:rPr>
            </w:pPr>
          </w:p>
        </w:tc>
        <w:tc>
          <w:tcPr>
            <w:tcW w:w="680" w:type="dxa"/>
            <w:vAlign w:val="bottom"/>
            <w:tcBorders>
              <w:top w:val="single" w:sz="8" w:color="E8EAEB"/>
            </w:tcBorders>
          </w:tcPr>
          <w:p>
            <w:pPr>
              <w:spacing w:after="0"/>
              <w:rPr>
                <w:sz w:val="15"/>
                <w:szCs w:val="15"/>
                <w:color w:val="auto"/>
              </w:rPr>
            </w:pPr>
          </w:p>
        </w:tc>
      </w:tr>
      <w:tr>
        <w:trPr>
          <w:trHeight w:val="158"/>
        </w:trPr>
        <w:tc>
          <w:tcPr>
            <w:tcW w:w="5600" w:type="dxa"/>
            <w:vAlign w:val="bottom"/>
            <w:tcBorders>
              <w:right w:val="single" w:sz="8" w:color="E8EAEB"/>
            </w:tcBorders>
          </w:tcPr>
          <w:p>
            <w:pPr>
              <w:spacing w:after="0"/>
              <w:rPr>
                <w:sz w:val="13"/>
                <w:szCs w:val="13"/>
                <w:color w:val="auto"/>
              </w:rPr>
            </w:pPr>
          </w:p>
        </w:tc>
        <w:tc>
          <w:tcPr>
            <w:tcW w:w="1640" w:type="dxa"/>
            <w:vAlign w:val="bottom"/>
            <w:gridSpan w:val="2"/>
          </w:tcPr>
          <w:p>
            <w:pPr>
              <w:jc w:val="center"/>
              <w:ind w:left="845"/>
              <w:spacing w:after="0" w:line="158" w:lineRule="exact"/>
              <w:rPr>
                <w:sz w:val="20"/>
                <w:szCs w:val="20"/>
                <w:color w:val="auto"/>
              </w:rPr>
            </w:pPr>
            <w:r>
              <w:rPr>
                <w:rFonts w:ascii="Arial" w:cs="Arial" w:eastAsia="Arial" w:hAnsi="Arial"/>
                <w:sz w:val="14"/>
                <w:szCs w:val="14"/>
                <w:b w:val="1"/>
                <w:bCs w:val="1"/>
                <w:color w:val="009FE3"/>
              </w:rPr>
              <w:t>Subject to</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860" w:type="dxa"/>
            <w:vAlign w:val="bottom"/>
            <w:gridSpan w:val="4"/>
          </w:tcPr>
          <w:p>
            <w:pPr>
              <w:jc w:val="center"/>
              <w:ind w:left="563"/>
              <w:spacing w:after="0" w:line="158" w:lineRule="exact"/>
              <w:rPr>
                <w:sz w:val="20"/>
                <w:szCs w:val="20"/>
                <w:color w:val="auto"/>
              </w:rPr>
            </w:pPr>
            <w:r>
              <w:rPr>
                <w:rFonts w:ascii="Arial" w:cs="Arial" w:eastAsia="Arial" w:hAnsi="Arial"/>
                <w:sz w:val="14"/>
                <w:szCs w:val="14"/>
                <w:b w:val="1"/>
                <w:bCs w:val="1"/>
                <w:color w:val="009FE3"/>
              </w:rPr>
              <w:t>Number of Shares</w:t>
            </w:r>
          </w:p>
        </w:tc>
        <w:tc>
          <w:tcPr>
            <w:tcW w:w="680" w:type="dxa"/>
            <w:vAlign w:val="bottom"/>
          </w:tcPr>
          <w:p>
            <w:pPr>
              <w:spacing w:after="0"/>
              <w:rPr>
                <w:sz w:val="13"/>
                <w:szCs w:val="13"/>
                <w:color w:val="auto"/>
              </w:rPr>
            </w:pPr>
          </w:p>
        </w:tc>
      </w:tr>
      <w:tr>
        <w:trPr>
          <w:trHeight w:val="158"/>
        </w:trPr>
        <w:tc>
          <w:tcPr>
            <w:tcW w:w="5600" w:type="dxa"/>
            <w:vAlign w:val="bottom"/>
            <w:tcBorders>
              <w:right w:val="single" w:sz="8" w:color="E8EAEB"/>
            </w:tcBorders>
          </w:tcPr>
          <w:p>
            <w:pPr>
              <w:spacing w:after="0"/>
              <w:rPr>
                <w:sz w:val="13"/>
                <w:szCs w:val="13"/>
                <w:color w:val="auto"/>
              </w:rPr>
            </w:pPr>
          </w:p>
        </w:tc>
        <w:tc>
          <w:tcPr>
            <w:tcW w:w="2600" w:type="dxa"/>
            <w:vAlign w:val="bottom"/>
            <w:tcBorders>
              <w:right w:val="single" w:sz="8" w:color="E8EAEB"/>
            </w:tcBorders>
            <w:gridSpan w:val="5"/>
          </w:tcPr>
          <w:p>
            <w:pPr>
              <w:jc w:val="center"/>
              <w:spacing w:after="0" w:line="158" w:lineRule="exact"/>
              <w:rPr>
                <w:sz w:val="20"/>
                <w:szCs w:val="20"/>
                <w:color w:val="auto"/>
              </w:rPr>
            </w:pPr>
            <w:r>
              <w:rPr>
                <w:rFonts w:ascii="Arial" w:cs="Arial" w:eastAsia="Arial" w:hAnsi="Arial"/>
                <w:sz w:val="14"/>
                <w:szCs w:val="14"/>
                <w:b w:val="1"/>
                <w:bCs w:val="1"/>
                <w:color w:val="009FE3"/>
                <w:w w:val="99"/>
              </w:rPr>
              <w:t>Restricted Stock</w:t>
            </w:r>
          </w:p>
        </w:tc>
        <w:tc>
          <w:tcPr>
            <w:tcW w:w="254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009FE3"/>
              </w:rPr>
              <w:t>Underlying Options</w:t>
            </w:r>
          </w:p>
        </w:tc>
      </w:tr>
      <w:tr>
        <w:trPr>
          <w:trHeight w:val="193"/>
        </w:trPr>
        <w:tc>
          <w:tcPr>
            <w:tcW w:w="5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 or Group</w:t>
            </w:r>
          </w:p>
        </w:tc>
        <w:tc>
          <w:tcPr>
            <w:tcW w:w="2600" w:type="dxa"/>
            <w:vAlign w:val="bottom"/>
            <w:tcBorders>
              <w:bottom w:val="single" w:sz="8" w:color="009FE3"/>
              <w:right w:val="single" w:sz="8" w:color="E8EAEB"/>
            </w:tcBorders>
            <w:gridSpan w:val="5"/>
          </w:tcPr>
          <w:p>
            <w:pPr>
              <w:jc w:val="center"/>
              <w:spacing w:after="0"/>
              <w:rPr>
                <w:sz w:val="20"/>
                <w:szCs w:val="20"/>
                <w:color w:val="auto"/>
              </w:rPr>
            </w:pPr>
            <w:r>
              <w:rPr>
                <w:rFonts w:ascii="Arial" w:cs="Arial" w:eastAsia="Arial" w:hAnsi="Arial"/>
                <w:sz w:val="14"/>
                <w:szCs w:val="14"/>
                <w:b w:val="1"/>
                <w:bCs w:val="1"/>
                <w:color w:val="009FE3"/>
                <w:w w:val="99"/>
              </w:rPr>
              <w:t>Units Granted (#) (1)</w:t>
            </w:r>
          </w:p>
        </w:tc>
        <w:tc>
          <w:tcPr>
            <w:tcW w:w="1780" w:type="dxa"/>
            <w:vAlign w:val="bottom"/>
            <w:tcBorders>
              <w:bottom w:val="single" w:sz="8" w:color="009FE3"/>
            </w:tcBorders>
            <w:gridSpan w:val="3"/>
          </w:tcPr>
          <w:p>
            <w:pPr>
              <w:jc w:val="center"/>
              <w:ind w:left="663"/>
              <w:spacing w:after="0"/>
              <w:rPr>
                <w:sz w:val="20"/>
                <w:szCs w:val="20"/>
                <w:color w:val="auto"/>
              </w:rPr>
            </w:pPr>
            <w:r>
              <w:rPr>
                <w:rFonts w:ascii="Arial" w:cs="Arial" w:eastAsia="Arial" w:hAnsi="Arial"/>
                <w:sz w:val="14"/>
                <w:szCs w:val="14"/>
                <w:b w:val="1"/>
                <w:bCs w:val="1"/>
                <w:color w:val="009FE3"/>
              </w:rPr>
              <w:t>Granted (#) (1)</w:t>
            </w:r>
          </w:p>
        </w:tc>
        <w:tc>
          <w:tcPr>
            <w:tcW w:w="80" w:type="dxa"/>
            <w:vAlign w:val="bottom"/>
            <w:tcBorders>
              <w:bottom w:val="single" w:sz="8" w:color="009FE3"/>
            </w:tcBorders>
          </w:tcPr>
          <w:p>
            <w:pPr>
              <w:spacing w:after="0"/>
              <w:rPr>
                <w:sz w:val="16"/>
                <w:szCs w:val="16"/>
                <w:color w:val="auto"/>
              </w:rPr>
            </w:pPr>
          </w:p>
        </w:tc>
        <w:tc>
          <w:tcPr>
            <w:tcW w:w="680" w:type="dxa"/>
            <w:vAlign w:val="bottom"/>
            <w:tcBorders>
              <w:bottom w:val="single" w:sz="8" w:color="009FE3"/>
            </w:tcBorders>
          </w:tcPr>
          <w:p>
            <w:pPr>
              <w:spacing w:after="0"/>
              <w:rPr>
                <w:sz w:val="16"/>
                <w:szCs w:val="16"/>
                <w:color w:val="auto"/>
              </w:rPr>
            </w:pPr>
          </w:p>
        </w:tc>
      </w:tr>
      <w:tr>
        <w:trPr>
          <w:trHeight w:val="241"/>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1480" w:type="dxa"/>
            <w:vAlign w:val="bottom"/>
          </w:tcPr>
          <w:p>
            <w:pPr>
              <w:jc w:val="right"/>
              <w:spacing w:after="0"/>
              <w:rPr>
                <w:sz w:val="20"/>
                <w:szCs w:val="20"/>
                <w:color w:val="auto"/>
              </w:rPr>
            </w:pPr>
            <w:r>
              <w:rPr>
                <w:rFonts w:ascii="Arial" w:cs="Arial" w:eastAsia="Arial" w:hAnsi="Arial"/>
                <w:sz w:val="16"/>
                <w:szCs w:val="16"/>
                <w:color w:val="202E39"/>
              </w:rPr>
              <w:t>84,043 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150,000 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 Guru Gowrappan</w:t>
            </w:r>
          </w:p>
        </w:tc>
        <w:tc>
          <w:tcPr>
            <w:tcW w:w="1480" w:type="dxa"/>
            <w:vAlign w:val="bottom"/>
          </w:tcPr>
          <w:p>
            <w:pPr>
              <w:jc w:val="right"/>
              <w:spacing w:after="0"/>
              <w:rPr>
                <w:sz w:val="20"/>
                <w:szCs w:val="20"/>
                <w:color w:val="auto"/>
              </w:rPr>
            </w:pPr>
            <w:r>
              <w:rPr>
                <w:rFonts w:ascii="Arial" w:cs="Arial" w:eastAsia="Arial" w:hAnsi="Arial"/>
                <w:sz w:val="16"/>
                <w:szCs w:val="16"/>
                <w:color w:val="202E39"/>
              </w:rPr>
              <w:t>212,298 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457,923 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1480" w:type="dxa"/>
            <w:vAlign w:val="bottom"/>
          </w:tcPr>
          <w:p>
            <w:pPr>
              <w:jc w:val="right"/>
              <w:spacing w:after="0"/>
              <w:rPr>
                <w:sz w:val="20"/>
                <w:szCs w:val="20"/>
                <w:color w:val="auto"/>
              </w:rPr>
            </w:pPr>
            <w:r>
              <w:rPr>
                <w:rFonts w:ascii="Arial" w:cs="Arial" w:eastAsia="Arial" w:hAnsi="Arial"/>
                <w:sz w:val="16"/>
                <w:szCs w:val="16"/>
                <w:color w:val="202E39"/>
              </w:rPr>
              <w:t>20,615 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43,500 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Kevin Harkenrider</w:t>
            </w:r>
          </w:p>
        </w:tc>
        <w:tc>
          <w:tcPr>
            <w:tcW w:w="1480" w:type="dxa"/>
            <w:vAlign w:val="bottom"/>
          </w:tcPr>
          <w:p>
            <w:pPr>
              <w:jc w:val="right"/>
              <w:spacing w:after="0"/>
              <w:rPr>
                <w:sz w:val="20"/>
                <w:szCs w:val="20"/>
                <w:color w:val="auto"/>
              </w:rPr>
            </w:pPr>
            <w:r>
              <w:rPr>
                <w:rFonts w:ascii="Arial" w:cs="Arial" w:eastAsia="Arial" w:hAnsi="Arial"/>
                <w:sz w:val="16"/>
                <w:szCs w:val="16"/>
                <w:color w:val="202E39"/>
              </w:rPr>
              <w:t>29,450 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43,500 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Craig Miller</w:t>
            </w:r>
          </w:p>
        </w:tc>
        <w:tc>
          <w:tcPr>
            <w:tcW w:w="1480" w:type="dxa"/>
            <w:vAlign w:val="bottom"/>
          </w:tcPr>
          <w:p>
            <w:pPr>
              <w:jc w:val="right"/>
              <w:spacing w:after="0"/>
              <w:rPr>
                <w:sz w:val="20"/>
                <w:szCs w:val="20"/>
                <w:color w:val="auto"/>
              </w:rPr>
            </w:pPr>
            <w:r>
              <w:rPr>
                <w:rFonts w:ascii="Arial" w:cs="Arial" w:eastAsia="Arial" w:hAnsi="Arial"/>
                <w:sz w:val="16"/>
                <w:szCs w:val="16"/>
                <w:color w:val="202E39"/>
              </w:rPr>
              <w:t>17,670 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50,000 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Dave Ryan</w:t>
            </w:r>
          </w:p>
        </w:tc>
        <w:tc>
          <w:tcPr>
            <w:tcW w:w="1480" w:type="dxa"/>
            <w:vAlign w:val="bottom"/>
          </w:tcPr>
          <w:p>
            <w:pPr>
              <w:jc w:val="right"/>
              <w:spacing w:after="0"/>
              <w:rPr>
                <w:sz w:val="20"/>
                <w:szCs w:val="20"/>
                <w:color w:val="auto"/>
              </w:rPr>
            </w:pPr>
            <w:r>
              <w:rPr>
                <w:rFonts w:ascii="Arial" w:cs="Arial" w:eastAsia="Arial" w:hAnsi="Arial"/>
                <w:sz w:val="16"/>
                <w:szCs w:val="16"/>
                <w:color w:val="202E39"/>
              </w:rPr>
              <w:t>14,725 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 xml:space="preserve">— 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All current executive officers, as a group (12 persons)</w:t>
            </w:r>
          </w:p>
        </w:tc>
        <w:tc>
          <w:tcPr>
            <w:tcW w:w="1480" w:type="dxa"/>
            <w:vAlign w:val="bottom"/>
          </w:tcPr>
          <w:p>
            <w:pPr>
              <w:jc w:val="right"/>
              <w:spacing w:after="0"/>
              <w:rPr>
                <w:sz w:val="20"/>
                <w:szCs w:val="20"/>
                <w:color w:val="auto"/>
              </w:rPr>
            </w:pPr>
            <w:r>
              <w:rPr>
                <w:rFonts w:ascii="Arial" w:cs="Arial" w:eastAsia="Arial" w:hAnsi="Arial"/>
                <w:sz w:val="16"/>
                <w:szCs w:val="16"/>
                <w:color w:val="202E39"/>
              </w:rPr>
              <w:t>484,206 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1,050,423 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All current directors who are not executive officers, as a group (8 persons)</w:t>
            </w:r>
          </w:p>
        </w:tc>
        <w:tc>
          <w:tcPr>
            <w:tcW w:w="1480" w:type="dxa"/>
            <w:vAlign w:val="bottom"/>
          </w:tcPr>
          <w:p>
            <w:pPr>
              <w:jc w:val="right"/>
              <w:spacing w:after="0"/>
              <w:rPr>
                <w:sz w:val="20"/>
                <w:szCs w:val="20"/>
                <w:color w:val="auto"/>
              </w:rPr>
            </w:pPr>
            <w:r>
              <w:rPr>
                <w:rFonts w:ascii="Arial" w:cs="Arial" w:eastAsia="Arial" w:hAnsi="Arial"/>
                <w:sz w:val="16"/>
                <w:szCs w:val="16"/>
                <w:color w:val="202E39"/>
              </w:rPr>
              <w:t>60,030 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58,000 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All nominees for election as a director (3 persons)</w:t>
            </w:r>
          </w:p>
        </w:tc>
        <w:tc>
          <w:tcPr>
            <w:tcW w:w="1480" w:type="dxa"/>
            <w:vAlign w:val="bottom"/>
          </w:tcPr>
          <w:p>
            <w:pPr>
              <w:jc w:val="right"/>
              <w:spacing w:after="0"/>
              <w:rPr>
                <w:sz w:val="20"/>
                <w:szCs w:val="20"/>
                <w:color w:val="auto"/>
              </w:rPr>
            </w:pPr>
            <w:r>
              <w:rPr>
                <w:rFonts w:ascii="Arial" w:cs="Arial" w:eastAsia="Arial" w:hAnsi="Arial"/>
                <w:sz w:val="16"/>
                <w:szCs w:val="16"/>
                <w:color w:val="202E39"/>
              </w:rPr>
              <w:t>7,800 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24,000 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Each associate of any such directors, executive officers or nominees</w:t>
            </w:r>
          </w:p>
        </w:tc>
        <w:tc>
          <w:tcPr>
            <w:tcW w:w="1480" w:type="dxa"/>
            <w:vAlign w:val="bottom"/>
          </w:tcPr>
          <w:p>
            <w:pPr>
              <w:jc w:val="center"/>
              <w:ind w:left="1005"/>
              <w:spacing w:after="0"/>
              <w:rPr>
                <w:sz w:val="20"/>
                <w:szCs w:val="20"/>
                <w:color w:val="auto"/>
              </w:rPr>
            </w:pPr>
            <w:r>
              <w:rPr>
                <w:rFonts w:ascii="Arial" w:cs="Arial" w:eastAsia="Arial" w:hAnsi="Arial"/>
                <w:sz w:val="14"/>
                <w:szCs w:val="14"/>
                <w:color w:val="202E39"/>
                <w:w w:val="71"/>
              </w:rPr>
              <w:t>— </w:t>
            </w: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    </w:t>
            </w:r>
          </w:p>
        </w:tc>
        <w:tc>
          <w:tcPr>
            <w:tcW w:w="1540" w:type="dxa"/>
            <w:vAlign w:val="bottom"/>
          </w:tcPr>
          <w:p>
            <w:pPr>
              <w:jc w:val="right"/>
              <w:ind w:right="3"/>
              <w:spacing w:after="0"/>
              <w:rPr>
                <w:sz w:val="20"/>
                <w:szCs w:val="20"/>
                <w:color w:val="auto"/>
              </w:rPr>
            </w:pPr>
            <w:r>
              <w:rPr>
                <w:rFonts w:ascii="Arial" w:cs="Arial" w:eastAsia="Arial" w:hAnsi="Arial"/>
                <w:sz w:val="16"/>
                <w:szCs w:val="16"/>
                <w:color w:val="202E39"/>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202E39"/>
              </w:rPr>
              <w:t>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18"/>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Each other person who received or is to receive 5% of such options, warrants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E8EAEB"/>
            </w:tcBorders>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7"/>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or rights</w:t>
            </w:r>
          </w:p>
        </w:tc>
        <w:tc>
          <w:tcPr>
            <w:tcW w:w="1480" w:type="dxa"/>
            <w:vAlign w:val="bottom"/>
          </w:tcPr>
          <w:p>
            <w:pPr>
              <w:jc w:val="center"/>
              <w:ind w:left="1005"/>
              <w:spacing w:after="0"/>
              <w:rPr>
                <w:sz w:val="20"/>
                <w:szCs w:val="20"/>
                <w:color w:val="auto"/>
              </w:rPr>
            </w:pPr>
            <w:r>
              <w:rPr>
                <w:rFonts w:ascii="Arial" w:cs="Arial" w:eastAsia="Arial" w:hAnsi="Arial"/>
                <w:sz w:val="14"/>
                <w:szCs w:val="14"/>
                <w:color w:val="202E39"/>
                <w:w w:val="71"/>
              </w:rPr>
              <w:t>— </w:t>
            </w: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17"/>
                <w:szCs w:val="17"/>
                <w:color w:val="auto"/>
              </w:rPr>
            </w:pPr>
          </w:p>
        </w:tc>
        <w:tc>
          <w:tcPr>
            <w:tcW w:w="80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    </w:t>
            </w:r>
          </w:p>
        </w:tc>
        <w:tc>
          <w:tcPr>
            <w:tcW w:w="1540" w:type="dxa"/>
            <w:vAlign w:val="bottom"/>
          </w:tcPr>
          <w:p>
            <w:pPr>
              <w:jc w:val="right"/>
              <w:ind w:right="3"/>
              <w:spacing w:after="0"/>
              <w:rPr>
                <w:sz w:val="20"/>
                <w:szCs w:val="20"/>
                <w:color w:val="auto"/>
              </w:rPr>
            </w:pPr>
            <w:r>
              <w:rPr>
                <w:rFonts w:ascii="Arial" w:cs="Arial" w:eastAsia="Arial" w:hAnsi="Arial"/>
                <w:sz w:val="16"/>
                <w:szCs w:val="16"/>
                <w:color w:val="202E39"/>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202E39"/>
              </w:rPr>
              <w:t>    </w:t>
            </w:r>
          </w:p>
        </w:tc>
      </w:tr>
      <w:tr>
        <w:trPr>
          <w:trHeight w:val="42"/>
        </w:trPr>
        <w:tc>
          <w:tcPr>
            <w:tcW w:w="560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54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160" w:type="dxa"/>
            <w:vAlign w:val="bottom"/>
            <w:tcBorders>
              <w:bottom w:val="single" w:sz="8" w:color="E8EAEB"/>
            </w:tcBorders>
          </w:tcPr>
          <w:p>
            <w:pPr>
              <w:spacing w:after="0"/>
              <w:rPr>
                <w:sz w:val="3"/>
                <w:szCs w:val="3"/>
                <w:color w:val="auto"/>
              </w:rPr>
            </w:pPr>
          </w:p>
        </w:tc>
        <w:tc>
          <w:tcPr>
            <w:tcW w:w="80" w:type="dxa"/>
            <w:vAlign w:val="bottom"/>
            <w:tcBorders>
              <w:bottom w:val="single" w:sz="8" w:color="E8EAEB"/>
            </w:tcBorders>
          </w:tcPr>
          <w:p>
            <w:pPr>
              <w:spacing w:after="0"/>
              <w:rPr>
                <w:sz w:val="3"/>
                <w:szCs w:val="3"/>
                <w:color w:val="auto"/>
              </w:rPr>
            </w:pPr>
          </w:p>
        </w:tc>
        <w:tc>
          <w:tcPr>
            <w:tcW w:w="680" w:type="dxa"/>
            <w:vAlign w:val="bottom"/>
            <w:tcBorders>
              <w:bottom w:val="single" w:sz="8" w:color="E8EAEB"/>
            </w:tcBorders>
          </w:tcPr>
          <w:p>
            <w:pPr>
              <w:spacing w:after="0"/>
              <w:rPr>
                <w:sz w:val="3"/>
                <w:szCs w:val="3"/>
                <w:color w:val="auto"/>
              </w:rPr>
            </w:pPr>
          </w:p>
        </w:tc>
      </w:tr>
      <w:tr>
        <w:trPr>
          <w:trHeight w:val="240"/>
        </w:trPr>
        <w:tc>
          <w:tcPr>
            <w:tcW w:w="56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All other employees, as a group</w:t>
            </w:r>
          </w:p>
        </w:tc>
        <w:tc>
          <w:tcPr>
            <w:tcW w:w="1480" w:type="dxa"/>
            <w:vAlign w:val="bottom"/>
          </w:tcPr>
          <w:p>
            <w:pPr>
              <w:jc w:val="right"/>
              <w:spacing w:after="0"/>
              <w:rPr>
                <w:sz w:val="20"/>
                <w:szCs w:val="20"/>
                <w:color w:val="auto"/>
              </w:rPr>
            </w:pPr>
            <w:r>
              <w:rPr>
                <w:rFonts w:ascii="Arial" w:cs="Arial" w:eastAsia="Arial" w:hAnsi="Arial"/>
                <w:sz w:val="16"/>
                <w:szCs w:val="16"/>
                <w:color w:val="202E39"/>
              </w:rPr>
              <w:t>907,431 </w:t>
            </w:r>
          </w:p>
        </w:tc>
        <w:tc>
          <w:tcPr>
            <w:tcW w:w="160" w:type="dxa"/>
            <w:vAlign w:val="bottom"/>
          </w:tcPr>
          <w:p>
            <w:pPr>
              <w:ind w:left="100"/>
              <w:spacing w:after="0"/>
              <w:rPr>
                <w:sz w:val="20"/>
                <w:szCs w:val="20"/>
                <w:color w:val="auto"/>
              </w:rPr>
            </w:pPr>
            <w:r>
              <w:rPr>
                <w:rFonts w:ascii="Arial" w:cs="Arial" w:eastAsia="Arial" w:hAnsi="Arial"/>
                <w:sz w:val="5"/>
                <w:szCs w:val="5"/>
                <w:color w:val="202E39"/>
                <w:w w:val="79"/>
              </w:rPr>
              <w:t> </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800" w:type="dxa"/>
            <w:vAlign w:val="bottom"/>
            <w:tcBorders>
              <w:right w:val="single" w:sz="8" w:color="E8EAEB"/>
            </w:tcBorders>
          </w:tcPr>
          <w:p>
            <w:pPr>
              <w:ind w:left="100"/>
              <w:spacing w:after="0"/>
              <w:rPr>
                <w:sz w:val="20"/>
                <w:szCs w:val="20"/>
                <w:color w:val="auto"/>
              </w:rPr>
            </w:pPr>
            <w:r>
              <w:rPr>
                <w:rFonts w:ascii="Arial" w:cs="Arial" w:eastAsia="Arial" w:hAnsi="Arial"/>
                <w:sz w:val="16"/>
                <w:szCs w:val="16"/>
                <w:color w:val="202E39"/>
              </w:rPr>
              <w:t xml:space="preserve">   </w:t>
            </w:r>
          </w:p>
        </w:tc>
        <w:tc>
          <w:tcPr>
            <w:tcW w:w="1540" w:type="dxa"/>
            <w:vAlign w:val="bottom"/>
          </w:tcPr>
          <w:p>
            <w:pPr>
              <w:jc w:val="right"/>
              <w:spacing w:after="0"/>
              <w:rPr>
                <w:sz w:val="20"/>
                <w:szCs w:val="20"/>
                <w:color w:val="auto"/>
              </w:rPr>
            </w:pPr>
            <w:r>
              <w:rPr>
                <w:rFonts w:ascii="Arial" w:cs="Arial" w:eastAsia="Arial" w:hAnsi="Arial"/>
                <w:sz w:val="16"/>
                <w:szCs w:val="16"/>
                <w:color w:val="202E39"/>
              </w:rPr>
              <w:t>463,500 </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202E39"/>
                <w:w w:val="74"/>
              </w:rPr>
              <w:t> </w:t>
            </w:r>
          </w:p>
        </w:tc>
        <w:tc>
          <w:tcPr>
            <w:tcW w:w="80" w:type="dxa"/>
            <w:vAlign w:val="bottom"/>
          </w:tcPr>
          <w:p>
            <w:pPr>
              <w:ind w:left="20"/>
              <w:spacing w:after="0"/>
              <w:rPr>
                <w:sz w:val="20"/>
                <w:szCs w:val="20"/>
                <w:color w:val="auto"/>
              </w:rPr>
            </w:pPr>
            <w:r>
              <w:rPr>
                <w:rFonts w:ascii="Arial" w:cs="Arial" w:eastAsia="Arial" w:hAnsi="Arial"/>
                <w:sz w:val="5"/>
                <w:szCs w:val="5"/>
                <w:color w:val="202E39"/>
                <w:w w:val="79"/>
              </w:rPr>
              <w:t> </w:t>
            </w:r>
          </w:p>
        </w:tc>
        <w:tc>
          <w:tcPr>
            <w:tcW w:w="680" w:type="dxa"/>
            <w:vAlign w:val="bottom"/>
          </w:tcPr>
          <w:p>
            <w:pPr>
              <w:ind w:left="100"/>
              <w:spacing w:after="0"/>
              <w:rPr>
                <w:sz w:val="20"/>
                <w:szCs w:val="20"/>
                <w:color w:val="auto"/>
              </w:rPr>
            </w:pPr>
            <w:r>
              <w:rPr>
                <w:rFonts w:ascii="Arial" w:cs="Arial" w:eastAsia="Arial" w:hAnsi="Arial"/>
                <w:sz w:val="16"/>
                <w:szCs w:val="16"/>
                <w:color w:val="202E39"/>
              </w:rPr>
              <w:t xml:space="preserve">   </w:t>
            </w:r>
          </w:p>
        </w:tc>
      </w:tr>
      <w:tr>
        <w:trPr>
          <w:trHeight w:val="42"/>
        </w:trPr>
        <w:tc>
          <w:tcPr>
            <w:tcW w:w="560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tcBorders>
          </w:tcPr>
          <w:p>
            <w:pPr>
              <w:spacing w:after="0"/>
              <w:rPr>
                <w:sz w:val="3"/>
                <w:szCs w:val="3"/>
                <w:color w:val="auto"/>
              </w:rPr>
            </w:pPr>
          </w:p>
        </w:tc>
        <w:tc>
          <w:tcPr>
            <w:tcW w:w="160" w:type="dxa"/>
            <w:vAlign w:val="bottom"/>
            <w:tcBorders>
              <w:bottom w:val="single" w:sz="8" w:color="009FE3"/>
            </w:tcBorders>
          </w:tcPr>
          <w:p>
            <w:pPr>
              <w:spacing w:after="0"/>
              <w:rPr>
                <w:sz w:val="3"/>
                <w:szCs w:val="3"/>
                <w:color w:val="auto"/>
              </w:rPr>
            </w:pPr>
          </w:p>
        </w:tc>
        <w:tc>
          <w:tcPr>
            <w:tcW w:w="80" w:type="dxa"/>
            <w:vAlign w:val="bottom"/>
            <w:tcBorders>
              <w:bottom w:val="single" w:sz="8" w:color="009FE3"/>
            </w:tcBorders>
          </w:tcPr>
          <w:p>
            <w:pPr>
              <w:spacing w:after="0"/>
              <w:rPr>
                <w:sz w:val="3"/>
                <w:szCs w:val="3"/>
                <w:color w:val="auto"/>
              </w:rPr>
            </w:pPr>
          </w:p>
        </w:tc>
        <w:tc>
          <w:tcPr>
            <w:tcW w:w="80" w:type="dxa"/>
            <w:vAlign w:val="bottom"/>
            <w:tcBorders>
              <w:bottom w:val="single" w:sz="8" w:color="009FE3"/>
            </w:tcBorders>
          </w:tcPr>
          <w:p>
            <w:pPr>
              <w:spacing w:after="0"/>
              <w:rPr>
                <w:sz w:val="3"/>
                <w:szCs w:val="3"/>
                <w:color w:val="auto"/>
              </w:rPr>
            </w:pPr>
          </w:p>
        </w:tc>
        <w:tc>
          <w:tcPr>
            <w:tcW w:w="800" w:type="dxa"/>
            <w:vAlign w:val="bottom"/>
            <w:tcBorders>
              <w:bottom w:val="single" w:sz="8" w:color="009FE3"/>
              <w:right w:val="single" w:sz="8" w:color="E8EAEB"/>
            </w:tcBorders>
          </w:tcPr>
          <w:p>
            <w:pPr>
              <w:spacing w:after="0"/>
              <w:rPr>
                <w:sz w:val="3"/>
                <w:szCs w:val="3"/>
                <w:color w:val="auto"/>
              </w:rPr>
            </w:pPr>
          </w:p>
        </w:tc>
        <w:tc>
          <w:tcPr>
            <w:tcW w:w="1540" w:type="dxa"/>
            <w:vAlign w:val="bottom"/>
            <w:tcBorders>
              <w:bottom w:val="single" w:sz="8" w:color="009FE3"/>
            </w:tcBorders>
          </w:tcPr>
          <w:p>
            <w:pPr>
              <w:spacing w:after="0"/>
              <w:rPr>
                <w:sz w:val="3"/>
                <w:szCs w:val="3"/>
                <w:color w:val="auto"/>
              </w:rPr>
            </w:pPr>
          </w:p>
        </w:tc>
        <w:tc>
          <w:tcPr>
            <w:tcW w:w="80" w:type="dxa"/>
            <w:vAlign w:val="bottom"/>
            <w:tcBorders>
              <w:bottom w:val="single" w:sz="8" w:color="009FE3"/>
            </w:tcBorders>
          </w:tcPr>
          <w:p>
            <w:pPr>
              <w:spacing w:after="0"/>
              <w:rPr>
                <w:sz w:val="3"/>
                <w:szCs w:val="3"/>
                <w:color w:val="auto"/>
              </w:rPr>
            </w:pPr>
          </w:p>
        </w:tc>
        <w:tc>
          <w:tcPr>
            <w:tcW w:w="160" w:type="dxa"/>
            <w:vAlign w:val="bottom"/>
            <w:tcBorders>
              <w:bottom w:val="single" w:sz="8" w:color="009FE3"/>
            </w:tcBorders>
          </w:tcPr>
          <w:p>
            <w:pPr>
              <w:spacing w:after="0"/>
              <w:rPr>
                <w:sz w:val="3"/>
                <w:szCs w:val="3"/>
                <w:color w:val="auto"/>
              </w:rPr>
            </w:pPr>
          </w:p>
        </w:tc>
        <w:tc>
          <w:tcPr>
            <w:tcW w:w="80" w:type="dxa"/>
            <w:vAlign w:val="bottom"/>
            <w:tcBorders>
              <w:bottom w:val="single" w:sz="8" w:color="009FE3"/>
            </w:tcBorders>
          </w:tcPr>
          <w:p>
            <w:pPr>
              <w:spacing w:after="0"/>
              <w:rPr>
                <w:sz w:val="3"/>
                <w:szCs w:val="3"/>
                <w:color w:val="auto"/>
              </w:rPr>
            </w:pPr>
          </w:p>
        </w:tc>
        <w:tc>
          <w:tcPr>
            <w:tcW w:w="680" w:type="dxa"/>
            <w:vAlign w:val="bottom"/>
            <w:tcBorders>
              <w:bottom w:val="single" w:sz="8" w:color="009FE3"/>
            </w:tcBorders>
          </w:tcPr>
          <w:p>
            <w:pPr>
              <w:spacing w:after="0"/>
              <w:rPr>
                <w:sz w:val="3"/>
                <w:szCs w:val="3"/>
                <w:color w:val="auto"/>
              </w:rPr>
            </w:pPr>
          </w:p>
        </w:tc>
      </w:tr>
    </w:tbl>
    <w:p>
      <w:pPr>
        <w:spacing w:after="0" w:line="109" w:lineRule="exact"/>
        <w:rPr>
          <w:sz w:val="20"/>
          <w:szCs w:val="20"/>
          <w:color w:val="auto"/>
        </w:rPr>
      </w:pPr>
    </w:p>
    <w:p>
      <w:pPr>
        <w:ind w:left="680" w:right="600" w:hanging="419"/>
        <w:spacing w:after="0" w:line="270" w:lineRule="auto"/>
        <w:tabs>
          <w:tab w:leader="none" w:pos="68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For purposes of the table above, market-based performance stock options are included at “target” levels. For a more detailed discussion of the market-based performance stock options, see the “Executive Compensation” section below.</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Recommendation of the Board</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Board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Equity Plan.</w:t>
      </w:r>
    </w:p>
    <w:p>
      <w:pPr>
        <w:spacing w:after="0" w:line="149"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29</w:t>
      </w:r>
    </w:p>
    <w:p>
      <w:pPr>
        <w:sectPr>
          <w:pgSz w:w="11900" w:h="16838" w:orient="portrait"/>
          <w:cols w:equalWidth="0" w:num="1">
            <w:col w:w="11000"/>
          </w:cols>
          <w:pgMar w:left="320" w:top="474" w:right="5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OWNERSHIP OF SECURITIES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Beneficial Ownership Table</w:t>
      </w:r>
    </w:p>
    <w:p>
      <w:pPr>
        <w:spacing w:after="0" w:line="124" w:lineRule="exact"/>
        <w:rPr>
          <w:sz w:val="20"/>
          <w:szCs w:val="20"/>
          <w:color w:val="auto"/>
        </w:rPr>
      </w:pPr>
    </w:p>
    <w:p>
      <w:pPr>
        <w:jc w:val="both"/>
        <w:ind w:left="260" w:right="20"/>
        <w:spacing w:after="0" w:line="254" w:lineRule="auto"/>
        <w:rPr>
          <w:sz w:val="20"/>
          <w:szCs w:val="20"/>
          <w:color w:val="auto"/>
        </w:rPr>
      </w:pPr>
      <w:r>
        <w:rPr>
          <w:rFonts w:ascii="Arial" w:cs="Arial" w:eastAsia="Arial" w:hAnsi="Arial"/>
          <w:sz w:val="16"/>
          <w:szCs w:val="16"/>
          <w:color w:val="202E39"/>
        </w:rPr>
        <w:t>The following table sets forth information known to us regarding the ownership of Viasat common stock as of July 1, 2024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040" w:type="dxa"/>
            <w:vAlign w:val="bottom"/>
            <w:tcBorders>
              <w:top w:val="single" w:sz="8" w:color="E8EAEB"/>
              <w:right w:val="single" w:sz="8" w:color="E8EAEB"/>
            </w:tcBorders>
          </w:tcPr>
          <w:p>
            <w:pPr>
              <w:spacing w:after="0"/>
              <w:rPr>
                <w:sz w:val="15"/>
                <w:szCs w:val="15"/>
                <w:color w:val="auto"/>
              </w:rPr>
            </w:pPr>
          </w:p>
        </w:tc>
        <w:tc>
          <w:tcPr>
            <w:tcW w:w="1780" w:type="dxa"/>
            <w:vAlign w:val="bottom"/>
            <w:tcBorders>
              <w:top w:val="single" w:sz="8" w:color="E8EAEB"/>
              <w:right w:val="single" w:sz="8" w:color="E8EAEB"/>
            </w:tcBorders>
            <w:gridSpan w:val="2"/>
          </w:tcPr>
          <w:p>
            <w:pPr>
              <w:jc w:val="center"/>
              <w:ind w:left="82"/>
              <w:spacing w:after="0"/>
              <w:rPr>
                <w:sz w:val="20"/>
                <w:szCs w:val="20"/>
                <w:color w:val="auto"/>
              </w:rPr>
            </w:pPr>
            <w:r>
              <w:rPr>
                <w:rFonts w:ascii="Arial" w:cs="Arial" w:eastAsia="Arial" w:hAnsi="Arial"/>
                <w:sz w:val="14"/>
                <w:szCs w:val="14"/>
                <w:b w:val="1"/>
                <w:bCs w:val="1"/>
                <w:color w:val="009FE3"/>
              </w:rPr>
              <w:t>Amount and Nature</w:t>
            </w:r>
          </w:p>
        </w:tc>
        <w:tc>
          <w:tcPr>
            <w:tcW w:w="1920" w:type="dxa"/>
            <w:vAlign w:val="bottom"/>
            <w:tcBorders>
              <w:top w:val="single" w:sz="8" w:color="E8EAEB"/>
            </w:tcBorders>
            <w:gridSpan w:val="4"/>
          </w:tcPr>
          <w:p>
            <w:pPr>
              <w:jc w:val="center"/>
              <w:ind w:right="61"/>
              <w:spacing w:after="0"/>
              <w:rPr>
                <w:sz w:val="20"/>
                <w:szCs w:val="20"/>
                <w:color w:val="auto"/>
              </w:rPr>
            </w:pPr>
            <w:r>
              <w:rPr>
                <w:rFonts w:ascii="Arial" w:cs="Arial" w:eastAsia="Arial" w:hAnsi="Arial"/>
                <w:sz w:val="14"/>
                <w:szCs w:val="14"/>
                <w:b w:val="1"/>
                <w:bCs w:val="1"/>
                <w:color w:val="009FE3"/>
              </w:rPr>
              <w:t>Percent Beneficial</w:t>
            </w:r>
          </w:p>
        </w:tc>
        <w:tc>
          <w:tcPr>
            <w:tcW w:w="0" w:type="dxa"/>
            <w:vAlign w:val="bottom"/>
          </w:tcPr>
          <w:p>
            <w:pPr>
              <w:spacing w:after="0"/>
              <w:rPr>
                <w:sz w:val="1"/>
                <w:szCs w:val="1"/>
                <w:color w:val="auto"/>
              </w:rPr>
            </w:pPr>
          </w:p>
        </w:tc>
      </w:tr>
      <w:tr>
        <w:trPr>
          <w:trHeight w:val="158"/>
        </w:trPr>
        <w:tc>
          <w:tcPr>
            <w:tcW w:w="7040" w:type="dxa"/>
            <w:vAlign w:val="bottom"/>
            <w:tcBorders>
              <w:right w:val="single" w:sz="8" w:color="E8EAEB"/>
            </w:tcBorders>
          </w:tcPr>
          <w:p>
            <w:pPr>
              <w:spacing w:after="0"/>
              <w:rPr>
                <w:sz w:val="13"/>
                <w:szCs w:val="13"/>
                <w:color w:val="auto"/>
              </w:rPr>
            </w:pPr>
          </w:p>
        </w:tc>
        <w:tc>
          <w:tcPr>
            <w:tcW w:w="1380" w:type="dxa"/>
            <w:vAlign w:val="bottom"/>
          </w:tcPr>
          <w:p>
            <w:pPr>
              <w:jc w:val="center"/>
              <w:ind w:left="462"/>
              <w:spacing w:after="0" w:line="158" w:lineRule="exact"/>
              <w:rPr>
                <w:sz w:val="20"/>
                <w:szCs w:val="20"/>
                <w:color w:val="auto"/>
              </w:rPr>
            </w:pPr>
            <w:r>
              <w:rPr>
                <w:rFonts w:ascii="Arial" w:cs="Arial" w:eastAsia="Arial" w:hAnsi="Arial"/>
                <w:sz w:val="14"/>
                <w:szCs w:val="14"/>
                <w:b w:val="1"/>
                <w:bCs w:val="1"/>
                <w:color w:val="009FE3"/>
              </w:rPr>
              <w:t>of Beneficial</w:t>
            </w:r>
          </w:p>
        </w:tc>
        <w:tc>
          <w:tcPr>
            <w:tcW w:w="400" w:type="dxa"/>
            <w:vAlign w:val="bottom"/>
            <w:tcBorders>
              <w:right w:val="single" w:sz="8" w:color="E8EAEB"/>
            </w:tcBorders>
          </w:tcPr>
          <w:p>
            <w:pPr>
              <w:spacing w:after="0"/>
              <w:rPr>
                <w:sz w:val="13"/>
                <w:szCs w:val="13"/>
                <w:color w:val="auto"/>
              </w:rPr>
            </w:pPr>
          </w:p>
        </w:tc>
        <w:tc>
          <w:tcPr>
            <w:tcW w:w="1300" w:type="dxa"/>
            <w:vAlign w:val="bottom"/>
            <w:gridSpan w:val="2"/>
          </w:tcPr>
          <w:p>
            <w:pPr>
              <w:jc w:val="center"/>
              <w:ind w:left="382"/>
              <w:spacing w:after="0" w:line="158" w:lineRule="exact"/>
              <w:rPr>
                <w:sz w:val="20"/>
                <w:szCs w:val="20"/>
                <w:color w:val="auto"/>
              </w:rPr>
            </w:pPr>
            <w:r>
              <w:rPr>
                <w:rFonts w:ascii="Arial" w:cs="Arial" w:eastAsia="Arial" w:hAnsi="Arial"/>
                <w:sz w:val="14"/>
                <w:szCs w:val="14"/>
                <w:b w:val="1"/>
                <w:bCs w:val="1"/>
                <w:color w:val="009FE3"/>
                <w:w w:val="99"/>
              </w:rPr>
              <w:t>Ownership</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0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 of Beneficial Owner (1)</w:t>
            </w:r>
          </w:p>
        </w:tc>
        <w:tc>
          <w:tcPr>
            <w:tcW w:w="1780" w:type="dxa"/>
            <w:vAlign w:val="bottom"/>
            <w:tcBorders>
              <w:bottom w:val="single" w:sz="8" w:color="009FE3"/>
              <w:right w:val="single" w:sz="8" w:color="E8EAEB"/>
            </w:tcBorders>
            <w:gridSpan w:val="2"/>
          </w:tcPr>
          <w:p>
            <w:pPr>
              <w:jc w:val="center"/>
              <w:ind w:left="82"/>
              <w:spacing w:after="0"/>
              <w:rPr>
                <w:sz w:val="20"/>
                <w:szCs w:val="20"/>
                <w:color w:val="auto"/>
              </w:rPr>
            </w:pPr>
            <w:r>
              <w:rPr>
                <w:rFonts w:ascii="Arial" w:cs="Arial" w:eastAsia="Arial" w:hAnsi="Arial"/>
                <w:sz w:val="14"/>
                <w:szCs w:val="14"/>
                <w:b w:val="1"/>
                <w:bCs w:val="1"/>
                <w:color w:val="009FE3"/>
              </w:rPr>
              <w:t>Ownership (2)</w:t>
            </w:r>
          </w:p>
        </w:tc>
        <w:tc>
          <w:tcPr>
            <w:tcW w:w="1140" w:type="dxa"/>
            <w:vAlign w:val="bottom"/>
            <w:tcBorders>
              <w:bottom w:val="single" w:sz="8" w:color="009FE3"/>
            </w:tcBorders>
          </w:tcPr>
          <w:p>
            <w:pPr>
              <w:jc w:val="center"/>
              <w:ind w:left="562"/>
              <w:spacing w:after="0"/>
              <w:rPr>
                <w:sz w:val="20"/>
                <w:szCs w:val="20"/>
                <w:color w:val="auto"/>
              </w:rPr>
            </w:pPr>
            <w:r>
              <w:rPr>
                <w:rFonts w:ascii="Arial" w:cs="Arial" w:eastAsia="Arial" w:hAnsi="Arial"/>
                <w:sz w:val="14"/>
                <w:szCs w:val="14"/>
                <w:b w:val="1"/>
                <w:bCs w:val="1"/>
                <w:color w:val="009FE3"/>
                <w:w w:val="98"/>
              </w:rPr>
              <w:t>(%) (3)</w:t>
            </w:r>
          </w:p>
        </w:tc>
        <w:tc>
          <w:tcPr>
            <w:tcW w:w="160" w:type="dxa"/>
            <w:vAlign w:val="bottom"/>
            <w:tcBorders>
              <w:bottom w:val="single" w:sz="8" w:color="009FE3"/>
            </w:tcBorders>
          </w:tcPr>
          <w:p>
            <w:pPr>
              <w:spacing w:after="0"/>
              <w:rPr>
                <w:sz w:val="17"/>
                <w:szCs w:val="17"/>
                <w:color w:val="auto"/>
              </w:rPr>
            </w:pPr>
          </w:p>
        </w:tc>
        <w:tc>
          <w:tcPr>
            <w:tcW w:w="140" w:type="dxa"/>
            <w:vAlign w:val="bottom"/>
            <w:tcBorders>
              <w:bottom w:val="single" w:sz="8" w:color="009FE3"/>
            </w:tcBorders>
          </w:tcPr>
          <w:p>
            <w:pPr>
              <w:spacing w:after="0"/>
              <w:rPr>
                <w:sz w:val="17"/>
                <w:szCs w:val="17"/>
                <w:color w:val="auto"/>
              </w:rPr>
            </w:pPr>
          </w:p>
        </w:tc>
        <w:tc>
          <w:tcPr>
            <w:tcW w:w="480" w:type="dxa"/>
            <w:vAlign w:val="bottom"/>
            <w:tcBorders>
              <w:bottom w:val="single" w:sz="8" w:color="009FE3"/>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b w:val="1"/>
                <w:bCs w:val="1"/>
                <w:color w:val="202E39"/>
              </w:rPr>
              <w:t>Directors and Officers:</w:t>
            </w:r>
          </w:p>
        </w:tc>
        <w:tc>
          <w:tcPr>
            <w:tcW w:w="1380" w:type="dxa"/>
            <w:vAlign w:val="bottom"/>
          </w:tcPr>
          <w:p>
            <w:pPr>
              <w:spacing w:after="0"/>
              <w:rPr>
                <w:sz w:val="18"/>
                <w:szCs w:val="18"/>
                <w:color w:val="auto"/>
              </w:rPr>
            </w:pPr>
          </w:p>
        </w:tc>
        <w:tc>
          <w:tcPr>
            <w:tcW w:w="400" w:type="dxa"/>
            <w:vAlign w:val="bottom"/>
            <w:tcBorders>
              <w:right w:val="single" w:sz="8" w:color="E8EAEB"/>
            </w:tcBorders>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1,742,809</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(4)</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1.4 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Robert Johnson</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721,096</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(5)</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Mark Miller</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442,286</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(6)</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Rajeev Suri</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262,051</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(7)</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Richard Baldridge</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257,614</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(8)</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Andrew Sukawaty</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105,975</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(9)</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73,736</w:t>
            </w:r>
          </w:p>
        </w:tc>
        <w:tc>
          <w:tcPr>
            <w:tcW w:w="400" w:type="dxa"/>
            <w:vAlign w:val="bottom"/>
            <w:tcBorders>
              <w:right w:val="single" w:sz="8" w:color="E8EAEB"/>
            </w:tcBorders>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John Stenbit</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50,800</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 xml:space="preserve">(10) </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David Ryan</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48,871</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(11)</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Sean Pak</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36,000</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(12)</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Kevin Harkenrider</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34,692</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(13)</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Theresa Wise</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31,800</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(14)</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James Bridenstine</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25,200</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(15)</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Craig Miller</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22,361</w:t>
            </w:r>
          </w:p>
        </w:tc>
        <w:tc>
          <w:tcPr>
            <w:tcW w:w="400" w:type="dxa"/>
            <w:vAlign w:val="bottom"/>
            <w:tcBorders>
              <w:right w:val="single" w:sz="8" w:color="E8EAEB"/>
            </w:tcBorders>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 xml:space="preserve">*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All directors, named executive officers and executive officers as a group</w:t>
            </w:r>
          </w:p>
        </w:tc>
        <w:tc>
          <w:tcPr>
            <w:tcW w:w="1380" w:type="dxa"/>
            <w:vAlign w:val="bottom"/>
          </w:tcPr>
          <w:p>
            <w:pPr>
              <w:spacing w:after="0"/>
              <w:rPr>
                <w:sz w:val="17"/>
                <w:szCs w:val="17"/>
                <w:color w:val="auto"/>
              </w:rPr>
            </w:pPr>
          </w:p>
        </w:tc>
        <w:tc>
          <w:tcPr>
            <w:tcW w:w="400" w:type="dxa"/>
            <w:vAlign w:val="bottom"/>
            <w:tcBorders>
              <w:right w:val="single" w:sz="8" w:color="E8EAEB"/>
            </w:tcBorders>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(21 persons)</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4,118,168</w:t>
            </w:r>
          </w:p>
        </w:tc>
        <w:tc>
          <w:tcPr>
            <w:tcW w:w="400" w:type="dxa"/>
            <w:vAlign w:val="bottom"/>
            <w:tcBorders>
              <w:right w:val="single" w:sz="8" w:color="E8EAEB"/>
            </w:tcBorders>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3.2 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b w:val="1"/>
                <w:bCs w:val="1"/>
                <w:color w:val="202E39"/>
              </w:rPr>
              <w:t>Other 5% Stockholders:</w:t>
            </w:r>
          </w:p>
        </w:tc>
        <w:tc>
          <w:tcPr>
            <w:tcW w:w="1380" w:type="dxa"/>
            <w:vAlign w:val="bottom"/>
          </w:tcPr>
          <w:p>
            <w:pPr>
              <w:spacing w:after="0"/>
              <w:rPr>
                <w:sz w:val="18"/>
                <w:szCs w:val="18"/>
                <w:color w:val="auto"/>
              </w:rPr>
            </w:pPr>
          </w:p>
        </w:tc>
        <w:tc>
          <w:tcPr>
            <w:tcW w:w="400" w:type="dxa"/>
            <w:vAlign w:val="bottom"/>
            <w:tcBorders>
              <w:right w:val="single" w:sz="8" w:color="E8EAEB"/>
            </w:tcBorders>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The Baupost Group, L.L.C.</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16,174,839</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(16)</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12.7 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BlackRock, Inc.</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14,763,814</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(17)</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11.6 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The Vanguard Group</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12,559,432</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(18)</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9.8 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CPP Investment Board Private Holdings (4) Inc.</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11,356,776</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(19)</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8.9 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Ontario Teachers’ Pension Plan Board</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11,356,776</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(20)</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8.9 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Triton LuxTopHolding SARL</w:t>
            </w:r>
          </w:p>
        </w:tc>
        <w:tc>
          <w:tcPr>
            <w:tcW w:w="1380" w:type="dxa"/>
            <w:vAlign w:val="bottom"/>
          </w:tcPr>
          <w:p>
            <w:pPr>
              <w:jc w:val="right"/>
              <w:ind w:right="262"/>
              <w:spacing w:after="0"/>
              <w:rPr>
                <w:sz w:val="20"/>
                <w:szCs w:val="20"/>
                <w:color w:val="auto"/>
              </w:rPr>
            </w:pPr>
            <w:r>
              <w:rPr>
                <w:rFonts w:ascii="Arial" w:cs="Arial" w:eastAsia="Arial" w:hAnsi="Arial"/>
                <w:sz w:val="16"/>
                <w:szCs w:val="16"/>
                <w:color w:val="202E39"/>
              </w:rPr>
              <w:t>11,356,776</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(21)</w:t>
            </w:r>
          </w:p>
        </w:tc>
        <w:tc>
          <w:tcPr>
            <w:tcW w:w="1140" w:type="dxa"/>
            <w:vAlign w:val="bottom"/>
          </w:tcPr>
          <w:p>
            <w:pPr>
              <w:jc w:val="right"/>
              <w:ind w:right="2"/>
              <w:spacing w:after="0"/>
              <w:rPr>
                <w:sz w:val="20"/>
                <w:szCs w:val="20"/>
                <w:color w:val="auto"/>
              </w:rPr>
            </w:pPr>
            <w:r>
              <w:rPr>
                <w:rFonts w:ascii="Arial" w:cs="Arial" w:eastAsia="Arial" w:hAnsi="Arial"/>
                <w:sz w:val="16"/>
                <w:szCs w:val="16"/>
                <w:color w:val="202E39"/>
              </w:rPr>
              <w:t>8.9 </w:t>
            </w:r>
          </w:p>
        </w:tc>
        <w:tc>
          <w:tcPr>
            <w:tcW w:w="160" w:type="dxa"/>
            <w:vAlign w:val="bottom"/>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55"/>
        </w:trPr>
        <w:tc>
          <w:tcPr>
            <w:tcW w:w="7040" w:type="dxa"/>
            <w:vAlign w:val="bottom"/>
            <w:tcBorders>
              <w:bottom w:val="single" w:sz="8" w:color="E8EAEB"/>
              <w:right w:val="single" w:sz="8" w:color="E8EAEB"/>
            </w:tcBorders>
          </w:tcPr>
          <w:p>
            <w:pPr>
              <w:spacing w:after="0"/>
              <w:rPr>
                <w:sz w:val="4"/>
                <w:szCs w:val="4"/>
                <w:color w:val="auto"/>
              </w:rPr>
            </w:pPr>
          </w:p>
        </w:tc>
        <w:tc>
          <w:tcPr>
            <w:tcW w:w="1380" w:type="dxa"/>
            <w:vAlign w:val="bottom"/>
            <w:tcBorders>
              <w:bottom w:val="single" w:sz="8" w:color="E8EAEB"/>
            </w:tcBorders>
          </w:tcPr>
          <w:p>
            <w:pPr>
              <w:spacing w:after="0"/>
              <w:rPr>
                <w:sz w:val="4"/>
                <w:szCs w:val="4"/>
                <w:color w:val="auto"/>
              </w:rPr>
            </w:pPr>
          </w:p>
        </w:tc>
        <w:tc>
          <w:tcPr>
            <w:tcW w:w="400" w:type="dxa"/>
            <w:vAlign w:val="bottom"/>
            <w:tcBorders>
              <w:bottom w:val="single" w:sz="8" w:color="E8EAEB"/>
              <w:right w:val="single" w:sz="8" w:color="E8EAEB"/>
            </w:tcBorders>
          </w:tcPr>
          <w:p>
            <w:pPr>
              <w:spacing w:after="0"/>
              <w:rPr>
                <w:sz w:val="4"/>
                <w:szCs w:val="4"/>
                <w:color w:val="auto"/>
              </w:rPr>
            </w:pPr>
          </w:p>
        </w:tc>
        <w:tc>
          <w:tcPr>
            <w:tcW w:w="1140" w:type="dxa"/>
            <w:vAlign w:val="bottom"/>
            <w:tcBorders>
              <w:bottom w:val="single" w:sz="8" w:color="E8EAEB"/>
            </w:tcBorders>
          </w:tcPr>
          <w:p>
            <w:pPr>
              <w:spacing w:after="0"/>
              <w:rPr>
                <w:sz w:val="4"/>
                <w:szCs w:val="4"/>
                <w:color w:val="auto"/>
              </w:rPr>
            </w:pPr>
          </w:p>
        </w:tc>
        <w:tc>
          <w:tcPr>
            <w:tcW w:w="160" w:type="dxa"/>
            <w:vAlign w:val="bottom"/>
            <w:tcBorders>
              <w:bottom w:val="single" w:sz="8" w:color="E8EAEB"/>
            </w:tcBorders>
          </w:tcPr>
          <w:p>
            <w:pPr>
              <w:spacing w:after="0"/>
              <w:rPr>
                <w:sz w:val="4"/>
                <w:szCs w:val="4"/>
                <w:color w:val="auto"/>
              </w:rPr>
            </w:pPr>
          </w:p>
        </w:tc>
        <w:tc>
          <w:tcPr>
            <w:tcW w:w="140" w:type="dxa"/>
            <w:vAlign w:val="bottom"/>
            <w:tcBorders>
              <w:bottom w:val="single" w:sz="8" w:color="E8EAEB"/>
            </w:tcBorders>
          </w:tcPr>
          <w:p>
            <w:pPr>
              <w:spacing w:after="0"/>
              <w:rPr>
                <w:sz w:val="4"/>
                <w:szCs w:val="4"/>
                <w:color w:val="auto"/>
              </w:rPr>
            </w:pPr>
          </w:p>
        </w:tc>
        <w:tc>
          <w:tcPr>
            <w:tcW w:w="480" w:type="dxa"/>
            <w:vAlign w:val="bottom"/>
            <w:tcBorders>
              <w:bottom w:val="single" w:sz="8" w:color="E8EAEB"/>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04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WP Triton Co-Invest LP</w:t>
            </w:r>
          </w:p>
        </w:tc>
        <w:tc>
          <w:tcPr>
            <w:tcW w:w="1380" w:type="dxa"/>
            <w:vAlign w:val="bottom"/>
            <w:vMerge w:val="restart"/>
          </w:tcPr>
          <w:p>
            <w:pPr>
              <w:jc w:val="right"/>
              <w:ind w:right="262"/>
              <w:spacing w:after="0"/>
              <w:rPr>
                <w:sz w:val="20"/>
                <w:szCs w:val="20"/>
                <w:color w:val="auto"/>
              </w:rPr>
            </w:pPr>
            <w:r>
              <w:rPr>
                <w:rFonts w:ascii="Arial" w:cs="Arial" w:eastAsia="Arial" w:hAnsi="Arial"/>
                <w:sz w:val="16"/>
                <w:szCs w:val="16"/>
                <w:color w:val="202E39"/>
              </w:rPr>
              <w:t>11,202,130</w:t>
            </w:r>
          </w:p>
        </w:tc>
        <w:tc>
          <w:tcPr>
            <w:tcW w:w="400" w:type="dxa"/>
            <w:vAlign w:val="bottom"/>
            <w:tcBorders>
              <w:right w:val="single" w:sz="8" w:color="E8EAEB"/>
            </w:tcBorders>
          </w:tcPr>
          <w:p>
            <w:pPr>
              <w:spacing w:after="0"/>
              <w:rPr>
                <w:sz w:val="20"/>
                <w:szCs w:val="20"/>
                <w:color w:val="auto"/>
              </w:rPr>
            </w:pPr>
            <w:r>
              <w:rPr>
                <w:rFonts w:ascii="Arial" w:cs="Arial" w:eastAsia="Arial" w:hAnsi="Arial"/>
                <w:sz w:val="16"/>
                <w:szCs w:val="16"/>
                <w:color w:val="202E39"/>
              </w:rPr>
              <w:t>(22)</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202E39"/>
              </w:rPr>
              <w:t>8.8 </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202E39"/>
                <w:w w:val="71"/>
              </w:rPr>
              <w:t> </w:t>
            </w:r>
          </w:p>
        </w:tc>
        <w:tc>
          <w:tcPr>
            <w:tcW w:w="140" w:type="dxa"/>
            <w:vAlign w:val="bottom"/>
            <w:vMerge w:val="restart"/>
          </w:tcPr>
          <w:p>
            <w:pPr>
              <w:ind w:left="40"/>
              <w:spacing w:after="0"/>
              <w:rPr>
                <w:sz w:val="20"/>
                <w:szCs w:val="20"/>
                <w:color w:val="auto"/>
              </w:rPr>
            </w:pPr>
            <w:r>
              <w:rPr>
                <w:rFonts w:ascii="Arial" w:cs="Arial" w:eastAsia="Arial" w:hAnsi="Arial"/>
                <w:sz w:val="11"/>
                <w:szCs w:val="11"/>
                <w:color w:val="202E39"/>
                <w:w w:val="72"/>
              </w:rPr>
              <w:t> </w:t>
            </w:r>
          </w:p>
        </w:tc>
        <w:tc>
          <w:tcPr>
            <w:tcW w:w="480" w:type="dxa"/>
            <w:vAlign w:val="bottom"/>
            <w:vMerge w:val="restart"/>
          </w:tcPr>
          <w:p>
            <w:pPr>
              <w:ind w:left="40"/>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184"/>
        </w:trPr>
        <w:tc>
          <w:tcPr>
            <w:tcW w:w="7040" w:type="dxa"/>
            <w:vAlign w:val="bottom"/>
            <w:tcBorders>
              <w:right w:val="single" w:sz="8" w:color="E8EAEB"/>
            </w:tcBorders>
          </w:tcPr>
          <w:p>
            <w:pPr>
              <w:spacing w:after="0"/>
              <w:rPr>
                <w:sz w:val="16"/>
                <w:szCs w:val="16"/>
                <w:color w:val="auto"/>
              </w:rPr>
            </w:pPr>
          </w:p>
        </w:tc>
        <w:tc>
          <w:tcPr>
            <w:tcW w:w="1380" w:type="dxa"/>
            <w:vAlign w:val="bottom"/>
            <w:vMerge w:val="continue"/>
          </w:tcPr>
          <w:p>
            <w:pPr>
              <w:spacing w:after="0"/>
              <w:rPr>
                <w:sz w:val="16"/>
                <w:szCs w:val="16"/>
                <w:color w:val="auto"/>
              </w:rPr>
            </w:pPr>
          </w:p>
        </w:tc>
        <w:tc>
          <w:tcPr>
            <w:tcW w:w="400" w:type="dxa"/>
            <w:vAlign w:val="bottom"/>
            <w:tcBorders>
              <w:right w:val="single" w:sz="8" w:color="E8EAEB"/>
            </w:tcBorders>
          </w:tcPr>
          <w:p>
            <w:pPr>
              <w:spacing w:after="0"/>
              <w:rPr>
                <w:sz w:val="16"/>
                <w:szCs w:val="16"/>
                <w:color w:val="auto"/>
              </w:rPr>
            </w:pPr>
          </w:p>
        </w:tc>
        <w:tc>
          <w:tcPr>
            <w:tcW w:w="11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7040" w:type="dxa"/>
            <w:vAlign w:val="bottom"/>
            <w:tcBorders>
              <w:bottom w:val="single" w:sz="8" w:color="009FE3"/>
              <w:right w:val="single" w:sz="8" w:color="E8EAEB"/>
            </w:tcBorders>
          </w:tcPr>
          <w:p>
            <w:pPr>
              <w:spacing w:after="0"/>
              <w:rPr>
                <w:sz w:val="4"/>
                <w:szCs w:val="4"/>
                <w:color w:val="auto"/>
              </w:rPr>
            </w:pPr>
          </w:p>
        </w:tc>
        <w:tc>
          <w:tcPr>
            <w:tcW w:w="1380" w:type="dxa"/>
            <w:vAlign w:val="bottom"/>
            <w:tcBorders>
              <w:bottom w:val="single" w:sz="8" w:color="009FE3"/>
            </w:tcBorders>
          </w:tcPr>
          <w:p>
            <w:pPr>
              <w:spacing w:after="0"/>
              <w:rPr>
                <w:sz w:val="4"/>
                <w:szCs w:val="4"/>
                <w:color w:val="auto"/>
              </w:rPr>
            </w:pPr>
          </w:p>
        </w:tc>
        <w:tc>
          <w:tcPr>
            <w:tcW w:w="400" w:type="dxa"/>
            <w:vAlign w:val="bottom"/>
            <w:tcBorders>
              <w:bottom w:val="single" w:sz="8" w:color="009FE3"/>
              <w:right w:val="single" w:sz="8" w:color="E8EAEB"/>
            </w:tcBorders>
          </w:tcPr>
          <w:p>
            <w:pPr>
              <w:spacing w:after="0"/>
              <w:rPr>
                <w:sz w:val="4"/>
                <w:szCs w:val="4"/>
                <w:color w:val="auto"/>
              </w:rPr>
            </w:pPr>
          </w:p>
        </w:tc>
        <w:tc>
          <w:tcPr>
            <w:tcW w:w="1140" w:type="dxa"/>
            <w:vAlign w:val="bottom"/>
            <w:tcBorders>
              <w:bottom w:val="single" w:sz="8" w:color="009FE3"/>
            </w:tcBorders>
          </w:tcPr>
          <w:p>
            <w:pPr>
              <w:spacing w:after="0"/>
              <w:rPr>
                <w:sz w:val="4"/>
                <w:szCs w:val="4"/>
                <w:color w:val="auto"/>
              </w:rPr>
            </w:pPr>
          </w:p>
        </w:tc>
        <w:tc>
          <w:tcPr>
            <w:tcW w:w="160" w:type="dxa"/>
            <w:vAlign w:val="bottom"/>
            <w:tcBorders>
              <w:bottom w:val="single" w:sz="8" w:color="009FE3"/>
            </w:tcBorders>
          </w:tcPr>
          <w:p>
            <w:pPr>
              <w:spacing w:after="0"/>
              <w:rPr>
                <w:sz w:val="4"/>
                <w:szCs w:val="4"/>
                <w:color w:val="auto"/>
              </w:rPr>
            </w:pPr>
          </w:p>
        </w:tc>
        <w:tc>
          <w:tcPr>
            <w:tcW w:w="140" w:type="dxa"/>
            <w:vAlign w:val="bottom"/>
            <w:tcBorders>
              <w:bottom w:val="single" w:sz="8" w:color="009FE3"/>
            </w:tcBorders>
          </w:tcPr>
          <w:p>
            <w:pPr>
              <w:spacing w:after="0"/>
              <w:rPr>
                <w:sz w:val="4"/>
                <w:szCs w:val="4"/>
                <w:color w:val="auto"/>
              </w:rPr>
            </w:pPr>
          </w:p>
        </w:tc>
        <w:tc>
          <w:tcPr>
            <w:tcW w:w="480" w:type="dxa"/>
            <w:vAlign w:val="bottom"/>
            <w:tcBorders>
              <w:bottom w:val="single" w:sz="8" w:color="009FE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80" w:hanging="419"/>
        <w:spacing w:after="0"/>
        <w:tabs>
          <w:tab w:leader="none" w:pos="680" w:val="left"/>
        </w:tabs>
        <w:numPr>
          <w:ilvl w:val="0"/>
          <w:numId w:val="29"/>
        </w:numPr>
        <w:rPr>
          <w:rFonts w:ascii="Arial" w:cs="Arial" w:eastAsia="Arial" w:hAnsi="Arial"/>
          <w:sz w:val="14"/>
          <w:szCs w:val="14"/>
          <w:color w:val="202E39"/>
        </w:rPr>
      </w:pPr>
      <w:r>
        <w:rPr>
          <w:rFonts w:ascii="Arial" w:cs="Arial" w:eastAsia="Arial" w:hAnsi="Arial"/>
          <w:sz w:val="14"/>
          <w:szCs w:val="14"/>
          <w:color w:val="202E39"/>
        </w:rPr>
        <w:t>Less than 1%.</w:t>
      </w:r>
    </w:p>
    <w:p>
      <w:pPr>
        <w:spacing w:after="0" w:line="62" w:lineRule="exact"/>
        <w:rPr>
          <w:sz w:val="20"/>
          <w:szCs w:val="20"/>
          <w:color w:val="auto"/>
        </w:rPr>
      </w:pPr>
    </w:p>
    <w:p>
      <w:pPr>
        <w:ind w:left="680" w:right="180" w:hanging="419"/>
        <w:spacing w:after="0" w:line="246" w:lineRule="auto"/>
        <w:tabs>
          <w:tab w:leader="none" w:pos="680" w:val="left"/>
        </w:tabs>
        <w:numPr>
          <w:ilvl w:val="0"/>
          <w:numId w:val="30"/>
        </w:numPr>
        <w:rPr>
          <w:rFonts w:ascii="Arial" w:cs="Arial" w:eastAsia="Arial" w:hAnsi="Arial"/>
          <w:sz w:val="14"/>
          <w:szCs w:val="14"/>
          <w:color w:val="202E39"/>
        </w:rPr>
      </w:pPr>
      <w:r>
        <w:rPr>
          <w:rFonts w:ascii="Arial" w:cs="Arial" w:eastAsia="Arial" w:hAnsi="Arial"/>
          <w:sz w:val="14"/>
          <w:szCs w:val="14"/>
          <w:color w:val="202E39"/>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36" w:lineRule="exact"/>
        <w:rPr>
          <w:rFonts w:ascii="Arial" w:cs="Arial" w:eastAsia="Arial" w:hAnsi="Arial"/>
          <w:sz w:val="14"/>
          <w:szCs w:val="14"/>
          <w:color w:val="202E39"/>
        </w:rPr>
      </w:pPr>
    </w:p>
    <w:p>
      <w:pPr>
        <w:ind w:left="680" w:right="20" w:hanging="419"/>
        <w:spacing w:after="0" w:line="243" w:lineRule="auto"/>
        <w:tabs>
          <w:tab w:leader="none" w:pos="680" w:val="left"/>
        </w:tabs>
        <w:numPr>
          <w:ilvl w:val="0"/>
          <w:numId w:val="30"/>
        </w:numPr>
        <w:rPr>
          <w:rFonts w:ascii="Arial" w:cs="Arial" w:eastAsia="Arial" w:hAnsi="Arial"/>
          <w:sz w:val="14"/>
          <w:szCs w:val="14"/>
          <w:color w:val="202E39"/>
        </w:rPr>
      </w:pPr>
      <w:r>
        <w:rPr>
          <w:rFonts w:ascii="Arial" w:cs="Arial" w:eastAsia="Arial" w:hAnsi="Arial"/>
          <w:sz w:val="14"/>
          <w:szCs w:val="14"/>
          <w:color w:val="202E39"/>
        </w:rPr>
        <w:t>In computing the number of shares beneficially owned by a person named in the table and the percentage ownership of that person, shares of common stock that such person had the right to acquire within 60 days after July 1, 2024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2024 and references to restricted stock units in the footnotes of the table include only restricted stock units that are scheduled to vest within 60 days after July 1, 2024.</w:t>
      </w:r>
    </w:p>
    <w:p>
      <w:pPr>
        <w:spacing w:after="0" w:line="39" w:lineRule="exact"/>
        <w:rPr>
          <w:rFonts w:ascii="Arial" w:cs="Arial" w:eastAsia="Arial" w:hAnsi="Arial"/>
          <w:sz w:val="14"/>
          <w:szCs w:val="14"/>
          <w:color w:val="202E39"/>
        </w:rPr>
      </w:pPr>
    </w:p>
    <w:p>
      <w:pPr>
        <w:ind w:left="680" w:right="120" w:hanging="419"/>
        <w:spacing w:after="0" w:line="252" w:lineRule="auto"/>
        <w:tabs>
          <w:tab w:leader="none" w:pos="680" w:val="left"/>
        </w:tabs>
        <w:numPr>
          <w:ilvl w:val="0"/>
          <w:numId w:val="30"/>
        </w:numPr>
        <w:rPr>
          <w:rFonts w:ascii="Arial" w:cs="Arial" w:eastAsia="Arial" w:hAnsi="Arial"/>
          <w:sz w:val="14"/>
          <w:szCs w:val="14"/>
          <w:color w:val="202E39"/>
        </w:rPr>
      </w:pPr>
      <w:r>
        <w:rPr>
          <w:rFonts w:ascii="Arial" w:cs="Arial" w:eastAsia="Arial" w:hAnsi="Arial"/>
          <w:sz w:val="14"/>
          <w:szCs w:val="14"/>
          <w:color w:val="202E39"/>
        </w:rPr>
        <w:t>For each person included in the table, percentage ownership is calculated by dividing the number of shares beneficially owned by such person by the sum of (a) 127,738,637 shares of common stock outstanding on July 1, 2024 plus (b) the number of shares of common stock that such person had the right to acquire within 60 days after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76200</wp:posOffset>
            </wp:positionV>
            <wp:extent cx="425450" cy="150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30       </w:t>
      </w:r>
    </w:p>
    <w:p>
      <w:pPr>
        <w:sectPr>
          <w:pgSz w:w="11900" w:h="16838" w:orient="portrait"/>
          <w:cols w:equalWidth="0" w:num="1">
            <w:col w:w="11000"/>
          </w:cols>
          <w:pgMar w:left="320" w:top="474"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7140"/>
        <w:spacing w:after="0"/>
        <w:rPr>
          <w:sz w:val="20"/>
          <w:szCs w:val="20"/>
          <w:color w:val="auto"/>
        </w:rPr>
      </w:pPr>
      <w:r>
        <w:rPr>
          <w:rFonts w:ascii="Arial" w:cs="Arial" w:eastAsia="Arial" w:hAnsi="Arial"/>
          <w:sz w:val="13"/>
          <w:szCs w:val="13"/>
          <w:color w:val="009FE3"/>
        </w:rPr>
        <w:t>OWNERSHIP OF SECURITIES</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Beneficial Ownership Table</w:t>
      </w:r>
    </w:p>
    <w:p>
      <w:pPr>
        <w:spacing w:after="0" w:line="245" w:lineRule="exact"/>
        <w:rPr>
          <w:sz w:val="20"/>
          <w:szCs w:val="20"/>
          <w:color w:val="auto"/>
        </w:rPr>
      </w:pPr>
    </w:p>
    <w:p>
      <w:pPr>
        <w:ind w:left="680" w:right="160" w:hanging="419"/>
        <w:spacing w:after="0" w:line="241"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(a) 63,000 shares held by the Dankberg Family Foundation, (b) 1,654,645 shares held by the Dankberg Family Trust, and (c) 700,282 shares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outstanding shares of Viasat common stock as of July 1, 2024, (iii) the maximum aggregate principal amount of advances secured by Mr. Dankberg’s pledged shares is $10 million, which, based on the closing price of Viasat common stock on July 1, 2024, would be equivalent to only approximately 794,913 shares of Viasat common stock, and (iv) Mr. Dankberg has advised us that he has the financial capacity to repay any advance under his agreement without resort to the pledged shares.</w:t>
      </w:r>
    </w:p>
    <w:p>
      <w:pPr>
        <w:spacing w:after="0" w:line="38" w:lineRule="exact"/>
        <w:rPr>
          <w:rFonts w:ascii="Arial" w:cs="Arial" w:eastAsia="Arial" w:hAnsi="Arial"/>
          <w:sz w:val="14"/>
          <w:szCs w:val="14"/>
          <w:color w:val="202E39"/>
        </w:rPr>
      </w:pPr>
    </w:p>
    <w:p>
      <w:pPr>
        <w:ind w:left="680" w:right="260" w:hanging="419"/>
        <w:spacing w:after="0" w:line="270"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Johnson within 60 days after July 1, 2024, and (b) 684,896 shares held by the Robert W. Johnson Revocable Trust dated 8/13/1992.</w:t>
      </w:r>
    </w:p>
    <w:p>
      <w:pPr>
        <w:spacing w:after="0" w:line="18" w:lineRule="exact"/>
        <w:rPr>
          <w:rFonts w:ascii="Arial" w:cs="Arial" w:eastAsia="Arial" w:hAnsi="Arial"/>
          <w:sz w:val="14"/>
          <w:szCs w:val="14"/>
          <w:color w:val="202E39"/>
        </w:rPr>
      </w:pPr>
    </w:p>
    <w:p>
      <w:pPr>
        <w:ind w:left="680" w:right="280" w:hanging="419"/>
        <w:spacing w:after="0" w:line="270"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(a) 93,667 shares subject to restricted stock units that are scheduled to vest within 60 days after July 1, 2024 and (b) 345,164 shares subject to the Miller Family Trust dated 11/13/2000.</w:t>
      </w:r>
    </w:p>
    <w:p>
      <w:pPr>
        <w:spacing w:after="0" w:line="18" w:lineRule="exact"/>
        <w:rPr>
          <w:rFonts w:ascii="Arial" w:cs="Arial" w:eastAsia="Arial" w:hAnsi="Arial"/>
          <w:sz w:val="14"/>
          <w:szCs w:val="14"/>
          <w:color w:val="202E39"/>
        </w:rPr>
      </w:pPr>
    </w:p>
    <w:p>
      <w:pPr>
        <w:ind w:left="680" w:right="80" w:hanging="419"/>
        <w:spacing w:after="0" w:line="270"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Comprises the shares issued to Mr. Suri as partial consideration for our acquisition of all of the issued and outstanding shares of Inmarsat Holdings on May 30, 2023, and includes 3,000 shares subject to options exercisable within 60 days after July 1, 2024.</w:t>
      </w:r>
    </w:p>
    <w:p>
      <w:pPr>
        <w:spacing w:after="0" w:line="18" w:lineRule="exact"/>
        <w:rPr>
          <w:rFonts w:ascii="Arial" w:cs="Arial" w:eastAsia="Arial" w:hAnsi="Arial"/>
          <w:sz w:val="14"/>
          <w:szCs w:val="14"/>
          <w:color w:val="202E39"/>
        </w:rPr>
      </w:pPr>
    </w:p>
    <w:p>
      <w:pPr>
        <w:ind w:left="680" w:hanging="419"/>
        <w:spacing w:after="0"/>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247,095 shares held by the Richard and Donna Baldridge Family Trust.</w:t>
      </w:r>
    </w:p>
    <w:p>
      <w:pPr>
        <w:spacing w:after="0" w:line="62" w:lineRule="exact"/>
        <w:rPr>
          <w:rFonts w:ascii="Arial" w:cs="Arial" w:eastAsia="Arial" w:hAnsi="Arial"/>
          <w:sz w:val="14"/>
          <w:szCs w:val="14"/>
          <w:color w:val="202E39"/>
        </w:rPr>
      </w:pPr>
    </w:p>
    <w:p>
      <w:pPr>
        <w:ind w:left="680" w:right="120" w:hanging="419"/>
        <w:spacing w:after="0" w:line="270"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Comprises the shares issued to Mr. Sukawaty as partial consideration for our acquisition of all of the issued and outstanding shares of Inmarsat Holdings on May 30, 2023, and includes 3,000 shares subject to options exercisable within 60 days after July 1, 2024.</w:t>
      </w:r>
    </w:p>
    <w:p>
      <w:pPr>
        <w:spacing w:after="0" w:line="18" w:lineRule="exact"/>
        <w:rPr>
          <w:rFonts w:ascii="Arial" w:cs="Arial" w:eastAsia="Arial" w:hAnsi="Arial"/>
          <w:sz w:val="14"/>
          <w:szCs w:val="14"/>
          <w:color w:val="202E39"/>
        </w:rPr>
      </w:pPr>
    </w:p>
    <w:p>
      <w:pPr>
        <w:ind w:left="680" w:hanging="419"/>
        <w:spacing w:after="0"/>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Stenbit within 60 days after July 1, 2024, and (b) 25,800 shares held by the Pietje 2012 Gift Trust.</w:t>
      </w:r>
    </w:p>
    <w:p>
      <w:pPr>
        <w:spacing w:after="0" w:line="62" w:lineRule="exact"/>
        <w:rPr>
          <w:rFonts w:ascii="Arial" w:cs="Arial" w:eastAsia="Arial" w:hAnsi="Arial"/>
          <w:sz w:val="14"/>
          <w:szCs w:val="14"/>
          <w:color w:val="202E39"/>
        </w:rPr>
      </w:pPr>
    </w:p>
    <w:p>
      <w:pPr>
        <w:ind w:left="680" w:right="600" w:hanging="419"/>
        <w:spacing w:after="0" w:line="270"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on the stock ownership information available at the time of Mr. Ryan’s departure in September 2023. Mr. Ryan has not filed any Form 4s with the SEC subsequent to his departure.</w:t>
      </w:r>
    </w:p>
    <w:p>
      <w:pPr>
        <w:spacing w:after="0" w:line="18" w:lineRule="exact"/>
        <w:rPr>
          <w:rFonts w:ascii="Arial" w:cs="Arial" w:eastAsia="Arial" w:hAnsi="Arial"/>
          <w:sz w:val="14"/>
          <w:szCs w:val="14"/>
          <w:color w:val="202E39"/>
        </w:rPr>
      </w:pPr>
    </w:p>
    <w:p>
      <w:pPr>
        <w:ind w:left="680" w:right="40" w:hanging="419"/>
        <w:spacing w:after="0" w:line="270"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Pak within 60 days after July 1, 2024, and (b) 11,000 shares held by the Sean S. Pak and Caroline K. Shin Revocable Trust dated April 29, 2015.</w:t>
      </w:r>
    </w:p>
    <w:p>
      <w:pPr>
        <w:spacing w:after="0" w:line="18" w:lineRule="exact"/>
        <w:rPr>
          <w:rFonts w:ascii="Arial" w:cs="Arial" w:eastAsia="Arial" w:hAnsi="Arial"/>
          <w:sz w:val="14"/>
          <w:szCs w:val="14"/>
          <w:color w:val="202E39"/>
        </w:rPr>
      </w:pPr>
    </w:p>
    <w:p>
      <w:pPr>
        <w:ind w:left="680" w:hanging="419"/>
        <w:spacing w:after="0"/>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29,912 shares held by The Kevin and Andrea Harkenrider Trust dated November 11, 2008.</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24,000 shares subject to options exercisable by Dr. Wise within 60 days after July 1, 2024.</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Includes (a) 19,000 shares subject to options exercisable by Mr. Bridenstine within 60 days after July 1, 2024 and (b) 6,200 shares held by the JBMB 2021 Trust.</w:t>
      </w:r>
    </w:p>
    <w:p>
      <w:pPr>
        <w:spacing w:after="0" w:line="62" w:lineRule="exact"/>
        <w:rPr>
          <w:rFonts w:ascii="Arial" w:cs="Arial" w:eastAsia="Arial" w:hAnsi="Arial"/>
          <w:sz w:val="14"/>
          <w:szCs w:val="14"/>
          <w:color w:val="202E39"/>
        </w:rPr>
      </w:pPr>
    </w:p>
    <w:p>
      <w:pPr>
        <w:ind w:left="680" w:right="100" w:hanging="419"/>
        <w:spacing w:after="0" w:line="243"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jointly filed with the SEC on February 13, 2024 by The Baupost Group, L.L.C. (Baupost), Baupost Group GP, L.L.C. (Baupost GP) and Seth A. Klarman. Such Schedule states that Baupost, Baupost GP and Mr. Klarman have shared voting and dispositive power over 16,174,839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39" w:lineRule="exact"/>
        <w:rPr>
          <w:rFonts w:ascii="Arial" w:cs="Arial" w:eastAsia="Arial" w:hAnsi="Arial"/>
          <w:sz w:val="14"/>
          <w:szCs w:val="14"/>
          <w:color w:val="202E39"/>
        </w:rPr>
      </w:pPr>
    </w:p>
    <w:p>
      <w:pPr>
        <w:ind w:left="680" w:right="60" w:hanging="419"/>
        <w:spacing w:after="0" w:line="252"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filed with the SEC on July 8, 2024 by BlackRock, Inc. Such Schedule states that BlackRock, Inc. has sole voting power over 14,366,803 shares and sole dispositive power over 14,763,814 shares. The address of BlackRock, Inc. is 50 Hudson Yards, New York, New York 10001.</w:t>
      </w:r>
    </w:p>
    <w:p>
      <w:pPr>
        <w:spacing w:after="0" w:line="31" w:lineRule="exact"/>
        <w:rPr>
          <w:rFonts w:ascii="Arial" w:cs="Arial" w:eastAsia="Arial" w:hAnsi="Arial"/>
          <w:sz w:val="14"/>
          <w:szCs w:val="14"/>
          <w:color w:val="202E39"/>
        </w:rPr>
      </w:pPr>
    </w:p>
    <w:p>
      <w:pPr>
        <w:ind w:left="680" w:right="300" w:hanging="419"/>
        <w:spacing w:after="0" w:line="252"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filed with the SEC on March 11, 2024 by The Vanguard Group (Vanguard). Such Schedule states that Vanguard has shared voting power over 29,052 shares, sole dispositive power over 12,463,284 shares and shared dispositive power over 96,148 shares. The address of Vanguard is 100 Vanguard Boulevard, Malvern, Pennsylvania 19355.</w:t>
      </w:r>
    </w:p>
    <w:p>
      <w:pPr>
        <w:spacing w:after="0" w:line="31" w:lineRule="exact"/>
        <w:rPr>
          <w:rFonts w:ascii="Arial" w:cs="Arial" w:eastAsia="Arial" w:hAnsi="Arial"/>
          <w:sz w:val="14"/>
          <w:szCs w:val="14"/>
          <w:color w:val="202E39"/>
        </w:rPr>
      </w:pPr>
    </w:p>
    <w:p>
      <w:pPr>
        <w:ind w:left="680" w:right="100" w:hanging="419"/>
        <w:spacing w:after="0" w:line="246"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 filed with the SEC on June 9, 2023 by CPP Investment Board Private Holdings (4) Inc. (CPPIB-PH(4)I). Such Schedule states that CPPIB- PH(4)I has shared voting power over 11,356,776 shares and shared dispositive power over 11,356,776 shares. CPPIB-PH(4)I is a wholly-owned subsidiary of Canada Pension Plan Investment Board (CPPIB), thus CPPIB is an indirect beneficial owner of the shares of common stock held by CPPIB-PH(4)I. The address of CPPIB- PH(4)I is One Queen Street East, Suite 2500, Toronto, Ontario, M5C 2W5, Canada.</w:t>
      </w:r>
    </w:p>
    <w:p>
      <w:pPr>
        <w:spacing w:after="0" w:line="36" w:lineRule="exact"/>
        <w:rPr>
          <w:rFonts w:ascii="Arial" w:cs="Arial" w:eastAsia="Arial" w:hAnsi="Arial"/>
          <w:sz w:val="14"/>
          <w:szCs w:val="14"/>
          <w:color w:val="202E39"/>
        </w:rPr>
      </w:pPr>
    </w:p>
    <w:p>
      <w:pPr>
        <w:ind w:left="680" w:right="180" w:hanging="419"/>
        <w:spacing w:after="0" w:line="252"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 filed with the SEC on June 9, 2023 by Ontario Teachers’ Plan Board (Ontario Teachers Plan). Such Schedule states that Ontario Teachers Plan has shared voting power over 11,356,776 shares and shared dispositive power over 11,356,776 shares. The address of Ontario Teachers Plan is 5650 Yonge Street, 3rd Floor, Toronto, Ontario M2M 4H5.</w:t>
      </w:r>
    </w:p>
    <w:p>
      <w:pPr>
        <w:spacing w:after="0" w:line="31" w:lineRule="exact"/>
        <w:rPr>
          <w:rFonts w:ascii="Arial" w:cs="Arial" w:eastAsia="Arial" w:hAnsi="Arial"/>
          <w:sz w:val="14"/>
          <w:szCs w:val="14"/>
          <w:color w:val="202E39"/>
        </w:rPr>
      </w:pPr>
    </w:p>
    <w:p>
      <w:pPr>
        <w:ind w:left="680" w:hanging="419"/>
        <w:spacing w:after="0" w:line="241"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 filed with the SEC on June 9, 2023 by Triton LuxTopHolding SARL (Triton Lux). Such Schedule states that Triton Lux has shared voting power over 11,356,776 shares and shared dispositive power over 11,356,776 shares. The shareholders of Triton Lux are Triton Lux EquityCo SARL and Connect Syndication L.P. Apax IX GP Co. Limited (Apax IX), in its capacity as ultimate general partner of the Apax IX Fund (as defined below), is the sole shareholder of Triton Lux EquityCo SARL. Apax IX is also the sole shareholder of Connect Syndication GP Co. Limited, the General Partner of Connect Syndication L.P. Apax IX is the investment manager of each of Apax IX EUR L.P., Apax IX EUR Co Investment L.P., Apax IX USD L.P. and Apax IX USD Co Investment L.P. (collectively, the Apax IX Fund) and is controlled by a board of directors consisting of Elizabeth Burne, Simon Cresswell, Andrew Guille, Martin Halusa, Paul Meader and Jeremy Latham. The address of Triton Lux is 1-3 Boulevard de la Foire, Luxembourg, L-1528.</w:t>
      </w:r>
    </w:p>
    <w:p>
      <w:pPr>
        <w:spacing w:after="0" w:line="38" w:lineRule="exact"/>
        <w:rPr>
          <w:rFonts w:ascii="Arial" w:cs="Arial" w:eastAsia="Arial" w:hAnsi="Arial"/>
          <w:sz w:val="14"/>
          <w:szCs w:val="14"/>
          <w:color w:val="202E39"/>
        </w:rPr>
      </w:pPr>
    </w:p>
    <w:p>
      <w:pPr>
        <w:ind w:left="680" w:right="40" w:hanging="419"/>
        <w:spacing w:after="0" w:line="243" w:lineRule="auto"/>
        <w:tabs>
          <w:tab w:leader="none" w:pos="68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 filed with the SEC on June 9, 2023 by WP Triton Co-Invest LP (WP Triton). Such Schedule states that WP Triton has shared voting power over 11,202,130 shares and shared dispositive power over 11,202,130 shares. By reason of the provisions of Rule 16a-1 of the Exchange Act, Warburg Pincus (Callisto-A) Global Growth (Cayman), L.P., Warburg Pincus (Europa) Global Growth (Cayman), L.P., Warburg Pincus Global Growth-B (Cayman), L.P., Warburg Pincus Global Growth-E (Cayman), L.P., Warburg Pincus Global Growth Partners (Cayman), L.P., and WP Global Growth Partners (Cayman), L.P. (collectively, the WP Global Growth Funds), each a Cayman Islands exempted limited partnership; Warburg Pincus (Cayman) Global</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31</w:t>
      </w:r>
    </w:p>
    <w:p>
      <w:pPr>
        <w:sectPr>
          <w:pgSz w:w="11900" w:h="16838" w:orient="portrait"/>
          <w:cols w:equalWidth="0" w:num="1">
            <w:col w:w="10980"/>
          </w:cols>
          <w:pgMar w:left="320" w:top="474"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OWNERSHIP OF SECURITIES 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Beneficial Ownership Table</w:t>
      </w:r>
    </w:p>
    <w:p>
      <w:pPr>
        <w:spacing w:after="0" w:line="233" w:lineRule="exact"/>
        <w:rPr>
          <w:sz w:val="20"/>
          <w:szCs w:val="20"/>
          <w:color w:val="auto"/>
        </w:rPr>
      </w:pPr>
    </w:p>
    <w:p>
      <w:pPr>
        <w:ind w:left="680"/>
        <w:spacing w:after="0" w:line="241" w:lineRule="auto"/>
        <w:rPr>
          <w:sz w:val="20"/>
          <w:szCs w:val="20"/>
          <w:color w:val="auto"/>
        </w:rPr>
      </w:pPr>
      <w:r>
        <w:rPr>
          <w:rFonts w:ascii="Arial" w:cs="Arial" w:eastAsia="Arial" w:hAnsi="Arial"/>
          <w:sz w:val="14"/>
          <w:szCs w:val="14"/>
          <w:color w:val="202E39"/>
        </w:rPr>
        <w:t>Growth GP, L.P., a Cayman Islands exempted limited partnership (WPGG Cayman GP) and the general partner of each of the WP Global Growth Funds; Warburg Pincus (Cayman) Global Growth GP LLC, a Delaware limited liability company (WPGG Cayman GP LLC) and the general partner of WPGG Cayman GP; Warburg Pincus Partners II (Cayman), L.P., a Cayman Islands exempted limited partnership (WPP II Cayman) and the managing member of WPGG Cayman GP LLC; Warburg Pincus (Bermuda) Private Equity GP Ltd., a Bermuda exempted company and the general partner of WPP II Cayman; and Warburg Pincus LLC, a New York limited liability company that is a registered investment adviser and the manager of the WP Global Growth Funds. Investment and voting decisions with respect to the shares held by the WP Global Growth Funds are made by a committee comprised of three or more individuals and all members of such committee disclaim beneficial ownership of the shares. The address of WP Triton is 450 Lexington Avenue, New York, New York 10017.</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Delinquent Section 16(a) Reports</w:t>
      </w:r>
    </w:p>
    <w:p>
      <w:pPr>
        <w:spacing w:after="0" w:line="124" w:lineRule="exact"/>
        <w:rPr>
          <w:sz w:val="20"/>
          <w:szCs w:val="20"/>
          <w:color w:val="auto"/>
        </w:rPr>
      </w:pPr>
    </w:p>
    <w:p>
      <w:pPr>
        <w:ind w:left="260" w:right="20"/>
        <w:spacing w:after="0" w:line="247" w:lineRule="auto"/>
        <w:rPr>
          <w:sz w:val="20"/>
          <w:szCs w:val="20"/>
          <w:color w:val="auto"/>
        </w:rPr>
      </w:pPr>
      <w:r>
        <w:rPr>
          <w:rFonts w:ascii="Arial" w:cs="Arial" w:eastAsia="Arial" w:hAnsi="Arial"/>
          <w:sz w:val="16"/>
          <w:szCs w:val="16"/>
          <w:color w:val="202E39"/>
        </w:rPr>
        <w:t>Section 16(a) of the Securities Exchange Act of 1934 requires our directors, executive officers and beneficial owners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beneficial owners complied with the Section 16(a) filing requirements during the fiscal year ended March 31, 2024, with the following exceptions:</w:t>
      </w:r>
    </w:p>
    <w:p>
      <w:pPr>
        <w:spacing w:after="0" w:line="78" w:lineRule="exact"/>
        <w:rPr>
          <w:sz w:val="20"/>
          <w:szCs w:val="20"/>
          <w:color w:val="auto"/>
        </w:rPr>
      </w:pPr>
    </w:p>
    <w:p>
      <w:pPr>
        <w:ind w:left="260" w:right="220"/>
        <w:spacing w:after="0" w:line="269" w:lineRule="auto"/>
        <w:rPr>
          <w:sz w:val="20"/>
          <w:szCs w:val="20"/>
          <w:color w:val="auto"/>
        </w:rPr>
      </w:pPr>
      <w:r>
        <w:rPr>
          <w:rFonts w:ascii="Arial" w:cs="Arial" w:eastAsia="Arial" w:hAnsi="Arial"/>
          <w:sz w:val="16"/>
          <w:szCs w:val="16"/>
          <w:color w:val="202E39"/>
        </w:rPr>
        <w:t>Late reports were filed on behalf of Messrs. Blair, Chandran, Dankberg, Dixon, Dodd, Gowrappan, Harkenrider, C. Miller, M. Miller, Nathan and Palmer, and Ms. Duffy, related to performance stock options that were granted in the prior 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71120</wp:posOffset>
            </wp:positionV>
            <wp:extent cx="425450" cy="150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32       </w:t>
      </w:r>
    </w:p>
    <w:p>
      <w:pPr>
        <w:sectPr>
          <w:pgSz w:w="11900" w:h="16838" w:orient="portrait"/>
          <w:cols w:equalWidth="0" w:num="1">
            <w:col w:w="10980"/>
          </w:cols>
          <w:pgMar w:left="320" w:top="474"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EXECUTIVE COMPENSATION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QUICK REFERENCE GUIDE:</w:t>
      </w:r>
    </w:p>
    <w:p>
      <w:pPr>
        <w:spacing w:after="0" w:line="295"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009FE3"/>
              </w:rPr>
              <w:t>Page</w:t>
            </w:r>
          </w:p>
        </w:tc>
        <w:tc>
          <w:tcPr>
            <w:tcW w:w="0" w:type="dxa"/>
            <w:vAlign w:val="bottom"/>
          </w:tcPr>
          <w:p>
            <w:pPr>
              <w:spacing w:after="0"/>
              <w:rPr>
                <w:sz w:val="1"/>
                <w:szCs w:val="1"/>
                <w:color w:val="auto"/>
              </w:rPr>
            </w:pPr>
          </w:p>
        </w:tc>
      </w:tr>
      <w:tr>
        <w:trPr>
          <w:trHeight w:val="27"/>
        </w:trPr>
        <w:tc>
          <w:tcPr>
            <w:tcW w:w="8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70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36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203" w:lineRule="exact"/>
              <w:rPr>
                <w:sz w:val="20"/>
                <w:szCs w:val="20"/>
                <w:color w:val="auto"/>
              </w:rPr>
            </w:pPr>
            <w:r>
              <w:rPr>
                <w:rFonts w:ascii="Arial" w:cs="Arial" w:eastAsia="Arial" w:hAnsi="Arial"/>
                <w:sz w:val="18"/>
                <w:szCs w:val="18"/>
                <w:color w:val="0000EE"/>
                <w:w w:val="96"/>
              </w:rPr>
              <w:t>COMPENSATION DISCUSSION AND ANALYSIS</w:t>
            </w:r>
          </w:p>
        </w:tc>
        <w:tc>
          <w:tcPr>
            <w:tcW w:w="700" w:type="dxa"/>
            <w:vAlign w:val="bottom"/>
            <w:gridSpan w:val="5"/>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202E39"/>
              </w:rPr>
              <w:t>33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gridSpan w:val="20"/>
          </w:tcPr>
          <w:p>
            <w:pPr>
              <w:spacing w:after="0"/>
              <w:rPr>
                <w:sz w:val="20"/>
                <w:szCs w:val="20"/>
                <w:color w:val="auto"/>
              </w:rPr>
            </w:pPr>
            <w:r>
              <w:rPr>
                <w:rFonts w:ascii="Arial" w:cs="Arial" w:eastAsia="Arial" w:hAnsi="Arial"/>
                <w:sz w:val="18"/>
                <w:szCs w:val="18"/>
                <w:color w:val="0000EE"/>
                <w:w w:val="99"/>
              </w:rPr>
              <w:t>Business Overview and Fiscal Year 2024 Performance</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202E39"/>
              </w:rPr>
              <w:t>34</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tcBorders>
              <w:top w:val="single" w:sz="8" w:color="0000EE"/>
            </w:tcBorders>
            <w:gridSpan w:val="19"/>
          </w:tcPr>
          <w:p>
            <w:pPr>
              <w:spacing w:after="0" w:line="177" w:lineRule="exact"/>
              <w:rPr>
                <w:sz w:val="20"/>
                <w:szCs w:val="20"/>
                <w:color w:val="auto"/>
              </w:rPr>
            </w:pPr>
            <w:r>
              <w:rPr>
                <w:rFonts w:ascii="Arial" w:cs="Arial" w:eastAsia="Arial" w:hAnsi="Arial"/>
                <w:sz w:val="18"/>
                <w:szCs w:val="18"/>
                <w:color w:val="0000EE"/>
              </w:rPr>
              <w:t>Highlights</w:t>
            </w: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gridSpan w:val="20"/>
          </w:tcPr>
          <w:p>
            <w:pPr>
              <w:spacing w:after="0"/>
              <w:rPr>
                <w:sz w:val="20"/>
                <w:szCs w:val="20"/>
                <w:color w:val="auto"/>
              </w:rPr>
            </w:pPr>
            <w:r>
              <w:rPr>
                <w:rFonts w:ascii="Arial" w:cs="Arial" w:eastAsia="Arial" w:hAnsi="Arial"/>
                <w:sz w:val="18"/>
                <w:szCs w:val="18"/>
                <w:color w:val="0000EE"/>
              </w:rPr>
              <w:t>Executive Compensation Decisions Informed by</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202E39"/>
              </w:rPr>
              <w:t>34</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7"/>
          </w:tcPr>
          <w:p>
            <w:pPr>
              <w:spacing w:after="0" w:line="177" w:lineRule="exact"/>
              <w:rPr>
                <w:sz w:val="20"/>
                <w:szCs w:val="20"/>
                <w:color w:val="auto"/>
              </w:rPr>
            </w:pPr>
            <w:r>
              <w:rPr>
                <w:rFonts w:ascii="Arial" w:cs="Arial" w:eastAsia="Arial" w:hAnsi="Arial"/>
                <w:sz w:val="18"/>
                <w:szCs w:val="18"/>
                <w:color w:val="0000EE"/>
                <w:w w:val="96"/>
              </w:rPr>
              <w:t>Stockholder Feedback</w:t>
            </w:r>
          </w:p>
        </w:tc>
        <w:tc>
          <w:tcPr>
            <w:tcW w:w="19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gridSpan w:val="20"/>
          </w:tcPr>
          <w:p>
            <w:pPr>
              <w:spacing w:after="0"/>
              <w:rPr>
                <w:sz w:val="20"/>
                <w:szCs w:val="20"/>
                <w:color w:val="auto"/>
              </w:rPr>
            </w:pPr>
            <w:r>
              <w:rPr>
                <w:rFonts w:ascii="Arial" w:cs="Arial" w:eastAsia="Arial" w:hAnsi="Arial"/>
                <w:sz w:val="18"/>
                <w:szCs w:val="18"/>
                <w:color w:val="0000EE"/>
              </w:rPr>
              <w:t>Overview and Objectives of Executive Compensation</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202E39"/>
              </w:rPr>
              <w:t>35</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00" w:type="dxa"/>
            <w:vAlign w:val="bottom"/>
            <w:tcBorders>
              <w:top w:val="single" w:sz="8" w:color="0000EE"/>
            </w:tcBorders>
            <w:gridSpan w:val="18"/>
          </w:tcPr>
          <w:p>
            <w:pPr>
              <w:spacing w:after="0" w:line="177" w:lineRule="exact"/>
              <w:rPr>
                <w:sz w:val="20"/>
                <w:szCs w:val="20"/>
                <w:color w:val="auto"/>
              </w:rPr>
            </w:pPr>
            <w:r>
              <w:rPr>
                <w:rFonts w:ascii="Arial" w:cs="Arial" w:eastAsia="Arial" w:hAnsi="Arial"/>
                <w:sz w:val="18"/>
                <w:szCs w:val="18"/>
                <w:color w:val="0000EE"/>
              </w:rPr>
              <w:t>Program</w:t>
            </w:r>
          </w:p>
        </w:tc>
        <w:tc>
          <w:tcPr>
            <w:tcW w:w="280" w:type="dxa"/>
            <w:vAlign w:val="bottom"/>
            <w:gridSpan w:val="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00EE"/>
              </w:rPr>
              <w:t>Key Features of Our Executive Compensation</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202E39"/>
              </w:rPr>
              <w:t>35</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tcBorders>
              <w:top w:val="single" w:sz="8" w:color="0000EE"/>
            </w:tcBorders>
            <w:gridSpan w:val="16"/>
          </w:tcPr>
          <w:p>
            <w:pPr>
              <w:spacing w:after="0" w:line="177" w:lineRule="exact"/>
              <w:rPr>
                <w:sz w:val="20"/>
                <w:szCs w:val="20"/>
                <w:color w:val="auto"/>
              </w:rPr>
            </w:pPr>
            <w:r>
              <w:rPr>
                <w:rFonts w:ascii="Arial" w:cs="Arial" w:eastAsia="Arial" w:hAnsi="Arial"/>
                <w:sz w:val="18"/>
                <w:szCs w:val="18"/>
                <w:color w:val="0000EE"/>
              </w:rPr>
              <w:t>Practices</w:t>
            </w:r>
          </w:p>
        </w:tc>
        <w:tc>
          <w:tcPr>
            <w:tcW w:w="64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00EE"/>
              </w:rPr>
              <w:t>Compensation Objectives</w:t>
            </w:r>
          </w:p>
        </w:tc>
        <w:tc>
          <w:tcPr>
            <w:tcW w:w="500" w:type="dxa"/>
            <w:vAlign w:val="bottom"/>
          </w:tcPr>
          <w:p>
            <w:pPr>
              <w:jc w:val="right"/>
              <w:spacing w:after="0"/>
              <w:rPr>
                <w:sz w:val="20"/>
                <w:szCs w:val="20"/>
                <w:color w:val="auto"/>
              </w:rPr>
            </w:pPr>
            <w:r>
              <w:rPr>
                <w:rFonts w:ascii="Arial" w:cs="Arial" w:eastAsia="Arial" w:hAnsi="Arial"/>
                <w:sz w:val="18"/>
                <w:szCs w:val="18"/>
                <w:color w:val="202E39"/>
              </w:rPr>
              <w:t>36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6"/>
              </w:rPr>
              <w:t>Decision-Making Process and Criteria</w:t>
            </w:r>
          </w:p>
        </w:tc>
        <w:tc>
          <w:tcPr>
            <w:tcW w:w="1280" w:type="dxa"/>
            <w:vAlign w:val="bottom"/>
            <w:gridSpan w:val="7"/>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02E39"/>
              </w:rPr>
              <w:t>37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Components of Our Compensation Program</w:t>
            </w:r>
          </w:p>
        </w:tc>
        <w:tc>
          <w:tcPr>
            <w:tcW w:w="780" w:type="dxa"/>
            <w:vAlign w:val="bottom"/>
            <w:gridSpan w:val="6"/>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02E39"/>
              </w:rPr>
              <w:t>40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gridSpan w:val="20"/>
          </w:tcPr>
          <w:p>
            <w:pPr>
              <w:spacing w:after="0"/>
              <w:rPr>
                <w:sz w:val="20"/>
                <w:szCs w:val="20"/>
                <w:color w:val="auto"/>
              </w:rPr>
            </w:pPr>
            <w:r>
              <w:rPr>
                <w:rFonts w:ascii="Arial" w:cs="Arial" w:eastAsia="Arial" w:hAnsi="Arial"/>
                <w:sz w:val="18"/>
                <w:szCs w:val="18"/>
                <w:color w:val="0000EE"/>
              </w:rPr>
              <w:t>Additional Information</w:t>
            </w:r>
          </w:p>
        </w:tc>
        <w:tc>
          <w:tcPr>
            <w:tcW w:w="500" w:type="dxa"/>
            <w:vAlign w:val="bottom"/>
          </w:tcPr>
          <w:p>
            <w:pPr>
              <w:jc w:val="right"/>
              <w:spacing w:after="0"/>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00EE"/>
              </w:rPr>
              <w:t>Stock Ownership Guidelines</w:t>
            </w:r>
          </w:p>
        </w:tc>
        <w:tc>
          <w:tcPr>
            <w:tcW w:w="500" w:type="dxa"/>
            <w:vAlign w:val="bottom"/>
          </w:tcPr>
          <w:p>
            <w:pPr>
              <w:jc w:val="right"/>
              <w:spacing w:after="0"/>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7"/>
              </w:rPr>
              <w:t>CEO Stock Holding Policy</w:t>
            </w:r>
          </w:p>
        </w:tc>
        <w:tc>
          <w:tcPr>
            <w:tcW w:w="160" w:type="dxa"/>
            <w:vAlign w:val="bottom"/>
            <w:tcBorders>
              <w:top w:val="single" w:sz="8" w:color="0000EE"/>
            </w:tcBorders>
          </w:tcPr>
          <w:p>
            <w:pPr>
              <w:spacing w:after="0"/>
              <w:rPr>
                <w:sz w:val="19"/>
                <w:szCs w:val="19"/>
                <w:color w:val="auto"/>
              </w:rPr>
            </w:pPr>
          </w:p>
        </w:tc>
        <w:tc>
          <w:tcPr>
            <w:tcW w:w="2020" w:type="dxa"/>
            <w:vAlign w:val="bottom"/>
            <w:gridSpan w:val="10"/>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6"/>
              </w:rPr>
              <w:t>Clawback Policies</w:t>
            </w:r>
          </w:p>
        </w:tc>
        <w:tc>
          <w:tcPr>
            <w:tcW w:w="2800" w:type="dxa"/>
            <w:vAlign w:val="bottom"/>
            <w:gridSpan w:val="15"/>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00EE"/>
              </w:rPr>
              <w:t>Anti-Hedging and Pledging Policy</w:t>
            </w:r>
          </w:p>
        </w:tc>
        <w:tc>
          <w:tcPr>
            <w:tcW w:w="500" w:type="dxa"/>
            <w:vAlign w:val="bottom"/>
          </w:tcPr>
          <w:p>
            <w:pPr>
              <w:jc w:val="right"/>
              <w:spacing w:after="0"/>
              <w:rPr>
                <w:sz w:val="20"/>
                <w:szCs w:val="20"/>
                <w:color w:val="auto"/>
              </w:rPr>
            </w:pPr>
            <w:r>
              <w:rPr>
                <w:rFonts w:ascii="Arial" w:cs="Arial" w:eastAsia="Arial" w:hAnsi="Arial"/>
                <w:sz w:val="18"/>
                <w:szCs w:val="18"/>
                <w:color w:val="202E39"/>
              </w:rPr>
              <w:t>47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6"/>
              </w:rPr>
              <w:t>Tax and Accounting Considerations</w:t>
            </w:r>
          </w:p>
        </w:tc>
        <w:tc>
          <w:tcPr>
            <w:tcW w:w="1460" w:type="dxa"/>
            <w:vAlign w:val="bottom"/>
            <w:gridSpan w:val="8"/>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02E39"/>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009FE3"/>
              </w:rPr>
              <w:t>Page</w:t>
            </w:r>
          </w:p>
        </w:tc>
        <w:tc>
          <w:tcPr>
            <w:tcW w:w="0" w:type="dxa"/>
            <w:vAlign w:val="bottom"/>
          </w:tcPr>
          <w:p>
            <w:pPr>
              <w:spacing w:after="0"/>
              <w:rPr>
                <w:sz w:val="1"/>
                <w:szCs w:val="1"/>
                <w:color w:val="auto"/>
              </w:rPr>
            </w:pPr>
          </w:p>
        </w:tc>
      </w:tr>
      <w:tr>
        <w:trPr>
          <w:trHeight w:val="27"/>
        </w:trPr>
        <w:tc>
          <w:tcPr>
            <w:tcW w:w="6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116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40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54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74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60" w:type="dxa"/>
            <w:vAlign w:val="bottom"/>
            <w:gridSpan w:val="16"/>
          </w:tcPr>
          <w:p>
            <w:pPr>
              <w:spacing w:after="0" w:line="203" w:lineRule="exact"/>
              <w:rPr>
                <w:sz w:val="20"/>
                <w:szCs w:val="20"/>
                <w:color w:val="auto"/>
              </w:rPr>
            </w:pPr>
            <w:r>
              <w:rPr>
                <w:rFonts w:ascii="Arial" w:cs="Arial" w:eastAsia="Arial" w:hAnsi="Arial"/>
                <w:sz w:val="18"/>
                <w:szCs w:val="18"/>
                <w:color w:val="0000EE"/>
              </w:rPr>
              <w:t>COMPENSATION COMMITTEE REPORT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32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COMPENSATION TABLES</w:t>
            </w:r>
          </w:p>
        </w:tc>
        <w:tc>
          <w:tcPr>
            <w:tcW w:w="13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5"/>
              </w:rPr>
              <w:t>Summary Compensation Table</w:t>
            </w:r>
          </w:p>
        </w:tc>
        <w:tc>
          <w:tcPr>
            <w:tcW w:w="2080" w:type="dxa"/>
            <w:vAlign w:val="bottom"/>
            <w:gridSpan w:val="8"/>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49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6"/>
              </w:rPr>
              <w:t>Grants of Plan-Based Awards in Fiscal Year 2024</w:t>
            </w:r>
          </w:p>
        </w:tc>
        <w:tc>
          <w:tcPr>
            <w:tcW w:w="640" w:type="dxa"/>
            <w:vAlign w:val="bottom"/>
            <w:gridSpan w:val="4"/>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50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6"/>
              </w:rPr>
              <w:t>Outstanding Equity Awards at 2024 Fiscal Year End</w:t>
            </w:r>
          </w:p>
        </w:tc>
        <w:tc>
          <w:tcPr>
            <w:tcW w:w="460" w:type="dxa"/>
            <w:vAlign w:val="bottom"/>
            <w:gridSpan w:val="3"/>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51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EE"/>
              </w:rPr>
              <w:t>Option Exercises and Stock Vested in Fiscal Year 2024</w:t>
            </w:r>
          </w:p>
        </w:tc>
        <w:tc>
          <w:tcPr>
            <w:tcW w:w="520" w:type="dxa"/>
            <w:vAlign w:val="bottom"/>
          </w:tcPr>
          <w:p>
            <w:pPr>
              <w:jc w:val="right"/>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6"/>
              </w:rPr>
              <w:t>Pension Benefits</w:t>
            </w:r>
          </w:p>
        </w:tc>
        <w:tc>
          <w:tcPr>
            <w:tcW w:w="2940" w:type="dxa"/>
            <w:vAlign w:val="bottom"/>
            <w:tcBorders>
              <w:top w:val="single" w:sz="8" w:color="0000EE"/>
            </w:tcBorders>
            <w:gridSpan w:val="11"/>
          </w:tcPr>
          <w:p>
            <w:pPr>
              <w:spacing w:after="0"/>
              <w:rPr>
                <w:sz w:val="19"/>
                <w:szCs w:val="19"/>
                <w:color w:val="auto"/>
              </w:rPr>
            </w:pPr>
          </w:p>
        </w:tc>
        <w:tc>
          <w:tcPr>
            <w:tcW w:w="22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EE"/>
              </w:rPr>
              <w:t>Non-Qualified Deferred Compensation</w:t>
            </w:r>
          </w:p>
        </w:tc>
        <w:tc>
          <w:tcPr>
            <w:tcW w:w="520" w:type="dxa"/>
            <w:vAlign w:val="bottom"/>
          </w:tcPr>
          <w:p>
            <w:pPr>
              <w:jc w:val="right"/>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6"/>
              </w:rPr>
              <w:t>Potential Payments Upon Termination</w:t>
            </w:r>
          </w:p>
        </w:tc>
        <w:tc>
          <w:tcPr>
            <w:tcW w:w="40" w:type="dxa"/>
            <w:vAlign w:val="bottom"/>
            <w:tcBorders>
              <w:top w:val="single" w:sz="8" w:color="0000EE"/>
            </w:tcBorders>
          </w:tcPr>
          <w:p>
            <w:pPr>
              <w:spacing w:after="0"/>
              <w:rPr>
                <w:sz w:val="19"/>
                <w:szCs w:val="19"/>
                <w:color w:val="auto"/>
              </w:rPr>
            </w:pPr>
          </w:p>
        </w:tc>
        <w:tc>
          <w:tcPr>
            <w:tcW w:w="1500" w:type="dxa"/>
            <w:vAlign w:val="bottom"/>
            <w:gridSpan w:val="6"/>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54</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4"/>
              </w:rPr>
              <w:t>CEO PAY RATIO</w:t>
            </w:r>
          </w:p>
        </w:tc>
        <w:tc>
          <w:tcPr>
            <w:tcW w:w="33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56</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2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6"/>
              </w:rPr>
              <w:t>PAY VERSUS PERFORMANCE</w:t>
            </w:r>
          </w:p>
        </w:tc>
        <w:tc>
          <w:tcPr>
            <w:tcW w:w="214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660" w:type="dxa"/>
            <w:vAlign w:val="bottom"/>
            <w:gridSpan w:val="16"/>
          </w:tcPr>
          <w:p>
            <w:pPr>
              <w:spacing w:after="0"/>
              <w:rPr>
                <w:sz w:val="20"/>
                <w:szCs w:val="20"/>
                <w:color w:val="auto"/>
              </w:rPr>
            </w:pPr>
            <w:r>
              <w:rPr>
                <w:rFonts w:ascii="Arial" w:cs="Arial" w:eastAsia="Arial" w:hAnsi="Arial"/>
                <w:sz w:val="18"/>
                <w:szCs w:val="18"/>
                <w:color w:val="0000EE"/>
              </w:rPr>
              <w:t>POLICIES AND PRACTICES RELATED TO THE TIMING</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202E39"/>
              </w:rPr>
              <w:t>60</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480" w:type="dxa"/>
            <w:vAlign w:val="bottom"/>
            <w:tcBorders>
              <w:top w:val="single" w:sz="8" w:color="0000EE"/>
            </w:tcBorders>
            <w:gridSpan w:val="15"/>
          </w:tcPr>
          <w:p>
            <w:pPr>
              <w:spacing w:after="0" w:line="177" w:lineRule="exact"/>
              <w:rPr>
                <w:sz w:val="20"/>
                <w:szCs w:val="20"/>
                <w:color w:val="auto"/>
              </w:rPr>
            </w:pPr>
            <w:r>
              <w:rPr>
                <w:rFonts w:ascii="Arial" w:cs="Arial" w:eastAsia="Arial" w:hAnsi="Arial"/>
                <w:sz w:val="18"/>
                <w:szCs w:val="18"/>
                <w:color w:val="0000EE"/>
              </w:rPr>
              <w:t>OF EQUITY GRANTS</w:t>
            </w: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8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0" w:type="dxa"/>
            <w:vAlign w:val="bottom"/>
          </w:tcPr>
          <w:p>
            <w:pPr>
              <w:spacing w:after="0"/>
              <w:rPr>
                <w:sz w:val="24"/>
                <w:szCs w:val="24"/>
                <w:color w:val="auto"/>
              </w:rPr>
            </w:pPr>
          </w:p>
        </w:tc>
        <w:tc>
          <w:tcPr>
            <w:tcW w:w="23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DIRECTOR COMPENSATION</w:t>
            </w:r>
          </w:p>
        </w:tc>
        <w:tc>
          <w:tcPr>
            <w:tcW w:w="228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-3989070</wp:posOffset>
            </wp:positionV>
            <wp:extent cx="7178040"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spacing w:after="0" w:line="778" w:lineRule="exact"/>
        <w:rPr>
          <w:sz w:val="20"/>
          <w:szCs w:val="20"/>
          <w:color w:val="auto"/>
        </w:rPr>
      </w:pPr>
    </w:p>
    <w:p>
      <w:pPr>
        <w:sectPr>
          <w:pgSz w:w="11900" w:h="16838" w:orient="portrait"/>
          <w:cols w:equalWidth="0" w:num="2">
            <w:col w:w="5400" w:space="340"/>
            <w:col w:w="5240"/>
          </w:cols>
          <w:pgMar w:left="320" w:top="474" w:right="599" w:bottom="1440" w:gutter="0" w:footer="0" w:header="0"/>
        </w:sect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Compensation Discussion and Analysis</w:t>
      </w:r>
    </w:p>
    <w:p>
      <w:pPr>
        <w:spacing w:after="0" w:line="137"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2520" w:type="dxa"/>
            <w:vAlign w:val="bottom"/>
          </w:tcPr>
          <w:p>
            <w:pPr>
              <w:jc w:val="right"/>
              <w:spacing w:after="0"/>
              <w:rPr>
                <w:sz w:val="20"/>
                <w:szCs w:val="20"/>
                <w:color w:val="auto"/>
              </w:rPr>
            </w:pPr>
            <w:r>
              <w:rPr>
                <w:rFonts w:ascii="Arial" w:cs="Arial" w:eastAsia="Arial" w:hAnsi="Arial"/>
                <w:sz w:val="16"/>
                <w:szCs w:val="16"/>
                <w:color w:val="009FE3"/>
              </w:rPr>
              <w:t>Mark Dankberg </w:t>
            </w:r>
          </w:p>
        </w:tc>
        <w:tc>
          <w:tcPr>
            <w:tcW w:w="7240" w:type="dxa"/>
            <w:vAlign w:val="bottom"/>
            <w:gridSpan w:val="2"/>
          </w:tcPr>
          <w:p>
            <w:pPr>
              <w:ind w:left="4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The following Compensation Discussion and Analysis provides information regarding the</w:t>
            </w: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Chairman of the Board </w:t>
            </w:r>
          </w:p>
        </w:tc>
        <w:tc>
          <w:tcPr>
            <w:tcW w:w="7240" w:type="dxa"/>
            <w:vAlign w:val="bottom"/>
            <w:gridSpan w:val="2"/>
          </w:tcPr>
          <w:p>
            <w:pPr>
              <w:ind w:left="40"/>
              <w:spacing w:after="0"/>
              <w:rPr>
                <w:sz w:val="20"/>
                <w:szCs w:val="20"/>
                <w:color w:val="auto"/>
              </w:rPr>
            </w:pPr>
            <w:r>
              <w:rPr>
                <w:rFonts w:ascii="Arial" w:cs="Arial" w:eastAsia="Arial" w:hAnsi="Arial"/>
                <w:sz w:val="16"/>
                <w:szCs w:val="16"/>
                <w:i w:val="1"/>
                <w:iCs w:val="1"/>
                <w:color w:val="202E39"/>
              </w:rPr>
              <w:t xml:space="preserve">   </w:t>
            </w:r>
            <w:r>
              <w:rPr>
                <w:rFonts w:ascii="Arial" w:cs="Arial" w:eastAsia="Arial" w:hAnsi="Arial"/>
                <w:sz w:val="16"/>
                <w:szCs w:val="16"/>
                <w:color w:val="202E39"/>
              </w:rPr>
              <w:t>compensation program in place for our executive officers, including the Named Executive Officers</w:t>
            </w: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and Chief Executive Officer </w:t>
            </w:r>
          </w:p>
        </w:tc>
        <w:tc>
          <w:tcPr>
            <w:tcW w:w="7240" w:type="dxa"/>
            <w:vAlign w:val="bottom"/>
            <w:gridSpan w:val="2"/>
          </w:tcPr>
          <w:p>
            <w:pPr>
              <w:ind w:left="40"/>
              <w:spacing w:after="0"/>
              <w:rPr>
                <w:sz w:val="20"/>
                <w:szCs w:val="20"/>
                <w:color w:val="auto"/>
              </w:rPr>
            </w:pPr>
            <w:r>
              <w:rPr>
                <w:rFonts w:ascii="Arial" w:cs="Arial" w:eastAsia="Arial" w:hAnsi="Arial"/>
                <w:sz w:val="16"/>
                <w:szCs w:val="16"/>
                <w:i w:val="1"/>
                <w:iCs w:val="1"/>
                <w:color w:val="202E39"/>
              </w:rPr>
              <w:t xml:space="preserve">   </w:t>
            </w:r>
            <w:r>
              <w:rPr>
                <w:rFonts w:ascii="Arial" w:cs="Arial" w:eastAsia="Arial" w:hAnsi="Arial"/>
                <w:sz w:val="16"/>
                <w:szCs w:val="16"/>
                <w:color w:val="202E39"/>
              </w:rPr>
              <w:t>identified in the Summary Compensation Table, during our 2024 fiscal year. In particular, this</w:t>
            </w:r>
          </w:p>
        </w:tc>
        <w:tc>
          <w:tcPr>
            <w:tcW w:w="0" w:type="dxa"/>
            <w:vAlign w:val="bottom"/>
          </w:tcPr>
          <w:p>
            <w:pPr>
              <w:spacing w:after="0"/>
              <w:rPr>
                <w:sz w:val="1"/>
                <w:szCs w:val="1"/>
                <w:color w:val="auto"/>
              </w:rPr>
            </w:pPr>
          </w:p>
        </w:tc>
      </w:tr>
      <w:tr>
        <w:trPr>
          <w:trHeight w:val="275"/>
        </w:trPr>
        <w:tc>
          <w:tcPr>
            <w:tcW w:w="2520" w:type="dxa"/>
            <w:vAlign w:val="bottom"/>
          </w:tcPr>
          <w:p>
            <w:pPr>
              <w:jc w:val="right"/>
              <w:spacing w:after="0"/>
              <w:rPr>
                <w:sz w:val="20"/>
                <w:szCs w:val="20"/>
                <w:color w:val="auto"/>
              </w:rPr>
            </w:pPr>
            <w:r>
              <w:rPr>
                <w:rFonts w:ascii="Arial" w:cs="Arial" w:eastAsia="Arial" w:hAnsi="Arial"/>
                <w:sz w:val="16"/>
                <w:szCs w:val="16"/>
                <w:color w:val="009FE3"/>
              </w:rPr>
              <w:t>K. Guru Gowrappan </w:t>
            </w:r>
          </w:p>
        </w:tc>
        <w:tc>
          <w:tcPr>
            <w:tcW w:w="180" w:type="dxa"/>
            <w:vAlign w:val="bottom"/>
          </w:tcPr>
          <w:p>
            <w:pPr>
              <w:ind w:left="40"/>
              <w:spacing w:after="0"/>
              <w:rPr>
                <w:sz w:val="20"/>
                <w:szCs w:val="20"/>
                <w:color w:val="auto"/>
              </w:rPr>
            </w:pPr>
            <w:r>
              <w:rPr>
                <w:rFonts w:ascii="Arial" w:cs="Arial" w:eastAsia="Arial" w:hAnsi="Arial"/>
                <w:sz w:val="16"/>
                <w:szCs w:val="16"/>
                <w:color w:val="009FE3"/>
              </w:rPr>
              <w:t> </w:t>
            </w:r>
          </w:p>
        </w:tc>
        <w:tc>
          <w:tcPr>
            <w:tcW w:w="7060" w:type="dxa"/>
            <w:vAlign w:val="bottom"/>
          </w:tcPr>
          <w:p>
            <w:pPr>
              <w:ind w:left="80"/>
              <w:spacing w:after="0"/>
              <w:rPr>
                <w:sz w:val="20"/>
                <w:szCs w:val="20"/>
                <w:color w:val="auto"/>
              </w:rPr>
            </w:pPr>
            <w:r>
              <w:rPr>
                <w:rFonts w:ascii="Arial" w:cs="Arial" w:eastAsia="Arial" w:hAnsi="Arial"/>
                <w:sz w:val="16"/>
                <w:szCs w:val="16"/>
                <w:color w:val="202E39"/>
                <w:w w:val="98"/>
              </w:rPr>
              <w:t>Compensation Discussion and Analysis provides information related to our performance and each of</w:t>
            </w:r>
          </w:p>
        </w:tc>
        <w:tc>
          <w:tcPr>
            <w:tcW w:w="0" w:type="dxa"/>
            <w:vAlign w:val="bottom"/>
          </w:tcPr>
          <w:p>
            <w:pPr>
              <w:spacing w:after="0"/>
              <w:rPr>
                <w:sz w:val="1"/>
                <w:szCs w:val="1"/>
                <w:color w:val="auto"/>
              </w:rPr>
            </w:pPr>
          </w:p>
        </w:tc>
      </w:tr>
      <w:tr>
        <w:trPr>
          <w:trHeight w:val="211"/>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President 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ind w:left="80"/>
              <w:spacing w:after="0"/>
              <w:rPr>
                <w:sz w:val="20"/>
                <w:szCs w:val="20"/>
                <w:color w:val="auto"/>
              </w:rPr>
            </w:pPr>
            <w:r>
              <w:rPr>
                <w:rFonts w:ascii="Arial" w:cs="Arial" w:eastAsia="Arial" w:hAnsi="Arial"/>
                <w:sz w:val="16"/>
                <w:szCs w:val="16"/>
                <w:color w:val="202E39"/>
              </w:rPr>
              <w:t>the following aspects of our executive compensation program:</w:t>
            </w: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color w:val="009FE3"/>
              </w:rPr>
              <w:t>Shawn Duffy </w:t>
            </w:r>
          </w:p>
        </w:tc>
        <w:tc>
          <w:tcPr>
            <w:tcW w:w="180" w:type="dxa"/>
            <w:vAlign w:val="bottom"/>
          </w:tcPr>
          <w:p>
            <w:pPr>
              <w:ind w:left="40"/>
              <w:spacing w:after="0"/>
              <w:rPr>
                <w:sz w:val="20"/>
                <w:szCs w:val="20"/>
                <w:color w:val="auto"/>
              </w:rPr>
            </w:pPr>
            <w:r>
              <w:rPr>
                <w:rFonts w:ascii="Arial" w:cs="Arial" w:eastAsia="Arial" w:hAnsi="Arial"/>
                <w:sz w:val="16"/>
                <w:szCs w:val="16"/>
                <w:color w:val="009FE3"/>
              </w:rPr>
              <w:t> </w:t>
            </w:r>
          </w:p>
        </w:tc>
        <w:tc>
          <w:tcPr>
            <w:tcW w:w="7060" w:type="dxa"/>
            <w:vAlign w:val="bottom"/>
          </w:tcPr>
          <w:p>
            <w:pPr>
              <w:ind w:left="22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 overview and objectives of our executive compensation program,</w:t>
            </w: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color w:val="009FE3"/>
              </w:rPr>
              <w:t>Senior Vice President and </w:t>
            </w:r>
          </w:p>
        </w:tc>
        <w:tc>
          <w:tcPr>
            <w:tcW w:w="180" w:type="dxa"/>
            <w:vAlign w:val="bottom"/>
          </w:tcPr>
          <w:p>
            <w:pPr>
              <w:ind w:left="40"/>
              <w:spacing w:after="0"/>
              <w:rPr>
                <w:sz w:val="20"/>
                <w:szCs w:val="20"/>
                <w:color w:val="auto"/>
              </w:rPr>
            </w:pPr>
            <w:r>
              <w:rPr>
                <w:rFonts w:ascii="Arial" w:cs="Arial" w:eastAsia="Arial" w:hAnsi="Arial"/>
                <w:sz w:val="16"/>
                <w:szCs w:val="16"/>
                <w:color w:val="009FE3"/>
              </w:rPr>
              <w:t> </w:t>
            </w:r>
          </w:p>
        </w:tc>
        <w:tc>
          <w:tcPr>
            <w:tcW w:w="7060" w:type="dxa"/>
            <w:vAlign w:val="bottom"/>
            <w:vMerge w:val="restart"/>
          </w:tcPr>
          <w:p>
            <w:pPr>
              <w:ind w:left="22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 explanation of our executive compensation decision-making processes and criteria,</w:t>
            </w:r>
          </w:p>
        </w:tc>
        <w:tc>
          <w:tcPr>
            <w:tcW w:w="0" w:type="dxa"/>
            <w:vAlign w:val="bottom"/>
          </w:tcPr>
          <w:p>
            <w:pPr>
              <w:spacing w:after="0"/>
              <w:rPr>
                <w:sz w:val="1"/>
                <w:szCs w:val="1"/>
                <w:color w:val="auto"/>
              </w:rPr>
            </w:pPr>
          </w:p>
        </w:tc>
      </w:tr>
      <w:tr>
        <w:trPr>
          <w:trHeight w:val="88"/>
        </w:trPr>
        <w:tc>
          <w:tcPr>
            <w:tcW w:w="2520" w:type="dxa"/>
            <w:vAlign w:val="bottom"/>
            <w:vMerge w:val="restart"/>
          </w:tcPr>
          <w:p>
            <w:pPr>
              <w:jc w:val="right"/>
              <w:spacing w:after="0"/>
              <w:rPr>
                <w:sz w:val="20"/>
                <w:szCs w:val="20"/>
                <w:color w:val="auto"/>
              </w:rPr>
            </w:pPr>
            <w:r>
              <w:rPr>
                <w:rFonts w:ascii="Arial" w:cs="Arial" w:eastAsia="Arial" w:hAnsi="Arial"/>
                <w:sz w:val="16"/>
                <w:szCs w:val="16"/>
                <w:i w:val="1"/>
                <w:iCs w:val="1"/>
                <w:color w:val="202E39"/>
              </w:rPr>
              <w:t>Chief Financial Officer </w:t>
            </w:r>
          </w:p>
        </w:tc>
        <w:tc>
          <w:tcPr>
            <w:tcW w:w="180" w:type="dxa"/>
            <w:vAlign w:val="bottom"/>
            <w:vMerge w:val="restart"/>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5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60" w:type="dxa"/>
            <w:vAlign w:val="bottom"/>
            <w:vMerge w:val="restart"/>
          </w:tcPr>
          <w:p>
            <w:pPr>
              <w:ind w:left="22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 description of the components of our executive compensation program, and</w:t>
            </w: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color w:val="009FE3"/>
              </w:rPr>
              <w:t>Kevin Harkenrider </w:t>
            </w:r>
          </w:p>
        </w:tc>
        <w:tc>
          <w:tcPr>
            <w:tcW w:w="180" w:type="dxa"/>
            <w:vAlign w:val="bottom"/>
          </w:tcPr>
          <w:p>
            <w:pPr>
              <w:ind w:left="40"/>
              <w:spacing w:after="0"/>
              <w:rPr>
                <w:sz w:val="20"/>
                <w:szCs w:val="20"/>
                <w:color w:val="auto"/>
              </w:rPr>
            </w:pPr>
            <w:r>
              <w:rPr>
                <w:rFonts w:ascii="Arial" w:cs="Arial" w:eastAsia="Arial" w:hAnsi="Arial"/>
                <w:sz w:val="16"/>
                <w:szCs w:val="16"/>
                <w:color w:val="009FE3"/>
              </w:rPr>
              <w:t> </w:t>
            </w:r>
          </w:p>
        </w:tc>
        <w:tc>
          <w:tcPr>
            <w:tcW w:w="7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Executive Vice President, 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ind w:left="22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 discussion of how each component helps us achieve our overall compensation objectives.</w:t>
            </w: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Chief Operating Officer 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and Chief Corporate Officer 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2520" w:type="dxa"/>
            <w:vAlign w:val="bottom"/>
          </w:tcPr>
          <w:p>
            <w:pPr>
              <w:jc w:val="right"/>
              <w:spacing w:after="0"/>
              <w:rPr>
                <w:sz w:val="20"/>
                <w:szCs w:val="20"/>
                <w:color w:val="auto"/>
              </w:rPr>
            </w:pPr>
            <w:r>
              <w:rPr>
                <w:rFonts w:ascii="Arial" w:cs="Arial" w:eastAsia="Arial" w:hAnsi="Arial"/>
                <w:sz w:val="16"/>
                <w:szCs w:val="16"/>
                <w:color w:val="009FE3"/>
              </w:rPr>
              <w:t>Craig Miller </w:t>
            </w:r>
          </w:p>
        </w:tc>
        <w:tc>
          <w:tcPr>
            <w:tcW w:w="180" w:type="dxa"/>
            <w:vAlign w:val="bottom"/>
          </w:tcPr>
          <w:p>
            <w:pPr>
              <w:ind w:left="40"/>
              <w:spacing w:after="0"/>
              <w:rPr>
                <w:sz w:val="20"/>
                <w:szCs w:val="20"/>
                <w:color w:val="auto"/>
              </w:rPr>
            </w:pPr>
            <w:r>
              <w:rPr>
                <w:rFonts w:ascii="Arial" w:cs="Arial" w:eastAsia="Arial" w:hAnsi="Arial"/>
                <w:sz w:val="16"/>
                <w:szCs w:val="16"/>
                <w:color w:val="009FE3"/>
              </w:rPr>
              <w:t> </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w w:val="93"/>
              </w:rPr>
              <w:t>President, Global Space Networks 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2520" w:type="dxa"/>
            <w:vAlign w:val="bottom"/>
          </w:tcPr>
          <w:p>
            <w:pPr>
              <w:jc w:val="right"/>
              <w:spacing w:after="0"/>
              <w:rPr>
                <w:sz w:val="20"/>
                <w:szCs w:val="20"/>
                <w:color w:val="auto"/>
              </w:rPr>
            </w:pPr>
            <w:r>
              <w:rPr>
                <w:rFonts w:ascii="Arial" w:cs="Arial" w:eastAsia="Arial" w:hAnsi="Arial"/>
                <w:sz w:val="16"/>
                <w:szCs w:val="16"/>
                <w:color w:val="009FE3"/>
              </w:rPr>
              <w:t>David Ryan </w:t>
            </w:r>
          </w:p>
        </w:tc>
        <w:tc>
          <w:tcPr>
            <w:tcW w:w="180" w:type="dxa"/>
            <w:vAlign w:val="bottom"/>
          </w:tcPr>
          <w:p>
            <w:pPr>
              <w:ind w:left="40"/>
              <w:spacing w:after="0"/>
              <w:rPr>
                <w:sz w:val="20"/>
                <w:szCs w:val="20"/>
                <w:color w:val="auto"/>
              </w:rPr>
            </w:pPr>
            <w:r>
              <w:rPr>
                <w:rFonts w:ascii="Arial" w:cs="Arial" w:eastAsia="Arial" w:hAnsi="Arial"/>
                <w:sz w:val="16"/>
                <w:szCs w:val="16"/>
                <w:color w:val="009FE3"/>
              </w:rPr>
              <w:t> </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rPr>
              <w:t>Former President, 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20" w:type="dxa"/>
            <w:vAlign w:val="bottom"/>
          </w:tcPr>
          <w:p>
            <w:pPr>
              <w:jc w:val="right"/>
              <w:spacing w:after="0"/>
              <w:rPr>
                <w:sz w:val="20"/>
                <w:szCs w:val="20"/>
                <w:color w:val="auto"/>
              </w:rPr>
            </w:pPr>
            <w:r>
              <w:rPr>
                <w:rFonts w:ascii="Arial" w:cs="Arial" w:eastAsia="Arial" w:hAnsi="Arial"/>
                <w:sz w:val="16"/>
                <w:szCs w:val="16"/>
                <w:i w:val="1"/>
                <w:iCs w:val="1"/>
                <w:color w:val="202E39"/>
                <w:w w:val="96"/>
              </w:rPr>
              <w:t>Space and Commercial Networks </w:t>
            </w:r>
          </w:p>
        </w:tc>
        <w:tc>
          <w:tcPr>
            <w:tcW w:w="180" w:type="dxa"/>
            <w:vAlign w:val="bottom"/>
          </w:tcPr>
          <w:p>
            <w:pPr>
              <w:ind w:left="40"/>
              <w:spacing w:after="0"/>
              <w:rPr>
                <w:sz w:val="20"/>
                <w:szCs w:val="20"/>
                <w:color w:val="auto"/>
              </w:rPr>
            </w:pPr>
            <w:r>
              <w:rPr>
                <w:rFonts w:ascii="Arial" w:cs="Arial" w:eastAsia="Arial" w:hAnsi="Arial"/>
                <w:sz w:val="16"/>
                <w:szCs w:val="16"/>
                <w:i w:val="1"/>
                <w:iCs w:val="1"/>
                <w:color w:val="202E39"/>
              </w:rPr>
              <w:t> </w:t>
            </w:r>
          </w:p>
        </w:tc>
        <w:tc>
          <w:tcPr>
            <w:tcW w:w="7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-2218055</wp:posOffset>
            </wp:positionV>
            <wp:extent cx="8255" cy="2219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2219960"/>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33</w:t>
      </w:r>
    </w:p>
    <w:p>
      <w:pPr>
        <w:sectPr>
          <w:pgSz w:w="11900" w:h="16838" w:orient="portrait"/>
          <w:cols w:equalWidth="0" w:num="1">
            <w:col w:w="10980"/>
          </w:cols>
          <w:pgMar w:left="320" w:top="474" w:right="5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Business Overview and Fiscal Year 2024 Performance Highlights</w:t>
      </w:r>
    </w:p>
    <w:p>
      <w:pPr>
        <w:spacing w:after="0" w:line="108" w:lineRule="exact"/>
        <w:rPr>
          <w:sz w:val="20"/>
          <w:szCs w:val="20"/>
          <w:color w:val="auto"/>
        </w:rPr>
      </w:pPr>
    </w:p>
    <w:p>
      <w:pPr>
        <w:ind w:left="260"/>
        <w:spacing w:after="0" w:line="261" w:lineRule="auto"/>
        <w:rPr>
          <w:sz w:val="20"/>
          <w:szCs w:val="20"/>
          <w:color w:val="auto"/>
        </w:rPr>
      </w:pPr>
      <w:r>
        <w:rPr>
          <w:rFonts w:ascii="Arial" w:cs="Arial" w:eastAsia="Arial" w:hAnsi="Arial"/>
          <w:sz w:val="15"/>
          <w:szCs w:val="15"/>
          <w:color w:val="202E39"/>
        </w:rPr>
        <w:t>We are an innovative, global provider of communications technologies and services, focused on making connectivity accessible, available and secure for current and future customers worldwide.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Performance Highlights</w:t>
      </w:r>
    </w:p>
    <w:p>
      <w:pPr>
        <w:spacing w:after="0" w:line="105" w:lineRule="exact"/>
        <w:rPr>
          <w:sz w:val="20"/>
          <w:szCs w:val="20"/>
          <w:color w:val="auto"/>
        </w:rPr>
      </w:pPr>
    </w:p>
    <w:p>
      <w:pPr>
        <w:ind w:left="260" w:right="60"/>
        <w:spacing w:after="0" w:line="243" w:lineRule="auto"/>
        <w:rPr>
          <w:sz w:val="20"/>
          <w:szCs w:val="20"/>
          <w:color w:val="auto"/>
        </w:rPr>
      </w:pPr>
      <w:r>
        <w:rPr>
          <w:rFonts w:ascii="Arial" w:cs="Arial" w:eastAsia="Arial" w:hAnsi="Arial"/>
          <w:sz w:val="16"/>
          <w:szCs w:val="16"/>
          <w:color w:val="202E39"/>
        </w:rPr>
        <w:t>We posted strong results for fiscal year 2024, as we built operational momentum and financial performance of the core business; executed on synergy and strategic opportunities through methodical Inmarsat integration; and sustained and improved mobility business growth. Nearly one year ago, we brought together Viasat and Inmarsat’s complementary businesses and strategic and operational strengths. We are harnessing the best of each, bringing legacy Viasat’s regional technology and business models globally to augment legacy Inmarsat’s global broadband and L-band coverage with greater bandwidth density and productivity. As a result, in fiscal year 2024, we established record revenue of $4.3 billion and record awards of $4.2 billion, driven by a ten-month contribution from the Inmarsat Acquisition. Net loss increased to just over $1.0 billion, primarily due to satellite anomalies and acquisition and integration costs associated with the Inmarsat acquisition. We grew Adjusted EBITDA for fiscal year 2024 to $1.4 billion, above the high end of our guidance, driven by our mobility and government businesses. (Adjusted EBITDA is a non-GAAP measure. For more information about how we define Adjusted EBITDA and an itemized reconciliation between net income (loss) attributable to Viasat, Inc. and Adjusted EBITDA, please see “Pay Versus Performance” below).</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We also achieved the following key strategic and developmental objectives in fiscal year 2024:</w:t>
      </w:r>
    </w:p>
    <w:p>
      <w:pPr>
        <w:spacing w:after="0" w:line="118" w:lineRule="exact"/>
        <w:rPr>
          <w:sz w:val="20"/>
          <w:szCs w:val="20"/>
          <w:color w:val="auto"/>
        </w:rPr>
      </w:pPr>
    </w:p>
    <w:p>
      <w:pPr>
        <w:ind w:left="780" w:hanging="203"/>
        <w:spacing w:after="0"/>
        <w:tabs>
          <w:tab w:leader="none" w:pos="78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Meaningfully extended approximately $2.5 billion of combined Viasat and Inmarsat debt maturities;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Launched the world’s first global direct-to-device network with Skylo Technologies;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Developed a hybrid, multi-layer managed service for Maritime customers – NexusWave.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Summary of President New Hire Package</w:t>
      </w:r>
    </w:p>
    <w:p>
      <w:pPr>
        <w:spacing w:after="0" w:line="105" w:lineRule="exact"/>
        <w:rPr>
          <w:sz w:val="20"/>
          <w:szCs w:val="20"/>
          <w:color w:val="auto"/>
        </w:rPr>
      </w:pPr>
    </w:p>
    <w:p>
      <w:pPr>
        <w:jc w:val="both"/>
        <w:ind w:left="260" w:right="560"/>
        <w:spacing w:after="0" w:line="254" w:lineRule="auto"/>
        <w:rPr>
          <w:sz w:val="20"/>
          <w:szCs w:val="20"/>
          <w:color w:val="auto"/>
        </w:rPr>
      </w:pPr>
      <w:r>
        <w:rPr>
          <w:rFonts w:ascii="Arial" w:cs="Arial" w:eastAsia="Arial" w:hAnsi="Arial"/>
          <w:sz w:val="16"/>
          <w:szCs w:val="16"/>
          <w:color w:val="202E39"/>
        </w:rPr>
        <w:t>Following an extensive search process, the Board formally appointed K. Guru Gowrappan as President effective April 13, 2023. In structuring the compensation package for Mr. Gowrappan, the Board conducted a comprehensive review of market data for both new hire packages and ongoing compensation arrangements from our Peer Group and in the Radford Global Technology Survey.</w:t>
      </w:r>
    </w:p>
    <w:p>
      <w:pPr>
        <w:spacing w:after="0" w:line="73" w:lineRule="exact"/>
        <w:rPr>
          <w:sz w:val="20"/>
          <w:szCs w:val="20"/>
          <w:color w:val="auto"/>
        </w:rPr>
      </w:pPr>
    </w:p>
    <w:p>
      <w:pPr>
        <w:ind w:left="260" w:right="100"/>
        <w:spacing w:after="0" w:line="244" w:lineRule="auto"/>
        <w:rPr>
          <w:sz w:val="20"/>
          <w:szCs w:val="20"/>
          <w:color w:val="auto"/>
        </w:rPr>
      </w:pPr>
      <w:r>
        <w:rPr>
          <w:rFonts w:ascii="Arial" w:cs="Arial" w:eastAsia="Arial" w:hAnsi="Arial"/>
          <w:sz w:val="16"/>
          <w:szCs w:val="16"/>
          <w:color w:val="202E39"/>
        </w:rPr>
        <w:t>In consultation with the Board’s outside compensation consultant, the Board designed a highly performance-based compensation package, with 89% of the annualized target total direct compensation package being linked to performance and long-term shareholder value creation. As further described under the Equity-Based Compensation section, this highly leveraged compensation design provides outstanding rewards for outstanding long-term relative total shareholder return, or TSR, and stock price performance and only limited benefits for below average long-term relative TSR and stock price performance. As an additional incentive the Board provided Mr. Gowrappan with a sign-on bonus of $1,000,000 to induce him to select Viasat’s offer and to support his relocation to Viasat’s headquarters. Ultimately, the Board determined that a highly leveraged compensation package was appropriately aligned with the Company’s strategic direction and was essential to persuade Mr. Gowrappan to join Viasat’s management team versus other competing opportunities.</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Executive Compensation Decisions Informed by Stockholder Feedback</w:t>
      </w:r>
    </w:p>
    <w:p>
      <w:pPr>
        <w:spacing w:after="0" w:line="108"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Our management team regularly engages with our stockholders to proactively understand their perspectives on our business and strategy and governance and compensation practices, and to address any concerns they may have. During fiscal year 2024, we engaged in substantive conversations with stockholders representing approximately 76% of our total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79375</wp:posOffset>
            </wp:positionV>
            <wp:extent cx="425450" cy="150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34       </w:t>
      </w:r>
    </w:p>
    <w:p>
      <w:pPr>
        <w:sectPr>
          <w:pgSz w:w="11900" w:h="16838" w:orient="portrait"/>
          <w:cols w:equalWidth="0" w:num="1">
            <w:col w:w="10980"/>
          </w:cols>
          <w:pgMar w:left="320" w:top="474" w:right="5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38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color w:val="202E39"/>
        </w:rPr>
        <w:t>Our Board and our Compensation and Human Resources Committee, or the Committee, have demonstrated responsiveness to feedback received during these discussions through the changes we have made to our executive compensation program over time,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129540</wp:posOffset>
            </wp:positionV>
            <wp:extent cx="6810375" cy="2795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2795905"/>
                    </a:xfrm>
                    <a:prstGeom prst="rect">
                      <a:avLst/>
                    </a:prstGeom>
                    <a:noFill/>
                  </pic:spPr>
                </pic:pic>
              </a:graphicData>
            </a:graphic>
          </wp:anchor>
        </w:drawing>
      </w:r>
    </w:p>
    <w:p>
      <w:pPr>
        <w:spacing w:after="0" w:line="184"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380" w:type="dxa"/>
            <w:vAlign w:val="bottom"/>
            <w:shd w:val="clear" w:color="auto" w:fill="009FE3"/>
          </w:tcPr>
          <w:p>
            <w:pPr>
              <w:ind w:left="2280"/>
              <w:spacing w:after="0"/>
              <w:rPr>
                <w:sz w:val="20"/>
                <w:szCs w:val="20"/>
                <w:color w:val="auto"/>
              </w:rPr>
            </w:pPr>
            <w:r>
              <w:rPr>
                <w:rFonts w:ascii="Arial" w:cs="Arial" w:eastAsia="Arial" w:hAnsi="Arial"/>
                <w:sz w:val="14"/>
                <w:szCs w:val="14"/>
                <w:b w:val="1"/>
                <w:bCs w:val="1"/>
                <w:color w:val="FFFFFF"/>
              </w:rPr>
              <w:t>What We Heard</w:t>
            </w:r>
          </w:p>
        </w:tc>
        <w:tc>
          <w:tcPr>
            <w:tcW w:w="5360" w:type="dxa"/>
            <w:vAlign w:val="bottom"/>
            <w:shd w:val="clear" w:color="auto" w:fill="009FE3"/>
          </w:tcPr>
          <w:p>
            <w:pPr>
              <w:ind w:left="2300"/>
              <w:spacing w:after="0"/>
              <w:rPr>
                <w:sz w:val="20"/>
                <w:szCs w:val="20"/>
                <w:color w:val="auto"/>
              </w:rPr>
            </w:pPr>
            <w:r>
              <w:rPr>
                <w:rFonts w:ascii="Arial" w:cs="Arial" w:eastAsia="Arial" w:hAnsi="Arial"/>
                <w:sz w:val="14"/>
                <w:szCs w:val="14"/>
                <w:b w:val="1"/>
                <w:bCs w:val="1"/>
                <w:color w:val="FFFFFF"/>
              </w:rPr>
              <w:t>What We Did</w:t>
            </w:r>
          </w:p>
        </w:tc>
      </w:tr>
      <w:tr>
        <w:trPr>
          <w:trHeight w:val="198"/>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w:t>
            </w:r>
          </w:p>
        </w:tc>
      </w:tr>
      <w:tr>
        <w:trPr>
          <w:trHeight w:val="207"/>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stockholder interests</w:t>
            </w:r>
          </w:p>
        </w:tc>
        <w:tc>
          <w:tcPr>
            <w:tcW w:w="5360" w:type="dxa"/>
            <w:vAlign w:val="bottom"/>
            <w:shd w:val="clear" w:color="auto" w:fill="EDEEEF"/>
          </w:tcPr>
          <w:p>
            <w:pPr>
              <w:spacing w:after="0"/>
              <w:rPr>
                <w:sz w:val="17"/>
                <w:szCs w:val="17"/>
                <w:color w:val="auto"/>
              </w:rPr>
            </w:pPr>
          </w:p>
        </w:tc>
      </w:tr>
      <w:tr>
        <w:trPr>
          <w:trHeight w:val="214"/>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4"/>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bonus payouts</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207"/>
        </w:trPr>
        <w:tc>
          <w:tcPr>
            <w:tcW w:w="5380" w:type="dxa"/>
            <w:vAlign w:val="bottom"/>
            <w:shd w:val="clear" w:color="auto" w:fill="EDEEEF"/>
          </w:tcPr>
          <w:p>
            <w:pPr>
              <w:spacing w:after="0"/>
              <w:rPr>
                <w:sz w:val="17"/>
                <w:szCs w:val="17"/>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w:t>
            </w:r>
          </w:p>
        </w:tc>
      </w:tr>
      <w:tr>
        <w:trPr>
          <w:trHeight w:val="214"/>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Replace target annual bonus ranges with specific target annual bonus</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207"/>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percentages for each executive officer</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w:t>
            </w:r>
          </w:p>
        </w:tc>
      </w:tr>
      <w:tr>
        <w:trPr>
          <w:trHeight w:val="214"/>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Adopt a maximum cap on annual bonus payouts</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207"/>
        </w:trPr>
        <w:tc>
          <w:tcPr>
            <w:tcW w:w="5380" w:type="dxa"/>
            <w:vAlign w:val="bottom"/>
            <w:shd w:val="clear" w:color="auto" w:fill="EDEEEF"/>
          </w:tcPr>
          <w:p>
            <w:pPr>
              <w:spacing w:after="0"/>
              <w:rPr>
                <w:sz w:val="17"/>
                <w:szCs w:val="17"/>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w:t>
            </w:r>
          </w:p>
        </w:tc>
      </w:tr>
      <w:tr>
        <w:trPr>
          <w:trHeight w:val="237"/>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 proxy statement</w:t>
            </w:r>
          </w:p>
        </w:tc>
      </w:tr>
      <w:tr>
        <w:trPr>
          <w:trHeight w:val="214"/>
        </w:trPr>
        <w:tc>
          <w:tcPr>
            <w:tcW w:w="53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Implement a clawback policy</w:t>
            </w: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to enable recovery of cash and equity</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incentive compensation (including time-based and performance-based</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equity awards) related to a financial restatement resulting from an</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misconduct. In fiscal year 2024, we also adopted a</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recovery policy as required by Rule 10D-1 under the</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Securities Exchange Act of 1934, as amended, and the corresponding</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rules adopted by NASDAQ, which provides for the mandatory recovery of</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certain erroneously awarded incentive compensation from our officers in</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the event of an accounting restatement to correct the Company’s material</w:t>
            </w:r>
          </w:p>
        </w:tc>
      </w:tr>
      <w:tr>
        <w:trPr>
          <w:trHeight w:val="184"/>
        </w:trPr>
        <w:tc>
          <w:tcPr>
            <w:tcW w:w="5380" w:type="dxa"/>
            <w:vAlign w:val="bottom"/>
            <w:shd w:val="clear" w:color="auto" w:fill="EDEEEF"/>
          </w:tcPr>
          <w:p>
            <w:pPr>
              <w:spacing w:after="0"/>
              <w:rPr>
                <w:sz w:val="16"/>
                <w:szCs w:val="16"/>
                <w:color w:val="auto"/>
              </w:rPr>
            </w:pPr>
          </w:p>
        </w:tc>
        <w:tc>
          <w:tcPr>
            <w:tcW w:w="53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noncompliance with any financial reporting requirement under securities</w:t>
            </w:r>
          </w:p>
        </w:tc>
      </w:tr>
      <w:tr>
        <w:trPr>
          <w:trHeight w:val="216"/>
        </w:trPr>
        <w:tc>
          <w:tcPr>
            <w:tcW w:w="5380" w:type="dxa"/>
            <w:vAlign w:val="bottom"/>
            <w:tcBorders>
              <w:bottom w:val="single" w:sz="8" w:color="009FE3"/>
            </w:tcBorders>
            <w:shd w:val="clear" w:color="auto" w:fill="EDEEEF"/>
          </w:tcPr>
          <w:p>
            <w:pPr>
              <w:spacing w:after="0"/>
              <w:rPr>
                <w:sz w:val="18"/>
                <w:szCs w:val="18"/>
                <w:color w:val="auto"/>
              </w:rPr>
            </w:pPr>
          </w:p>
        </w:tc>
        <w:tc>
          <w:tcPr>
            <w:tcW w:w="53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laws.</w:t>
            </w: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Overview and Objectives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160020</wp:posOffset>
            </wp:positionV>
            <wp:extent cx="6818630" cy="2419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8630" cy="241935"/>
                    </a:xfrm>
                    <a:prstGeom prst="rect">
                      <a:avLst/>
                    </a:prstGeom>
                    <a:noFill/>
                  </pic:spPr>
                </pic:pic>
              </a:graphicData>
            </a:graphic>
          </wp:anchor>
        </w:drawing>
      </w:r>
    </w:p>
    <w:p>
      <w:pPr>
        <w:spacing w:after="0" w:line="310"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FFFFFF"/>
        </w:rPr>
        <w:t>Key Features of Our Executive Compensation Policies and Practices</w:t>
      </w:r>
    </w:p>
    <w:p>
      <w:pPr>
        <w:sectPr>
          <w:pgSz w:w="11900" w:h="16838" w:orient="portrait"/>
          <w:cols w:equalWidth="0" w:num="1">
            <w:col w:w="11000"/>
          </w:cols>
          <w:pgMar w:left="320" w:top="474" w:right="579" w:bottom="1440" w:gutter="0" w:footer="0" w:header="0"/>
        </w:sectPr>
      </w:pP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02E39"/>
        </w:rPr>
        <w:t>What We Do</w:t>
      </w:r>
    </w:p>
    <w:p>
      <w:pPr>
        <w:spacing w:after="0" w:line="85" w:lineRule="exact"/>
        <w:rPr>
          <w:sz w:val="20"/>
          <w:szCs w:val="20"/>
          <w:color w:val="auto"/>
        </w:rPr>
      </w:pPr>
    </w:p>
    <w:p>
      <w:pPr>
        <w:ind w:left="500" w:right="740" w:hanging="236"/>
        <w:spacing w:after="0" w:line="220"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 Establish the vast majority of executive officer pay on business performance</w:t>
      </w:r>
    </w:p>
    <w:p>
      <w:pPr>
        <w:spacing w:after="0" w:line="74" w:lineRule="exact"/>
        <w:rPr>
          <w:sz w:val="20"/>
          <w:szCs w:val="20"/>
          <w:color w:val="auto"/>
        </w:rPr>
      </w:pPr>
    </w:p>
    <w:p>
      <w:pPr>
        <w:ind w:left="500" w:right="180" w:hanging="236"/>
        <w:spacing w:after="0" w:line="220"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meaningful executive officer and non-employee director stock ownership guidelines</w:t>
      </w:r>
    </w:p>
    <w:p>
      <w:pPr>
        <w:spacing w:after="0" w:line="74" w:lineRule="exact"/>
        <w:rPr>
          <w:sz w:val="20"/>
          <w:szCs w:val="20"/>
          <w:color w:val="auto"/>
        </w:rPr>
      </w:pPr>
    </w:p>
    <w:p>
      <w:pPr>
        <w:ind w:left="2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 Provide a limited number of perquisites</w:t>
      </w:r>
    </w:p>
    <w:p>
      <w:pPr>
        <w:spacing w:after="0" w:line="145" w:lineRule="exact"/>
        <w:rPr>
          <w:sz w:val="20"/>
          <w:szCs w:val="20"/>
          <w:color w:val="auto"/>
        </w:rPr>
      </w:pPr>
    </w:p>
    <w:p>
      <w:pPr>
        <w:ind w:left="500" w:hanging="236"/>
        <w:spacing w:after="0" w:line="220"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 Prohibit short sales and hedging of Viasat stock by executive officers and directors</w:t>
      </w:r>
    </w:p>
    <w:p>
      <w:pPr>
        <w:spacing w:after="0" w:line="74" w:lineRule="exact"/>
        <w:rPr>
          <w:sz w:val="20"/>
          <w:szCs w:val="20"/>
          <w:color w:val="auto"/>
        </w:rPr>
      </w:pPr>
    </w:p>
    <w:p>
      <w:pPr>
        <w:ind w:left="2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a clawback policy</w:t>
      </w:r>
    </w:p>
    <w:p>
      <w:pPr>
        <w:spacing w:after="0" w:line="145" w:lineRule="exact"/>
        <w:rPr>
          <w:sz w:val="20"/>
          <w:szCs w:val="20"/>
          <w:color w:val="auto"/>
        </w:rPr>
      </w:pPr>
    </w:p>
    <w:p>
      <w:pPr>
        <w:ind w:left="2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stock ownership guidelines</w:t>
      </w:r>
    </w:p>
    <w:p>
      <w:pPr>
        <w:spacing w:after="0" w:line="145" w:lineRule="exact"/>
        <w:rPr>
          <w:sz w:val="20"/>
          <w:szCs w:val="20"/>
          <w:color w:val="auto"/>
        </w:rPr>
      </w:pPr>
    </w:p>
    <w:p>
      <w:pPr>
        <w:ind w:left="500" w:right="360" w:hanging="236"/>
        <w:spacing w:after="0" w:line="220"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 Use multiple performance measures and caps on potential incentive payments</w:t>
      </w:r>
    </w:p>
    <w:p>
      <w:pPr>
        <w:spacing w:after="0" w:line="74" w:lineRule="exact"/>
        <w:rPr>
          <w:sz w:val="20"/>
          <w:szCs w:val="20"/>
          <w:color w:val="auto"/>
        </w:rPr>
      </w:pPr>
    </w:p>
    <w:p>
      <w:pPr>
        <w:ind w:left="2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 Engage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97155</wp:posOffset>
            </wp:positionV>
            <wp:extent cx="6810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202E39"/>
        </w:rPr>
        <w:t>What We Don’t Do</w:t>
      </w:r>
    </w:p>
    <w:p>
      <w:pPr>
        <w:spacing w:after="0" w:line="85" w:lineRule="exact"/>
        <w:rPr>
          <w:sz w:val="20"/>
          <w:szCs w:val="20"/>
          <w:color w:val="auto"/>
        </w:rPr>
      </w:pPr>
    </w:p>
    <w:p>
      <w:pPr>
        <w:ind w:right="40"/>
        <w:spacing w:after="0" w:line="299"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repricing of underwater stock options without stockholder approval </w:t>
      </w:r>
      <w:r>
        <w:rPr>
          <w:rFonts w:ascii="MS PGothic" w:cs="MS PGothic" w:eastAsia="MS PGothic" w:hAnsi="MS PGothic"/>
          <w:sz w:val="16"/>
          <w:szCs w:val="16"/>
          <w:color w:val="009FE3"/>
        </w:rPr>
        <w:t>☒</w:t>
      </w:r>
      <w:r>
        <w:rPr>
          <w:rFonts w:ascii="Arial" w:cs="Arial" w:eastAsia="Arial" w:hAnsi="Arial"/>
          <w:sz w:val="16"/>
          <w:szCs w:val="16"/>
          <w:color w:val="202E39"/>
        </w:rPr>
        <w:t xml:space="preserve">   No single trigger change in control provisions for executive officers </w:t>
      </w:r>
      <w:r>
        <w:rPr>
          <w:rFonts w:ascii="MS PGothic" w:cs="MS PGothic" w:eastAsia="MS PGothic" w:hAnsi="MS PGothic"/>
          <w:sz w:val="16"/>
          <w:szCs w:val="16"/>
          <w:color w:val="009FE3"/>
        </w:rPr>
        <w:t>☒</w:t>
      </w:r>
      <w:r>
        <w:rPr>
          <w:rFonts w:ascii="Arial" w:cs="Arial" w:eastAsia="Arial" w:hAnsi="Arial"/>
          <w:sz w:val="16"/>
          <w:szCs w:val="16"/>
          <w:color w:val="202E39"/>
        </w:rPr>
        <w:t xml:space="preserve">   No excise tax gross-ups</w:t>
      </w:r>
    </w:p>
    <w:p>
      <w:pPr>
        <w:spacing w:after="0" w:line="52"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employment contracts unless required by law</w:t>
      </w:r>
    </w:p>
    <w:p>
      <w:pPr>
        <w:spacing w:after="0" w:line="131" w:lineRule="exact"/>
        <w:rPr>
          <w:sz w:val="20"/>
          <w:szCs w:val="20"/>
          <w:color w:val="auto"/>
        </w:rPr>
      </w:pPr>
    </w:p>
    <w:p>
      <w:pPr>
        <w:ind w:left="240" w:right="380" w:hanging="236"/>
        <w:spacing w:after="0" w:line="220"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guaranteed base salary increases, annual bonuses or annual equity award values</w:t>
      </w:r>
    </w:p>
    <w:p>
      <w:pPr>
        <w:spacing w:after="0" w:line="61" w:lineRule="exact"/>
        <w:rPr>
          <w:sz w:val="20"/>
          <w:szCs w:val="20"/>
          <w:color w:val="auto"/>
        </w:rPr>
      </w:pPr>
    </w:p>
    <w:p>
      <w:pPr>
        <w:ind w:left="240" w:right="300" w:hanging="236"/>
        <w:spacing w:after="0" w:line="220"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compensation plans that encourage excessive or unnecessary risk taking</w:t>
      </w:r>
    </w:p>
    <w:p>
      <w:pPr>
        <w:spacing w:after="0" w:line="1220" w:lineRule="exact"/>
        <w:rPr>
          <w:sz w:val="20"/>
          <w:szCs w:val="20"/>
          <w:color w:val="auto"/>
        </w:rPr>
      </w:pPr>
    </w:p>
    <w:p>
      <w:pPr>
        <w:sectPr>
          <w:pgSz w:w="11900" w:h="16838" w:orient="portrait"/>
          <w:cols w:equalWidth="0" w:num="2">
            <w:col w:w="5600" w:space="240"/>
            <w:col w:w="5160"/>
          </w:cols>
          <w:pgMar w:left="320" w:top="474" w:right="579" w:bottom="1440" w:gutter="0" w:footer="0" w:header="0"/>
          <w:type w:val="continuous"/>
        </w:sectPr>
      </w:pPr>
    </w:p>
    <w:p>
      <w:pPr>
        <w:spacing w:after="0" w:line="101"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35</w:t>
      </w:r>
    </w:p>
    <w:p>
      <w:pPr>
        <w:sectPr>
          <w:pgSz w:w="11900" w:h="16838" w:orient="portrait"/>
          <w:cols w:equalWidth="0" w:num="1">
            <w:col w:w="11000"/>
          </w:cols>
          <w:pgMar w:left="320" w:top="474" w:right="5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Compensation Objectives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objectives of our executive compensation program are premised on the following three fundamental principles, each of which is discussed below:</w:t>
      </w:r>
    </w:p>
    <w:p>
      <w:pPr>
        <w:spacing w:after="0" w:line="14" w:lineRule="exact"/>
        <w:rPr>
          <w:sz w:val="20"/>
          <w:szCs w:val="20"/>
          <w:color w:val="auto"/>
        </w:rPr>
      </w:pPr>
    </w:p>
    <w:p>
      <w:pPr>
        <w:ind w:left="260" w:right="20" w:firstLine="1"/>
        <w:spacing w:after="0" w:line="242" w:lineRule="auto"/>
        <w:tabs>
          <w:tab w:leader="none" w:pos="497" w:val="left"/>
        </w:tabs>
        <w:numPr>
          <w:ilvl w:val="0"/>
          <w:numId w:val="33"/>
        </w:numPr>
        <w:rPr>
          <w:rFonts w:ascii="Arial" w:cs="Arial" w:eastAsia="Arial" w:hAnsi="Arial"/>
          <w:sz w:val="16"/>
          <w:szCs w:val="16"/>
          <w:color w:val="202E39"/>
        </w:rPr>
      </w:pPr>
      <w:r>
        <w:rPr>
          <w:rFonts w:ascii="Arial" w:cs="Arial" w:eastAsia="Arial" w:hAnsi="Arial"/>
          <w:sz w:val="16"/>
          <w:szCs w:val="16"/>
          <w:color w:val="202E39"/>
        </w:rPr>
        <w:t>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82" w:lineRule="exact"/>
        <w:rPr>
          <w:sz w:val="20"/>
          <w:szCs w:val="20"/>
          <w:color w:val="auto"/>
        </w:rPr>
      </w:pPr>
    </w:p>
    <w:p>
      <w:pPr>
        <w:ind w:left="260"/>
        <w:spacing w:after="0" w:line="243" w:lineRule="auto"/>
        <w:rPr>
          <w:sz w:val="20"/>
          <w:szCs w:val="20"/>
          <w:color w:val="auto"/>
        </w:rPr>
      </w:pPr>
      <w:r>
        <w:rPr>
          <w:rFonts w:ascii="Arial" w:cs="Arial" w:eastAsia="Arial" w:hAnsi="Arial"/>
          <w:sz w:val="16"/>
          <w:szCs w:val="16"/>
          <w:i w:val="1"/>
          <w:iCs w:val="1"/>
          <w:color w:val="009FE3"/>
        </w:rPr>
        <w:t>Performance-Based Compensation.</w:t>
      </w:r>
      <w:r>
        <w:rPr>
          <w:rFonts w:ascii="Arial" w:cs="Arial" w:eastAsia="Arial" w:hAnsi="Arial"/>
          <w:sz w:val="16"/>
          <w:szCs w:val="16"/>
          <w:color w:val="202E39"/>
        </w:rPr>
        <w:t xml:space="preserve">  We strongly believe that a significant amount of executive compensation should be designed to reward superior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as described below, executive officers receive performance-based stock options as a significant component of their long-term incentives. As illustrated below, a significant portion of the total direct compensation for our Named Executive Officers is delivered as variable performance-based compensation, including performance-based stock options, the value of which is driven by stock price performance. Variable incentive-based compensation accounted for approximately 84.7% of total direct compensation for our Chief Executive Officer and an average of approximately 76.2% of total direct compensation for our other Named Executive Officers who served for the entirety of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143510</wp:posOffset>
            </wp:positionV>
            <wp:extent cx="5825490" cy="22282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5490" cy="222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60"/>
        <w:spacing w:after="0" w:line="242" w:lineRule="auto"/>
        <w:rPr>
          <w:sz w:val="20"/>
          <w:szCs w:val="20"/>
          <w:color w:val="auto"/>
        </w:rPr>
      </w:pPr>
      <w:r>
        <w:rPr>
          <w:rFonts w:ascii="Arial" w:cs="Arial" w:eastAsia="Arial" w:hAnsi="Arial"/>
          <w:sz w:val="16"/>
          <w:szCs w:val="16"/>
          <w:i w:val="1"/>
          <w:iCs w:val="1"/>
          <w:color w:val="009FE3"/>
        </w:rPr>
        <w:t>Alignment with Stockholder Interests.</w:t>
      </w:r>
      <w:r>
        <w:rPr>
          <w:rFonts w:ascii="Arial" w:cs="Arial" w:eastAsia="Arial" w:hAnsi="Arial"/>
          <w:sz w:val="16"/>
          <w:szCs w:val="16"/>
          <w:color w:val="202E39"/>
        </w:rPr>
        <w:t xml:space="preserve">  We believe that executive compensation and stockholder interests should be linked, and our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operational and stock price performance metrics. Second, we have adopted stock ownership guidelines that require our executive officers to own a significant amount of Viasat stock. Third, we grant performance-based equity awards as a significant part of our long-term equity award program. Fourth, we’ve adopted a CEO stock holding requirement for which our CEO must hold vested or exercised stock awards for 12 months following a vesting or settlement date. Through the end of fiscal year 2024, we granted performance-based stock options, which provide our executive officers with an opportunity to earn a number of stock options based, in part, on Viasat’s TSR relative to the TSR of the companies that comprise the S&amp;P MidCap 400 Index measured over a four-year performance period and, in part, based on continued service for that performance period. We have also adopted a clawback policy to allow the Committee to recover incentive compensation (including time-based and performance-based equity awards) from an executive officer in the event of a financial restatement resulting from such executive officer’s misconduct, as further described below. In fiscal year 2024, we also adopted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85090</wp:posOffset>
            </wp:positionV>
            <wp:extent cx="425450" cy="150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36       </w:t>
      </w:r>
    </w:p>
    <w:p>
      <w:pPr>
        <w:sectPr>
          <w:pgSz w:w="11900" w:h="16838" w:orient="portrait"/>
          <w:cols w:equalWidth="0" w:num="1">
            <w:col w:w="10980"/>
          </w:cols>
          <w:pgMar w:left="320" w:top="474" w:right="5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right="20"/>
        <w:spacing w:after="0" w:line="249" w:lineRule="auto"/>
        <w:rPr>
          <w:sz w:val="20"/>
          <w:szCs w:val="20"/>
          <w:color w:val="auto"/>
        </w:rPr>
      </w:pPr>
      <w:r>
        <w:rPr>
          <w:rFonts w:ascii="Arial" w:cs="Arial" w:eastAsia="Arial" w:hAnsi="Arial"/>
          <w:sz w:val="16"/>
          <w:szCs w:val="16"/>
          <w:i w:val="1"/>
          <w:iCs w:val="1"/>
          <w:color w:val="009FE3"/>
        </w:rPr>
        <w:t>Structure Allows Competitive and Fair Compensation Packages.</w:t>
      </w:r>
      <w:r>
        <w:rPr>
          <w:rFonts w:ascii="Arial" w:cs="Arial" w:eastAsia="Arial" w:hAnsi="Arial"/>
          <w:sz w:val="16"/>
          <w:szCs w:val="16"/>
          <w:color w:val="202E39"/>
        </w:rPr>
        <w:t xml:space="preserve">  We believe our success depends to a significant degree on our ability to attract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delivered by the companies with which we compete for executive talent.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Decision-Making Processes and Criteria</w:t>
      </w:r>
    </w:p>
    <w:p>
      <w:pPr>
        <w:spacing w:after="0" w:line="105" w:lineRule="exact"/>
        <w:rPr>
          <w:sz w:val="20"/>
          <w:szCs w:val="20"/>
          <w:color w:val="auto"/>
        </w:rPr>
      </w:pPr>
    </w:p>
    <w:p>
      <w:pPr>
        <w:ind w:left="260" w:right="60"/>
        <w:spacing w:after="0" w:line="244" w:lineRule="auto"/>
        <w:rPr>
          <w:sz w:val="20"/>
          <w:szCs w:val="20"/>
          <w:color w:val="auto"/>
        </w:rPr>
      </w:pPr>
      <w:r>
        <w:rPr>
          <w:rFonts w:ascii="Arial" w:cs="Arial" w:eastAsia="Arial" w:hAnsi="Arial"/>
          <w:sz w:val="16"/>
          <w:szCs w:val="16"/>
          <w:color w:val="202E39"/>
        </w:rPr>
        <w:t xml:space="preserve">The Committee is responsible for determining our overall executive compensation philosophy, and for evaluating and recommending certain components of executive officer compensation to our Board for approval. The Committee acts under a written charter adopted and approved by our Board and may, in its discretion, obtain the assistance of outside advisors, including compensation consultants, legal counsel and accounting and other advisors. Pursuant to its charter, the Committee is authorized to review and approve the compensation for the company’s Chief Executive Officer and the other executive officers of the company.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84" w:lineRule="exact"/>
        <w:rPr>
          <w:sz w:val="20"/>
          <w:szCs w:val="20"/>
          <w:color w:val="auto"/>
        </w:rPr>
      </w:pPr>
    </w:p>
    <w:p>
      <w:pPr>
        <w:ind w:left="260" w:right="180"/>
        <w:spacing w:after="0" w:line="249" w:lineRule="auto"/>
        <w:rPr>
          <w:sz w:val="20"/>
          <w:szCs w:val="20"/>
          <w:color w:val="auto"/>
        </w:rPr>
      </w:pPr>
      <w:r>
        <w:rPr>
          <w:rFonts w:ascii="Arial" w:cs="Arial" w:eastAsia="Arial" w:hAnsi="Arial"/>
          <w:sz w:val="16"/>
          <w:szCs w:val="16"/>
          <w:color w:val="202E39"/>
        </w:rPr>
        <w:t>In fiscal year 2024,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2024.</w:t>
      </w:r>
    </w:p>
    <w:p>
      <w:pPr>
        <w:spacing w:after="0" w:line="78" w:lineRule="exact"/>
        <w:rPr>
          <w:sz w:val="20"/>
          <w:szCs w:val="20"/>
          <w:color w:val="auto"/>
        </w:rPr>
      </w:pPr>
    </w:p>
    <w:p>
      <w:pPr>
        <w:ind w:left="260" w:right="240"/>
        <w:spacing w:after="0" w:line="254" w:lineRule="auto"/>
        <w:rPr>
          <w:sz w:val="20"/>
          <w:szCs w:val="20"/>
          <w:color w:val="auto"/>
        </w:rPr>
      </w:pPr>
      <w:r>
        <w:rPr>
          <w:rFonts w:ascii="Arial" w:cs="Arial" w:eastAsia="Arial" w:hAnsi="Arial"/>
          <w:sz w:val="16"/>
          <w:szCs w:val="16"/>
          <w:color w:val="202E39"/>
        </w:rPr>
        <w:t>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w:t>
      </w:r>
    </w:p>
    <w:p>
      <w:pPr>
        <w:spacing w:after="0" w:line="86" w:lineRule="exact"/>
        <w:rPr>
          <w:sz w:val="20"/>
          <w:szCs w:val="20"/>
          <w:color w:val="auto"/>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industry compensation data,</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individual performance and contributions,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company financial and operational performance,</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company strategic positioning,</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total executive compensation,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affordability of cash compensation based on Viasat’s financial results,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availability and affordability of shares for equity awards,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stockholder feedback, including the results of say-on-pay votes.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37</w:t>
      </w:r>
    </w:p>
    <w:p>
      <w:pPr>
        <w:sectPr>
          <w:pgSz w:w="11900" w:h="16838" w:orient="portrait"/>
          <w:cols w:equalWidth="0" w:num="1">
            <w:col w:w="10980"/>
          </w:cols>
          <w:pgMar w:left="320" w:top="474"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31" w:lineRule="exact"/>
        <w:rPr>
          <w:sz w:val="20"/>
          <w:szCs w:val="20"/>
          <w:color w:val="auto"/>
        </w:rPr>
      </w:pPr>
    </w:p>
    <w:p>
      <w:pPr>
        <w:ind w:left="260" w:right="160"/>
        <w:spacing w:after="0" w:line="244" w:lineRule="auto"/>
        <w:rPr>
          <w:sz w:val="20"/>
          <w:szCs w:val="20"/>
          <w:color w:val="auto"/>
        </w:rPr>
      </w:pPr>
      <w:r>
        <w:rPr>
          <w:rFonts w:ascii="Arial" w:cs="Arial" w:eastAsia="Arial" w:hAnsi="Arial"/>
          <w:sz w:val="16"/>
          <w:szCs w:val="16"/>
          <w:i w:val="1"/>
          <w:iCs w:val="1"/>
          <w:color w:val="009FE3"/>
        </w:rPr>
        <w:t>Peer Group Selection Process.</w:t>
      </w:r>
      <w:r>
        <w:rPr>
          <w:rFonts w:ascii="Arial" w:cs="Arial" w:eastAsia="Arial" w:hAnsi="Arial"/>
          <w:sz w:val="16"/>
          <w:szCs w:val="16"/>
          <w:color w:val="202E39"/>
        </w:rPr>
        <w:t xml:space="preserve">  As part of the process of determining executive compensation, the Committee reviews competitive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data of relevant companies from across the industries in which we primarily operate. Through a thorough annual evaluation process,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Global Technology survey, a globally recognized compensation survey containing market information of companies in the technology industry. An overview of the key criteria considered and process followed by the Committee to determine the appropriate peer group is summarized below:</w:t>
      </w:r>
    </w:p>
    <w:p>
      <w:pPr>
        <w:spacing w:after="0" w:line="207" w:lineRule="exact"/>
        <w:rPr>
          <w:sz w:val="20"/>
          <w:szCs w:val="20"/>
          <w:color w:val="auto"/>
        </w:rPr>
      </w:pPr>
    </w:p>
    <w:tbl>
      <w:tblPr>
        <w:tblLayout w:type="fixed"/>
        <w:tblInd w:w="270" w:type="dxa"/>
        <w:tblCellMar>
          <w:top w:w="0" w:type="dxa"/>
          <w:left w:w="0" w:type="dxa"/>
          <w:bottom w:w="0" w:type="dxa"/>
          <w:right w:w="0" w:type="dxa"/>
        </w:tblCellMar>
      </w:tblPr>
      <w:tr>
        <w:trPr>
          <w:trHeight w:val="275"/>
        </w:trPr>
        <w:tc>
          <w:tcPr>
            <w:tcW w:w="80" w:type="dxa"/>
            <w:vAlign w:val="bottom"/>
            <w:tcBorders>
              <w:top w:val="single" w:sz="8" w:color="202E39"/>
              <w:left w:val="single" w:sz="8" w:color="202E39"/>
              <w:right w:val="single" w:sz="8" w:color="D8F0FA"/>
            </w:tcBorders>
            <w:shd w:val="clear" w:color="auto" w:fill="D8F0FA"/>
          </w:tcPr>
          <w:p>
            <w:pPr>
              <w:spacing w:after="0"/>
              <w:rPr>
                <w:sz w:val="23"/>
                <w:szCs w:val="23"/>
                <w:color w:val="auto"/>
              </w:rPr>
            </w:pPr>
          </w:p>
        </w:tc>
        <w:tc>
          <w:tcPr>
            <w:tcW w:w="2620" w:type="dxa"/>
            <w:vAlign w:val="bottom"/>
            <w:tcBorders>
              <w:top w:val="single" w:sz="8" w:color="202E39"/>
              <w:right w:val="single" w:sz="8" w:color="202E39"/>
            </w:tcBorders>
            <w:shd w:val="clear" w:color="auto" w:fill="D8F0FA"/>
          </w:tcPr>
          <w:p>
            <w:pPr>
              <w:ind w:left="80"/>
              <w:spacing w:after="0"/>
              <w:rPr>
                <w:sz w:val="20"/>
                <w:szCs w:val="20"/>
                <w:color w:val="auto"/>
              </w:rPr>
            </w:pPr>
            <w:r>
              <w:rPr>
                <w:rFonts w:ascii="Arial" w:cs="Arial" w:eastAsia="Arial" w:hAnsi="Arial"/>
                <w:sz w:val="16"/>
                <w:szCs w:val="16"/>
                <w:b w:val="1"/>
                <w:bCs w:val="1"/>
                <w:color w:val="202E39"/>
              </w:rPr>
              <w:t>Factors Considered for</w:t>
            </w:r>
          </w:p>
        </w:tc>
        <w:tc>
          <w:tcPr>
            <w:tcW w:w="1420" w:type="dxa"/>
            <w:vAlign w:val="bottom"/>
            <w:tcBorders>
              <w:top w:val="single" w:sz="8" w:color="202E39"/>
            </w:tcBorders>
            <w:gridSpan w:val="2"/>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 Industry</w:t>
            </w:r>
          </w:p>
        </w:tc>
        <w:tc>
          <w:tcPr>
            <w:tcW w:w="2700" w:type="dxa"/>
            <w:vAlign w:val="bottom"/>
            <w:tcBorders>
              <w:top w:val="single" w:sz="8" w:color="202E39"/>
              <w:right w:val="single" w:sz="8" w:color="202E39"/>
            </w:tcBorders>
          </w:tcPr>
          <w:p>
            <w:pPr>
              <w:spacing w:after="0"/>
              <w:rPr>
                <w:sz w:val="23"/>
                <w:szCs w:val="23"/>
                <w:color w:val="auto"/>
              </w:rPr>
            </w:pPr>
          </w:p>
        </w:tc>
        <w:tc>
          <w:tcPr>
            <w:tcW w:w="3940" w:type="dxa"/>
            <w:vAlign w:val="bottom"/>
            <w:tcBorders>
              <w:top w:val="single" w:sz="8" w:color="202E39"/>
              <w:right w:val="single" w:sz="8" w:color="202E39"/>
            </w:tcBorders>
            <w:gridSpan w:val="3"/>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 Provides multiple lenses to review potentially</w:t>
            </w:r>
          </w:p>
        </w:tc>
        <w:tc>
          <w:tcPr>
            <w:tcW w:w="0" w:type="dxa"/>
            <w:vAlign w:val="bottom"/>
          </w:tcPr>
          <w:p>
            <w:pPr>
              <w:spacing w:after="0"/>
              <w:rPr>
                <w:sz w:val="1"/>
                <w:szCs w:val="1"/>
                <w:color w:val="auto"/>
              </w:rPr>
            </w:pPr>
          </w:p>
        </w:tc>
      </w:tr>
      <w:tr>
        <w:trPr>
          <w:trHeight w:val="217"/>
        </w:trPr>
        <w:tc>
          <w:tcPr>
            <w:tcW w:w="80" w:type="dxa"/>
            <w:vAlign w:val="bottom"/>
            <w:tcBorders>
              <w:left w:val="single" w:sz="8" w:color="202E39"/>
              <w:right w:val="single" w:sz="8" w:color="D8F0FA"/>
            </w:tcBorders>
            <w:shd w:val="clear" w:color="auto" w:fill="D8F0FA"/>
          </w:tcPr>
          <w:p>
            <w:pPr>
              <w:spacing w:after="0"/>
              <w:rPr>
                <w:sz w:val="18"/>
                <w:szCs w:val="18"/>
                <w:color w:val="auto"/>
              </w:rPr>
            </w:pPr>
          </w:p>
        </w:tc>
        <w:tc>
          <w:tcPr>
            <w:tcW w:w="2620" w:type="dxa"/>
            <w:vAlign w:val="bottom"/>
            <w:tcBorders>
              <w:right w:val="single" w:sz="8" w:color="202E39"/>
            </w:tcBorders>
            <w:shd w:val="clear" w:color="auto" w:fill="D8F0FA"/>
          </w:tcPr>
          <w:p>
            <w:pPr>
              <w:ind w:left="80"/>
              <w:spacing w:after="0"/>
              <w:rPr>
                <w:sz w:val="20"/>
                <w:szCs w:val="20"/>
                <w:color w:val="auto"/>
              </w:rPr>
            </w:pPr>
            <w:r>
              <w:rPr>
                <w:rFonts w:ascii="Arial" w:cs="Arial" w:eastAsia="Arial" w:hAnsi="Arial"/>
                <w:sz w:val="16"/>
                <w:szCs w:val="16"/>
                <w:b w:val="1"/>
                <w:bCs w:val="1"/>
                <w:color w:val="202E39"/>
              </w:rPr>
              <w:t>Peer Group Selection</w:t>
            </w:r>
          </w:p>
        </w:tc>
        <w:tc>
          <w:tcPr>
            <w:tcW w:w="1420" w:type="dxa"/>
            <w:vAlign w:val="bottom"/>
            <w:gridSpan w:val="2"/>
            <w:vMerge w:val="restart"/>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 Revenue</w:t>
            </w:r>
          </w:p>
        </w:tc>
        <w:tc>
          <w:tcPr>
            <w:tcW w:w="2700" w:type="dxa"/>
            <w:vAlign w:val="bottom"/>
            <w:tcBorders>
              <w:right w:val="single" w:sz="8" w:color="202E39"/>
            </w:tcBorders>
          </w:tcPr>
          <w:p>
            <w:pPr>
              <w:spacing w:after="0"/>
              <w:rPr>
                <w:sz w:val="18"/>
                <w:szCs w:val="18"/>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comparable companies</w:t>
            </w:r>
          </w:p>
        </w:tc>
        <w:tc>
          <w:tcPr>
            <w:tcW w:w="0" w:type="dxa"/>
            <w:vAlign w:val="bottom"/>
          </w:tcPr>
          <w:p>
            <w:pPr>
              <w:spacing w:after="0"/>
              <w:rPr>
                <w:sz w:val="1"/>
                <w:szCs w:val="1"/>
                <w:color w:val="auto"/>
              </w:rPr>
            </w:pPr>
          </w:p>
        </w:tc>
      </w:tr>
      <w:tr>
        <w:trPr>
          <w:trHeight w:val="58"/>
        </w:trPr>
        <w:tc>
          <w:tcPr>
            <w:tcW w:w="80" w:type="dxa"/>
            <w:vAlign w:val="bottom"/>
            <w:tcBorders>
              <w:left w:val="single" w:sz="8" w:color="202E39"/>
              <w:right w:val="single" w:sz="8" w:color="D8F0FA"/>
            </w:tcBorders>
            <w:shd w:val="clear" w:color="auto" w:fill="D8F0FA"/>
          </w:tcPr>
          <w:p>
            <w:pPr>
              <w:spacing w:after="0"/>
              <w:rPr>
                <w:sz w:val="5"/>
                <w:szCs w:val="5"/>
                <w:color w:val="auto"/>
              </w:rPr>
            </w:pPr>
          </w:p>
        </w:tc>
        <w:tc>
          <w:tcPr>
            <w:tcW w:w="2620" w:type="dxa"/>
            <w:vAlign w:val="bottom"/>
            <w:tcBorders>
              <w:right w:val="single" w:sz="8" w:color="202E39"/>
            </w:tcBorders>
            <w:shd w:val="clear" w:color="auto" w:fill="D8F0FA"/>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700" w:type="dxa"/>
            <w:vAlign w:val="bottom"/>
            <w:tcBorders>
              <w:right w:val="single" w:sz="8" w:color="202E39"/>
            </w:tcBorders>
          </w:tcPr>
          <w:p>
            <w:pPr>
              <w:spacing w:after="0"/>
              <w:rPr>
                <w:sz w:val="5"/>
                <w:szCs w:val="5"/>
                <w:color w:val="auto"/>
              </w:rPr>
            </w:pPr>
          </w:p>
        </w:tc>
        <w:tc>
          <w:tcPr>
            <w:tcW w:w="4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80" w:type="dxa"/>
            <w:vAlign w:val="bottom"/>
            <w:tcBorders>
              <w:right w:val="single" w:sz="8" w:color="202E39"/>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0" w:type="dxa"/>
            <w:vAlign w:val="bottom"/>
            <w:tcBorders>
              <w:left w:val="single" w:sz="8" w:color="202E39"/>
              <w:right w:val="single" w:sz="8" w:color="D8F0FA"/>
            </w:tcBorders>
            <w:shd w:val="clear" w:color="auto" w:fill="D8F0FA"/>
          </w:tcPr>
          <w:p>
            <w:pPr>
              <w:spacing w:after="0"/>
              <w:rPr>
                <w:sz w:val="21"/>
                <w:szCs w:val="21"/>
                <w:color w:val="auto"/>
              </w:rPr>
            </w:pPr>
          </w:p>
        </w:tc>
        <w:tc>
          <w:tcPr>
            <w:tcW w:w="2620" w:type="dxa"/>
            <w:vAlign w:val="bottom"/>
            <w:tcBorders>
              <w:right w:val="single" w:sz="8" w:color="202E39"/>
            </w:tcBorders>
            <w:shd w:val="clear" w:color="auto" w:fill="D8F0FA"/>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 Business Model</w:t>
            </w:r>
          </w:p>
        </w:tc>
        <w:tc>
          <w:tcPr>
            <w:tcW w:w="2700" w:type="dxa"/>
            <w:vAlign w:val="bottom"/>
            <w:tcBorders>
              <w:right w:val="single" w:sz="8" w:color="202E39"/>
            </w:tcBorders>
          </w:tcPr>
          <w:p>
            <w:pPr>
              <w:spacing w:after="0"/>
              <w:rPr>
                <w:sz w:val="21"/>
                <w:szCs w:val="21"/>
                <w:color w:val="auto"/>
              </w:rPr>
            </w:pPr>
          </w:p>
        </w:tc>
        <w:tc>
          <w:tcPr>
            <w:tcW w:w="4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0" w:type="dxa"/>
            <w:vAlign w:val="bottom"/>
            <w:tcBorders>
              <w:right w:val="single" w:sz="8" w:color="202E39"/>
            </w:tcBorders>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80" w:type="dxa"/>
            <w:vAlign w:val="bottom"/>
            <w:tcBorders>
              <w:left w:val="single" w:sz="8" w:color="202E39"/>
              <w:bottom w:val="single" w:sz="8" w:color="D8F0FA"/>
              <w:right w:val="single" w:sz="8" w:color="D8F0FA"/>
            </w:tcBorders>
            <w:shd w:val="clear" w:color="auto" w:fill="D8F0FA"/>
          </w:tcPr>
          <w:p>
            <w:pPr>
              <w:spacing w:after="0"/>
              <w:rPr>
                <w:sz w:val="24"/>
                <w:szCs w:val="24"/>
                <w:color w:val="auto"/>
              </w:rPr>
            </w:pPr>
          </w:p>
        </w:tc>
        <w:tc>
          <w:tcPr>
            <w:tcW w:w="2620" w:type="dxa"/>
            <w:vAlign w:val="bottom"/>
            <w:tcBorders>
              <w:bottom w:val="single" w:sz="8" w:color="D8F0FA"/>
              <w:right w:val="single" w:sz="8" w:color="202E39"/>
            </w:tcBorders>
            <w:shd w:val="clear" w:color="auto" w:fill="D8F0FA"/>
          </w:tcPr>
          <w:p>
            <w:pPr>
              <w:spacing w:after="0"/>
              <w:rPr>
                <w:sz w:val="24"/>
                <w:szCs w:val="24"/>
                <w:color w:val="auto"/>
              </w:rPr>
            </w:pPr>
          </w:p>
        </w:tc>
        <w:tc>
          <w:tcPr>
            <w:tcW w:w="4120" w:type="dxa"/>
            <w:vAlign w:val="bottom"/>
            <w:tcBorders>
              <w:right w:val="single" w:sz="8" w:color="202E39"/>
            </w:tcBorders>
            <w:gridSpan w:val="3"/>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 Market Capitalization</w:t>
            </w:r>
          </w:p>
        </w:tc>
        <w:tc>
          <w:tcPr>
            <w:tcW w:w="4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Borders>
              <w:right w:val="single" w:sz="8" w:color="202E39"/>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0" w:type="dxa"/>
            <w:vAlign w:val="bottom"/>
            <w:tcBorders>
              <w:top w:val="single" w:sz="8" w:color="202E39"/>
              <w:left w:val="single" w:sz="8" w:color="202E39"/>
              <w:right w:val="single" w:sz="8" w:color="D8F0FA"/>
            </w:tcBorders>
            <w:shd w:val="clear" w:color="auto" w:fill="D8F0FA"/>
          </w:tcPr>
          <w:p>
            <w:pPr>
              <w:spacing w:after="0"/>
              <w:rPr>
                <w:sz w:val="22"/>
                <w:szCs w:val="22"/>
                <w:color w:val="auto"/>
              </w:rPr>
            </w:pPr>
          </w:p>
        </w:tc>
        <w:tc>
          <w:tcPr>
            <w:tcW w:w="2620" w:type="dxa"/>
            <w:vAlign w:val="bottom"/>
            <w:tcBorders>
              <w:top w:val="single" w:sz="8" w:color="202E39"/>
              <w:right w:val="single" w:sz="8" w:color="202E39"/>
            </w:tcBorders>
            <w:shd w:val="clear" w:color="auto" w:fill="D8F0FA"/>
          </w:tcPr>
          <w:p>
            <w:pPr>
              <w:ind w:left="80"/>
              <w:spacing w:after="0"/>
              <w:rPr>
                <w:sz w:val="20"/>
                <w:szCs w:val="20"/>
                <w:color w:val="auto"/>
              </w:rPr>
            </w:pPr>
            <w:r>
              <w:rPr>
                <w:rFonts w:ascii="Arial" w:cs="Arial" w:eastAsia="Arial" w:hAnsi="Arial"/>
                <w:sz w:val="16"/>
                <w:szCs w:val="16"/>
                <w:b w:val="1"/>
                <w:bCs w:val="1"/>
                <w:color w:val="202E39"/>
              </w:rPr>
              <w:t>Additional Inputs Used for</w:t>
            </w:r>
          </w:p>
        </w:tc>
        <w:tc>
          <w:tcPr>
            <w:tcW w:w="4120" w:type="dxa"/>
            <w:vAlign w:val="bottom"/>
            <w:tcBorders>
              <w:top w:val="single" w:sz="8" w:color="202E39"/>
              <w:right w:val="single" w:sz="8" w:color="202E39"/>
            </w:tcBorders>
            <w:gridSpan w:val="3"/>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 Competitive market information from the Radford</w:t>
            </w:r>
          </w:p>
        </w:tc>
        <w:tc>
          <w:tcPr>
            <w:tcW w:w="3940" w:type="dxa"/>
            <w:vAlign w:val="bottom"/>
            <w:tcBorders>
              <w:top w:val="single" w:sz="8" w:color="202E39"/>
              <w:right w:val="single" w:sz="8" w:color="202E39"/>
            </w:tcBorders>
            <w:gridSpan w:val="3"/>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 Permits the Committee to review aggregated</w:t>
            </w:r>
          </w:p>
        </w:tc>
        <w:tc>
          <w:tcPr>
            <w:tcW w:w="0" w:type="dxa"/>
            <w:vAlign w:val="bottom"/>
          </w:tcPr>
          <w:p>
            <w:pPr>
              <w:spacing w:after="0"/>
              <w:rPr>
                <w:sz w:val="1"/>
                <w:szCs w:val="1"/>
                <w:color w:val="auto"/>
              </w:rPr>
            </w:pPr>
          </w:p>
        </w:tc>
      </w:tr>
      <w:tr>
        <w:trPr>
          <w:trHeight w:val="186"/>
        </w:trPr>
        <w:tc>
          <w:tcPr>
            <w:tcW w:w="80" w:type="dxa"/>
            <w:vAlign w:val="bottom"/>
            <w:tcBorders>
              <w:left w:val="single" w:sz="8" w:color="202E39"/>
              <w:right w:val="single" w:sz="8" w:color="D8F0FA"/>
            </w:tcBorders>
            <w:shd w:val="clear" w:color="auto" w:fill="D8F0FA"/>
          </w:tcPr>
          <w:p>
            <w:pPr>
              <w:spacing w:after="0"/>
              <w:rPr>
                <w:sz w:val="16"/>
                <w:szCs w:val="16"/>
                <w:color w:val="auto"/>
              </w:rPr>
            </w:pPr>
          </w:p>
        </w:tc>
        <w:tc>
          <w:tcPr>
            <w:tcW w:w="2620" w:type="dxa"/>
            <w:vAlign w:val="bottom"/>
            <w:tcBorders>
              <w:right w:val="single" w:sz="8" w:color="202E39"/>
            </w:tcBorders>
            <w:shd w:val="clear" w:color="auto" w:fill="D8F0FA"/>
          </w:tcPr>
          <w:p>
            <w:pPr>
              <w:ind w:left="80"/>
              <w:spacing w:after="0"/>
              <w:rPr>
                <w:sz w:val="20"/>
                <w:szCs w:val="20"/>
                <w:color w:val="auto"/>
              </w:rPr>
            </w:pPr>
            <w:r>
              <w:rPr>
                <w:rFonts w:ascii="Arial" w:cs="Arial" w:eastAsia="Arial" w:hAnsi="Arial"/>
                <w:sz w:val="16"/>
                <w:szCs w:val="16"/>
                <w:b w:val="1"/>
                <w:bCs w:val="1"/>
                <w:color w:val="202E39"/>
              </w:rPr>
              <w:t>Compensation Decisions</w:t>
            </w:r>
          </w:p>
        </w:tc>
        <w:tc>
          <w:tcPr>
            <w:tcW w:w="412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Global Technology survey, a globally recognized</w:t>
            </w: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compensation data for positions similar to those</w:t>
            </w:r>
          </w:p>
        </w:tc>
        <w:tc>
          <w:tcPr>
            <w:tcW w:w="0" w:type="dxa"/>
            <w:vAlign w:val="bottom"/>
          </w:tcPr>
          <w:p>
            <w:pPr>
              <w:spacing w:after="0"/>
              <w:rPr>
                <w:sz w:val="1"/>
                <w:szCs w:val="1"/>
                <w:color w:val="auto"/>
              </w:rPr>
            </w:pPr>
          </w:p>
        </w:tc>
      </w:tr>
      <w:tr>
        <w:trPr>
          <w:trHeight w:val="184"/>
        </w:trPr>
        <w:tc>
          <w:tcPr>
            <w:tcW w:w="80" w:type="dxa"/>
            <w:vAlign w:val="bottom"/>
            <w:tcBorders>
              <w:left w:val="single" w:sz="8" w:color="202E39"/>
              <w:right w:val="single" w:sz="8" w:color="D8F0FA"/>
            </w:tcBorders>
            <w:shd w:val="clear" w:color="auto" w:fill="D8F0FA"/>
          </w:tcPr>
          <w:p>
            <w:pPr>
              <w:spacing w:after="0"/>
              <w:rPr>
                <w:sz w:val="16"/>
                <w:szCs w:val="16"/>
                <w:color w:val="auto"/>
              </w:rPr>
            </w:pPr>
          </w:p>
        </w:tc>
        <w:tc>
          <w:tcPr>
            <w:tcW w:w="2620" w:type="dxa"/>
            <w:vAlign w:val="bottom"/>
            <w:tcBorders>
              <w:right w:val="single" w:sz="8" w:color="202E39"/>
            </w:tcBorders>
            <w:shd w:val="clear" w:color="auto" w:fill="D8F0FA"/>
          </w:tcPr>
          <w:p>
            <w:pPr>
              <w:spacing w:after="0"/>
              <w:rPr>
                <w:sz w:val="16"/>
                <w:szCs w:val="16"/>
                <w:color w:val="auto"/>
              </w:rPr>
            </w:pPr>
          </w:p>
        </w:tc>
        <w:tc>
          <w:tcPr>
            <w:tcW w:w="412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compensation survey containing market information of</w:t>
            </w: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held by executive officers in the technology industry</w:t>
            </w:r>
          </w:p>
        </w:tc>
        <w:tc>
          <w:tcPr>
            <w:tcW w:w="0" w:type="dxa"/>
            <w:vAlign w:val="bottom"/>
          </w:tcPr>
          <w:p>
            <w:pPr>
              <w:spacing w:after="0"/>
              <w:rPr>
                <w:sz w:val="1"/>
                <w:szCs w:val="1"/>
                <w:color w:val="auto"/>
              </w:rPr>
            </w:pPr>
          </w:p>
        </w:tc>
      </w:tr>
      <w:tr>
        <w:trPr>
          <w:trHeight w:val="207"/>
        </w:trPr>
        <w:tc>
          <w:tcPr>
            <w:tcW w:w="80" w:type="dxa"/>
            <w:vAlign w:val="bottom"/>
            <w:tcBorders>
              <w:left w:val="single" w:sz="8" w:color="202E39"/>
              <w:right w:val="single" w:sz="8" w:color="D8F0FA"/>
            </w:tcBorders>
            <w:shd w:val="clear" w:color="auto" w:fill="D8F0FA"/>
          </w:tcPr>
          <w:p>
            <w:pPr>
              <w:spacing w:after="0"/>
              <w:rPr>
                <w:sz w:val="17"/>
                <w:szCs w:val="17"/>
                <w:color w:val="auto"/>
              </w:rPr>
            </w:pPr>
          </w:p>
        </w:tc>
        <w:tc>
          <w:tcPr>
            <w:tcW w:w="2620" w:type="dxa"/>
            <w:vAlign w:val="bottom"/>
            <w:tcBorders>
              <w:right w:val="single" w:sz="8" w:color="202E39"/>
            </w:tcBorders>
            <w:shd w:val="clear" w:color="auto" w:fill="D8F0FA"/>
          </w:tcPr>
          <w:p>
            <w:pPr>
              <w:spacing w:after="0"/>
              <w:rPr>
                <w:sz w:val="17"/>
                <w:szCs w:val="17"/>
                <w:color w:val="auto"/>
              </w:rPr>
            </w:pPr>
          </w:p>
        </w:tc>
        <w:tc>
          <w:tcPr>
            <w:tcW w:w="412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companies in the technology industry</w:t>
            </w:r>
          </w:p>
        </w:tc>
        <w:tc>
          <w:tcPr>
            <w:tcW w:w="3940" w:type="dxa"/>
            <w:vAlign w:val="bottom"/>
            <w:tcBorders>
              <w:right w:val="single" w:sz="8" w:color="202E39"/>
            </w:tcBorders>
            <w:gridSpan w:val="3"/>
            <w:vMerge w:val="restart"/>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 Provides comprehensive survey data including</w:t>
            </w:r>
          </w:p>
        </w:tc>
        <w:tc>
          <w:tcPr>
            <w:tcW w:w="0" w:type="dxa"/>
            <w:vAlign w:val="bottom"/>
          </w:tcPr>
          <w:p>
            <w:pPr>
              <w:spacing w:after="0"/>
              <w:rPr>
                <w:sz w:val="1"/>
                <w:szCs w:val="1"/>
                <w:color w:val="auto"/>
              </w:rPr>
            </w:pPr>
          </w:p>
        </w:tc>
      </w:tr>
      <w:tr>
        <w:trPr>
          <w:trHeight w:val="43"/>
        </w:trPr>
        <w:tc>
          <w:tcPr>
            <w:tcW w:w="80" w:type="dxa"/>
            <w:vAlign w:val="bottom"/>
            <w:tcBorders>
              <w:left w:val="single" w:sz="8" w:color="202E39"/>
              <w:right w:val="single" w:sz="8" w:color="D8F0FA"/>
            </w:tcBorders>
            <w:shd w:val="clear" w:color="auto" w:fill="D8F0FA"/>
          </w:tcPr>
          <w:p>
            <w:pPr>
              <w:spacing w:after="0"/>
              <w:rPr>
                <w:sz w:val="3"/>
                <w:szCs w:val="3"/>
                <w:color w:val="auto"/>
              </w:rPr>
            </w:pPr>
          </w:p>
        </w:tc>
        <w:tc>
          <w:tcPr>
            <w:tcW w:w="2620" w:type="dxa"/>
            <w:vAlign w:val="bottom"/>
            <w:tcBorders>
              <w:right w:val="single" w:sz="8" w:color="202E39"/>
            </w:tcBorders>
            <w:shd w:val="clear" w:color="auto" w:fill="D8F0FA"/>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700" w:type="dxa"/>
            <w:vAlign w:val="bottom"/>
            <w:tcBorders>
              <w:right w:val="single" w:sz="8" w:color="202E39"/>
            </w:tcBorders>
          </w:tcPr>
          <w:p>
            <w:pPr>
              <w:spacing w:after="0"/>
              <w:rPr>
                <w:sz w:val="3"/>
                <w:szCs w:val="3"/>
                <w:color w:val="auto"/>
              </w:rPr>
            </w:pPr>
          </w:p>
        </w:tc>
        <w:tc>
          <w:tcPr>
            <w:tcW w:w="3940" w:type="dxa"/>
            <w:vAlign w:val="bottom"/>
            <w:tcBorders>
              <w:right w:val="single" w:sz="8" w:color="202E39"/>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 w:type="dxa"/>
            <w:vAlign w:val="bottom"/>
            <w:tcBorders>
              <w:left w:val="single" w:sz="8" w:color="202E39"/>
              <w:right w:val="single" w:sz="8" w:color="D8F0FA"/>
            </w:tcBorders>
            <w:shd w:val="clear" w:color="auto" w:fill="D8F0FA"/>
          </w:tcPr>
          <w:p>
            <w:pPr>
              <w:spacing w:after="0"/>
              <w:rPr>
                <w:sz w:val="16"/>
                <w:szCs w:val="16"/>
                <w:color w:val="auto"/>
              </w:rPr>
            </w:pPr>
          </w:p>
        </w:tc>
        <w:tc>
          <w:tcPr>
            <w:tcW w:w="2620" w:type="dxa"/>
            <w:vAlign w:val="bottom"/>
            <w:tcBorders>
              <w:right w:val="single" w:sz="8" w:color="202E39"/>
            </w:tcBorders>
            <w:shd w:val="clear" w:color="auto" w:fill="D8F0FA"/>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tcBorders>
              <w:right w:val="single" w:sz="8" w:color="202E39"/>
            </w:tcBorders>
          </w:tcPr>
          <w:p>
            <w:pPr>
              <w:spacing w:after="0"/>
              <w:rPr>
                <w:sz w:val="16"/>
                <w:szCs w:val="16"/>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pooled compensation data for positions closely akin</w:t>
            </w:r>
          </w:p>
        </w:tc>
        <w:tc>
          <w:tcPr>
            <w:tcW w:w="0" w:type="dxa"/>
            <w:vAlign w:val="bottom"/>
          </w:tcPr>
          <w:p>
            <w:pPr>
              <w:spacing w:after="0"/>
              <w:rPr>
                <w:sz w:val="1"/>
                <w:szCs w:val="1"/>
                <w:color w:val="auto"/>
              </w:rPr>
            </w:pPr>
          </w:p>
        </w:tc>
      </w:tr>
      <w:tr>
        <w:trPr>
          <w:trHeight w:val="207"/>
        </w:trPr>
        <w:tc>
          <w:tcPr>
            <w:tcW w:w="80" w:type="dxa"/>
            <w:vAlign w:val="bottom"/>
            <w:tcBorders>
              <w:left w:val="single" w:sz="8" w:color="202E39"/>
              <w:right w:val="single" w:sz="8" w:color="D8F0FA"/>
            </w:tcBorders>
            <w:shd w:val="clear" w:color="auto" w:fill="D8F0FA"/>
          </w:tcPr>
          <w:p>
            <w:pPr>
              <w:spacing w:after="0"/>
              <w:rPr>
                <w:sz w:val="17"/>
                <w:szCs w:val="17"/>
                <w:color w:val="auto"/>
              </w:rPr>
            </w:pPr>
          </w:p>
        </w:tc>
        <w:tc>
          <w:tcPr>
            <w:tcW w:w="2620" w:type="dxa"/>
            <w:vAlign w:val="bottom"/>
            <w:tcBorders>
              <w:right w:val="single" w:sz="8" w:color="202E39"/>
            </w:tcBorders>
            <w:shd w:val="clear" w:color="auto" w:fill="D8F0FA"/>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tcBorders>
              <w:right w:val="single" w:sz="8" w:color="202E39"/>
            </w:tcBorders>
          </w:tcPr>
          <w:p>
            <w:pPr>
              <w:spacing w:after="0"/>
              <w:rPr>
                <w:sz w:val="17"/>
                <w:szCs w:val="17"/>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to those held by each executive officer</w:t>
            </w:r>
          </w:p>
        </w:tc>
        <w:tc>
          <w:tcPr>
            <w:tcW w:w="0" w:type="dxa"/>
            <w:vAlign w:val="bottom"/>
          </w:tcPr>
          <w:p>
            <w:pPr>
              <w:spacing w:after="0"/>
              <w:rPr>
                <w:sz w:val="1"/>
                <w:szCs w:val="1"/>
                <w:color w:val="auto"/>
              </w:rPr>
            </w:pPr>
          </w:p>
        </w:tc>
      </w:tr>
      <w:tr>
        <w:trPr>
          <w:trHeight w:val="227"/>
        </w:trPr>
        <w:tc>
          <w:tcPr>
            <w:tcW w:w="80" w:type="dxa"/>
            <w:vAlign w:val="bottom"/>
            <w:tcBorders>
              <w:left w:val="single" w:sz="8" w:color="202E39"/>
              <w:right w:val="single" w:sz="8" w:color="D8F0FA"/>
            </w:tcBorders>
            <w:shd w:val="clear" w:color="auto" w:fill="D8F0FA"/>
          </w:tcPr>
          <w:p>
            <w:pPr>
              <w:spacing w:after="0"/>
              <w:rPr>
                <w:sz w:val="19"/>
                <w:szCs w:val="19"/>
                <w:color w:val="auto"/>
              </w:rPr>
            </w:pPr>
          </w:p>
        </w:tc>
        <w:tc>
          <w:tcPr>
            <w:tcW w:w="2620" w:type="dxa"/>
            <w:vAlign w:val="bottom"/>
            <w:tcBorders>
              <w:right w:val="single" w:sz="8" w:color="202E39"/>
            </w:tcBorders>
            <w:shd w:val="clear" w:color="auto" w:fill="D8F0FA"/>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Borders>
              <w:right w:val="single" w:sz="8" w:color="202E39"/>
            </w:tcBorders>
          </w:tcPr>
          <w:p>
            <w:pPr>
              <w:spacing w:after="0"/>
              <w:rPr>
                <w:sz w:val="19"/>
                <w:szCs w:val="19"/>
                <w:color w:val="auto"/>
              </w:rPr>
            </w:pPr>
          </w:p>
        </w:tc>
        <w:tc>
          <w:tcPr>
            <w:tcW w:w="3940" w:type="dxa"/>
            <w:vAlign w:val="bottom"/>
            <w:tcBorders>
              <w:right w:val="single" w:sz="8" w:color="202E39"/>
            </w:tcBorders>
            <w:gridSpan w:val="3"/>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 Allows for the Committee to compare executive</w:t>
            </w:r>
          </w:p>
        </w:tc>
        <w:tc>
          <w:tcPr>
            <w:tcW w:w="0" w:type="dxa"/>
            <w:vAlign w:val="bottom"/>
          </w:tcPr>
          <w:p>
            <w:pPr>
              <w:spacing w:after="0"/>
              <w:rPr>
                <w:sz w:val="1"/>
                <w:szCs w:val="1"/>
                <w:color w:val="auto"/>
              </w:rPr>
            </w:pPr>
          </w:p>
        </w:tc>
      </w:tr>
      <w:tr>
        <w:trPr>
          <w:trHeight w:val="184"/>
        </w:trPr>
        <w:tc>
          <w:tcPr>
            <w:tcW w:w="80" w:type="dxa"/>
            <w:vAlign w:val="bottom"/>
            <w:tcBorders>
              <w:left w:val="single" w:sz="8" w:color="202E39"/>
              <w:right w:val="single" w:sz="8" w:color="D8F0FA"/>
            </w:tcBorders>
            <w:shd w:val="clear" w:color="auto" w:fill="D8F0FA"/>
          </w:tcPr>
          <w:p>
            <w:pPr>
              <w:spacing w:after="0"/>
              <w:rPr>
                <w:sz w:val="16"/>
                <w:szCs w:val="16"/>
                <w:color w:val="auto"/>
              </w:rPr>
            </w:pPr>
          </w:p>
        </w:tc>
        <w:tc>
          <w:tcPr>
            <w:tcW w:w="2620" w:type="dxa"/>
            <w:vAlign w:val="bottom"/>
            <w:tcBorders>
              <w:right w:val="single" w:sz="8" w:color="202E39"/>
            </w:tcBorders>
            <w:shd w:val="clear" w:color="auto" w:fill="D8F0FA"/>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tcBorders>
              <w:right w:val="single" w:sz="8" w:color="202E39"/>
            </w:tcBorders>
          </w:tcPr>
          <w:p>
            <w:pPr>
              <w:spacing w:after="0"/>
              <w:rPr>
                <w:sz w:val="16"/>
                <w:szCs w:val="16"/>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officers to those across a wide range of</w:t>
            </w:r>
          </w:p>
        </w:tc>
        <w:tc>
          <w:tcPr>
            <w:tcW w:w="0" w:type="dxa"/>
            <w:vAlign w:val="bottom"/>
          </w:tcPr>
          <w:p>
            <w:pPr>
              <w:spacing w:after="0"/>
              <w:rPr>
                <w:sz w:val="1"/>
                <w:szCs w:val="1"/>
                <w:color w:val="auto"/>
              </w:rPr>
            </w:pPr>
          </w:p>
        </w:tc>
      </w:tr>
      <w:tr>
        <w:trPr>
          <w:trHeight w:val="184"/>
        </w:trPr>
        <w:tc>
          <w:tcPr>
            <w:tcW w:w="80" w:type="dxa"/>
            <w:vAlign w:val="bottom"/>
            <w:tcBorders>
              <w:left w:val="single" w:sz="8" w:color="202E39"/>
              <w:right w:val="single" w:sz="8" w:color="D8F0FA"/>
            </w:tcBorders>
            <w:shd w:val="clear" w:color="auto" w:fill="D8F0FA"/>
          </w:tcPr>
          <w:p>
            <w:pPr>
              <w:spacing w:after="0"/>
              <w:rPr>
                <w:sz w:val="16"/>
                <w:szCs w:val="16"/>
                <w:color w:val="auto"/>
              </w:rPr>
            </w:pPr>
          </w:p>
        </w:tc>
        <w:tc>
          <w:tcPr>
            <w:tcW w:w="2620" w:type="dxa"/>
            <w:vAlign w:val="bottom"/>
            <w:tcBorders>
              <w:right w:val="single" w:sz="8" w:color="202E39"/>
            </w:tcBorders>
            <w:shd w:val="clear" w:color="auto" w:fill="D8F0FA"/>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tcBorders>
              <w:right w:val="single" w:sz="8" w:color="202E39"/>
            </w:tcBorders>
          </w:tcPr>
          <w:p>
            <w:pPr>
              <w:spacing w:after="0"/>
              <w:rPr>
                <w:sz w:val="16"/>
                <w:szCs w:val="16"/>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organizations outside of Viasat’s traditional, and</w:t>
            </w:r>
          </w:p>
        </w:tc>
        <w:tc>
          <w:tcPr>
            <w:tcW w:w="0" w:type="dxa"/>
            <w:vAlign w:val="bottom"/>
          </w:tcPr>
          <w:p>
            <w:pPr>
              <w:spacing w:after="0"/>
              <w:rPr>
                <w:sz w:val="1"/>
                <w:szCs w:val="1"/>
                <w:color w:val="auto"/>
              </w:rPr>
            </w:pPr>
          </w:p>
        </w:tc>
      </w:tr>
      <w:tr>
        <w:trPr>
          <w:trHeight w:val="207"/>
        </w:trPr>
        <w:tc>
          <w:tcPr>
            <w:tcW w:w="80" w:type="dxa"/>
            <w:vAlign w:val="bottom"/>
            <w:tcBorders>
              <w:left w:val="single" w:sz="8" w:color="202E39"/>
              <w:right w:val="single" w:sz="8" w:color="D8F0FA"/>
            </w:tcBorders>
            <w:shd w:val="clear" w:color="auto" w:fill="D8F0FA"/>
          </w:tcPr>
          <w:p>
            <w:pPr>
              <w:spacing w:after="0"/>
              <w:rPr>
                <w:sz w:val="17"/>
                <w:szCs w:val="17"/>
                <w:color w:val="auto"/>
              </w:rPr>
            </w:pPr>
          </w:p>
        </w:tc>
        <w:tc>
          <w:tcPr>
            <w:tcW w:w="2620" w:type="dxa"/>
            <w:vAlign w:val="bottom"/>
            <w:tcBorders>
              <w:right w:val="single" w:sz="8" w:color="202E39"/>
            </w:tcBorders>
            <w:shd w:val="clear" w:color="auto" w:fill="D8F0FA"/>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tcBorders>
              <w:right w:val="single" w:sz="8" w:color="202E39"/>
            </w:tcBorders>
          </w:tcPr>
          <w:p>
            <w:pPr>
              <w:spacing w:after="0"/>
              <w:rPr>
                <w:sz w:val="17"/>
                <w:szCs w:val="17"/>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limited, group of competitors</w:t>
            </w:r>
          </w:p>
        </w:tc>
        <w:tc>
          <w:tcPr>
            <w:tcW w:w="0" w:type="dxa"/>
            <w:vAlign w:val="bottom"/>
          </w:tcPr>
          <w:p>
            <w:pPr>
              <w:spacing w:after="0"/>
              <w:rPr>
                <w:sz w:val="1"/>
                <w:szCs w:val="1"/>
                <w:color w:val="auto"/>
              </w:rPr>
            </w:pPr>
          </w:p>
        </w:tc>
      </w:tr>
      <w:tr>
        <w:trPr>
          <w:trHeight w:val="227"/>
        </w:trPr>
        <w:tc>
          <w:tcPr>
            <w:tcW w:w="80" w:type="dxa"/>
            <w:vAlign w:val="bottom"/>
            <w:tcBorders>
              <w:left w:val="single" w:sz="8" w:color="202E39"/>
              <w:right w:val="single" w:sz="8" w:color="D8F0FA"/>
            </w:tcBorders>
            <w:shd w:val="clear" w:color="auto" w:fill="D8F0FA"/>
          </w:tcPr>
          <w:p>
            <w:pPr>
              <w:spacing w:after="0"/>
              <w:rPr>
                <w:sz w:val="19"/>
                <w:szCs w:val="19"/>
                <w:color w:val="auto"/>
              </w:rPr>
            </w:pPr>
          </w:p>
        </w:tc>
        <w:tc>
          <w:tcPr>
            <w:tcW w:w="2620" w:type="dxa"/>
            <w:vAlign w:val="bottom"/>
            <w:tcBorders>
              <w:right w:val="single" w:sz="8" w:color="202E39"/>
            </w:tcBorders>
            <w:shd w:val="clear" w:color="auto" w:fill="D8F0FA"/>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Borders>
              <w:right w:val="single" w:sz="8" w:color="202E39"/>
            </w:tcBorders>
          </w:tcPr>
          <w:p>
            <w:pPr>
              <w:spacing w:after="0"/>
              <w:rPr>
                <w:sz w:val="19"/>
                <w:szCs w:val="19"/>
                <w:color w:val="auto"/>
              </w:rPr>
            </w:pPr>
          </w:p>
        </w:tc>
        <w:tc>
          <w:tcPr>
            <w:tcW w:w="3940" w:type="dxa"/>
            <w:vAlign w:val="bottom"/>
            <w:tcBorders>
              <w:right w:val="single" w:sz="8" w:color="202E39"/>
            </w:tcBorders>
            <w:gridSpan w:val="3"/>
          </w:tcPr>
          <w:p>
            <w:pPr>
              <w:ind w:left="8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 Individual company compensation data for</w:t>
            </w:r>
          </w:p>
        </w:tc>
        <w:tc>
          <w:tcPr>
            <w:tcW w:w="0" w:type="dxa"/>
            <w:vAlign w:val="bottom"/>
          </w:tcPr>
          <w:p>
            <w:pPr>
              <w:spacing w:after="0"/>
              <w:rPr>
                <w:sz w:val="1"/>
                <w:szCs w:val="1"/>
                <w:color w:val="auto"/>
              </w:rPr>
            </w:pPr>
          </w:p>
        </w:tc>
      </w:tr>
      <w:tr>
        <w:trPr>
          <w:trHeight w:val="184"/>
        </w:trPr>
        <w:tc>
          <w:tcPr>
            <w:tcW w:w="80" w:type="dxa"/>
            <w:vAlign w:val="bottom"/>
            <w:tcBorders>
              <w:left w:val="single" w:sz="8" w:color="202E39"/>
              <w:right w:val="single" w:sz="8" w:color="D8F0FA"/>
            </w:tcBorders>
            <w:shd w:val="clear" w:color="auto" w:fill="D8F0FA"/>
          </w:tcPr>
          <w:p>
            <w:pPr>
              <w:spacing w:after="0"/>
              <w:rPr>
                <w:sz w:val="16"/>
                <w:szCs w:val="16"/>
                <w:color w:val="auto"/>
              </w:rPr>
            </w:pPr>
          </w:p>
        </w:tc>
        <w:tc>
          <w:tcPr>
            <w:tcW w:w="2620" w:type="dxa"/>
            <w:vAlign w:val="bottom"/>
            <w:tcBorders>
              <w:right w:val="single" w:sz="8" w:color="202E39"/>
            </w:tcBorders>
            <w:shd w:val="clear" w:color="auto" w:fill="D8F0FA"/>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tcBorders>
              <w:right w:val="single" w:sz="8" w:color="202E39"/>
            </w:tcBorders>
          </w:tcPr>
          <w:p>
            <w:pPr>
              <w:spacing w:after="0"/>
              <w:rPr>
                <w:sz w:val="16"/>
                <w:szCs w:val="16"/>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companies in the survey was not provided to the</w:t>
            </w:r>
          </w:p>
        </w:tc>
        <w:tc>
          <w:tcPr>
            <w:tcW w:w="0" w:type="dxa"/>
            <w:vAlign w:val="bottom"/>
          </w:tcPr>
          <w:p>
            <w:pPr>
              <w:spacing w:after="0"/>
              <w:rPr>
                <w:sz w:val="1"/>
                <w:szCs w:val="1"/>
                <w:color w:val="auto"/>
              </w:rPr>
            </w:pPr>
          </w:p>
        </w:tc>
      </w:tr>
      <w:tr>
        <w:trPr>
          <w:trHeight w:val="262"/>
        </w:trPr>
        <w:tc>
          <w:tcPr>
            <w:tcW w:w="80" w:type="dxa"/>
            <w:vAlign w:val="bottom"/>
            <w:tcBorders>
              <w:left w:val="single" w:sz="8" w:color="202E39"/>
              <w:bottom w:val="single" w:sz="8" w:color="D8F0FA"/>
              <w:right w:val="single" w:sz="8" w:color="D8F0FA"/>
            </w:tcBorders>
            <w:shd w:val="clear" w:color="auto" w:fill="D8F0FA"/>
          </w:tcPr>
          <w:p>
            <w:pPr>
              <w:spacing w:after="0"/>
              <w:rPr>
                <w:sz w:val="22"/>
                <w:szCs w:val="22"/>
                <w:color w:val="auto"/>
              </w:rPr>
            </w:pPr>
          </w:p>
        </w:tc>
        <w:tc>
          <w:tcPr>
            <w:tcW w:w="2620" w:type="dxa"/>
            <w:vAlign w:val="bottom"/>
            <w:tcBorders>
              <w:bottom w:val="single" w:sz="8" w:color="D8F0FA"/>
              <w:right w:val="single" w:sz="8" w:color="202E39"/>
            </w:tcBorders>
            <w:shd w:val="clear" w:color="auto" w:fill="D8F0FA"/>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00" w:type="dxa"/>
            <w:vAlign w:val="bottom"/>
            <w:tcBorders>
              <w:right w:val="single" w:sz="8" w:color="202E39"/>
            </w:tcBorders>
          </w:tcPr>
          <w:p>
            <w:pPr>
              <w:spacing w:after="0"/>
              <w:rPr>
                <w:sz w:val="22"/>
                <w:szCs w:val="22"/>
                <w:color w:val="auto"/>
              </w:rPr>
            </w:pPr>
          </w:p>
        </w:tc>
        <w:tc>
          <w:tcPr>
            <w:tcW w:w="3940" w:type="dxa"/>
            <w:vAlign w:val="bottom"/>
            <w:tcBorders>
              <w:right w:val="single" w:sz="8" w:color="202E39"/>
            </w:tcBorders>
            <w:gridSpan w:val="3"/>
          </w:tcPr>
          <w:p>
            <w:pPr>
              <w:ind w:left="220"/>
              <w:spacing w:after="0"/>
              <w:rPr>
                <w:sz w:val="20"/>
                <w:szCs w:val="20"/>
                <w:color w:val="auto"/>
              </w:rPr>
            </w:pPr>
            <w:r>
              <w:rPr>
                <w:rFonts w:ascii="Arial" w:cs="Arial" w:eastAsia="Arial" w:hAnsi="Arial"/>
                <w:sz w:val="16"/>
                <w:szCs w:val="16"/>
                <w:color w:val="202E39"/>
              </w:rPr>
              <w:t>Committee</w:t>
            </w:r>
          </w:p>
        </w:tc>
        <w:tc>
          <w:tcPr>
            <w:tcW w:w="0" w:type="dxa"/>
            <w:vAlign w:val="bottom"/>
          </w:tcPr>
          <w:p>
            <w:pPr>
              <w:spacing w:after="0"/>
              <w:rPr>
                <w:sz w:val="1"/>
                <w:szCs w:val="1"/>
                <w:color w:val="auto"/>
              </w:rPr>
            </w:pPr>
          </w:p>
        </w:tc>
      </w:tr>
      <w:tr>
        <w:trPr>
          <w:trHeight w:val="293"/>
        </w:trPr>
        <w:tc>
          <w:tcPr>
            <w:tcW w:w="10760" w:type="dxa"/>
            <w:vAlign w:val="bottom"/>
            <w:tcBorders>
              <w:top w:val="single" w:sz="8" w:color="202E39"/>
            </w:tcBorders>
            <w:gridSpan w:val="8"/>
          </w:tcPr>
          <w:p>
            <w:pPr>
              <w:spacing w:after="0"/>
              <w:rPr>
                <w:sz w:val="20"/>
                <w:szCs w:val="20"/>
                <w:color w:val="auto"/>
              </w:rPr>
            </w:pPr>
            <w:r>
              <w:rPr>
                <w:rFonts w:ascii="Arial" w:cs="Arial" w:eastAsia="Arial" w:hAnsi="Arial"/>
                <w:sz w:val="16"/>
                <w:szCs w:val="16"/>
                <w:color w:val="202E39"/>
              </w:rPr>
              <w:t>For fiscal year 2024 compensation decisions, the Committee approved a peer group consisting of the following companies</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2620" w:type="dxa"/>
            <w:vAlign w:val="bottom"/>
            <w:tcBorders>
              <w:bottom w:val="single" w:sz="8" w:color="202E39"/>
            </w:tcBorders>
          </w:tcPr>
          <w:p>
            <w:pPr>
              <w:spacing w:after="0"/>
              <w:rPr>
                <w:sz w:val="19"/>
                <w:szCs w:val="19"/>
                <w:color w:val="auto"/>
              </w:rPr>
            </w:pPr>
          </w:p>
        </w:tc>
        <w:tc>
          <w:tcPr>
            <w:tcW w:w="1080" w:type="dxa"/>
            <w:vAlign w:val="bottom"/>
            <w:tcBorders>
              <w:bottom w:val="single" w:sz="8" w:color="202E39"/>
            </w:tcBorders>
          </w:tcPr>
          <w:p>
            <w:pPr>
              <w:spacing w:after="0"/>
              <w:rPr>
                <w:sz w:val="19"/>
                <w:szCs w:val="19"/>
                <w:color w:val="auto"/>
              </w:rPr>
            </w:pPr>
          </w:p>
        </w:tc>
        <w:tc>
          <w:tcPr>
            <w:tcW w:w="340" w:type="dxa"/>
            <w:vAlign w:val="bottom"/>
            <w:tcBorders>
              <w:bottom w:val="single" w:sz="8" w:color="202E39"/>
            </w:tcBorders>
          </w:tcPr>
          <w:p>
            <w:pPr>
              <w:spacing w:after="0"/>
              <w:rPr>
                <w:sz w:val="19"/>
                <w:szCs w:val="19"/>
                <w:color w:val="auto"/>
              </w:rPr>
            </w:pPr>
          </w:p>
        </w:tc>
        <w:tc>
          <w:tcPr>
            <w:tcW w:w="2700" w:type="dxa"/>
            <w:vAlign w:val="bottom"/>
            <w:tcBorders>
              <w:bottom w:val="single" w:sz="8" w:color="202E39"/>
            </w:tcBorders>
          </w:tcPr>
          <w:p>
            <w:pPr>
              <w:spacing w:after="0"/>
              <w:rPr>
                <w:sz w:val="19"/>
                <w:szCs w:val="19"/>
                <w:color w:val="auto"/>
              </w:rPr>
            </w:pPr>
          </w:p>
        </w:tc>
        <w:tc>
          <w:tcPr>
            <w:tcW w:w="460" w:type="dxa"/>
            <w:vAlign w:val="bottom"/>
            <w:tcBorders>
              <w:bottom w:val="single" w:sz="8" w:color="202E39"/>
            </w:tcBorders>
          </w:tcPr>
          <w:p>
            <w:pPr>
              <w:spacing w:after="0"/>
              <w:rPr>
                <w:sz w:val="19"/>
                <w:szCs w:val="19"/>
                <w:color w:val="auto"/>
              </w:rPr>
            </w:pPr>
          </w:p>
        </w:tc>
        <w:tc>
          <w:tcPr>
            <w:tcW w:w="3400" w:type="dxa"/>
            <w:vAlign w:val="bottom"/>
            <w:tcBorders>
              <w:bottom w:val="single" w:sz="8" w:color="202E39"/>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80" w:type="dxa"/>
            <w:vAlign w:val="bottom"/>
            <w:tcBorders>
              <w:right w:val="single" w:sz="8" w:color="202E39"/>
            </w:tcBorders>
          </w:tcPr>
          <w:p>
            <w:pPr>
              <w:spacing w:after="0"/>
              <w:rPr>
                <w:sz w:val="24"/>
                <w:szCs w:val="24"/>
                <w:color w:val="auto"/>
              </w:rPr>
            </w:pPr>
          </w:p>
        </w:tc>
        <w:tc>
          <w:tcPr>
            <w:tcW w:w="2620" w:type="dxa"/>
            <w:vAlign w:val="bottom"/>
            <w:tcBorders>
              <w:bottom w:val="single" w:sz="8" w:color="009FE3"/>
              <w:right w:val="single" w:sz="8" w:color="009FE3"/>
            </w:tcBorders>
            <w:shd w:val="clear" w:color="auto" w:fill="009FE3"/>
          </w:tcPr>
          <w:p>
            <w:pPr>
              <w:spacing w:after="0"/>
              <w:rPr>
                <w:sz w:val="24"/>
                <w:szCs w:val="24"/>
                <w:color w:val="auto"/>
              </w:rPr>
            </w:pPr>
          </w:p>
        </w:tc>
        <w:tc>
          <w:tcPr>
            <w:tcW w:w="1080" w:type="dxa"/>
            <w:vAlign w:val="bottom"/>
            <w:tcBorders>
              <w:bottom w:val="single" w:sz="8" w:color="009FE3"/>
              <w:right w:val="single" w:sz="8" w:color="009FE3"/>
            </w:tcBorders>
            <w:shd w:val="clear" w:color="auto" w:fill="009FE3"/>
          </w:tcPr>
          <w:p>
            <w:pPr>
              <w:spacing w:after="0"/>
              <w:rPr>
                <w:sz w:val="24"/>
                <w:szCs w:val="24"/>
                <w:color w:val="auto"/>
              </w:rPr>
            </w:pPr>
          </w:p>
        </w:tc>
        <w:tc>
          <w:tcPr>
            <w:tcW w:w="340" w:type="dxa"/>
            <w:vAlign w:val="bottom"/>
            <w:tcBorders>
              <w:bottom w:val="single" w:sz="8" w:color="009FE3"/>
            </w:tcBorders>
            <w:shd w:val="clear" w:color="auto" w:fill="009FE3"/>
          </w:tcPr>
          <w:p>
            <w:pPr>
              <w:spacing w:after="0"/>
              <w:rPr>
                <w:sz w:val="24"/>
                <w:szCs w:val="24"/>
                <w:color w:val="auto"/>
              </w:rPr>
            </w:pPr>
          </w:p>
        </w:tc>
        <w:tc>
          <w:tcPr>
            <w:tcW w:w="2700" w:type="dxa"/>
            <w:vAlign w:val="bottom"/>
            <w:tcBorders>
              <w:bottom w:val="single" w:sz="8" w:color="009FE3"/>
              <w:right w:val="single" w:sz="8" w:color="009FE3"/>
            </w:tcBorders>
            <w:shd w:val="clear" w:color="auto" w:fill="009FE3"/>
          </w:tcPr>
          <w:p>
            <w:pPr>
              <w:ind w:left="360"/>
              <w:spacing w:after="0"/>
              <w:rPr>
                <w:sz w:val="20"/>
                <w:szCs w:val="20"/>
                <w:color w:val="auto"/>
              </w:rPr>
            </w:pPr>
            <w:r>
              <w:rPr>
                <w:rFonts w:ascii="Arial" w:cs="Arial" w:eastAsia="Arial" w:hAnsi="Arial"/>
                <w:sz w:val="14"/>
                <w:szCs w:val="14"/>
                <w:b w:val="1"/>
                <w:bCs w:val="1"/>
                <w:color w:val="FFFFFF"/>
              </w:rPr>
              <w:t>Fiscal Year 2024 Peer Group</w:t>
            </w:r>
          </w:p>
        </w:tc>
        <w:tc>
          <w:tcPr>
            <w:tcW w:w="460" w:type="dxa"/>
            <w:vAlign w:val="bottom"/>
            <w:tcBorders>
              <w:bottom w:val="single" w:sz="8" w:color="009FE3"/>
              <w:right w:val="single" w:sz="8" w:color="009FE3"/>
            </w:tcBorders>
            <w:shd w:val="clear" w:color="auto" w:fill="009FE3"/>
          </w:tcPr>
          <w:p>
            <w:pPr>
              <w:spacing w:after="0"/>
              <w:rPr>
                <w:sz w:val="24"/>
                <w:szCs w:val="24"/>
                <w:color w:val="auto"/>
              </w:rPr>
            </w:pPr>
          </w:p>
        </w:tc>
        <w:tc>
          <w:tcPr>
            <w:tcW w:w="3400" w:type="dxa"/>
            <w:vAlign w:val="bottom"/>
            <w:tcBorders>
              <w:bottom w:val="single" w:sz="8" w:color="009FE3"/>
              <w:right w:val="single" w:sz="8" w:color="202E39"/>
            </w:tcBorders>
            <w:shd w:val="clear" w:color="auto" w:fill="009FE3"/>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 w:type="dxa"/>
            <w:vAlign w:val="bottom"/>
            <w:tcBorders>
              <w:right w:val="single" w:sz="8" w:color="202E39"/>
            </w:tcBorders>
          </w:tcPr>
          <w:p>
            <w:pPr>
              <w:spacing w:after="0"/>
              <w:rPr>
                <w:sz w:val="18"/>
                <w:szCs w:val="18"/>
                <w:color w:val="auto"/>
              </w:rPr>
            </w:pPr>
          </w:p>
        </w:tc>
        <w:tc>
          <w:tcPr>
            <w:tcW w:w="2620" w:type="dxa"/>
            <w:vAlign w:val="bottom"/>
            <w:tcBorders>
              <w:top w:val="single" w:sz="8" w:color="202E39"/>
            </w:tcBorders>
          </w:tcPr>
          <w:p>
            <w:pPr>
              <w:jc w:val="center"/>
              <w:ind w:left="1121"/>
              <w:spacing w:after="0"/>
              <w:rPr>
                <w:sz w:val="20"/>
                <w:szCs w:val="20"/>
                <w:color w:val="auto"/>
              </w:rPr>
            </w:pPr>
            <w:r>
              <w:rPr>
                <w:rFonts w:ascii="Arial" w:cs="Arial" w:eastAsia="Arial" w:hAnsi="Arial"/>
                <w:sz w:val="16"/>
                <w:szCs w:val="16"/>
                <w:color w:val="202E39"/>
                <w:w w:val="94"/>
              </w:rPr>
              <w:t>Technology</w:t>
            </w:r>
          </w:p>
        </w:tc>
        <w:tc>
          <w:tcPr>
            <w:tcW w:w="1080" w:type="dxa"/>
            <w:vAlign w:val="bottom"/>
            <w:tcBorders>
              <w:top w:val="single" w:sz="8" w:color="202E39"/>
              <w:right w:val="single" w:sz="8" w:color="202E39"/>
            </w:tcBorders>
          </w:tcPr>
          <w:p>
            <w:pPr>
              <w:spacing w:after="0"/>
              <w:rPr>
                <w:sz w:val="18"/>
                <w:szCs w:val="18"/>
                <w:color w:val="auto"/>
              </w:rPr>
            </w:pPr>
          </w:p>
        </w:tc>
        <w:tc>
          <w:tcPr>
            <w:tcW w:w="340" w:type="dxa"/>
            <w:vAlign w:val="bottom"/>
            <w:tcBorders>
              <w:top w:val="single" w:sz="8" w:color="202E39"/>
            </w:tcBorders>
          </w:tcPr>
          <w:p>
            <w:pPr>
              <w:spacing w:after="0"/>
              <w:rPr>
                <w:sz w:val="18"/>
                <w:szCs w:val="18"/>
                <w:color w:val="auto"/>
              </w:rPr>
            </w:pPr>
          </w:p>
        </w:tc>
        <w:tc>
          <w:tcPr>
            <w:tcW w:w="2700" w:type="dxa"/>
            <w:vAlign w:val="bottom"/>
            <w:tcBorders>
              <w:top w:val="single" w:sz="8" w:color="202E39"/>
            </w:tcBorders>
          </w:tcPr>
          <w:p>
            <w:pPr>
              <w:jc w:val="center"/>
              <w:ind w:left="102"/>
              <w:spacing w:after="0"/>
              <w:rPr>
                <w:sz w:val="20"/>
                <w:szCs w:val="20"/>
                <w:color w:val="auto"/>
              </w:rPr>
            </w:pPr>
            <w:r>
              <w:rPr>
                <w:rFonts w:ascii="Arial" w:cs="Arial" w:eastAsia="Arial" w:hAnsi="Arial"/>
                <w:sz w:val="16"/>
                <w:szCs w:val="16"/>
                <w:color w:val="202E39"/>
                <w:w w:val="98"/>
              </w:rPr>
              <w:t>Network/Communications</w:t>
            </w:r>
          </w:p>
        </w:tc>
        <w:tc>
          <w:tcPr>
            <w:tcW w:w="460" w:type="dxa"/>
            <w:vAlign w:val="bottom"/>
            <w:tcBorders>
              <w:top w:val="single" w:sz="8" w:color="202E39"/>
              <w:right w:val="single" w:sz="8" w:color="202E39"/>
            </w:tcBorders>
          </w:tcPr>
          <w:p>
            <w:pPr>
              <w:spacing w:after="0"/>
              <w:rPr>
                <w:sz w:val="18"/>
                <w:szCs w:val="18"/>
                <w:color w:val="auto"/>
              </w:rPr>
            </w:pPr>
          </w:p>
        </w:tc>
        <w:tc>
          <w:tcPr>
            <w:tcW w:w="3400" w:type="dxa"/>
            <w:vAlign w:val="bottom"/>
            <w:tcBorders>
              <w:top w:val="single" w:sz="8" w:color="202E39"/>
              <w:right w:val="single" w:sz="8" w:color="202E39"/>
            </w:tcBorders>
          </w:tcPr>
          <w:p>
            <w:pPr>
              <w:jc w:val="center"/>
              <w:spacing w:after="0"/>
              <w:rPr>
                <w:sz w:val="20"/>
                <w:szCs w:val="20"/>
                <w:color w:val="auto"/>
              </w:rPr>
            </w:pPr>
            <w:r>
              <w:rPr>
                <w:rFonts w:ascii="Arial" w:cs="Arial" w:eastAsia="Arial" w:hAnsi="Arial"/>
                <w:sz w:val="16"/>
                <w:szCs w:val="16"/>
                <w:color w:val="202E39"/>
                <w:w w:val="96"/>
              </w:rPr>
              <w:t>Aerospace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0" w:type="dxa"/>
            <w:vAlign w:val="bottom"/>
            <w:tcBorders>
              <w:right w:val="single" w:sz="8" w:color="202E39"/>
            </w:tcBorders>
          </w:tcPr>
          <w:p>
            <w:pPr>
              <w:spacing w:after="0"/>
              <w:rPr>
                <w:sz w:val="2"/>
                <w:szCs w:val="2"/>
                <w:color w:val="auto"/>
              </w:rPr>
            </w:pPr>
          </w:p>
        </w:tc>
        <w:tc>
          <w:tcPr>
            <w:tcW w:w="3700" w:type="dxa"/>
            <w:vAlign w:val="bottom"/>
            <w:tcBorders>
              <w:bottom w:val="single" w:sz="8" w:color="202E39"/>
              <w:right w:val="single" w:sz="8" w:color="202E39"/>
            </w:tcBorders>
            <w:gridSpan w:val="2"/>
          </w:tcPr>
          <w:p>
            <w:pPr>
              <w:spacing w:after="0"/>
              <w:rPr>
                <w:sz w:val="2"/>
                <w:szCs w:val="2"/>
                <w:color w:val="auto"/>
              </w:rPr>
            </w:pPr>
          </w:p>
        </w:tc>
        <w:tc>
          <w:tcPr>
            <w:tcW w:w="340" w:type="dxa"/>
            <w:vAlign w:val="bottom"/>
            <w:tcBorders>
              <w:bottom w:val="single" w:sz="8" w:color="202E39"/>
            </w:tcBorders>
          </w:tcPr>
          <w:p>
            <w:pPr>
              <w:spacing w:after="0"/>
              <w:rPr>
                <w:sz w:val="2"/>
                <w:szCs w:val="2"/>
                <w:color w:val="auto"/>
              </w:rPr>
            </w:pPr>
          </w:p>
        </w:tc>
        <w:tc>
          <w:tcPr>
            <w:tcW w:w="2700" w:type="dxa"/>
            <w:vAlign w:val="bottom"/>
            <w:tcBorders>
              <w:bottom w:val="single" w:sz="8" w:color="202E39"/>
            </w:tcBorders>
          </w:tcPr>
          <w:p>
            <w:pPr>
              <w:spacing w:after="0"/>
              <w:rPr>
                <w:sz w:val="2"/>
                <w:szCs w:val="2"/>
                <w:color w:val="auto"/>
              </w:rPr>
            </w:pPr>
          </w:p>
        </w:tc>
        <w:tc>
          <w:tcPr>
            <w:tcW w:w="460" w:type="dxa"/>
            <w:vAlign w:val="bottom"/>
            <w:tcBorders>
              <w:bottom w:val="single" w:sz="8" w:color="202E39"/>
              <w:right w:val="single" w:sz="8" w:color="202E39"/>
            </w:tcBorders>
          </w:tcPr>
          <w:p>
            <w:pPr>
              <w:spacing w:after="0"/>
              <w:rPr>
                <w:sz w:val="2"/>
                <w:szCs w:val="2"/>
                <w:color w:val="auto"/>
              </w:rPr>
            </w:pPr>
          </w:p>
        </w:tc>
        <w:tc>
          <w:tcPr>
            <w:tcW w:w="3400" w:type="dxa"/>
            <w:vAlign w:val="bottom"/>
            <w:tcBorders>
              <w:bottom w:val="single" w:sz="8" w:color="202E39"/>
              <w:right w:val="single" w:sz="8" w:color="202E39"/>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 w:type="dxa"/>
            <w:vAlign w:val="bottom"/>
            <w:tcBorders>
              <w:right w:val="single" w:sz="8" w:color="202E39"/>
            </w:tcBorders>
          </w:tcPr>
          <w:p>
            <w:pPr>
              <w:spacing w:after="0"/>
              <w:rPr>
                <w:sz w:val="17"/>
                <w:szCs w:val="17"/>
                <w:color w:val="auto"/>
              </w:rPr>
            </w:pPr>
          </w:p>
        </w:tc>
        <w:tc>
          <w:tcPr>
            <w:tcW w:w="3700" w:type="dxa"/>
            <w:vAlign w:val="bottom"/>
            <w:tcBorders>
              <w:right w:val="single" w:sz="8" w:color="202E39"/>
            </w:tcBorders>
            <w:gridSpan w:val="2"/>
          </w:tcPr>
          <w:p>
            <w:pPr>
              <w:jc w:val="center"/>
              <w:ind w:left="41"/>
              <w:spacing w:after="0"/>
              <w:rPr>
                <w:sz w:val="20"/>
                <w:szCs w:val="20"/>
                <w:color w:val="auto"/>
              </w:rPr>
            </w:pPr>
            <w:r>
              <w:rPr>
                <w:rFonts w:ascii="Arial" w:cs="Arial" w:eastAsia="Arial" w:hAnsi="Arial"/>
                <w:sz w:val="16"/>
                <w:szCs w:val="16"/>
                <w:color w:val="202E39"/>
                <w:w w:val="97"/>
              </w:rPr>
              <w:t>Akamai Technologies Inc.</w:t>
            </w:r>
          </w:p>
        </w:tc>
        <w:tc>
          <w:tcPr>
            <w:tcW w:w="3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60" w:type="dxa"/>
            <w:vAlign w:val="bottom"/>
            <w:tcBorders>
              <w:right w:val="single" w:sz="8" w:color="202E39"/>
            </w:tcBorders>
          </w:tcPr>
          <w:p>
            <w:pPr>
              <w:spacing w:after="0"/>
              <w:rPr>
                <w:sz w:val="17"/>
                <w:szCs w:val="17"/>
                <w:color w:val="auto"/>
              </w:rPr>
            </w:pPr>
          </w:p>
        </w:tc>
        <w:tc>
          <w:tcPr>
            <w:tcW w:w="3400" w:type="dxa"/>
            <w:vAlign w:val="bottom"/>
            <w:tcBorders>
              <w:right w:val="single" w:sz="8" w:color="202E39"/>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 w:type="dxa"/>
            <w:vAlign w:val="bottom"/>
            <w:tcBorders>
              <w:right w:val="single" w:sz="8" w:color="202E39"/>
            </w:tcBorders>
          </w:tcPr>
          <w:p>
            <w:pPr>
              <w:spacing w:after="0"/>
              <w:rPr>
                <w:sz w:val="19"/>
                <w:szCs w:val="19"/>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6"/>
              </w:rPr>
              <w:t>Coherent Corp.</w:t>
            </w:r>
          </w:p>
        </w:tc>
        <w:tc>
          <w:tcPr>
            <w:tcW w:w="1080" w:type="dxa"/>
            <w:vAlign w:val="bottom"/>
            <w:tcBorders>
              <w:right w:val="single" w:sz="8" w:color="202E39"/>
            </w:tcBorders>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60" w:type="dxa"/>
            <w:vAlign w:val="bottom"/>
            <w:tcBorders>
              <w:right w:val="single" w:sz="8" w:color="202E39"/>
            </w:tcBorders>
          </w:tcPr>
          <w:p>
            <w:pPr>
              <w:spacing w:after="0"/>
              <w:rPr>
                <w:sz w:val="19"/>
                <w:szCs w:val="19"/>
                <w:color w:val="auto"/>
              </w:rPr>
            </w:pPr>
          </w:p>
        </w:tc>
        <w:tc>
          <w:tcPr>
            <w:tcW w:w="3400" w:type="dxa"/>
            <w:vAlign w:val="bottom"/>
            <w:tcBorders>
              <w:right w:val="single" w:sz="8" w:color="202E39"/>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9"/>
              </w:rPr>
              <w:t>Equinix Inc.</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rPr>
              <w:t>F5, Inc.</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jc w:val="center"/>
              <w:ind w:left="102"/>
              <w:spacing w:after="0"/>
              <w:rPr>
                <w:sz w:val="20"/>
                <w:szCs w:val="20"/>
                <w:color w:val="auto"/>
              </w:rPr>
            </w:pPr>
            <w:r>
              <w:rPr>
                <w:rFonts w:ascii="Arial" w:cs="Arial" w:eastAsia="Arial" w:hAnsi="Arial"/>
                <w:sz w:val="16"/>
                <w:szCs w:val="16"/>
                <w:color w:val="202E39"/>
                <w:w w:val="98"/>
              </w:rPr>
              <w:t>Ciena Corporation</w:t>
            </w: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8"/>
              </w:rPr>
              <w:t>IAC/Interactivecorp</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tcBorders>
              <w:right w:val="single" w:sz="8" w:color="202E39"/>
            </w:tcBorders>
            <w:gridSpan w:val="2"/>
          </w:tcPr>
          <w:p>
            <w:pPr>
              <w:jc w:val="center"/>
              <w:ind w:right="181"/>
              <w:spacing w:after="0"/>
              <w:rPr>
                <w:sz w:val="20"/>
                <w:szCs w:val="20"/>
                <w:color w:val="auto"/>
              </w:rPr>
            </w:pPr>
            <w:r>
              <w:rPr>
                <w:rFonts w:ascii="Arial" w:cs="Arial" w:eastAsia="Arial" w:hAnsi="Arial"/>
                <w:sz w:val="16"/>
                <w:szCs w:val="16"/>
                <w:color w:val="202E39"/>
                <w:w w:val="99"/>
              </w:rPr>
              <w:t>Cogent Communications Holdings, Inc.</w:t>
            </w: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6"/>
              </w:rPr>
              <w:t>Nutanix, Inc.</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jc w:val="center"/>
              <w:ind w:left="102"/>
              <w:spacing w:after="0"/>
              <w:rPr>
                <w:sz w:val="20"/>
                <w:szCs w:val="20"/>
                <w:color w:val="auto"/>
              </w:rPr>
            </w:pPr>
            <w:r>
              <w:rPr>
                <w:rFonts w:ascii="Arial" w:cs="Arial" w:eastAsia="Arial" w:hAnsi="Arial"/>
                <w:sz w:val="16"/>
                <w:szCs w:val="16"/>
                <w:color w:val="202E39"/>
                <w:w w:val="98"/>
              </w:rPr>
              <w:t>Juniper Networks, Inc.</w:t>
            </w: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w w:val="97"/>
              </w:rPr>
              <w:t>Spirit Aerosystems Holdings, Inc.</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3700" w:type="dxa"/>
            <w:vAlign w:val="bottom"/>
            <w:tcBorders>
              <w:right w:val="single" w:sz="8" w:color="202E39"/>
            </w:tcBorders>
            <w:gridSpan w:val="2"/>
          </w:tcPr>
          <w:p>
            <w:pPr>
              <w:jc w:val="center"/>
              <w:ind w:left="41"/>
              <w:spacing w:after="0"/>
              <w:rPr>
                <w:sz w:val="20"/>
                <w:szCs w:val="20"/>
                <w:color w:val="auto"/>
              </w:rPr>
            </w:pPr>
            <w:r>
              <w:rPr>
                <w:rFonts w:ascii="Arial" w:cs="Arial" w:eastAsia="Arial" w:hAnsi="Arial"/>
                <w:sz w:val="16"/>
                <w:szCs w:val="16"/>
                <w:color w:val="202E39"/>
                <w:w w:val="97"/>
              </w:rPr>
              <w:t>Palo Alto Networks Inc.</w:t>
            </w:r>
          </w:p>
        </w:tc>
        <w:tc>
          <w:tcPr>
            <w:tcW w:w="340" w:type="dxa"/>
            <w:vAlign w:val="bottom"/>
          </w:tcPr>
          <w:p>
            <w:pPr>
              <w:spacing w:after="0"/>
              <w:rPr>
                <w:sz w:val="20"/>
                <w:szCs w:val="20"/>
                <w:color w:val="auto"/>
              </w:rPr>
            </w:pPr>
          </w:p>
        </w:tc>
        <w:tc>
          <w:tcPr>
            <w:tcW w:w="2700" w:type="dxa"/>
            <w:vAlign w:val="bottom"/>
          </w:tcPr>
          <w:p>
            <w:pPr>
              <w:jc w:val="center"/>
              <w:ind w:left="122"/>
              <w:spacing w:after="0"/>
              <w:rPr>
                <w:sz w:val="20"/>
                <w:szCs w:val="20"/>
                <w:color w:val="auto"/>
              </w:rPr>
            </w:pPr>
            <w:r>
              <w:rPr>
                <w:rFonts w:ascii="Arial" w:cs="Arial" w:eastAsia="Arial" w:hAnsi="Arial"/>
                <w:sz w:val="16"/>
                <w:szCs w:val="16"/>
                <w:color w:val="202E39"/>
                <w:w w:val="98"/>
              </w:rPr>
              <w:t>Lumentum Holdings Inc.</w:t>
            </w: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w w:val="98"/>
              </w:rPr>
              <w:t>Transdigm Group Inc.</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9"/>
              </w:rPr>
              <w:t>PTC Inc.</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jc w:val="center"/>
              <w:ind w:left="102"/>
              <w:spacing w:after="0"/>
              <w:rPr>
                <w:sz w:val="20"/>
                <w:szCs w:val="20"/>
                <w:color w:val="auto"/>
              </w:rPr>
            </w:pPr>
            <w:r>
              <w:rPr>
                <w:rFonts w:ascii="Arial" w:cs="Arial" w:eastAsia="Arial" w:hAnsi="Arial"/>
                <w:sz w:val="16"/>
                <w:szCs w:val="16"/>
                <w:color w:val="202E39"/>
                <w:w w:val="98"/>
              </w:rPr>
              <w:t>SBA Communications Corp</w:t>
            </w: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3700" w:type="dxa"/>
            <w:vAlign w:val="bottom"/>
            <w:tcBorders>
              <w:right w:val="single" w:sz="8" w:color="202E39"/>
            </w:tcBorders>
            <w:gridSpan w:val="2"/>
          </w:tcPr>
          <w:p>
            <w:pPr>
              <w:jc w:val="center"/>
              <w:ind w:left="41"/>
              <w:spacing w:after="0"/>
              <w:rPr>
                <w:sz w:val="20"/>
                <w:szCs w:val="20"/>
                <w:color w:val="auto"/>
              </w:rPr>
            </w:pPr>
            <w:r>
              <w:rPr>
                <w:rFonts w:ascii="Arial" w:cs="Arial" w:eastAsia="Arial" w:hAnsi="Arial"/>
                <w:sz w:val="16"/>
                <w:szCs w:val="16"/>
                <w:color w:val="202E39"/>
                <w:w w:val="96"/>
              </w:rPr>
              <w:t>Rackspace Technology, Inc.</w:t>
            </w:r>
          </w:p>
        </w:tc>
        <w:tc>
          <w:tcPr>
            <w:tcW w:w="3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8"/>
              </w:rPr>
              <w:t>RingCentral, Inc.</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202E39"/>
            </w:tcBorders>
          </w:tcPr>
          <w:p>
            <w:pPr>
              <w:spacing w:after="0"/>
              <w:rPr>
                <w:sz w:val="20"/>
                <w:szCs w:val="20"/>
                <w:color w:val="auto"/>
              </w:rPr>
            </w:pPr>
          </w:p>
        </w:tc>
        <w:tc>
          <w:tcPr>
            <w:tcW w:w="2620" w:type="dxa"/>
            <w:vAlign w:val="bottom"/>
          </w:tcPr>
          <w:p>
            <w:pPr>
              <w:jc w:val="center"/>
              <w:ind w:left="1121"/>
              <w:spacing w:after="0"/>
              <w:rPr>
                <w:sz w:val="20"/>
                <w:szCs w:val="20"/>
                <w:color w:val="auto"/>
              </w:rPr>
            </w:pPr>
            <w:r>
              <w:rPr>
                <w:rFonts w:ascii="Arial" w:cs="Arial" w:eastAsia="Arial" w:hAnsi="Arial"/>
                <w:sz w:val="16"/>
                <w:szCs w:val="16"/>
                <w:color w:val="202E39"/>
                <w:w w:val="98"/>
              </w:rPr>
              <w:t>Splunk Inc.</w:t>
            </w:r>
          </w:p>
        </w:tc>
        <w:tc>
          <w:tcPr>
            <w:tcW w:w="1080" w:type="dxa"/>
            <w:vAlign w:val="bottom"/>
            <w:tcBorders>
              <w:right w:val="single" w:sz="8" w:color="202E39"/>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Borders>
              <w:right w:val="single" w:sz="8" w:color="202E39"/>
            </w:tcBorders>
          </w:tcPr>
          <w:p>
            <w:pPr>
              <w:spacing w:after="0"/>
              <w:rPr>
                <w:sz w:val="20"/>
                <w:szCs w:val="20"/>
                <w:color w:val="auto"/>
              </w:rPr>
            </w:pPr>
          </w:p>
        </w:tc>
        <w:tc>
          <w:tcPr>
            <w:tcW w:w="3400" w:type="dxa"/>
            <w:vAlign w:val="bottom"/>
            <w:tcBorders>
              <w:right w:val="single" w:sz="8" w:color="202E39"/>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Borders>
              <w:right w:val="single" w:sz="8" w:color="202E39"/>
            </w:tcBorders>
          </w:tcPr>
          <w:p>
            <w:pPr>
              <w:spacing w:after="0"/>
              <w:rPr>
                <w:sz w:val="19"/>
                <w:szCs w:val="19"/>
                <w:color w:val="auto"/>
              </w:rPr>
            </w:pPr>
          </w:p>
        </w:tc>
        <w:tc>
          <w:tcPr>
            <w:tcW w:w="2620" w:type="dxa"/>
            <w:vAlign w:val="bottom"/>
            <w:tcBorders>
              <w:bottom w:val="single" w:sz="8" w:color="202E39"/>
            </w:tcBorders>
          </w:tcPr>
          <w:p>
            <w:pPr>
              <w:jc w:val="center"/>
              <w:ind w:left="1121"/>
              <w:spacing w:after="0"/>
              <w:rPr>
                <w:sz w:val="20"/>
                <w:szCs w:val="20"/>
                <w:color w:val="auto"/>
              </w:rPr>
            </w:pPr>
            <w:r>
              <w:rPr>
                <w:rFonts w:ascii="Arial" w:cs="Arial" w:eastAsia="Arial" w:hAnsi="Arial"/>
                <w:sz w:val="16"/>
                <w:szCs w:val="16"/>
                <w:color w:val="202E39"/>
                <w:w w:val="99"/>
              </w:rPr>
              <w:t>Wolfspeed, Inc.</w:t>
            </w:r>
          </w:p>
        </w:tc>
        <w:tc>
          <w:tcPr>
            <w:tcW w:w="1080" w:type="dxa"/>
            <w:vAlign w:val="bottom"/>
            <w:tcBorders>
              <w:bottom w:val="single" w:sz="8" w:color="202E39"/>
              <w:right w:val="single" w:sz="8" w:color="202E39"/>
            </w:tcBorders>
          </w:tcPr>
          <w:p>
            <w:pPr>
              <w:spacing w:after="0"/>
              <w:rPr>
                <w:sz w:val="19"/>
                <w:szCs w:val="19"/>
                <w:color w:val="auto"/>
              </w:rPr>
            </w:pPr>
          </w:p>
        </w:tc>
        <w:tc>
          <w:tcPr>
            <w:tcW w:w="340" w:type="dxa"/>
            <w:vAlign w:val="bottom"/>
            <w:tcBorders>
              <w:bottom w:val="single" w:sz="8" w:color="202E39"/>
            </w:tcBorders>
          </w:tcPr>
          <w:p>
            <w:pPr>
              <w:spacing w:after="0"/>
              <w:rPr>
                <w:sz w:val="19"/>
                <w:szCs w:val="19"/>
                <w:color w:val="auto"/>
              </w:rPr>
            </w:pPr>
          </w:p>
        </w:tc>
        <w:tc>
          <w:tcPr>
            <w:tcW w:w="2700" w:type="dxa"/>
            <w:vAlign w:val="bottom"/>
            <w:tcBorders>
              <w:bottom w:val="single" w:sz="8" w:color="202E39"/>
            </w:tcBorders>
          </w:tcPr>
          <w:p>
            <w:pPr>
              <w:spacing w:after="0"/>
              <w:rPr>
                <w:sz w:val="19"/>
                <w:szCs w:val="19"/>
                <w:color w:val="auto"/>
              </w:rPr>
            </w:pPr>
          </w:p>
        </w:tc>
        <w:tc>
          <w:tcPr>
            <w:tcW w:w="460" w:type="dxa"/>
            <w:vAlign w:val="bottom"/>
            <w:tcBorders>
              <w:bottom w:val="single" w:sz="8" w:color="202E39"/>
              <w:right w:val="single" w:sz="8" w:color="202E39"/>
            </w:tcBorders>
          </w:tcPr>
          <w:p>
            <w:pPr>
              <w:spacing w:after="0"/>
              <w:rPr>
                <w:sz w:val="19"/>
                <w:szCs w:val="19"/>
                <w:color w:val="auto"/>
              </w:rPr>
            </w:pPr>
          </w:p>
        </w:tc>
        <w:tc>
          <w:tcPr>
            <w:tcW w:w="3400" w:type="dxa"/>
            <w:vAlign w:val="bottom"/>
            <w:tcBorders>
              <w:bottom w:val="single" w:sz="8" w:color="202E39"/>
              <w:right w:val="single" w:sz="8" w:color="202E39"/>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60" w:right="220"/>
        <w:spacing w:after="0" w:line="247" w:lineRule="auto"/>
        <w:rPr>
          <w:sz w:val="20"/>
          <w:szCs w:val="20"/>
          <w:color w:val="auto"/>
        </w:rPr>
      </w:pPr>
      <w:r>
        <w:rPr>
          <w:rFonts w:ascii="Arial" w:cs="Arial" w:eastAsia="Arial" w:hAnsi="Arial"/>
          <w:sz w:val="16"/>
          <w:szCs w:val="16"/>
          <w:color w:val="202E39"/>
        </w:rPr>
        <w:t>In evaluating our peer group for fiscal year 2024, the Committee made several changes to our fiscal year 2023 peer group, including removing Citrix Systems, Inc., Nuance Communications, Inc. and Vonage Holdings Corp. and adding Juniper Networks, Inc., RingCentral, Inc. and Rackspace Technology, Inc. The Committee made these changes to increase our alignment with peer group companies from an industry and size perspective. The resulting peer group for fiscal year 2024 was comprised of companies with revenues generally ranging within 0.5x and 2.5x of Viasat’s revenues for the most 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82550</wp:posOffset>
            </wp:positionV>
            <wp:extent cx="425450" cy="150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38       </w:t>
      </w:r>
    </w:p>
    <w:p>
      <w:pPr>
        <w:sectPr>
          <w:pgSz w:w="11900" w:h="16838" w:orient="portrait"/>
          <w:cols w:equalWidth="0" w:num="1">
            <w:col w:w="11000"/>
          </w:cols>
          <w:pgMar w:left="320" w:top="474"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right="160"/>
        <w:spacing w:after="0" w:line="209" w:lineRule="auto"/>
        <w:rPr>
          <w:sz w:val="20"/>
          <w:szCs w:val="20"/>
          <w:color w:val="auto"/>
        </w:rPr>
      </w:pPr>
      <w:r>
        <w:rPr>
          <w:rFonts w:ascii="Arial" w:cs="Arial" w:eastAsia="Arial" w:hAnsi="Arial"/>
          <w:sz w:val="16"/>
          <w:szCs w:val="16"/>
          <w:color w:val="202E39"/>
        </w:rPr>
        <w:t>completed fiscal year, with Viasat placing in approximately the 41</w:t>
      </w:r>
      <w:r>
        <w:rPr>
          <w:rFonts w:ascii="Arial" w:cs="Arial" w:eastAsia="Arial" w:hAnsi="Arial"/>
          <w:sz w:val="23"/>
          <w:szCs w:val="23"/>
          <w:color w:val="202E39"/>
          <w:vertAlign w:val="superscript"/>
        </w:rPr>
        <w:t>st</w:t>
      </w:r>
      <w:r>
        <w:rPr>
          <w:rFonts w:ascii="Arial" w:cs="Arial" w:eastAsia="Arial" w:hAnsi="Arial"/>
          <w:sz w:val="16"/>
          <w:szCs w:val="16"/>
          <w:color w:val="202E39"/>
        </w:rPr>
        <w:t xml:space="preserve"> percentile among the nineteen peer group companies based on the data available to the Committee at the time the peer group was selected.</w:t>
      </w:r>
    </w:p>
    <w:p>
      <w:pPr>
        <w:spacing w:after="0" w:line="83" w:lineRule="exact"/>
        <w:rPr>
          <w:sz w:val="20"/>
          <w:szCs w:val="20"/>
          <w:color w:val="auto"/>
        </w:rPr>
      </w:pPr>
    </w:p>
    <w:p>
      <w:pPr>
        <w:ind w:left="260" w:right="120"/>
        <w:spacing w:after="0" w:line="245" w:lineRule="auto"/>
        <w:rPr>
          <w:sz w:val="20"/>
          <w:szCs w:val="20"/>
          <w:color w:val="auto"/>
        </w:rPr>
      </w:pPr>
      <w:r>
        <w:rPr>
          <w:rFonts w:ascii="Arial" w:cs="Arial" w:eastAsia="Arial" w:hAnsi="Arial"/>
          <w:sz w:val="16"/>
          <w:szCs w:val="16"/>
          <w:i w:val="1"/>
          <w:iCs w:val="1"/>
          <w:color w:val="009FE3"/>
        </w:rPr>
        <w:t xml:space="preserve">Individual Performance and Contributions. </w:t>
      </w:r>
      <w:r>
        <w:rPr>
          <w:rFonts w:ascii="Arial" w:cs="Arial" w:eastAsia="Arial" w:hAnsi="Arial"/>
          <w:sz w:val="16"/>
          <w:szCs w:val="16"/>
          <w:color w:val="202E39"/>
        </w:rPr>
        <w:t xml:space="preserve">  The Committee assesses individual executive performance and contributions. The individual performance</w:t>
      </w:r>
      <w:r>
        <w:rPr>
          <w:rFonts w:ascii="Arial" w:cs="Arial" w:eastAsia="Arial" w:hAnsi="Arial"/>
          <w:sz w:val="16"/>
          <w:szCs w:val="16"/>
          <w:i w:val="1"/>
          <w:iCs w:val="1"/>
          <w:color w:val="009FE3"/>
        </w:rPr>
        <w:t xml:space="preserve"> </w:t>
      </w:r>
      <w:r>
        <w:rPr>
          <w:rFonts w:ascii="Arial" w:cs="Arial" w:eastAsia="Arial" w:hAnsi="Arial"/>
          <w:sz w:val="16"/>
          <w:szCs w:val="16"/>
          <w:color w:val="202E39"/>
        </w:rPr>
        <w:t>assessments made by the Committee are based in part on input from executive management. As part of our executive compensation process, our Chief Executive Officer provides input to the Committee on the individual performance and contributions of our executive officers other than himself. With respect to assessing the individual performance of our Chief Executive Officer, the Committee relies on an annual assessment completed by our Nomination, Evaluation and Corporate Governance Committee. While the Committee believes input from management and outside advisors is valuable, the Committee makes its recommendations and decisions based on its independent analysis and assessment.</w:t>
      </w:r>
    </w:p>
    <w:p>
      <w:pPr>
        <w:spacing w:after="0" w:line="82" w:lineRule="exact"/>
        <w:rPr>
          <w:sz w:val="20"/>
          <w:szCs w:val="20"/>
          <w:color w:val="auto"/>
        </w:rPr>
      </w:pPr>
    </w:p>
    <w:p>
      <w:pPr>
        <w:ind w:left="260" w:right="120"/>
        <w:spacing w:after="0" w:line="254" w:lineRule="auto"/>
        <w:rPr>
          <w:sz w:val="20"/>
          <w:szCs w:val="20"/>
          <w:color w:val="auto"/>
        </w:rPr>
      </w:pPr>
      <w:r>
        <w:rPr>
          <w:rFonts w:ascii="Arial" w:cs="Arial" w:eastAsia="Arial" w:hAnsi="Arial"/>
          <w:sz w:val="16"/>
          <w:szCs w:val="16"/>
          <w:i w:val="1"/>
          <w:iCs w:val="1"/>
          <w:color w:val="009FE3"/>
        </w:rPr>
        <w:t>Company Financial and Operational Performance.</w:t>
      </w:r>
      <w:r>
        <w:rPr>
          <w:rFonts w:ascii="Arial" w:cs="Arial" w:eastAsia="Arial" w:hAnsi="Arial"/>
          <w:sz w:val="16"/>
          <w:szCs w:val="16"/>
          <w:color w:val="202E39"/>
        </w:rPr>
        <w:t xml:space="preserve">  A major component of our executive compensation program is the belief that a significant amount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should be based on performance, including company financial and operational performance. These financial and operational performance metrics are important factors considered by the Committee in determining base salary, annual bonuses and equity awards.</w:t>
      </w:r>
    </w:p>
    <w:p>
      <w:pPr>
        <w:spacing w:after="0" w:line="73" w:lineRule="exact"/>
        <w:rPr>
          <w:sz w:val="20"/>
          <w:szCs w:val="20"/>
          <w:color w:val="auto"/>
        </w:rPr>
      </w:pPr>
    </w:p>
    <w:p>
      <w:pPr>
        <w:ind w:left="260" w:right="120"/>
        <w:spacing w:after="0" w:line="249" w:lineRule="auto"/>
        <w:rPr>
          <w:sz w:val="20"/>
          <w:szCs w:val="20"/>
          <w:color w:val="auto"/>
        </w:rPr>
      </w:pPr>
      <w:r>
        <w:rPr>
          <w:rFonts w:ascii="Arial" w:cs="Arial" w:eastAsia="Arial" w:hAnsi="Arial"/>
          <w:sz w:val="16"/>
          <w:szCs w:val="16"/>
          <w:i w:val="1"/>
          <w:iCs w:val="1"/>
          <w:color w:val="009FE3"/>
        </w:rPr>
        <w:t>Company Strategic Positioning.</w:t>
      </w:r>
      <w:r>
        <w:rPr>
          <w:rFonts w:ascii="Arial" w:cs="Arial" w:eastAsia="Arial" w:hAnsi="Arial"/>
          <w:sz w:val="16"/>
          <w:szCs w:val="16"/>
          <w:color w:val="202E39"/>
        </w:rPr>
        <w:t xml:space="preserve">  Given the importance of the long-term performance of the company, the current strategic positioning of the company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also a significant factor in the assessment of our executive compensation program and the determination of executive compensation components. The Committee considers the strategic positioning of the company as a basis for determining base salaries, annual bonuses, equity award allocations and other executive compensation.</w:t>
      </w:r>
    </w:p>
    <w:p>
      <w:pPr>
        <w:spacing w:after="0" w:line="78" w:lineRule="exact"/>
        <w:rPr>
          <w:sz w:val="20"/>
          <w:szCs w:val="20"/>
          <w:color w:val="auto"/>
        </w:rPr>
      </w:pPr>
    </w:p>
    <w:p>
      <w:pPr>
        <w:ind w:left="260" w:right="460"/>
        <w:spacing w:after="0" w:line="254" w:lineRule="auto"/>
        <w:rPr>
          <w:sz w:val="20"/>
          <w:szCs w:val="20"/>
          <w:color w:val="auto"/>
        </w:rPr>
      </w:pPr>
      <w:r>
        <w:rPr>
          <w:rFonts w:ascii="Arial" w:cs="Arial" w:eastAsia="Arial" w:hAnsi="Arial"/>
          <w:sz w:val="16"/>
          <w:szCs w:val="16"/>
          <w:i w:val="1"/>
          <w:iCs w:val="1"/>
          <w:color w:val="009FE3"/>
        </w:rPr>
        <w:t>Total Executive Compensation.</w:t>
      </w:r>
      <w:r>
        <w:rPr>
          <w:rFonts w:ascii="Arial" w:cs="Arial" w:eastAsia="Arial" w:hAnsi="Arial"/>
          <w:sz w:val="16"/>
          <w:szCs w:val="16"/>
          <w:color w:val="202E39"/>
        </w:rPr>
        <w:t xml:space="preserve">  In addition to reviewing each component of executive compensation, the Committee also considers the total direct</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of each executive officer. This review of total compensation is completed to assure that each executive officer’s total compensation remains appropriately competitive and continues to meet the compensation objectives described above.</w:t>
      </w:r>
    </w:p>
    <w:p>
      <w:pPr>
        <w:spacing w:after="0" w:line="73" w:lineRule="exact"/>
        <w:rPr>
          <w:sz w:val="20"/>
          <w:szCs w:val="20"/>
          <w:color w:val="auto"/>
        </w:rPr>
      </w:pPr>
    </w:p>
    <w:p>
      <w:pPr>
        <w:ind w:left="260" w:right="60"/>
        <w:spacing w:after="0" w:line="247" w:lineRule="auto"/>
        <w:rPr>
          <w:sz w:val="20"/>
          <w:szCs w:val="20"/>
          <w:color w:val="auto"/>
        </w:rPr>
      </w:pPr>
      <w:r>
        <w:rPr>
          <w:rFonts w:ascii="Arial" w:cs="Arial" w:eastAsia="Arial" w:hAnsi="Arial"/>
          <w:sz w:val="16"/>
          <w:szCs w:val="16"/>
          <w:i w:val="1"/>
          <w:iCs w:val="1"/>
          <w:color w:val="009FE3"/>
        </w:rPr>
        <w:t>Affordability.</w:t>
      </w:r>
      <w:r>
        <w:rPr>
          <w:rFonts w:ascii="Arial" w:cs="Arial" w:eastAsia="Arial" w:hAnsi="Arial"/>
          <w:sz w:val="16"/>
          <w:szCs w:val="16"/>
          <w:color w:val="202E39"/>
        </w:rPr>
        <w:t xml:space="preserve">  Prior to completing its executive compensation review and evaluation, the Committee confirms that proposed cash compensation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affordable under and consistent with Viasat’s financial results. With respect to equity awards,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w:t>
      </w:r>
    </w:p>
    <w:p>
      <w:pPr>
        <w:spacing w:after="0" w:line="78"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i w:val="1"/>
          <w:iCs w:val="1"/>
          <w:color w:val="009FE3"/>
        </w:rPr>
        <w:t>The Role of Stockholder Feedback.</w:t>
      </w:r>
      <w:r>
        <w:rPr>
          <w:rFonts w:ascii="Arial" w:cs="Arial" w:eastAsia="Arial" w:hAnsi="Arial"/>
          <w:sz w:val="16"/>
          <w:szCs w:val="16"/>
          <w:color w:val="202E39"/>
        </w:rPr>
        <w:t xml:space="preserve">  As described above, 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corporate governance and compensation practices, and to address any concerns they may have. We also hold annual non-binding advisory say-on-pay votes on our Named Executive Officer compensation, with the most recent say-on-pay vote held in September 2023, with a substantial majority of stockholder votes cast in favor of our say-on-pay proposal. As the Committee evaluated our executive compensation policies and practices throughout fiscal year 2024, they were mindful of the level of support for the say-on-pay vote held at our annual meeting in September 2023 and the input our stockholders expressed for our compensation philosophy and objectives. The Committee will continue to consider the outcome of future say-on-pay votes and material stockholder feedback when making future compensation decisions for executive officers.</w:t>
      </w:r>
    </w:p>
    <w:p>
      <w:pPr>
        <w:spacing w:after="0" w:line="84" w:lineRule="exact"/>
        <w:rPr>
          <w:sz w:val="20"/>
          <w:szCs w:val="20"/>
          <w:color w:val="auto"/>
        </w:rPr>
      </w:pPr>
    </w:p>
    <w:p>
      <w:pPr>
        <w:ind w:left="260" w:right="420"/>
        <w:spacing w:after="0" w:line="254" w:lineRule="auto"/>
        <w:rPr>
          <w:sz w:val="20"/>
          <w:szCs w:val="20"/>
          <w:color w:val="auto"/>
        </w:rPr>
      </w:pPr>
      <w:r>
        <w:rPr>
          <w:rFonts w:ascii="Arial" w:cs="Arial" w:eastAsia="Arial" w:hAnsi="Arial"/>
          <w:sz w:val="16"/>
          <w:szCs w:val="16"/>
          <w:i w:val="1"/>
          <w:iCs w:val="1"/>
          <w:color w:val="009FE3"/>
        </w:rPr>
        <w:t>Determination of Compensation.</w:t>
      </w:r>
      <w:r>
        <w:rPr>
          <w:rFonts w:ascii="Arial" w:cs="Arial" w:eastAsia="Arial" w:hAnsi="Arial"/>
          <w:sz w:val="16"/>
          <w:szCs w:val="16"/>
          <w:color w:val="202E39"/>
        </w:rPr>
        <w:t xml:space="preserve">  The Committee and the Board hold several meetings each year for the review, evaluation and determination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The Committee determines the appropriate compensation for each individual executive officer after considering the factors described in the preceding paragraphs.</w:t>
      </w:r>
    </w:p>
    <w:p>
      <w:pPr>
        <w:spacing w:after="0" w:line="73" w:lineRule="exact"/>
        <w:rPr>
          <w:sz w:val="20"/>
          <w:szCs w:val="20"/>
          <w:color w:val="auto"/>
        </w:rPr>
      </w:pPr>
    </w:p>
    <w:p>
      <w:pPr>
        <w:ind w:left="260" w:right="60"/>
        <w:spacing w:after="0" w:line="244" w:lineRule="auto"/>
        <w:rPr>
          <w:sz w:val="20"/>
          <w:szCs w:val="20"/>
          <w:color w:val="auto"/>
        </w:rPr>
      </w:pPr>
      <w:r>
        <w:rPr>
          <w:rFonts w:ascii="Arial" w:cs="Arial" w:eastAsia="Arial" w:hAnsi="Arial"/>
          <w:sz w:val="16"/>
          <w:szCs w:val="16"/>
          <w:color w:val="202E39"/>
        </w:rPr>
        <w:t>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considers in assessing the reasonableness of compensation, we do not attempt to maintain a certain target percentile within a peer group or otherwise rely entirely on that data to determine executive officer compensation. Instead, we incorporate flexibility into our executive compensation program and in the assessment process to respond to and adjust for the evolving business environment.</w:t>
      </w:r>
    </w:p>
    <w:p>
      <w:pPr>
        <w:spacing w:after="0" w:line="81"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We strive to achieve an appropriate mix between long-term equity awards and cash payments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long-term equity awards.</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39</w:t>
      </w:r>
    </w:p>
    <w:p>
      <w:pPr>
        <w:sectPr>
          <w:pgSz w:w="11900" w:h="16838" w:orient="portrait"/>
          <w:cols w:equalWidth="0" w:num="1">
            <w:col w:w="10980"/>
          </w:cols>
          <w:pgMar w:left="320" w:top="474"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Components of Our Compensation Program</w:t>
      </w:r>
    </w:p>
    <w:p>
      <w:pPr>
        <w:spacing w:after="0" w:line="105"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color w:val="202E39"/>
        </w:rPr>
        <w:t>The components of our executive compensation program are the following: base salary, annual bonuses, long-term incentive compensation in the form of equity awards and certain other benefits that are generally available to all our employees.</w:t>
      </w:r>
    </w:p>
    <w:p>
      <w:pPr>
        <w:spacing w:after="0" w:line="61" w:lineRule="exact"/>
        <w:rPr>
          <w:sz w:val="20"/>
          <w:szCs w:val="20"/>
          <w:color w:val="auto"/>
        </w:rPr>
      </w:pPr>
    </w:p>
    <w:p>
      <w:pPr>
        <w:ind w:left="260" w:right="160"/>
        <w:spacing w:after="0" w:line="249" w:lineRule="auto"/>
        <w:rPr>
          <w:sz w:val="20"/>
          <w:szCs w:val="20"/>
          <w:color w:val="auto"/>
        </w:rPr>
      </w:pPr>
      <w:r>
        <w:rPr>
          <w:rFonts w:ascii="Arial" w:cs="Arial" w:eastAsia="Arial" w:hAnsi="Arial"/>
          <w:sz w:val="16"/>
          <w:szCs w:val="16"/>
          <w:i w:val="1"/>
          <w:iCs w:val="1"/>
          <w:color w:val="009FE3"/>
        </w:rPr>
        <w:t>Base Salary.</w:t>
      </w:r>
      <w:r>
        <w:rPr>
          <w:rFonts w:ascii="Arial" w:cs="Arial" w:eastAsia="Arial" w:hAnsi="Arial"/>
          <w:sz w:val="16"/>
          <w:szCs w:val="16"/>
          <w:color w:val="202E39"/>
        </w:rPr>
        <w:t xml:space="preserve">  In evaluating base salaries, the Committee primarily considers (1) executive compensation survey results from Radford, which generally</w:t>
      </w:r>
      <w:r>
        <w:rPr>
          <w:rFonts w:ascii="Arial" w:cs="Arial" w:eastAsia="Arial" w:hAnsi="Arial"/>
          <w:sz w:val="16"/>
          <w:szCs w:val="16"/>
          <w:i w:val="1"/>
          <w:iCs w:val="1"/>
          <w:color w:val="009FE3"/>
        </w:rPr>
        <w:t xml:space="preserve"> </w:t>
      </w:r>
      <w:r>
        <w:rPr>
          <w:rFonts w:ascii="Arial" w:cs="Arial" w:eastAsia="Arial" w:hAnsi="Arial"/>
          <w:sz w:val="16"/>
          <w:szCs w:val="16"/>
          <w:color w:val="202E39"/>
        </w:rPr>
        <w:t>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 officer:</w:t>
      </w:r>
    </w:p>
    <w:p>
      <w:pPr>
        <w:spacing w:after="0" w:line="91" w:lineRule="exact"/>
        <w:rPr>
          <w:sz w:val="20"/>
          <w:szCs w:val="20"/>
          <w:color w:val="auto"/>
        </w:rPr>
      </w:pPr>
    </w:p>
    <w:p>
      <w:pPr>
        <w:ind w:left="780" w:hanging="203"/>
        <w:spacing w:after="0"/>
        <w:tabs>
          <w:tab w:leader="none" w:pos="78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sustains a high level of performance,</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demonstrates leadership and success in contributing toward Viasat’s achievement of key business and financial objectives,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contributes significantly to the development and execution of Viasat’s long-term strategy,</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has a proven ability to help create stockholder value,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possesses highly developed skills and abilities critical to Viasat’s success.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following table sets forth the base salaries for fiscal years 2023 and 2024 for each of our Named Executive Officers.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Fiscal Year End 2023 and Fiscal Year End 2024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160020</wp:posOffset>
            </wp:positionV>
            <wp:extent cx="8255" cy="12268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226820"/>
                    </a:xfrm>
                    <a:prstGeom prst="rect">
                      <a:avLst/>
                    </a:prstGeom>
                    <a:noFill/>
                  </pic:spPr>
                </pic:pic>
              </a:graphicData>
            </a:graphic>
          </wp:anchor>
        </w:drawing>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160" w:type="dxa"/>
            <w:vAlign w:val="bottom"/>
            <w:tcBorders>
              <w:top w:val="single" w:sz="8" w:color="E8EAEB"/>
              <w:right w:val="single" w:sz="8" w:color="E8EAEB"/>
            </w:tcBorders>
          </w:tcPr>
          <w:p>
            <w:pPr>
              <w:spacing w:after="0"/>
              <w:rPr>
                <w:sz w:val="14"/>
                <w:szCs w:val="14"/>
                <w:color w:val="auto"/>
              </w:rPr>
            </w:pPr>
          </w:p>
        </w:tc>
        <w:tc>
          <w:tcPr>
            <w:tcW w:w="80" w:type="dxa"/>
            <w:vAlign w:val="bottom"/>
            <w:tcBorders>
              <w:top w:val="single" w:sz="8" w:color="E8EAEB"/>
            </w:tcBorders>
          </w:tcPr>
          <w:p>
            <w:pPr>
              <w:spacing w:after="0"/>
              <w:rPr>
                <w:sz w:val="20"/>
                <w:szCs w:val="20"/>
                <w:color w:val="auto"/>
              </w:rPr>
            </w:pPr>
            <w:r>
              <w:rPr>
                <w:rFonts w:ascii="Arial" w:cs="Arial" w:eastAsia="Arial" w:hAnsi="Arial"/>
                <w:sz w:val="8"/>
                <w:szCs w:val="8"/>
                <w:b w:val="1"/>
                <w:bCs w:val="1"/>
                <w:color w:val="009FE3"/>
                <w:w w:val="74"/>
              </w:rPr>
              <w:t> </w:t>
            </w:r>
          </w:p>
        </w:tc>
        <w:tc>
          <w:tcPr>
            <w:tcW w:w="1540" w:type="dxa"/>
            <w:vAlign w:val="bottom"/>
            <w:tcBorders>
              <w:top w:val="single" w:sz="8" w:color="E8EAEB"/>
            </w:tcBorders>
          </w:tcPr>
          <w:p>
            <w:pPr>
              <w:ind w:left="40"/>
              <w:spacing w:after="0"/>
              <w:rPr>
                <w:sz w:val="20"/>
                <w:szCs w:val="20"/>
                <w:color w:val="auto"/>
              </w:rPr>
            </w:pPr>
            <w:r>
              <w:rPr>
                <w:rFonts w:ascii="Arial" w:cs="Arial" w:eastAsia="Arial" w:hAnsi="Arial"/>
                <w:sz w:val="14"/>
                <w:szCs w:val="14"/>
                <w:b w:val="1"/>
                <w:bCs w:val="1"/>
                <w:color w:val="009FE3"/>
                <w:w w:val="95"/>
              </w:rPr>
              <w:t> Fiscal Year End 2023 </w:t>
            </w:r>
          </w:p>
        </w:tc>
        <w:tc>
          <w:tcPr>
            <w:tcW w:w="1740" w:type="dxa"/>
            <w:vAlign w:val="bottom"/>
            <w:tcBorders>
              <w:top w:val="single" w:sz="8" w:color="E8EAEB"/>
            </w:tcBorders>
          </w:tcPr>
          <w:p>
            <w:pPr>
              <w:jc w:val="right"/>
              <w:spacing w:after="0"/>
              <w:rPr>
                <w:sz w:val="20"/>
                <w:szCs w:val="20"/>
                <w:color w:val="auto"/>
              </w:rPr>
            </w:pPr>
            <w:r>
              <w:rPr>
                <w:rFonts w:ascii="Arial" w:cs="Arial" w:eastAsia="Arial" w:hAnsi="Arial"/>
                <w:sz w:val="14"/>
                <w:szCs w:val="14"/>
                <w:b w:val="1"/>
                <w:bCs w:val="1"/>
                <w:color w:val="009FE3"/>
                <w:w w:val="92"/>
              </w:rPr>
              <w:t>     Fiscal Year End 2024 </w:t>
            </w:r>
          </w:p>
        </w:tc>
        <w:tc>
          <w:tcPr>
            <w:tcW w:w="100" w:type="dxa"/>
            <w:vAlign w:val="bottom"/>
            <w:tcBorders>
              <w:top w:val="single" w:sz="8" w:color="E8EAEB"/>
              <w:right w:val="single" w:sz="8" w:color="E8EAEB"/>
            </w:tcBorders>
          </w:tcPr>
          <w:p>
            <w:pPr>
              <w:ind w:left="40"/>
              <w:spacing w:after="0"/>
              <w:rPr>
                <w:sz w:val="20"/>
                <w:szCs w:val="20"/>
                <w:color w:val="auto"/>
              </w:rPr>
            </w:pPr>
            <w:r>
              <w:rPr>
                <w:rFonts w:ascii="Arial" w:cs="Arial" w:eastAsia="Arial" w:hAnsi="Arial"/>
                <w:sz w:val="14"/>
                <w:szCs w:val="14"/>
                <w:b w:val="1"/>
                <w:bCs w:val="1"/>
                <w:color w:val="009FE3"/>
                <w:w w:val="83"/>
              </w:rPr>
              <w:t> </w:t>
            </w:r>
          </w:p>
        </w:tc>
        <w:tc>
          <w:tcPr>
            <w:tcW w:w="100" w:type="dxa"/>
            <w:vAlign w:val="bottom"/>
            <w:tcBorders>
              <w:top w:val="single" w:sz="8" w:color="E8EAEB"/>
            </w:tcBorders>
          </w:tcPr>
          <w:p>
            <w:pPr>
              <w:spacing w:after="0"/>
              <w:rPr>
                <w:sz w:val="20"/>
                <w:szCs w:val="20"/>
                <w:color w:val="auto"/>
              </w:rPr>
            </w:pPr>
            <w:r>
              <w:rPr>
                <w:rFonts w:ascii="Arial" w:cs="Arial" w:eastAsia="Arial" w:hAnsi="Arial"/>
                <w:sz w:val="11"/>
                <w:szCs w:val="11"/>
                <w:b w:val="1"/>
                <w:bCs w:val="1"/>
                <w:color w:val="009FE3"/>
                <w:w w:val="72"/>
              </w:rPr>
              <w:t> </w:t>
            </w:r>
          </w:p>
        </w:tc>
        <w:tc>
          <w:tcPr>
            <w:tcW w:w="1020" w:type="dxa"/>
            <w:vAlign w:val="bottom"/>
            <w:tcBorders>
              <w:top w:val="single" w:sz="8" w:color="E8EAEB"/>
            </w:tcBorders>
          </w:tcPr>
          <w:p>
            <w:pPr>
              <w:ind w:left="40"/>
              <w:spacing w:after="0"/>
              <w:rPr>
                <w:sz w:val="20"/>
                <w:szCs w:val="20"/>
                <w:color w:val="auto"/>
              </w:rPr>
            </w:pPr>
            <w:r>
              <w:rPr>
                <w:rFonts w:ascii="Arial" w:cs="Arial" w:eastAsia="Arial" w:hAnsi="Arial"/>
                <w:sz w:val="14"/>
                <w:szCs w:val="14"/>
                <w:b w:val="1"/>
                <w:bCs w:val="1"/>
                <w:color w:val="009FE3"/>
              </w:rPr>
              <w:t xml:space="preserve"> Percentage    </w:t>
            </w:r>
          </w:p>
        </w:tc>
      </w:tr>
      <w:tr>
        <w:trPr>
          <w:trHeight w:val="180"/>
        </w:trPr>
        <w:tc>
          <w:tcPr>
            <w:tcW w:w="616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Executive</w:t>
            </w:r>
          </w:p>
        </w:tc>
        <w:tc>
          <w:tcPr>
            <w:tcW w:w="80" w:type="dxa"/>
            <w:vAlign w:val="bottom"/>
            <w:tcBorders>
              <w:bottom w:val="single" w:sz="8" w:color="009FE3"/>
            </w:tcBorders>
          </w:tcPr>
          <w:p>
            <w:pPr>
              <w:spacing w:after="0"/>
              <w:rPr>
                <w:sz w:val="15"/>
                <w:szCs w:val="15"/>
                <w:color w:val="auto"/>
              </w:rPr>
            </w:pPr>
          </w:p>
        </w:tc>
        <w:tc>
          <w:tcPr>
            <w:tcW w:w="1540" w:type="dxa"/>
            <w:vAlign w:val="bottom"/>
            <w:tcBorders>
              <w:bottom w:val="single" w:sz="8" w:color="009FE3"/>
            </w:tcBorders>
          </w:tcPr>
          <w:p>
            <w:pPr>
              <w:ind w:left="120"/>
              <w:spacing w:after="0"/>
              <w:rPr>
                <w:sz w:val="20"/>
                <w:szCs w:val="20"/>
                <w:color w:val="auto"/>
              </w:rPr>
            </w:pPr>
            <w:r>
              <w:rPr>
                <w:rFonts w:ascii="Arial" w:cs="Arial" w:eastAsia="Arial" w:hAnsi="Arial"/>
                <w:sz w:val="14"/>
                <w:szCs w:val="14"/>
                <w:b w:val="1"/>
                <w:bCs w:val="1"/>
                <w:color w:val="009FE3"/>
              </w:rPr>
              <w:t>   Base Salary ($)</w:t>
            </w:r>
          </w:p>
        </w:tc>
        <w:tc>
          <w:tcPr>
            <w:tcW w:w="1740" w:type="dxa"/>
            <w:vAlign w:val="bottom"/>
            <w:tcBorders>
              <w:bottom w:val="single" w:sz="8" w:color="009FE3"/>
            </w:tcBorders>
          </w:tcPr>
          <w:p>
            <w:pPr>
              <w:jc w:val="right"/>
              <w:ind w:right="203"/>
              <w:spacing w:after="0"/>
              <w:rPr>
                <w:sz w:val="20"/>
                <w:szCs w:val="20"/>
                <w:color w:val="auto"/>
              </w:rPr>
            </w:pPr>
            <w:r>
              <w:rPr>
                <w:rFonts w:ascii="Arial" w:cs="Arial" w:eastAsia="Arial" w:hAnsi="Arial"/>
                <w:sz w:val="14"/>
                <w:szCs w:val="14"/>
                <w:b w:val="1"/>
                <w:bCs w:val="1"/>
                <w:color w:val="009FE3"/>
              </w:rPr>
              <w:t>   Base Salary ($)</w:t>
            </w:r>
          </w:p>
        </w:tc>
        <w:tc>
          <w:tcPr>
            <w:tcW w:w="100" w:type="dxa"/>
            <w:vAlign w:val="bottom"/>
            <w:tcBorders>
              <w:bottom w:val="single" w:sz="8" w:color="009FE3"/>
              <w:right w:val="single" w:sz="8" w:color="E8EAEB"/>
            </w:tcBorders>
          </w:tcPr>
          <w:p>
            <w:pPr>
              <w:spacing w:after="0"/>
              <w:rPr>
                <w:sz w:val="15"/>
                <w:szCs w:val="15"/>
                <w:color w:val="auto"/>
              </w:rPr>
            </w:pPr>
          </w:p>
        </w:tc>
        <w:tc>
          <w:tcPr>
            <w:tcW w:w="100" w:type="dxa"/>
            <w:vAlign w:val="bottom"/>
            <w:tcBorders>
              <w:bottom w:val="single" w:sz="8" w:color="009FE3"/>
            </w:tcBorders>
          </w:tcPr>
          <w:p>
            <w:pPr>
              <w:spacing w:after="0"/>
              <w:rPr>
                <w:sz w:val="20"/>
                <w:szCs w:val="20"/>
                <w:color w:val="auto"/>
              </w:rPr>
            </w:pPr>
            <w:r>
              <w:rPr>
                <w:rFonts w:ascii="Arial" w:cs="Arial" w:eastAsia="Arial" w:hAnsi="Arial"/>
                <w:sz w:val="11"/>
                <w:szCs w:val="11"/>
                <w:b w:val="1"/>
                <w:bCs w:val="1"/>
                <w:color w:val="009FE3"/>
                <w:w w:val="72"/>
              </w:rPr>
              <w:t> </w:t>
            </w:r>
          </w:p>
        </w:tc>
        <w:tc>
          <w:tcPr>
            <w:tcW w:w="1020" w:type="dxa"/>
            <w:vAlign w:val="bottom"/>
            <w:tcBorders>
              <w:bottom w:val="single" w:sz="8" w:color="009FE3"/>
            </w:tcBorders>
          </w:tcPr>
          <w:p>
            <w:pPr>
              <w:jc w:val="center"/>
              <w:ind w:right="43"/>
              <w:spacing w:after="0"/>
              <w:rPr>
                <w:sz w:val="20"/>
                <w:szCs w:val="20"/>
                <w:color w:val="auto"/>
              </w:rPr>
            </w:pPr>
            <w:r>
              <w:rPr>
                <w:rFonts w:ascii="Arial" w:cs="Arial" w:eastAsia="Arial" w:hAnsi="Arial"/>
                <w:sz w:val="14"/>
                <w:szCs w:val="14"/>
                <w:b w:val="1"/>
                <w:bCs w:val="1"/>
                <w:color w:val="009FE3"/>
                <w:w w:val="99"/>
              </w:rPr>
              <w:t>Increase (%)</w:t>
            </w:r>
          </w:p>
        </w:tc>
      </w:tr>
      <w:tr>
        <w:trPr>
          <w:trHeight w:val="214"/>
        </w:trPr>
        <w:tc>
          <w:tcPr>
            <w:tcW w:w="61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8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color w:val="202E39"/>
              </w:rPr>
              <w:t>1,365,000</w:t>
            </w:r>
          </w:p>
        </w:tc>
        <w:tc>
          <w:tcPr>
            <w:tcW w:w="1740" w:type="dxa"/>
            <w:vAlign w:val="bottom"/>
          </w:tcPr>
          <w:p>
            <w:pPr>
              <w:jc w:val="right"/>
              <w:ind w:right="363"/>
              <w:spacing w:after="0"/>
              <w:rPr>
                <w:sz w:val="20"/>
                <w:szCs w:val="20"/>
                <w:color w:val="auto"/>
              </w:rPr>
            </w:pPr>
            <w:r>
              <w:rPr>
                <w:rFonts w:ascii="Arial" w:cs="Arial" w:eastAsia="Arial" w:hAnsi="Arial"/>
                <w:sz w:val="16"/>
                <w:szCs w:val="16"/>
                <w:color w:val="202E39"/>
              </w:rPr>
              <w:t>1,365,000</w:t>
            </w:r>
          </w:p>
        </w:tc>
        <w:tc>
          <w:tcPr>
            <w:tcW w:w="100" w:type="dxa"/>
            <w:vAlign w:val="bottom"/>
            <w:tcBorders>
              <w:right w:val="single" w:sz="8" w:color="E8EAEB"/>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83"/>
              <w:spacing w:after="0"/>
              <w:rPr>
                <w:sz w:val="20"/>
                <w:szCs w:val="20"/>
                <w:color w:val="auto"/>
              </w:rPr>
            </w:pPr>
            <w:r>
              <w:rPr>
                <w:rFonts w:ascii="Arial" w:cs="Arial" w:eastAsia="Arial" w:hAnsi="Arial"/>
                <w:sz w:val="16"/>
                <w:szCs w:val="16"/>
                <w:color w:val="202E39"/>
                <w:w w:val="91"/>
              </w:rPr>
              <w:t>— </w:t>
            </w:r>
          </w:p>
        </w:tc>
      </w:tr>
      <w:tr>
        <w:trPr>
          <w:trHeight w:val="29"/>
        </w:trPr>
        <w:tc>
          <w:tcPr>
            <w:tcW w:w="6160" w:type="dxa"/>
            <w:vAlign w:val="bottom"/>
            <w:tcBorders>
              <w:bottom w:val="single" w:sz="8" w:color="E8EAEB"/>
              <w:right w:val="single" w:sz="8" w:color="E8EAEB"/>
            </w:tcBorders>
          </w:tcPr>
          <w:p>
            <w:pPr>
              <w:spacing w:after="0"/>
              <w:rPr>
                <w:sz w:val="2"/>
                <w:szCs w:val="2"/>
                <w:color w:val="auto"/>
              </w:rPr>
            </w:pPr>
          </w:p>
        </w:tc>
        <w:tc>
          <w:tcPr>
            <w:tcW w:w="80" w:type="dxa"/>
            <w:vAlign w:val="bottom"/>
            <w:tcBorders>
              <w:bottom w:val="single" w:sz="8" w:color="E8EAEB"/>
            </w:tcBorders>
          </w:tcPr>
          <w:p>
            <w:pPr>
              <w:spacing w:after="0"/>
              <w:rPr>
                <w:sz w:val="2"/>
                <w:szCs w:val="2"/>
                <w:color w:val="auto"/>
              </w:rPr>
            </w:pPr>
          </w:p>
        </w:tc>
        <w:tc>
          <w:tcPr>
            <w:tcW w:w="1540" w:type="dxa"/>
            <w:vAlign w:val="bottom"/>
            <w:tcBorders>
              <w:bottom w:val="single" w:sz="8" w:color="E8EAEB"/>
            </w:tcBorders>
          </w:tcPr>
          <w:p>
            <w:pPr>
              <w:spacing w:after="0"/>
              <w:rPr>
                <w:sz w:val="2"/>
                <w:szCs w:val="2"/>
                <w:color w:val="auto"/>
              </w:rPr>
            </w:pPr>
          </w:p>
        </w:tc>
        <w:tc>
          <w:tcPr>
            <w:tcW w:w="174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r>
      <w:tr>
        <w:trPr>
          <w:trHeight w:val="214"/>
        </w:trPr>
        <w:tc>
          <w:tcPr>
            <w:tcW w:w="61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 Guru Gowrappan</w:t>
            </w:r>
          </w:p>
        </w:tc>
        <w:tc>
          <w:tcPr>
            <w:tcW w:w="8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color w:val="202E39"/>
              </w:rPr>
              <w:t>         — </w:t>
            </w:r>
          </w:p>
        </w:tc>
        <w:tc>
          <w:tcPr>
            <w:tcW w:w="1740" w:type="dxa"/>
            <w:vAlign w:val="bottom"/>
          </w:tcPr>
          <w:p>
            <w:pPr>
              <w:jc w:val="right"/>
              <w:ind w:right="363"/>
              <w:spacing w:after="0"/>
              <w:rPr>
                <w:sz w:val="20"/>
                <w:szCs w:val="20"/>
                <w:color w:val="auto"/>
              </w:rPr>
            </w:pPr>
            <w:r>
              <w:rPr>
                <w:rFonts w:ascii="Arial" w:cs="Arial" w:eastAsia="Arial" w:hAnsi="Arial"/>
                <w:sz w:val="16"/>
                <w:szCs w:val="16"/>
                <w:color w:val="202E39"/>
              </w:rPr>
              <w:t>1,000,000</w:t>
            </w:r>
          </w:p>
        </w:tc>
        <w:tc>
          <w:tcPr>
            <w:tcW w:w="100" w:type="dxa"/>
            <w:vAlign w:val="bottom"/>
            <w:tcBorders>
              <w:right w:val="single" w:sz="8" w:color="E8EAEB"/>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83"/>
              <w:spacing w:after="0"/>
              <w:rPr>
                <w:sz w:val="20"/>
                <w:szCs w:val="20"/>
                <w:color w:val="auto"/>
              </w:rPr>
            </w:pPr>
            <w:r>
              <w:rPr>
                <w:rFonts w:ascii="Arial" w:cs="Arial" w:eastAsia="Arial" w:hAnsi="Arial"/>
                <w:sz w:val="16"/>
                <w:szCs w:val="16"/>
                <w:color w:val="202E39"/>
                <w:w w:val="91"/>
              </w:rPr>
              <w:t>— </w:t>
            </w:r>
          </w:p>
        </w:tc>
      </w:tr>
      <w:tr>
        <w:trPr>
          <w:trHeight w:val="29"/>
        </w:trPr>
        <w:tc>
          <w:tcPr>
            <w:tcW w:w="6160" w:type="dxa"/>
            <w:vAlign w:val="bottom"/>
            <w:tcBorders>
              <w:bottom w:val="single" w:sz="8" w:color="E8EAEB"/>
              <w:right w:val="single" w:sz="8" w:color="E8EAEB"/>
            </w:tcBorders>
          </w:tcPr>
          <w:p>
            <w:pPr>
              <w:spacing w:after="0"/>
              <w:rPr>
                <w:sz w:val="2"/>
                <w:szCs w:val="2"/>
                <w:color w:val="auto"/>
              </w:rPr>
            </w:pPr>
          </w:p>
        </w:tc>
        <w:tc>
          <w:tcPr>
            <w:tcW w:w="80" w:type="dxa"/>
            <w:vAlign w:val="bottom"/>
            <w:tcBorders>
              <w:bottom w:val="single" w:sz="8" w:color="E8EAEB"/>
            </w:tcBorders>
          </w:tcPr>
          <w:p>
            <w:pPr>
              <w:spacing w:after="0"/>
              <w:rPr>
                <w:sz w:val="2"/>
                <w:szCs w:val="2"/>
                <w:color w:val="auto"/>
              </w:rPr>
            </w:pPr>
          </w:p>
        </w:tc>
        <w:tc>
          <w:tcPr>
            <w:tcW w:w="1540" w:type="dxa"/>
            <w:vAlign w:val="bottom"/>
            <w:tcBorders>
              <w:bottom w:val="single" w:sz="8" w:color="E8EAEB"/>
            </w:tcBorders>
          </w:tcPr>
          <w:p>
            <w:pPr>
              <w:spacing w:after="0"/>
              <w:rPr>
                <w:sz w:val="2"/>
                <w:szCs w:val="2"/>
                <w:color w:val="auto"/>
              </w:rPr>
            </w:pPr>
          </w:p>
        </w:tc>
        <w:tc>
          <w:tcPr>
            <w:tcW w:w="174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r>
      <w:tr>
        <w:trPr>
          <w:trHeight w:val="214"/>
        </w:trPr>
        <w:tc>
          <w:tcPr>
            <w:tcW w:w="61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8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6"/>
                <w:szCs w:val="16"/>
                <w:color w:val="202E39"/>
              </w:rPr>
              <w:t>   630,000</w:t>
            </w:r>
          </w:p>
        </w:tc>
        <w:tc>
          <w:tcPr>
            <w:tcW w:w="1740" w:type="dxa"/>
            <w:vAlign w:val="bottom"/>
          </w:tcPr>
          <w:p>
            <w:pPr>
              <w:jc w:val="right"/>
              <w:ind w:right="363"/>
              <w:spacing w:after="0"/>
              <w:rPr>
                <w:sz w:val="20"/>
                <w:szCs w:val="20"/>
                <w:color w:val="auto"/>
              </w:rPr>
            </w:pPr>
            <w:r>
              <w:rPr>
                <w:rFonts w:ascii="Arial" w:cs="Arial" w:eastAsia="Arial" w:hAnsi="Arial"/>
                <w:sz w:val="16"/>
                <w:szCs w:val="16"/>
                <w:color w:val="202E39"/>
              </w:rPr>
              <w:t>   660,000</w:t>
            </w:r>
          </w:p>
        </w:tc>
        <w:tc>
          <w:tcPr>
            <w:tcW w:w="100" w:type="dxa"/>
            <w:vAlign w:val="bottom"/>
            <w:tcBorders>
              <w:right w:val="single" w:sz="8" w:color="E8EAEB"/>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43"/>
              <w:spacing w:after="0"/>
              <w:rPr>
                <w:sz w:val="20"/>
                <w:szCs w:val="20"/>
                <w:color w:val="auto"/>
              </w:rPr>
            </w:pPr>
            <w:r>
              <w:rPr>
                <w:rFonts w:ascii="Arial" w:cs="Arial" w:eastAsia="Arial" w:hAnsi="Arial"/>
                <w:sz w:val="16"/>
                <w:szCs w:val="16"/>
                <w:color w:val="202E39"/>
                <w:w w:val="98"/>
              </w:rPr>
              <w:t>4.8</w:t>
            </w:r>
          </w:p>
        </w:tc>
      </w:tr>
      <w:tr>
        <w:trPr>
          <w:trHeight w:val="29"/>
        </w:trPr>
        <w:tc>
          <w:tcPr>
            <w:tcW w:w="6160" w:type="dxa"/>
            <w:vAlign w:val="bottom"/>
            <w:tcBorders>
              <w:bottom w:val="single" w:sz="8" w:color="E8EAEB"/>
              <w:right w:val="single" w:sz="8" w:color="E8EAEB"/>
            </w:tcBorders>
          </w:tcPr>
          <w:p>
            <w:pPr>
              <w:spacing w:after="0"/>
              <w:rPr>
                <w:sz w:val="2"/>
                <w:szCs w:val="2"/>
                <w:color w:val="auto"/>
              </w:rPr>
            </w:pPr>
          </w:p>
        </w:tc>
        <w:tc>
          <w:tcPr>
            <w:tcW w:w="80" w:type="dxa"/>
            <w:vAlign w:val="bottom"/>
            <w:tcBorders>
              <w:bottom w:val="single" w:sz="8" w:color="E8EAEB"/>
            </w:tcBorders>
          </w:tcPr>
          <w:p>
            <w:pPr>
              <w:spacing w:after="0"/>
              <w:rPr>
                <w:sz w:val="2"/>
                <w:szCs w:val="2"/>
                <w:color w:val="auto"/>
              </w:rPr>
            </w:pPr>
          </w:p>
        </w:tc>
        <w:tc>
          <w:tcPr>
            <w:tcW w:w="1540" w:type="dxa"/>
            <w:vAlign w:val="bottom"/>
            <w:tcBorders>
              <w:bottom w:val="single" w:sz="8" w:color="E8EAEB"/>
            </w:tcBorders>
          </w:tcPr>
          <w:p>
            <w:pPr>
              <w:spacing w:after="0"/>
              <w:rPr>
                <w:sz w:val="2"/>
                <w:szCs w:val="2"/>
                <w:color w:val="auto"/>
              </w:rPr>
            </w:pPr>
          </w:p>
        </w:tc>
        <w:tc>
          <w:tcPr>
            <w:tcW w:w="174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r>
      <w:tr>
        <w:trPr>
          <w:trHeight w:val="214"/>
        </w:trPr>
        <w:tc>
          <w:tcPr>
            <w:tcW w:w="61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Kevin Harkenrider</w:t>
            </w:r>
          </w:p>
        </w:tc>
        <w:tc>
          <w:tcPr>
            <w:tcW w:w="8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6"/>
                <w:szCs w:val="16"/>
                <w:color w:val="202E39"/>
              </w:rPr>
              <w:t>   750,000</w:t>
            </w:r>
          </w:p>
        </w:tc>
        <w:tc>
          <w:tcPr>
            <w:tcW w:w="1740" w:type="dxa"/>
            <w:vAlign w:val="bottom"/>
          </w:tcPr>
          <w:p>
            <w:pPr>
              <w:jc w:val="right"/>
              <w:ind w:right="363"/>
              <w:spacing w:after="0"/>
              <w:rPr>
                <w:sz w:val="20"/>
                <w:szCs w:val="20"/>
                <w:color w:val="auto"/>
              </w:rPr>
            </w:pPr>
            <w:r>
              <w:rPr>
                <w:rFonts w:ascii="Arial" w:cs="Arial" w:eastAsia="Arial" w:hAnsi="Arial"/>
                <w:sz w:val="16"/>
                <w:szCs w:val="16"/>
                <w:color w:val="202E39"/>
              </w:rPr>
              <w:t>   750,000</w:t>
            </w:r>
          </w:p>
        </w:tc>
        <w:tc>
          <w:tcPr>
            <w:tcW w:w="100" w:type="dxa"/>
            <w:vAlign w:val="bottom"/>
            <w:tcBorders>
              <w:right w:val="single" w:sz="8" w:color="E8EAEB"/>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83"/>
              <w:spacing w:after="0"/>
              <w:rPr>
                <w:sz w:val="20"/>
                <w:szCs w:val="20"/>
                <w:color w:val="auto"/>
              </w:rPr>
            </w:pPr>
            <w:r>
              <w:rPr>
                <w:rFonts w:ascii="Arial" w:cs="Arial" w:eastAsia="Arial" w:hAnsi="Arial"/>
                <w:sz w:val="16"/>
                <w:szCs w:val="16"/>
                <w:color w:val="202E39"/>
                <w:w w:val="91"/>
              </w:rPr>
              <w:t>— </w:t>
            </w:r>
          </w:p>
        </w:tc>
      </w:tr>
      <w:tr>
        <w:trPr>
          <w:trHeight w:val="29"/>
        </w:trPr>
        <w:tc>
          <w:tcPr>
            <w:tcW w:w="6160" w:type="dxa"/>
            <w:vAlign w:val="bottom"/>
            <w:tcBorders>
              <w:bottom w:val="single" w:sz="8" w:color="E8EAEB"/>
              <w:right w:val="single" w:sz="8" w:color="E8EAEB"/>
            </w:tcBorders>
          </w:tcPr>
          <w:p>
            <w:pPr>
              <w:spacing w:after="0"/>
              <w:rPr>
                <w:sz w:val="2"/>
                <w:szCs w:val="2"/>
                <w:color w:val="auto"/>
              </w:rPr>
            </w:pPr>
          </w:p>
        </w:tc>
        <w:tc>
          <w:tcPr>
            <w:tcW w:w="80" w:type="dxa"/>
            <w:vAlign w:val="bottom"/>
            <w:tcBorders>
              <w:bottom w:val="single" w:sz="8" w:color="E8EAEB"/>
            </w:tcBorders>
          </w:tcPr>
          <w:p>
            <w:pPr>
              <w:spacing w:after="0"/>
              <w:rPr>
                <w:sz w:val="2"/>
                <w:szCs w:val="2"/>
                <w:color w:val="auto"/>
              </w:rPr>
            </w:pPr>
          </w:p>
        </w:tc>
        <w:tc>
          <w:tcPr>
            <w:tcW w:w="1540" w:type="dxa"/>
            <w:vAlign w:val="bottom"/>
            <w:tcBorders>
              <w:bottom w:val="single" w:sz="8" w:color="E8EAEB"/>
            </w:tcBorders>
          </w:tcPr>
          <w:p>
            <w:pPr>
              <w:spacing w:after="0"/>
              <w:rPr>
                <w:sz w:val="2"/>
                <w:szCs w:val="2"/>
                <w:color w:val="auto"/>
              </w:rPr>
            </w:pPr>
          </w:p>
        </w:tc>
        <w:tc>
          <w:tcPr>
            <w:tcW w:w="174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r>
      <w:tr>
        <w:trPr>
          <w:trHeight w:val="214"/>
        </w:trPr>
        <w:tc>
          <w:tcPr>
            <w:tcW w:w="61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Craig Miller</w:t>
            </w:r>
          </w:p>
        </w:tc>
        <w:tc>
          <w:tcPr>
            <w:tcW w:w="8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6"/>
                <w:szCs w:val="16"/>
                <w:color w:val="202E39"/>
              </w:rPr>
              <w:t>   625,000</w:t>
            </w:r>
          </w:p>
        </w:tc>
        <w:tc>
          <w:tcPr>
            <w:tcW w:w="1740" w:type="dxa"/>
            <w:vAlign w:val="bottom"/>
          </w:tcPr>
          <w:p>
            <w:pPr>
              <w:jc w:val="right"/>
              <w:ind w:right="363"/>
              <w:spacing w:after="0"/>
              <w:rPr>
                <w:sz w:val="20"/>
                <w:szCs w:val="20"/>
                <w:color w:val="auto"/>
              </w:rPr>
            </w:pPr>
            <w:r>
              <w:rPr>
                <w:rFonts w:ascii="Arial" w:cs="Arial" w:eastAsia="Arial" w:hAnsi="Arial"/>
                <w:sz w:val="16"/>
                <w:szCs w:val="16"/>
                <w:color w:val="202E39"/>
              </w:rPr>
              <w:t>   675,000</w:t>
            </w:r>
          </w:p>
        </w:tc>
        <w:tc>
          <w:tcPr>
            <w:tcW w:w="100" w:type="dxa"/>
            <w:vAlign w:val="bottom"/>
            <w:tcBorders>
              <w:right w:val="single" w:sz="8" w:color="E8EAEB"/>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43"/>
              <w:spacing w:after="0"/>
              <w:rPr>
                <w:sz w:val="20"/>
                <w:szCs w:val="20"/>
                <w:color w:val="auto"/>
              </w:rPr>
            </w:pPr>
            <w:r>
              <w:rPr>
                <w:rFonts w:ascii="Arial" w:cs="Arial" w:eastAsia="Arial" w:hAnsi="Arial"/>
                <w:sz w:val="16"/>
                <w:szCs w:val="16"/>
                <w:color w:val="202E39"/>
                <w:w w:val="98"/>
              </w:rPr>
              <w:t>8.0</w:t>
            </w:r>
          </w:p>
        </w:tc>
      </w:tr>
      <w:tr>
        <w:trPr>
          <w:trHeight w:val="29"/>
        </w:trPr>
        <w:tc>
          <w:tcPr>
            <w:tcW w:w="6160" w:type="dxa"/>
            <w:vAlign w:val="bottom"/>
            <w:tcBorders>
              <w:bottom w:val="single" w:sz="8" w:color="E8EAEB"/>
              <w:right w:val="single" w:sz="8" w:color="E8EAEB"/>
            </w:tcBorders>
          </w:tcPr>
          <w:p>
            <w:pPr>
              <w:spacing w:after="0"/>
              <w:rPr>
                <w:sz w:val="2"/>
                <w:szCs w:val="2"/>
                <w:color w:val="auto"/>
              </w:rPr>
            </w:pPr>
          </w:p>
        </w:tc>
        <w:tc>
          <w:tcPr>
            <w:tcW w:w="80" w:type="dxa"/>
            <w:vAlign w:val="bottom"/>
            <w:tcBorders>
              <w:bottom w:val="single" w:sz="8" w:color="E8EAEB"/>
            </w:tcBorders>
          </w:tcPr>
          <w:p>
            <w:pPr>
              <w:spacing w:after="0"/>
              <w:rPr>
                <w:sz w:val="2"/>
                <w:szCs w:val="2"/>
                <w:color w:val="auto"/>
              </w:rPr>
            </w:pPr>
          </w:p>
        </w:tc>
        <w:tc>
          <w:tcPr>
            <w:tcW w:w="1540" w:type="dxa"/>
            <w:vAlign w:val="bottom"/>
            <w:tcBorders>
              <w:bottom w:val="single" w:sz="8" w:color="E8EAEB"/>
            </w:tcBorders>
          </w:tcPr>
          <w:p>
            <w:pPr>
              <w:spacing w:after="0"/>
              <w:rPr>
                <w:sz w:val="2"/>
                <w:szCs w:val="2"/>
                <w:color w:val="auto"/>
              </w:rPr>
            </w:pPr>
          </w:p>
        </w:tc>
        <w:tc>
          <w:tcPr>
            <w:tcW w:w="1740" w:type="dxa"/>
            <w:vAlign w:val="bottom"/>
            <w:tcBorders>
              <w:bottom w:val="single" w:sz="8" w:color="E8EAEB"/>
            </w:tcBorders>
          </w:tcPr>
          <w:p>
            <w:pPr>
              <w:spacing w:after="0"/>
              <w:rPr>
                <w:sz w:val="2"/>
                <w:szCs w:val="2"/>
                <w:color w:val="auto"/>
              </w:rPr>
            </w:pPr>
          </w:p>
        </w:tc>
        <w:tc>
          <w:tcPr>
            <w:tcW w:w="100" w:type="dxa"/>
            <w:vAlign w:val="bottom"/>
            <w:tcBorders>
              <w:bottom w:val="single" w:sz="8" w:color="E8EAEB"/>
              <w:right w:val="single" w:sz="8" w:color="E8EAEB"/>
            </w:tcBorders>
          </w:tcPr>
          <w:p>
            <w:pPr>
              <w:spacing w:after="0"/>
              <w:rPr>
                <w:sz w:val="2"/>
                <w:szCs w:val="2"/>
                <w:color w:val="auto"/>
              </w:rPr>
            </w:pPr>
          </w:p>
        </w:tc>
        <w:tc>
          <w:tcPr>
            <w:tcW w:w="100" w:type="dxa"/>
            <w:vAlign w:val="bottom"/>
            <w:tcBorders>
              <w:bottom w:val="single" w:sz="8" w:color="E8EAEB"/>
            </w:tcBorders>
          </w:tcPr>
          <w:p>
            <w:pPr>
              <w:spacing w:after="0"/>
              <w:rPr>
                <w:sz w:val="2"/>
                <w:szCs w:val="2"/>
                <w:color w:val="auto"/>
              </w:rPr>
            </w:pPr>
          </w:p>
        </w:tc>
        <w:tc>
          <w:tcPr>
            <w:tcW w:w="1020" w:type="dxa"/>
            <w:vAlign w:val="bottom"/>
            <w:tcBorders>
              <w:bottom w:val="single" w:sz="8" w:color="E8EAEB"/>
            </w:tcBorders>
          </w:tcPr>
          <w:p>
            <w:pPr>
              <w:spacing w:after="0"/>
              <w:rPr>
                <w:sz w:val="2"/>
                <w:szCs w:val="2"/>
                <w:color w:val="auto"/>
              </w:rPr>
            </w:pPr>
          </w:p>
        </w:tc>
      </w:tr>
      <w:tr>
        <w:trPr>
          <w:trHeight w:val="214"/>
        </w:trPr>
        <w:tc>
          <w:tcPr>
            <w:tcW w:w="61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David Ryan (1)</w:t>
            </w:r>
          </w:p>
        </w:tc>
        <w:tc>
          <w:tcPr>
            <w:tcW w:w="8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6"/>
                <w:szCs w:val="16"/>
                <w:color w:val="202E39"/>
              </w:rPr>
              <w:t>   625,000</w:t>
            </w:r>
          </w:p>
        </w:tc>
        <w:tc>
          <w:tcPr>
            <w:tcW w:w="1740" w:type="dxa"/>
            <w:vAlign w:val="bottom"/>
          </w:tcPr>
          <w:p>
            <w:pPr>
              <w:jc w:val="right"/>
              <w:ind w:right="363"/>
              <w:spacing w:after="0"/>
              <w:rPr>
                <w:sz w:val="20"/>
                <w:szCs w:val="20"/>
                <w:color w:val="auto"/>
              </w:rPr>
            </w:pPr>
            <w:r>
              <w:rPr>
                <w:rFonts w:ascii="Arial" w:cs="Arial" w:eastAsia="Arial" w:hAnsi="Arial"/>
                <w:sz w:val="16"/>
                <w:szCs w:val="16"/>
                <w:color w:val="202E39"/>
              </w:rPr>
              <w:t>   625,000</w:t>
            </w:r>
          </w:p>
        </w:tc>
        <w:tc>
          <w:tcPr>
            <w:tcW w:w="100" w:type="dxa"/>
            <w:vAlign w:val="bottom"/>
            <w:tcBorders>
              <w:right w:val="single" w:sz="8" w:color="E8EAEB"/>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83"/>
              <w:spacing w:after="0"/>
              <w:rPr>
                <w:sz w:val="20"/>
                <w:szCs w:val="20"/>
                <w:color w:val="auto"/>
              </w:rPr>
            </w:pPr>
            <w:r>
              <w:rPr>
                <w:rFonts w:ascii="Arial" w:cs="Arial" w:eastAsia="Arial" w:hAnsi="Arial"/>
                <w:sz w:val="16"/>
                <w:szCs w:val="16"/>
                <w:color w:val="202E39"/>
                <w:w w:val="91"/>
              </w:rPr>
              <w:t>— </w:t>
            </w:r>
          </w:p>
        </w:tc>
      </w:tr>
      <w:tr>
        <w:trPr>
          <w:trHeight w:val="29"/>
        </w:trPr>
        <w:tc>
          <w:tcPr>
            <w:tcW w:w="6160" w:type="dxa"/>
            <w:vAlign w:val="bottom"/>
            <w:tcBorders>
              <w:bottom w:val="single" w:sz="8" w:color="009FE3"/>
              <w:right w:val="single" w:sz="8" w:color="E8EAEB"/>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540" w:type="dxa"/>
            <w:vAlign w:val="bottom"/>
            <w:tcBorders>
              <w:bottom w:val="single" w:sz="8" w:color="009FE3"/>
            </w:tcBorders>
          </w:tcPr>
          <w:p>
            <w:pPr>
              <w:spacing w:after="0"/>
              <w:rPr>
                <w:sz w:val="2"/>
                <w:szCs w:val="2"/>
                <w:color w:val="auto"/>
              </w:rPr>
            </w:pPr>
          </w:p>
        </w:tc>
        <w:tc>
          <w:tcPr>
            <w:tcW w:w="1740" w:type="dxa"/>
            <w:vAlign w:val="bottom"/>
            <w:tcBorders>
              <w:bottom w:val="single" w:sz="8" w:color="009FE3"/>
            </w:tcBorders>
          </w:tcPr>
          <w:p>
            <w:pPr>
              <w:spacing w:after="0"/>
              <w:rPr>
                <w:sz w:val="2"/>
                <w:szCs w:val="2"/>
                <w:color w:val="auto"/>
              </w:rPr>
            </w:pPr>
          </w:p>
        </w:tc>
        <w:tc>
          <w:tcPr>
            <w:tcW w:w="100" w:type="dxa"/>
            <w:vAlign w:val="bottom"/>
            <w:tcBorders>
              <w:bottom w:val="single" w:sz="8" w:color="009FE3"/>
              <w:right w:val="single" w:sz="8" w:color="E8EAEB"/>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020" w:type="dxa"/>
            <w:vAlign w:val="bottom"/>
            <w:tcBorders>
              <w:bottom w:val="single" w:sz="8" w:color="009FE3"/>
            </w:tcBorders>
          </w:tcPr>
          <w:p>
            <w:pPr>
              <w:spacing w:after="0"/>
              <w:rPr>
                <w:sz w:val="2"/>
                <w:szCs w:val="2"/>
                <w:color w:val="auto"/>
              </w:rPr>
            </w:pPr>
          </w:p>
        </w:tc>
      </w:tr>
    </w:tbl>
    <w:p>
      <w:pPr>
        <w:spacing w:after="0" w:line="109" w:lineRule="exact"/>
        <w:rPr>
          <w:sz w:val="20"/>
          <w:szCs w:val="20"/>
          <w:color w:val="auto"/>
        </w:rPr>
      </w:pPr>
    </w:p>
    <w:p>
      <w:pPr>
        <w:ind w:left="680" w:hanging="419"/>
        <w:spacing w:after="0"/>
        <w:tabs>
          <w:tab w:leader="none" w:pos="680" w:val="left"/>
        </w:tabs>
        <w:numPr>
          <w:ilvl w:val="0"/>
          <w:numId w:val="36"/>
        </w:numPr>
        <w:rPr>
          <w:rFonts w:ascii="Arial" w:cs="Arial" w:eastAsia="Arial" w:hAnsi="Arial"/>
          <w:sz w:val="14"/>
          <w:szCs w:val="14"/>
          <w:color w:val="202E39"/>
        </w:rPr>
      </w:pPr>
      <w:r>
        <w:rPr>
          <w:rFonts w:ascii="Arial" w:cs="Arial" w:eastAsia="Arial" w:hAnsi="Arial"/>
          <w:sz w:val="14"/>
          <w:szCs w:val="14"/>
          <w:color w:val="202E39"/>
        </w:rPr>
        <w:t>Mr. Ryan departed Viasat during fiscal year 2024.</w:t>
      </w:r>
    </w:p>
    <w:p>
      <w:pPr>
        <w:spacing w:after="0" w:line="99" w:lineRule="exact"/>
        <w:rPr>
          <w:sz w:val="20"/>
          <w:szCs w:val="20"/>
          <w:color w:val="auto"/>
        </w:rPr>
      </w:pPr>
    </w:p>
    <w:p>
      <w:pPr>
        <w:ind w:left="260" w:right="40"/>
        <w:spacing w:after="0" w:line="244" w:lineRule="auto"/>
        <w:rPr>
          <w:sz w:val="20"/>
          <w:szCs w:val="20"/>
          <w:color w:val="auto"/>
        </w:rPr>
      </w:pPr>
      <w:r>
        <w:rPr>
          <w:rFonts w:ascii="Arial" w:cs="Arial" w:eastAsia="Arial" w:hAnsi="Arial"/>
          <w:sz w:val="16"/>
          <w:szCs w:val="16"/>
          <w:i w:val="1"/>
          <w:iCs w:val="1"/>
          <w:color w:val="009FE3"/>
        </w:rPr>
        <w:t>Annual Bonuses.</w:t>
      </w:r>
      <w:r>
        <w:rPr>
          <w:rFonts w:ascii="Arial" w:cs="Arial" w:eastAsia="Arial" w:hAnsi="Arial"/>
          <w:sz w:val="16"/>
          <w:szCs w:val="16"/>
          <w:color w:val="202E39"/>
        </w:rPr>
        <w:t xml:space="preserve">  Consistent with our overall compensation objectives of linking compensation to performance, aligning executive compensation with</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interests, and attracting and retaining top level executive officers in our industry, the Committee approved annual bonuses for fiscal year 2024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and have an established maximum bonus payout opportunity of 250% of each executive officer’s target bonus. The Committee also considers the expected contributions of each executive officer toward the overall success of the company.</w:t>
      </w:r>
    </w:p>
    <w:p>
      <w:pPr>
        <w:spacing w:after="0" w:line="81" w:lineRule="exact"/>
        <w:rPr>
          <w:sz w:val="20"/>
          <w:szCs w:val="20"/>
          <w:color w:val="auto"/>
        </w:rPr>
      </w:pPr>
    </w:p>
    <w:p>
      <w:pPr>
        <w:ind w:left="260" w:right="80"/>
        <w:spacing w:after="0" w:line="254" w:lineRule="auto"/>
        <w:rPr>
          <w:sz w:val="20"/>
          <w:szCs w:val="20"/>
          <w:color w:val="auto"/>
        </w:rPr>
      </w:pPr>
      <w:r>
        <w:rPr>
          <w:rFonts w:ascii="Arial" w:cs="Arial" w:eastAsia="Arial" w:hAnsi="Arial"/>
          <w:sz w:val="16"/>
          <w:szCs w:val="16"/>
          <w:color w:val="202E39"/>
        </w:rPr>
        <w:t>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w:t>
      </w:r>
    </w:p>
    <w:p>
      <w:pPr>
        <w:spacing w:after="0" w:line="73" w:lineRule="exact"/>
        <w:rPr>
          <w:sz w:val="20"/>
          <w:szCs w:val="20"/>
          <w:color w:val="auto"/>
        </w:rPr>
      </w:pPr>
    </w:p>
    <w:p>
      <w:pPr>
        <w:ind w:left="260" w:right="140"/>
        <w:spacing w:after="0" w:line="254" w:lineRule="auto"/>
        <w:rPr>
          <w:sz w:val="20"/>
          <w:szCs w:val="20"/>
          <w:color w:val="auto"/>
        </w:rPr>
      </w:pPr>
      <w:r>
        <w:rPr>
          <w:rFonts w:ascii="Arial" w:cs="Arial" w:eastAsia="Arial" w:hAnsi="Arial"/>
          <w:sz w:val="16"/>
          <w:szCs w:val="16"/>
          <w:i w:val="1"/>
          <w:iCs w:val="1"/>
          <w:color w:val="009FE3"/>
        </w:rPr>
        <w:t>Named Executive Officers Annual Metric Selection and Bonus Determination.</w:t>
      </w:r>
      <w:r>
        <w:rPr>
          <w:rFonts w:ascii="Arial" w:cs="Arial" w:eastAsia="Arial" w:hAnsi="Arial"/>
          <w:sz w:val="16"/>
          <w:szCs w:val="16"/>
          <w:i w:val="1"/>
          <w:i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For fiscal year 2024, the metrics considered for determining annual</w:t>
      </w:r>
      <w:r>
        <w:rPr>
          <w:rFonts w:ascii="Arial" w:cs="Arial" w:eastAsia="Arial" w:hAnsi="Arial"/>
          <w:sz w:val="16"/>
          <w:szCs w:val="16"/>
          <w:i w:val="1"/>
          <w:iCs w:val="1"/>
          <w:color w:val="009FE3"/>
        </w:rPr>
        <w:t xml:space="preserve"> </w:t>
      </w:r>
      <w:r>
        <w:rPr>
          <w:rFonts w:ascii="Arial" w:cs="Arial" w:eastAsia="Arial" w:hAnsi="Arial"/>
          <w:sz w:val="16"/>
          <w:szCs w:val="16"/>
          <w:color w:val="202E39"/>
        </w:rPr>
        <w:t>bonuses for our Named Executive Officers included Viasat’s annual financial performance and individual performance. The annual performance metrics, both financial and individual, are intended to be challenging and rigorous, but achievable through a sustained level of high performance.</w:t>
      </w:r>
    </w:p>
    <w:p>
      <w:pPr>
        <w:spacing w:after="0" w:line="86" w:lineRule="exact"/>
        <w:rPr>
          <w:sz w:val="20"/>
          <w:szCs w:val="20"/>
          <w:color w:val="auto"/>
        </w:rPr>
      </w:pPr>
    </w:p>
    <w:p>
      <w:pPr>
        <w:ind w:left="900" w:right="160" w:hanging="218"/>
        <w:spacing w:after="0" w:line="254" w:lineRule="auto"/>
        <w:tabs>
          <w:tab w:leader="none" w:pos="900" w:val="left"/>
        </w:tabs>
        <w:numPr>
          <w:ilvl w:val="0"/>
          <w:numId w:val="37"/>
        </w:numPr>
        <w:rPr>
          <w:rFonts w:ascii="Arial" w:cs="Arial" w:eastAsia="Arial" w:hAnsi="Arial"/>
          <w:sz w:val="16"/>
          <w:szCs w:val="16"/>
          <w:color w:val="009FE3"/>
        </w:rPr>
      </w:pPr>
      <w:r>
        <w:rPr>
          <w:rFonts w:ascii="Arial" w:cs="Arial" w:eastAsia="Arial" w:hAnsi="Arial"/>
          <w:sz w:val="16"/>
          <w:szCs w:val="16"/>
          <w:color w:val="009FE3"/>
        </w:rPr>
        <w:t>Financial performance objectives (50% of annual bonus determination):</w:t>
      </w:r>
      <w:r>
        <w:rPr>
          <w:rFonts w:ascii="Arial" w:cs="Arial" w:eastAsia="Arial" w:hAnsi="Arial"/>
          <w:sz w:val="16"/>
          <w:szCs w:val="16"/>
          <w:color w:val="202E39"/>
        </w:rPr>
        <w:t xml:space="preserve">  Financial metrics were set based on an internally-developed financial</w:t>
      </w:r>
      <w:r>
        <w:rPr>
          <w:rFonts w:ascii="Arial" w:cs="Arial" w:eastAsia="Arial" w:hAnsi="Arial"/>
          <w:sz w:val="16"/>
          <w:szCs w:val="16"/>
          <w:color w:val="009FE3"/>
        </w:rPr>
        <w:t xml:space="preserve"> </w:t>
      </w:r>
      <w:r>
        <w:rPr>
          <w:rFonts w:ascii="Arial" w:cs="Arial" w:eastAsia="Arial" w:hAnsi="Arial"/>
          <w:sz w:val="16"/>
          <w:szCs w:val="16"/>
          <w:color w:val="202E39"/>
        </w:rPr>
        <w:t>plan approved by our Board at the beginning of the fiscal year. The financial metrics selected for the annual bonus are intended to balance incentivizing strong short-term performance while also retaining alignment to the execution of our long-term strategy.</w:t>
      </w:r>
    </w:p>
    <w:p>
      <w:pPr>
        <w:spacing w:after="0" w:line="86" w:lineRule="exact"/>
        <w:rPr>
          <w:rFonts w:ascii="Arial" w:cs="Arial" w:eastAsia="Arial" w:hAnsi="Arial"/>
          <w:sz w:val="16"/>
          <w:szCs w:val="16"/>
          <w:color w:val="009FE3"/>
        </w:rPr>
      </w:pPr>
    </w:p>
    <w:p>
      <w:pPr>
        <w:ind w:left="900" w:right="80" w:hanging="218"/>
        <w:spacing w:after="0" w:line="245" w:lineRule="auto"/>
        <w:tabs>
          <w:tab w:leader="none" w:pos="900" w:val="left"/>
        </w:tabs>
        <w:numPr>
          <w:ilvl w:val="0"/>
          <w:numId w:val="37"/>
        </w:numPr>
        <w:rPr>
          <w:rFonts w:ascii="Arial" w:cs="Arial" w:eastAsia="Arial" w:hAnsi="Arial"/>
          <w:sz w:val="16"/>
          <w:szCs w:val="16"/>
          <w:color w:val="009FE3"/>
        </w:rPr>
      </w:pPr>
      <w:r>
        <w:rPr>
          <w:rFonts w:ascii="Arial" w:cs="Arial" w:eastAsia="Arial" w:hAnsi="Arial"/>
          <w:sz w:val="16"/>
          <w:szCs w:val="16"/>
          <w:color w:val="009FE3"/>
        </w:rPr>
        <w:t>Individual performance objectives (50% of annual bonus determination):</w:t>
      </w:r>
      <w:r>
        <w:rPr>
          <w:rFonts w:ascii="Arial" w:cs="Arial" w:eastAsia="Arial" w:hAnsi="Arial"/>
          <w:sz w:val="16"/>
          <w:szCs w:val="16"/>
          <w:color w:val="202E39"/>
        </w:rPr>
        <w:t xml:space="preserve">  Individual leadership and strategic objectives are determined by the</w:t>
      </w:r>
      <w:r>
        <w:rPr>
          <w:rFonts w:ascii="Arial" w:cs="Arial" w:eastAsia="Arial" w:hAnsi="Arial"/>
          <w:sz w:val="16"/>
          <w:szCs w:val="16"/>
          <w:color w:val="009FE3"/>
        </w:rPr>
        <w:t xml:space="preserve"> </w:t>
      </w:r>
      <w:r>
        <w:rPr>
          <w:rFonts w:ascii="Arial" w:cs="Arial" w:eastAsia="Arial" w:hAnsi="Arial"/>
          <w:sz w:val="16"/>
          <w:szCs w:val="16"/>
          <w:color w:val="202E39"/>
        </w:rPr>
        <w:t>Committee, with the objectives for the executive officers (other than our Chief Executive Officer) based on input and recommendations from our Chief Executive Officer. Individual leadership and strategic objectives for our Chief Executive Officer are determined by the Committee based on the recommendation of the Nomination, Evaluation and Corporate Governance Committee. Metrics are qualitative in nature; each individual executive officer’s attainment of individual performance objectives, while made in the context of such pre-established objectives, is based upon an evaluation of individual performance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85090</wp:posOffset>
            </wp:positionV>
            <wp:extent cx="425450" cy="150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40       </w:t>
      </w:r>
    </w:p>
    <w:p>
      <w:pPr>
        <w:sectPr>
          <w:pgSz w:w="11900" w:h="16838" w:orient="portrait"/>
          <w:cols w:equalWidth="0" w:num="1">
            <w:col w:w="11000"/>
          </w:cols>
          <w:pgMar w:left="320" w:top="474" w:right="5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right="420"/>
        <w:spacing w:after="0" w:line="269" w:lineRule="auto"/>
        <w:rPr>
          <w:sz w:val="20"/>
          <w:szCs w:val="20"/>
          <w:color w:val="auto"/>
        </w:rPr>
      </w:pPr>
      <w:r>
        <w:rPr>
          <w:rFonts w:ascii="Arial" w:cs="Arial" w:eastAsia="Arial" w:hAnsi="Arial"/>
          <w:sz w:val="16"/>
          <w:szCs w:val="16"/>
          <w:color w:val="202E39"/>
        </w:rPr>
        <w:t>The table below describes the company financial and individual performance objectives and weighting of each objective used for determining annual bonuses for all our executive officers for fiscal year 2024:</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Fiscal Year 2024 Bonus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85090</wp:posOffset>
            </wp:positionV>
            <wp:extent cx="8255" cy="17443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744345"/>
                    </a:xfrm>
                    <a:prstGeom prst="rect">
                      <a:avLst/>
                    </a:prstGeom>
                    <a:noFill/>
                  </pic:spPr>
                </pic:pic>
              </a:graphicData>
            </a:graphic>
          </wp:anchor>
        </w:drawing>
      </w:r>
    </w:p>
    <w:p>
      <w:pPr>
        <w:spacing w:after="0" w:line="94"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636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tcBorders>
          </w:tcPr>
          <w:p>
            <w:pPr>
              <w:jc w:val="center"/>
              <w:ind w:right="144"/>
              <w:spacing w:after="0"/>
              <w:rPr>
                <w:sz w:val="20"/>
                <w:szCs w:val="20"/>
                <w:color w:val="auto"/>
              </w:rPr>
            </w:pPr>
            <w:r>
              <w:rPr>
                <w:rFonts w:ascii="Arial" w:cs="Arial" w:eastAsia="Arial" w:hAnsi="Arial"/>
                <w:sz w:val="14"/>
                <w:szCs w:val="14"/>
                <w:b w:val="1"/>
                <w:bCs w:val="1"/>
                <w:color w:val="009FE3"/>
              </w:rPr>
              <w:t>Approximate</w:t>
            </w:r>
          </w:p>
        </w:tc>
        <w:tc>
          <w:tcPr>
            <w:tcW w:w="1480" w:type="dxa"/>
            <w:vAlign w:val="bottom"/>
            <w:tcBorders>
              <w:top w:val="single" w:sz="8" w:color="E8EAEB"/>
              <w:right w:val="single" w:sz="8" w:color="E8EAEB"/>
            </w:tcBorders>
            <w:vMerge w:val="restart"/>
          </w:tcPr>
          <w:p>
            <w:pPr>
              <w:jc w:val="right"/>
              <w:ind w:right="503"/>
              <w:spacing w:after="0"/>
              <w:rPr>
                <w:sz w:val="20"/>
                <w:szCs w:val="20"/>
                <w:color w:val="auto"/>
              </w:rPr>
            </w:pPr>
            <w:r>
              <w:rPr>
                <w:rFonts w:ascii="Arial" w:cs="Arial" w:eastAsia="Arial" w:hAnsi="Arial"/>
                <w:sz w:val="14"/>
                <w:szCs w:val="14"/>
                <w:b w:val="1"/>
                <w:bCs w:val="1"/>
                <w:color w:val="009FE3"/>
              </w:rPr>
              <w:t>FY 2024</w:t>
            </w:r>
          </w:p>
        </w:tc>
        <w:tc>
          <w:tcPr>
            <w:tcW w:w="1700" w:type="dxa"/>
            <w:vAlign w:val="bottom"/>
            <w:tcBorders>
              <w:top w:val="single" w:sz="8" w:color="E8EAEB"/>
            </w:tcBorders>
            <w:vMerge w:val="restart"/>
          </w:tcPr>
          <w:p>
            <w:pPr>
              <w:jc w:val="right"/>
              <w:ind w:right="523"/>
              <w:spacing w:after="0"/>
              <w:rPr>
                <w:sz w:val="20"/>
                <w:szCs w:val="20"/>
                <w:color w:val="auto"/>
              </w:rPr>
            </w:pPr>
            <w:r>
              <w:rPr>
                <w:rFonts w:ascii="Arial" w:cs="Arial" w:eastAsia="Arial" w:hAnsi="Arial"/>
                <w:sz w:val="14"/>
                <w:szCs w:val="14"/>
                <w:b w:val="1"/>
                <w:bCs w:val="1"/>
                <w:color w:val="009FE3"/>
              </w:rPr>
              <w:t>FY 2024</w:t>
            </w:r>
          </w:p>
        </w:tc>
        <w:tc>
          <w:tcPr>
            <w:tcW w:w="0" w:type="dxa"/>
            <w:vAlign w:val="bottom"/>
          </w:tcPr>
          <w:p>
            <w:pPr>
              <w:spacing w:after="0"/>
              <w:rPr>
                <w:sz w:val="1"/>
                <w:szCs w:val="1"/>
                <w:color w:val="auto"/>
              </w:rPr>
            </w:pPr>
          </w:p>
        </w:tc>
      </w:tr>
      <w:tr>
        <w:trPr>
          <w:trHeight w:val="145"/>
        </w:trPr>
        <w:tc>
          <w:tcPr>
            <w:tcW w:w="6360" w:type="dxa"/>
            <w:vAlign w:val="bottom"/>
            <w:tcBorders>
              <w:right w:val="single" w:sz="8" w:color="E8EAEB"/>
            </w:tcBorders>
          </w:tcPr>
          <w:p>
            <w:pPr>
              <w:spacing w:after="0"/>
              <w:rPr>
                <w:sz w:val="12"/>
                <w:szCs w:val="12"/>
                <w:color w:val="auto"/>
              </w:rPr>
            </w:pPr>
          </w:p>
        </w:tc>
        <w:tc>
          <w:tcPr>
            <w:tcW w:w="1200" w:type="dxa"/>
            <w:vAlign w:val="bottom"/>
          </w:tcPr>
          <w:p>
            <w:pPr>
              <w:jc w:val="center"/>
              <w:ind w:right="124"/>
              <w:spacing w:after="0" w:line="145" w:lineRule="exact"/>
              <w:rPr>
                <w:sz w:val="20"/>
                <w:szCs w:val="20"/>
                <w:color w:val="auto"/>
              </w:rPr>
            </w:pPr>
            <w:r>
              <w:rPr>
                <w:rFonts w:ascii="Arial" w:cs="Arial" w:eastAsia="Arial" w:hAnsi="Arial"/>
                <w:sz w:val="14"/>
                <w:szCs w:val="14"/>
                <w:b w:val="1"/>
                <w:bCs w:val="1"/>
                <w:color w:val="009FE3"/>
              </w:rPr>
              <w:t xml:space="preserve">   </w:t>
            </w:r>
          </w:p>
        </w:tc>
        <w:tc>
          <w:tcPr>
            <w:tcW w:w="1480" w:type="dxa"/>
            <w:vAlign w:val="bottom"/>
            <w:tcBorders>
              <w:right w:val="single" w:sz="8" w:color="E8EAEB"/>
            </w:tcBorders>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36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Performance Metric</w:t>
            </w:r>
          </w:p>
        </w:tc>
        <w:tc>
          <w:tcPr>
            <w:tcW w:w="1200" w:type="dxa"/>
            <w:vAlign w:val="bottom"/>
            <w:tcBorders>
              <w:bottom w:val="single" w:sz="8" w:color="009FE3"/>
            </w:tcBorders>
          </w:tcPr>
          <w:p>
            <w:pPr>
              <w:jc w:val="center"/>
              <w:ind w:right="124"/>
              <w:spacing w:after="0"/>
              <w:rPr>
                <w:sz w:val="20"/>
                <w:szCs w:val="20"/>
                <w:color w:val="auto"/>
              </w:rPr>
            </w:pPr>
            <w:r>
              <w:rPr>
                <w:rFonts w:ascii="Arial" w:cs="Arial" w:eastAsia="Arial" w:hAnsi="Arial"/>
                <w:sz w:val="14"/>
                <w:szCs w:val="14"/>
                <w:b w:val="1"/>
                <w:bCs w:val="1"/>
                <w:color w:val="009FE3"/>
              </w:rPr>
              <w:t xml:space="preserve">Weighting (%)   </w:t>
            </w:r>
          </w:p>
        </w:tc>
        <w:tc>
          <w:tcPr>
            <w:tcW w:w="1480" w:type="dxa"/>
            <w:vAlign w:val="bottom"/>
            <w:tcBorders>
              <w:bottom w:val="single" w:sz="8" w:color="009FE3"/>
              <w:right w:val="single" w:sz="8" w:color="E8EAEB"/>
            </w:tcBorders>
          </w:tcPr>
          <w:p>
            <w:pPr>
              <w:jc w:val="right"/>
              <w:ind w:right="463"/>
              <w:spacing w:after="0"/>
              <w:rPr>
                <w:sz w:val="20"/>
                <w:szCs w:val="20"/>
                <w:color w:val="auto"/>
              </w:rPr>
            </w:pPr>
            <w:r>
              <w:rPr>
                <w:rFonts w:ascii="Arial" w:cs="Arial" w:eastAsia="Arial" w:hAnsi="Arial"/>
                <w:sz w:val="14"/>
                <w:szCs w:val="14"/>
                <w:b w:val="1"/>
                <w:bCs w:val="1"/>
                <w:color w:val="009FE3"/>
              </w:rPr>
              <w:t>Objective</w:t>
            </w:r>
          </w:p>
        </w:tc>
        <w:tc>
          <w:tcPr>
            <w:tcW w:w="1700" w:type="dxa"/>
            <w:vAlign w:val="bottom"/>
            <w:tcBorders>
              <w:bottom w:val="single" w:sz="8" w:color="009FE3"/>
            </w:tcBorders>
          </w:tcPr>
          <w:p>
            <w:pPr>
              <w:jc w:val="right"/>
              <w:ind w:right="303"/>
              <w:spacing w:after="0"/>
              <w:rPr>
                <w:sz w:val="20"/>
                <w:szCs w:val="20"/>
                <w:color w:val="auto"/>
              </w:rPr>
            </w:pPr>
            <w:r>
              <w:rPr>
                <w:rFonts w:ascii="Arial" w:cs="Arial" w:eastAsia="Arial" w:hAnsi="Arial"/>
                <w:sz w:val="14"/>
                <w:szCs w:val="14"/>
                <w:b w:val="1"/>
                <w:bCs w:val="1"/>
                <w:color w:val="009FE3"/>
              </w:rPr>
              <w:t>Actual Results</w:t>
            </w:r>
          </w:p>
        </w:tc>
        <w:tc>
          <w:tcPr>
            <w:tcW w:w="0" w:type="dxa"/>
            <w:vAlign w:val="bottom"/>
          </w:tcPr>
          <w:p>
            <w:pPr>
              <w:spacing w:after="0"/>
              <w:rPr>
                <w:sz w:val="1"/>
                <w:szCs w:val="1"/>
                <w:color w:val="auto"/>
              </w:rPr>
            </w:pPr>
          </w:p>
        </w:tc>
      </w:tr>
      <w:tr>
        <w:trPr>
          <w:trHeight w:val="205"/>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Financial — Non-GAAP Diluted Net Income (Loss) Per Share Attributable to Viasat, Inc.</w:t>
            </w:r>
          </w:p>
        </w:tc>
        <w:tc>
          <w:tcPr>
            <w:tcW w:w="1200" w:type="dxa"/>
            <w:vAlign w:val="bottom"/>
          </w:tcPr>
          <w:p>
            <w:pPr>
              <w:jc w:val="center"/>
              <w:ind w:right="144"/>
              <w:spacing w:after="0"/>
              <w:rPr>
                <w:sz w:val="20"/>
                <w:szCs w:val="20"/>
                <w:color w:val="auto"/>
              </w:rPr>
            </w:pPr>
            <w:r>
              <w:rPr>
                <w:rFonts w:ascii="Arial" w:cs="Arial" w:eastAsia="Arial" w:hAnsi="Arial"/>
                <w:sz w:val="16"/>
                <w:szCs w:val="16"/>
                <w:color w:val="202E39"/>
                <w:w w:val="85"/>
              </w:rPr>
              <w:t>   10</w:t>
            </w:r>
          </w:p>
        </w:tc>
        <w:tc>
          <w:tcPr>
            <w:tcW w:w="148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$1.23</w:t>
            </w:r>
          </w:p>
        </w:tc>
        <w:tc>
          <w:tcPr>
            <w:tcW w:w="1700" w:type="dxa"/>
            <w:vAlign w:val="bottom"/>
          </w:tcPr>
          <w:p>
            <w:pPr>
              <w:jc w:val="right"/>
              <w:ind w:right="103"/>
              <w:spacing w:after="0"/>
              <w:rPr>
                <w:sz w:val="20"/>
                <w:szCs w:val="20"/>
                <w:color w:val="auto"/>
              </w:rPr>
            </w:pPr>
            <w:r>
              <w:rPr>
                <w:rFonts w:ascii="Arial" w:cs="Arial" w:eastAsia="Arial" w:hAnsi="Arial"/>
                <w:sz w:val="16"/>
                <w:szCs w:val="16"/>
                <w:color w:val="202E39"/>
              </w:rPr>
              <w:t>$1.25</w:t>
            </w:r>
          </w:p>
        </w:tc>
        <w:tc>
          <w:tcPr>
            <w:tcW w:w="0" w:type="dxa"/>
            <w:vAlign w:val="bottom"/>
          </w:tcPr>
          <w:p>
            <w:pPr>
              <w:spacing w:after="0"/>
              <w:rPr>
                <w:sz w:val="1"/>
                <w:szCs w:val="1"/>
                <w:color w:val="auto"/>
              </w:rPr>
            </w:pPr>
          </w:p>
        </w:tc>
      </w:tr>
      <w:tr>
        <w:trPr>
          <w:trHeight w:val="20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Common Stockholders (1)</w:t>
            </w:r>
          </w:p>
        </w:tc>
        <w:tc>
          <w:tcPr>
            <w:tcW w:w="1200" w:type="dxa"/>
            <w:vAlign w:val="bottom"/>
          </w:tcPr>
          <w:p>
            <w:pPr>
              <w:spacing w:after="0"/>
              <w:rPr>
                <w:sz w:val="17"/>
                <w:szCs w:val="17"/>
                <w:color w:val="auto"/>
              </w:rPr>
            </w:pPr>
          </w:p>
        </w:tc>
        <w:tc>
          <w:tcPr>
            <w:tcW w:w="1480" w:type="dxa"/>
            <w:vAlign w:val="bottom"/>
            <w:tcBorders>
              <w:right w:val="single" w:sz="8" w:color="E8EAEB"/>
            </w:tcBorders>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636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700" w:type="dxa"/>
            <w:vAlign w:val="bottom"/>
            <w:tcBorders>
              <w:bottom w:val="single" w:sz="8" w:color="E8EAEB"/>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Financial — Adjusted EBITDA (2)</w:t>
            </w:r>
          </w:p>
        </w:tc>
        <w:tc>
          <w:tcPr>
            <w:tcW w:w="1200" w:type="dxa"/>
            <w:vAlign w:val="bottom"/>
          </w:tcPr>
          <w:p>
            <w:pPr>
              <w:jc w:val="center"/>
              <w:ind w:right="164"/>
              <w:spacing w:after="0"/>
              <w:rPr>
                <w:sz w:val="20"/>
                <w:szCs w:val="20"/>
                <w:color w:val="auto"/>
              </w:rPr>
            </w:pPr>
            <w:r>
              <w:rPr>
                <w:rFonts w:ascii="Arial" w:cs="Arial" w:eastAsia="Arial" w:hAnsi="Arial"/>
                <w:sz w:val="16"/>
                <w:szCs w:val="16"/>
                <w:color w:val="202E39"/>
              </w:rPr>
              <w:t>12.5</w:t>
            </w:r>
          </w:p>
        </w:tc>
        <w:tc>
          <w:tcPr>
            <w:tcW w:w="148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$1,363.2 million</w:t>
            </w:r>
          </w:p>
        </w:tc>
        <w:tc>
          <w:tcPr>
            <w:tcW w:w="1700" w:type="dxa"/>
            <w:vAlign w:val="bottom"/>
          </w:tcPr>
          <w:p>
            <w:pPr>
              <w:jc w:val="right"/>
              <w:ind w:right="103"/>
              <w:spacing w:after="0"/>
              <w:rPr>
                <w:sz w:val="20"/>
                <w:szCs w:val="20"/>
                <w:color w:val="auto"/>
              </w:rPr>
            </w:pPr>
            <w:r>
              <w:rPr>
                <w:rFonts w:ascii="Arial" w:cs="Arial" w:eastAsia="Arial" w:hAnsi="Arial"/>
                <w:sz w:val="16"/>
                <w:szCs w:val="16"/>
                <w:color w:val="202E39"/>
              </w:rPr>
              <w:t>$1,410.4 million</w:t>
            </w:r>
          </w:p>
        </w:tc>
        <w:tc>
          <w:tcPr>
            <w:tcW w:w="0" w:type="dxa"/>
            <w:vAlign w:val="bottom"/>
          </w:tcPr>
          <w:p>
            <w:pPr>
              <w:spacing w:after="0"/>
              <w:rPr>
                <w:sz w:val="1"/>
                <w:szCs w:val="1"/>
                <w:color w:val="auto"/>
              </w:rPr>
            </w:pPr>
          </w:p>
        </w:tc>
      </w:tr>
      <w:tr>
        <w:trPr>
          <w:trHeight w:val="42"/>
        </w:trPr>
        <w:tc>
          <w:tcPr>
            <w:tcW w:w="636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700" w:type="dxa"/>
            <w:vAlign w:val="bottom"/>
            <w:tcBorders>
              <w:bottom w:val="single" w:sz="8" w:color="E8EAEB"/>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Financial — New Contract Awards</w:t>
            </w:r>
          </w:p>
        </w:tc>
        <w:tc>
          <w:tcPr>
            <w:tcW w:w="1200" w:type="dxa"/>
            <w:vAlign w:val="bottom"/>
          </w:tcPr>
          <w:p>
            <w:pPr>
              <w:jc w:val="center"/>
              <w:ind w:right="164"/>
              <w:spacing w:after="0"/>
              <w:rPr>
                <w:sz w:val="20"/>
                <w:szCs w:val="20"/>
                <w:color w:val="auto"/>
              </w:rPr>
            </w:pPr>
            <w:r>
              <w:rPr>
                <w:rFonts w:ascii="Arial" w:cs="Arial" w:eastAsia="Arial" w:hAnsi="Arial"/>
                <w:sz w:val="16"/>
                <w:szCs w:val="16"/>
                <w:color w:val="202E39"/>
                <w:w w:val="90"/>
              </w:rPr>
              <w:t>   7.5</w:t>
            </w:r>
          </w:p>
        </w:tc>
        <w:tc>
          <w:tcPr>
            <w:tcW w:w="148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$4,163.4 million</w:t>
            </w:r>
          </w:p>
        </w:tc>
        <w:tc>
          <w:tcPr>
            <w:tcW w:w="1700" w:type="dxa"/>
            <w:vAlign w:val="bottom"/>
          </w:tcPr>
          <w:p>
            <w:pPr>
              <w:jc w:val="right"/>
              <w:ind w:right="103"/>
              <w:spacing w:after="0"/>
              <w:rPr>
                <w:sz w:val="20"/>
                <w:szCs w:val="20"/>
                <w:color w:val="auto"/>
              </w:rPr>
            </w:pPr>
            <w:r>
              <w:rPr>
                <w:rFonts w:ascii="Arial" w:cs="Arial" w:eastAsia="Arial" w:hAnsi="Arial"/>
                <w:sz w:val="16"/>
                <w:szCs w:val="16"/>
                <w:color w:val="202E39"/>
              </w:rPr>
              <w:t>$4,155.0 million</w:t>
            </w:r>
          </w:p>
        </w:tc>
        <w:tc>
          <w:tcPr>
            <w:tcW w:w="0" w:type="dxa"/>
            <w:vAlign w:val="bottom"/>
          </w:tcPr>
          <w:p>
            <w:pPr>
              <w:spacing w:after="0"/>
              <w:rPr>
                <w:sz w:val="1"/>
                <w:szCs w:val="1"/>
                <w:color w:val="auto"/>
              </w:rPr>
            </w:pPr>
          </w:p>
        </w:tc>
      </w:tr>
      <w:tr>
        <w:trPr>
          <w:trHeight w:val="42"/>
        </w:trPr>
        <w:tc>
          <w:tcPr>
            <w:tcW w:w="636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700" w:type="dxa"/>
            <w:vAlign w:val="bottom"/>
            <w:tcBorders>
              <w:bottom w:val="single" w:sz="8" w:color="E8EAEB"/>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Financial — Total Revenues</w:t>
            </w:r>
          </w:p>
        </w:tc>
        <w:tc>
          <w:tcPr>
            <w:tcW w:w="1200" w:type="dxa"/>
            <w:vAlign w:val="bottom"/>
          </w:tcPr>
          <w:p>
            <w:pPr>
              <w:jc w:val="center"/>
              <w:ind w:right="164"/>
              <w:spacing w:after="0"/>
              <w:rPr>
                <w:sz w:val="20"/>
                <w:szCs w:val="20"/>
                <w:color w:val="auto"/>
              </w:rPr>
            </w:pPr>
            <w:r>
              <w:rPr>
                <w:rFonts w:ascii="Arial" w:cs="Arial" w:eastAsia="Arial" w:hAnsi="Arial"/>
                <w:sz w:val="16"/>
                <w:szCs w:val="16"/>
                <w:color w:val="202E39"/>
              </w:rPr>
              <w:t>12.5</w:t>
            </w:r>
          </w:p>
        </w:tc>
        <w:tc>
          <w:tcPr>
            <w:tcW w:w="148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$4,269.2 million</w:t>
            </w:r>
          </w:p>
        </w:tc>
        <w:tc>
          <w:tcPr>
            <w:tcW w:w="1700" w:type="dxa"/>
            <w:vAlign w:val="bottom"/>
          </w:tcPr>
          <w:p>
            <w:pPr>
              <w:jc w:val="right"/>
              <w:ind w:right="103"/>
              <w:spacing w:after="0"/>
              <w:rPr>
                <w:sz w:val="20"/>
                <w:szCs w:val="20"/>
                <w:color w:val="auto"/>
              </w:rPr>
            </w:pPr>
            <w:r>
              <w:rPr>
                <w:rFonts w:ascii="Arial" w:cs="Arial" w:eastAsia="Arial" w:hAnsi="Arial"/>
                <w:sz w:val="16"/>
                <w:szCs w:val="16"/>
                <w:color w:val="202E39"/>
              </w:rPr>
              <w:t>$4,283.8 million</w:t>
            </w:r>
          </w:p>
        </w:tc>
        <w:tc>
          <w:tcPr>
            <w:tcW w:w="0" w:type="dxa"/>
            <w:vAlign w:val="bottom"/>
          </w:tcPr>
          <w:p>
            <w:pPr>
              <w:spacing w:after="0"/>
              <w:rPr>
                <w:sz w:val="1"/>
                <w:szCs w:val="1"/>
                <w:color w:val="auto"/>
              </w:rPr>
            </w:pPr>
          </w:p>
        </w:tc>
      </w:tr>
      <w:tr>
        <w:trPr>
          <w:trHeight w:val="42"/>
        </w:trPr>
        <w:tc>
          <w:tcPr>
            <w:tcW w:w="636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700" w:type="dxa"/>
            <w:vAlign w:val="bottom"/>
            <w:tcBorders>
              <w:bottom w:val="single" w:sz="8" w:color="E8EAEB"/>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Financial — Net Operating Asset Turnover</w:t>
            </w:r>
          </w:p>
        </w:tc>
        <w:tc>
          <w:tcPr>
            <w:tcW w:w="1200" w:type="dxa"/>
            <w:vAlign w:val="bottom"/>
          </w:tcPr>
          <w:p>
            <w:pPr>
              <w:jc w:val="center"/>
              <w:ind w:right="164"/>
              <w:spacing w:after="0"/>
              <w:rPr>
                <w:sz w:val="20"/>
                <w:szCs w:val="20"/>
                <w:color w:val="auto"/>
              </w:rPr>
            </w:pPr>
            <w:r>
              <w:rPr>
                <w:rFonts w:ascii="Arial" w:cs="Arial" w:eastAsia="Arial" w:hAnsi="Arial"/>
                <w:sz w:val="16"/>
                <w:szCs w:val="16"/>
                <w:color w:val="202E39"/>
                <w:w w:val="90"/>
              </w:rPr>
              <w:t>   7.5</w:t>
            </w:r>
          </w:p>
        </w:tc>
        <w:tc>
          <w:tcPr>
            <w:tcW w:w="148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12.97</w:t>
            </w:r>
          </w:p>
        </w:tc>
        <w:tc>
          <w:tcPr>
            <w:tcW w:w="1700" w:type="dxa"/>
            <w:vAlign w:val="bottom"/>
          </w:tcPr>
          <w:p>
            <w:pPr>
              <w:jc w:val="right"/>
              <w:ind w:right="103"/>
              <w:spacing w:after="0"/>
              <w:rPr>
                <w:sz w:val="20"/>
                <w:szCs w:val="20"/>
                <w:color w:val="auto"/>
              </w:rPr>
            </w:pPr>
            <w:r>
              <w:rPr>
                <w:rFonts w:ascii="Arial" w:cs="Arial" w:eastAsia="Arial" w:hAnsi="Arial"/>
                <w:sz w:val="16"/>
                <w:szCs w:val="16"/>
                <w:color w:val="202E39"/>
              </w:rPr>
              <w:t>9.55</w:t>
            </w:r>
          </w:p>
        </w:tc>
        <w:tc>
          <w:tcPr>
            <w:tcW w:w="0" w:type="dxa"/>
            <w:vAlign w:val="bottom"/>
          </w:tcPr>
          <w:p>
            <w:pPr>
              <w:spacing w:after="0"/>
              <w:rPr>
                <w:sz w:val="1"/>
                <w:szCs w:val="1"/>
                <w:color w:val="auto"/>
              </w:rPr>
            </w:pPr>
          </w:p>
        </w:tc>
      </w:tr>
      <w:tr>
        <w:trPr>
          <w:trHeight w:val="42"/>
        </w:trPr>
        <w:tc>
          <w:tcPr>
            <w:tcW w:w="636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700" w:type="dxa"/>
            <w:vAlign w:val="bottom"/>
            <w:tcBorders>
              <w:bottom w:val="single" w:sz="8" w:color="E8EAEB"/>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Individual — Strategic Performance</w:t>
            </w:r>
          </w:p>
        </w:tc>
        <w:tc>
          <w:tcPr>
            <w:tcW w:w="1200" w:type="dxa"/>
            <w:vAlign w:val="bottom"/>
          </w:tcPr>
          <w:p>
            <w:pPr>
              <w:jc w:val="center"/>
              <w:ind w:right="144"/>
              <w:spacing w:after="0"/>
              <w:rPr>
                <w:sz w:val="20"/>
                <w:szCs w:val="20"/>
                <w:color w:val="auto"/>
              </w:rPr>
            </w:pPr>
            <w:r>
              <w:rPr>
                <w:rFonts w:ascii="Arial" w:cs="Arial" w:eastAsia="Arial" w:hAnsi="Arial"/>
                <w:sz w:val="16"/>
                <w:szCs w:val="16"/>
                <w:color w:val="202E39"/>
                <w:w w:val="85"/>
              </w:rPr>
              <w:t>   25</w:t>
            </w:r>
          </w:p>
        </w:tc>
        <w:tc>
          <w:tcPr>
            <w:tcW w:w="1480" w:type="dxa"/>
            <w:vAlign w:val="bottom"/>
            <w:tcBorders>
              <w:right w:val="single" w:sz="8" w:color="E8EAEB"/>
            </w:tcBorders>
          </w:tcPr>
          <w:p>
            <w:pPr>
              <w:jc w:val="right"/>
              <w:ind w:right="143"/>
              <w:spacing w:after="0"/>
              <w:rPr>
                <w:sz w:val="20"/>
                <w:szCs w:val="20"/>
                <w:color w:val="auto"/>
              </w:rPr>
            </w:pPr>
            <w:r>
              <w:rPr>
                <w:rFonts w:ascii="Arial" w:cs="Arial" w:eastAsia="Arial" w:hAnsi="Arial"/>
                <w:sz w:val="16"/>
                <w:szCs w:val="16"/>
                <w:color w:val="202E39"/>
              </w:rPr>
              <w:t>— </w:t>
            </w:r>
          </w:p>
        </w:tc>
        <w:tc>
          <w:tcPr>
            <w:tcW w:w="1700" w:type="dxa"/>
            <w:vAlign w:val="bottom"/>
          </w:tcPr>
          <w:p>
            <w:pPr>
              <w:jc w:val="right"/>
              <w:ind w:right="143"/>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42"/>
        </w:trPr>
        <w:tc>
          <w:tcPr>
            <w:tcW w:w="636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700" w:type="dxa"/>
            <w:vAlign w:val="bottom"/>
            <w:tcBorders>
              <w:bottom w:val="single" w:sz="8" w:color="E8EAEB"/>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6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Individual — Leadership Performance</w:t>
            </w:r>
          </w:p>
        </w:tc>
        <w:tc>
          <w:tcPr>
            <w:tcW w:w="1200" w:type="dxa"/>
            <w:vAlign w:val="bottom"/>
          </w:tcPr>
          <w:p>
            <w:pPr>
              <w:jc w:val="center"/>
              <w:ind w:right="144"/>
              <w:spacing w:after="0"/>
              <w:rPr>
                <w:sz w:val="20"/>
                <w:szCs w:val="20"/>
                <w:color w:val="auto"/>
              </w:rPr>
            </w:pPr>
            <w:r>
              <w:rPr>
                <w:rFonts w:ascii="Arial" w:cs="Arial" w:eastAsia="Arial" w:hAnsi="Arial"/>
                <w:sz w:val="16"/>
                <w:szCs w:val="16"/>
                <w:color w:val="202E39"/>
                <w:w w:val="85"/>
              </w:rPr>
              <w:t>   25</w:t>
            </w:r>
          </w:p>
        </w:tc>
        <w:tc>
          <w:tcPr>
            <w:tcW w:w="1480" w:type="dxa"/>
            <w:vAlign w:val="bottom"/>
            <w:tcBorders>
              <w:right w:val="single" w:sz="8" w:color="E8EAEB"/>
            </w:tcBorders>
          </w:tcPr>
          <w:p>
            <w:pPr>
              <w:jc w:val="right"/>
              <w:ind w:right="143"/>
              <w:spacing w:after="0"/>
              <w:rPr>
                <w:sz w:val="20"/>
                <w:szCs w:val="20"/>
                <w:color w:val="auto"/>
              </w:rPr>
            </w:pPr>
            <w:r>
              <w:rPr>
                <w:rFonts w:ascii="Arial" w:cs="Arial" w:eastAsia="Arial" w:hAnsi="Arial"/>
                <w:sz w:val="16"/>
                <w:szCs w:val="16"/>
                <w:color w:val="202E39"/>
              </w:rPr>
              <w:t>— </w:t>
            </w:r>
          </w:p>
        </w:tc>
        <w:tc>
          <w:tcPr>
            <w:tcW w:w="1700" w:type="dxa"/>
            <w:vAlign w:val="bottom"/>
          </w:tcPr>
          <w:p>
            <w:pPr>
              <w:jc w:val="right"/>
              <w:ind w:right="143"/>
              <w:spacing w:after="0"/>
              <w:rPr>
                <w:sz w:val="20"/>
                <w:szCs w:val="20"/>
                <w:color w:val="auto"/>
              </w:rPr>
            </w:pPr>
            <w:r>
              <w:rPr>
                <w:rFonts w:ascii="Arial" w:cs="Arial" w:eastAsia="Arial" w:hAnsi="Arial"/>
                <w:sz w:val="16"/>
                <w:szCs w:val="16"/>
                <w:color w:val="202E39"/>
              </w:rPr>
              <w:t>— </w:t>
            </w:r>
          </w:p>
        </w:tc>
        <w:tc>
          <w:tcPr>
            <w:tcW w:w="0" w:type="dxa"/>
            <w:vAlign w:val="bottom"/>
          </w:tcPr>
          <w:p>
            <w:pPr>
              <w:spacing w:after="0"/>
              <w:rPr>
                <w:sz w:val="1"/>
                <w:szCs w:val="1"/>
                <w:color w:val="auto"/>
              </w:rPr>
            </w:pPr>
          </w:p>
        </w:tc>
      </w:tr>
      <w:tr>
        <w:trPr>
          <w:trHeight w:val="42"/>
        </w:trPr>
        <w:tc>
          <w:tcPr>
            <w:tcW w:w="636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tcBorders>
          </w:tcPr>
          <w:p>
            <w:pPr>
              <w:spacing w:after="0"/>
              <w:rPr>
                <w:sz w:val="3"/>
                <w:szCs w:val="3"/>
                <w:color w:val="auto"/>
              </w:rPr>
            </w:pPr>
          </w:p>
        </w:tc>
        <w:tc>
          <w:tcPr>
            <w:tcW w:w="1480" w:type="dxa"/>
            <w:vAlign w:val="bottom"/>
            <w:tcBorders>
              <w:bottom w:val="single" w:sz="8" w:color="009FE3"/>
              <w:right w:val="single" w:sz="8" w:color="E8EAEB"/>
            </w:tcBorders>
          </w:tcPr>
          <w:p>
            <w:pPr>
              <w:spacing w:after="0"/>
              <w:rPr>
                <w:sz w:val="3"/>
                <w:szCs w:val="3"/>
                <w:color w:val="auto"/>
              </w:rPr>
            </w:pPr>
          </w:p>
        </w:tc>
        <w:tc>
          <w:tcPr>
            <w:tcW w:w="1700" w:type="dxa"/>
            <w:vAlign w:val="bottom"/>
            <w:tcBorders>
              <w:bottom w:val="single" w:sz="8" w:color="009FE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680" w:right="40" w:hanging="419"/>
        <w:spacing w:after="0" w:line="252" w:lineRule="auto"/>
        <w:tabs>
          <w:tab w:leader="none" w:pos="68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We define non-GAAP net income (loss) attributable to Viasat, Inc. as GAAP net income (loss) attributable to Viasat, Inc. adjusted for certain significant items, such as, amortization of acquired intangible assets, stock-compensation expense, and acquisition and transaction related expenses. For an itemized reconciliation between net GAAP income (loss) attributable to Viasat, Inc. and non-GAAP net income (loss) attributable to Viasat, Inc., please see “Pay Versus Performance” below.</w:t>
      </w:r>
    </w:p>
    <w:p>
      <w:pPr>
        <w:spacing w:after="0" w:line="84" w:lineRule="exact"/>
        <w:rPr>
          <w:rFonts w:ascii="Arial" w:cs="Arial" w:eastAsia="Arial" w:hAnsi="Arial"/>
          <w:sz w:val="14"/>
          <w:szCs w:val="14"/>
          <w:color w:val="202E39"/>
        </w:rPr>
      </w:pPr>
    </w:p>
    <w:p>
      <w:pPr>
        <w:jc w:val="both"/>
        <w:ind w:left="680" w:right="120" w:hanging="419"/>
        <w:spacing w:after="0" w:line="252" w:lineRule="auto"/>
        <w:tabs>
          <w:tab w:leader="none" w:pos="68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such as stock-based compensation expense, acquisition and transaction related expenses. For an itemized reconciliation between net income (loss) attributable to Viasat, Inc. and Adjusted EBITDA, please see “Pay Versus Performance” below.</w:t>
      </w:r>
    </w:p>
    <w:p>
      <w:pPr>
        <w:spacing w:after="0" w:line="68" w:lineRule="exact"/>
        <w:rPr>
          <w:sz w:val="20"/>
          <w:szCs w:val="20"/>
          <w:color w:val="auto"/>
        </w:rPr>
      </w:pPr>
    </w:p>
    <w:p>
      <w:pPr>
        <w:ind w:left="260" w:right="520"/>
        <w:spacing w:after="0" w:line="269" w:lineRule="auto"/>
        <w:rPr>
          <w:sz w:val="20"/>
          <w:szCs w:val="20"/>
          <w:color w:val="auto"/>
        </w:rPr>
      </w:pPr>
      <w:r>
        <w:rPr>
          <w:rFonts w:ascii="Arial" w:cs="Arial" w:eastAsia="Arial" w:hAnsi="Arial"/>
          <w:sz w:val="16"/>
          <w:szCs w:val="16"/>
          <w:color w:val="202E39"/>
        </w:rPr>
        <w:t>Based on our fiscal year 2024 financial results, the Committee, acting under delegation of authority from the Board, determined that the company’s achievement relative to the pre-established financial objectives described above was 104%.</w:t>
      </w:r>
    </w:p>
    <w:p>
      <w:pPr>
        <w:spacing w:after="0" w:line="61" w:lineRule="exact"/>
        <w:rPr>
          <w:sz w:val="20"/>
          <w:szCs w:val="20"/>
          <w:color w:val="auto"/>
        </w:rPr>
      </w:pPr>
    </w:p>
    <w:p>
      <w:pPr>
        <w:ind w:left="260" w:right="20"/>
        <w:spacing w:after="0" w:line="249" w:lineRule="auto"/>
        <w:rPr>
          <w:sz w:val="20"/>
          <w:szCs w:val="20"/>
          <w:color w:val="auto"/>
        </w:rPr>
      </w:pPr>
      <w:r>
        <w:rPr>
          <w:rFonts w:ascii="Arial" w:cs="Arial" w:eastAsia="Arial" w:hAnsi="Arial"/>
          <w:sz w:val="16"/>
          <w:szCs w:val="16"/>
          <w:i w:val="1"/>
          <w:iCs w:val="1"/>
          <w:color w:val="009FE3"/>
        </w:rPr>
        <w:t>Chief Executive Officer Annual Bonus Determination</w:t>
      </w:r>
      <w:r>
        <w:rPr>
          <w:rFonts w:ascii="Arial" w:cs="Arial" w:eastAsia="Arial" w:hAnsi="Arial"/>
          <w:sz w:val="16"/>
          <w:szCs w:val="16"/>
          <w:i w:val="1"/>
          <w:iCs w:val="1"/>
          <w:color w:val="202E39"/>
        </w:rPr>
        <w:t>. </w:t>
      </w:r>
      <w:r>
        <w:rPr>
          <w:rFonts w:ascii="Arial" w:cs="Arial" w:eastAsia="Arial" w:hAnsi="Arial"/>
          <w:sz w:val="16"/>
          <w:szCs w:val="16"/>
          <w:i w:val="1"/>
          <w:iCs w:val="1"/>
          <w:color w:val="009FE3"/>
        </w:rPr>
        <w:t xml:space="preserve"> </w:t>
      </w:r>
      <w:r>
        <w:rPr>
          <w:rFonts w:ascii="Arial" w:cs="Arial" w:eastAsia="Arial" w:hAnsi="Arial"/>
          <w:sz w:val="16"/>
          <w:szCs w:val="16"/>
          <w:color w:val="202E39"/>
        </w:rPr>
        <w:t>For purposes of determining our Chief Executive Officer’s performance achievement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leadership and strategic objectives in fiscal year 2024, the Committee relied on an assessment of our Chief Executive Officer’s performance completed by the Nomination, Evaluation and Corporate Governance Committee. The criteria used by the Nomination, Evaluation and Corporate Governance Committee included the following:</w:t>
      </w:r>
    </w:p>
    <w:p>
      <w:pPr>
        <w:spacing w:after="0" w:line="91" w:lineRule="exact"/>
        <w:rPr>
          <w:sz w:val="20"/>
          <w:szCs w:val="20"/>
          <w:color w:val="auto"/>
        </w:rPr>
      </w:pPr>
    </w:p>
    <w:p>
      <w:pPr>
        <w:ind w:left="780" w:hanging="203"/>
        <w:spacing w:after="0"/>
        <w:tabs>
          <w:tab w:leader="none" w:pos="780" w:val="left"/>
        </w:tabs>
        <w:numPr>
          <w:ilvl w:val="0"/>
          <w:numId w:val="39"/>
        </w:numPr>
        <w:rPr>
          <w:rFonts w:ascii="Arial" w:cs="Arial" w:eastAsia="Arial" w:hAnsi="Arial"/>
          <w:sz w:val="16"/>
          <w:szCs w:val="16"/>
          <w:color w:val="009FE3"/>
        </w:rPr>
      </w:pPr>
      <w:r>
        <w:rPr>
          <w:rFonts w:ascii="Arial" w:cs="Arial" w:eastAsia="Arial" w:hAnsi="Arial"/>
          <w:sz w:val="16"/>
          <w:szCs w:val="16"/>
          <w:color w:val="009FE3"/>
        </w:rPr>
        <w:t>Leadership.</w:t>
      </w:r>
      <w:r>
        <w:rPr>
          <w:rFonts w:ascii="Arial" w:cs="Arial" w:eastAsia="Arial" w:hAnsi="Arial"/>
          <w:sz w:val="16"/>
          <w:szCs w:val="16"/>
          <w:color w:val="202E39"/>
        </w:rPr>
        <w:t xml:space="preserve">   Defining, managing and attaining corporate goals, and exemplifying and promoting ethics and integrity throughout the company.</w:t>
      </w:r>
    </w:p>
    <w:p>
      <w:pPr>
        <w:spacing w:after="0" w:line="118" w:lineRule="exact"/>
        <w:rPr>
          <w:rFonts w:ascii="Arial" w:cs="Arial" w:eastAsia="Arial" w:hAnsi="Arial"/>
          <w:sz w:val="16"/>
          <w:szCs w:val="16"/>
          <w:color w:val="009FE3"/>
        </w:rPr>
      </w:pPr>
    </w:p>
    <w:p>
      <w:pPr>
        <w:ind w:left="780" w:right="200" w:hanging="203"/>
        <w:spacing w:after="0" w:line="269" w:lineRule="auto"/>
        <w:tabs>
          <w:tab w:leader="none" w:pos="780" w:val="left"/>
        </w:tabs>
        <w:numPr>
          <w:ilvl w:val="0"/>
          <w:numId w:val="39"/>
        </w:numPr>
        <w:rPr>
          <w:rFonts w:ascii="Arial" w:cs="Arial" w:eastAsia="Arial" w:hAnsi="Arial"/>
          <w:sz w:val="16"/>
          <w:szCs w:val="16"/>
          <w:color w:val="009FE3"/>
        </w:rPr>
      </w:pPr>
      <w:r>
        <w:rPr>
          <w:rFonts w:ascii="Arial" w:cs="Arial" w:eastAsia="Arial" w:hAnsi="Arial"/>
          <w:sz w:val="16"/>
          <w:szCs w:val="16"/>
          <w:color w:val="009FE3"/>
        </w:rPr>
        <w:t>Strategic.</w:t>
      </w:r>
      <w:r>
        <w:rPr>
          <w:rFonts w:ascii="Arial" w:cs="Arial" w:eastAsia="Arial" w:hAnsi="Arial"/>
          <w:sz w:val="16"/>
          <w:szCs w:val="16"/>
          <w:color w:val="202E39"/>
        </w:rPr>
        <w:t xml:space="preserve">  Industry positioning, short-term and long-term strategies, measurable progress in key business areas and effective pursuit of growth</w:t>
      </w:r>
      <w:r>
        <w:rPr>
          <w:rFonts w:ascii="Arial" w:cs="Arial" w:eastAsia="Arial" w:hAnsi="Arial"/>
          <w:sz w:val="16"/>
          <w:szCs w:val="16"/>
          <w:color w:val="009FE3"/>
        </w:rPr>
        <w:t xml:space="preserve"> </w:t>
      </w:r>
      <w:r>
        <w:rPr>
          <w:rFonts w:ascii="Arial" w:cs="Arial" w:eastAsia="Arial" w:hAnsi="Arial"/>
          <w:sz w:val="16"/>
          <w:szCs w:val="16"/>
          <w:color w:val="202E39"/>
        </w:rPr>
        <w:t>strategies.</w:t>
      </w:r>
    </w:p>
    <w:p>
      <w:pPr>
        <w:spacing w:after="0" w:line="103"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41</w:t>
      </w:r>
    </w:p>
    <w:p>
      <w:pPr>
        <w:sectPr>
          <w:pgSz w:w="11900" w:h="16838" w:orient="portrait"/>
          <w:cols w:equalWidth="0" w:num="1">
            <w:col w:w="11000"/>
          </w:cols>
          <w:pgMar w:left="320" w:top="474"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31" w:lineRule="exact"/>
        <w:rPr>
          <w:sz w:val="20"/>
          <w:szCs w:val="20"/>
          <w:color w:val="auto"/>
        </w:rPr>
      </w:pPr>
    </w:p>
    <w:p>
      <w:pPr>
        <w:ind w:left="260" w:right="140"/>
        <w:spacing w:after="0" w:line="254" w:lineRule="auto"/>
        <w:rPr>
          <w:sz w:val="20"/>
          <w:szCs w:val="20"/>
          <w:color w:val="auto"/>
        </w:rPr>
      </w:pPr>
      <w:r>
        <w:rPr>
          <w:rFonts w:ascii="Arial" w:cs="Arial" w:eastAsia="Arial" w:hAnsi="Arial"/>
          <w:sz w:val="16"/>
          <w:szCs w:val="16"/>
          <w:color w:val="202E39"/>
        </w:rPr>
        <w:t>The Nomination, Evaluation and Corporate Governance Committee evaluated our Chief Executive Officer’s leadership and strategic performance during fiscal year 2024 in the context of the company’s strong financial results relative to the pre-established, objective financial criteria described above, and noted, among other things,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137795</wp:posOffset>
            </wp:positionV>
            <wp:extent cx="6810375" cy="1877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1877695"/>
                    </a:xfrm>
                    <a:prstGeom prst="rect">
                      <a:avLst/>
                    </a:prstGeom>
                    <a:noFill/>
                  </pic:spPr>
                </pic:pic>
              </a:graphicData>
            </a:graphic>
          </wp:anchor>
        </w:drawing>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480" w:type="dxa"/>
            <w:vAlign w:val="bottom"/>
            <w:shd w:val="clear" w:color="auto" w:fill="009FE3"/>
          </w:tcPr>
          <w:p>
            <w:pPr>
              <w:ind w:left="2020"/>
              <w:spacing w:after="0"/>
              <w:rPr>
                <w:sz w:val="20"/>
                <w:szCs w:val="20"/>
                <w:color w:val="auto"/>
              </w:rPr>
            </w:pPr>
            <w:r>
              <w:rPr>
                <w:rFonts w:ascii="Arial" w:cs="Arial" w:eastAsia="Arial" w:hAnsi="Arial"/>
                <w:sz w:val="14"/>
                <w:szCs w:val="14"/>
                <w:b w:val="1"/>
                <w:bCs w:val="1"/>
                <w:color w:val="FFFFFF"/>
              </w:rPr>
              <w:t>Leadership Performance</w:t>
            </w:r>
          </w:p>
        </w:tc>
        <w:tc>
          <w:tcPr>
            <w:tcW w:w="5260" w:type="dxa"/>
            <w:vAlign w:val="bottom"/>
            <w:shd w:val="clear" w:color="auto" w:fill="009FE3"/>
          </w:tcPr>
          <w:p>
            <w:pPr>
              <w:ind w:left="1920"/>
              <w:spacing w:after="0"/>
              <w:rPr>
                <w:sz w:val="20"/>
                <w:szCs w:val="20"/>
                <w:color w:val="auto"/>
              </w:rPr>
            </w:pPr>
            <w:r>
              <w:rPr>
                <w:rFonts w:ascii="Arial" w:cs="Arial" w:eastAsia="Arial" w:hAnsi="Arial"/>
                <w:sz w:val="14"/>
                <w:szCs w:val="14"/>
                <w:b w:val="1"/>
                <w:bCs w:val="1"/>
                <w:color w:val="FFFFFF"/>
              </w:rPr>
              <w:t>Strategic Performance</w:t>
            </w:r>
          </w:p>
        </w:tc>
      </w:tr>
      <w:tr>
        <w:trPr>
          <w:trHeight w:val="224"/>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Successfully completed the Inmarsat Acquisition</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Meaningfully progressed near-term business priorities while</w:t>
            </w:r>
          </w:p>
        </w:tc>
      </w:tr>
      <w:tr>
        <w:trPr>
          <w:trHeight w:val="207"/>
        </w:trPr>
        <w:tc>
          <w:tcPr>
            <w:tcW w:w="5480" w:type="dxa"/>
            <w:vAlign w:val="bottom"/>
            <w:shd w:val="clear" w:color="auto" w:fill="EDEEEF"/>
          </w:tcPr>
          <w:p>
            <w:pPr>
              <w:spacing w:after="0"/>
              <w:rPr>
                <w:sz w:val="17"/>
                <w:szCs w:val="17"/>
                <w:color w:val="auto"/>
              </w:rPr>
            </w:pP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strengthening capital structure and investing for profitable growth</w:t>
            </w:r>
          </w:p>
        </w:tc>
      </w:tr>
      <w:tr>
        <w:trPr>
          <w:trHeight w:val="266"/>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Launched the world’s first global direct-to-device network with Skylo</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Drove significant growth from new and existing airlines in the</w:t>
            </w:r>
          </w:p>
        </w:tc>
      </w:tr>
      <w:tr>
        <w:trPr>
          <w:trHeight w:val="207"/>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Technologies</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commercial air business</w:t>
            </w:r>
          </w:p>
        </w:tc>
      </w:tr>
      <w:tr>
        <w:trPr>
          <w:trHeight w:val="266"/>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Achieved NSA Type 1 certification for next generation ground-to-space</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Awarded a contract to support the U.S. Air Force Research Laboratory’s</w:t>
            </w:r>
          </w:p>
        </w:tc>
      </w:tr>
      <w:tr>
        <w:trPr>
          <w:trHeight w:val="207"/>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encryption solution</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Defense Experimentation Using Commercial Space Internet program</w:t>
            </w:r>
          </w:p>
        </w:tc>
      </w:tr>
      <w:tr>
        <w:trPr>
          <w:trHeight w:val="266"/>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Accelerated the realization of $100 million in annualized operating cost</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Developed a hybrid, multi-layer managed service for Maritime</w:t>
            </w:r>
          </w:p>
        </w:tc>
      </w:tr>
      <w:tr>
        <w:trPr>
          <w:trHeight w:val="184"/>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synergies following the Inmarsat Acquisition</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customers – NexusWave, launched in Q1 FY2025 and available for</w:t>
            </w:r>
          </w:p>
        </w:tc>
      </w:tr>
      <w:tr>
        <w:trPr>
          <w:trHeight w:val="207"/>
        </w:trPr>
        <w:tc>
          <w:tcPr>
            <w:tcW w:w="5480" w:type="dxa"/>
            <w:vAlign w:val="bottom"/>
            <w:shd w:val="clear" w:color="auto" w:fill="EDEEEF"/>
          </w:tcPr>
          <w:p>
            <w:pPr>
              <w:spacing w:after="0"/>
              <w:rPr>
                <w:sz w:val="17"/>
                <w:szCs w:val="17"/>
                <w:color w:val="auto"/>
              </w:rPr>
            </w:pP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installation from Q2 FY2025</w:t>
            </w:r>
          </w:p>
        </w:tc>
      </w:tr>
      <w:tr>
        <w:trPr>
          <w:trHeight w:val="266"/>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Published third annual Environmental, Social and Governance (ESG)</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Named the winner of the Government Mobile Innovation category in the</w:t>
            </w:r>
          </w:p>
        </w:tc>
      </w:tr>
      <w:tr>
        <w:trPr>
          <w:trHeight w:val="184"/>
        </w:trPr>
        <w:tc>
          <w:tcPr>
            <w:tcW w:w="5480" w:type="dxa"/>
            <w:vAlign w:val="bottom"/>
            <w:shd w:val="clear" w:color="auto" w:fill="EDEEEF"/>
          </w:tcPr>
          <w:p>
            <w:pPr>
              <w:ind w:left="80"/>
              <w:spacing w:after="0"/>
              <w:rPr>
                <w:sz w:val="20"/>
                <w:szCs w:val="20"/>
                <w:color w:val="auto"/>
              </w:rPr>
            </w:pPr>
            <w:r>
              <w:rPr>
                <w:rFonts w:ascii="Arial" w:cs="Arial" w:eastAsia="Arial" w:hAnsi="Arial"/>
                <w:sz w:val="16"/>
                <w:szCs w:val="16"/>
                <w:color w:val="202E39"/>
              </w:rPr>
              <w:t>Impact Report</w:t>
            </w:r>
          </w:p>
        </w:tc>
        <w:tc>
          <w:tcPr>
            <w:tcW w:w="52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Mobile Satellite User Association’s 2024 Satellite Mobile Innovation</w:t>
            </w:r>
          </w:p>
        </w:tc>
      </w:tr>
      <w:tr>
        <w:trPr>
          <w:trHeight w:val="229"/>
        </w:trPr>
        <w:tc>
          <w:tcPr>
            <w:tcW w:w="5480" w:type="dxa"/>
            <w:vAlign w:val="bottom"/>
            <w:tcBorders>
              <w:bottom w:val="single" w:sz="8" w:color="EDEEEF"/>
            </w:tcBorders>
            <w:shd w:val="clear" w:color="auto" w:fill="EDEEEF"/>
          </w:tcPr>
          <w:p>
            <w:pPr>
              <w:spacing w:after="0"/>
              <w:rPr>
                <w:sz w:val="19"/>
                <w:szCs w:val="19"/>
                <w:color w:val="auto"/>
              </w:rPr>
            </w:pPr>
          </w:p>
        </w:tc>
        <w:tc>
          <w:tcPr>
            <w:tcW w:w="5260" w:type="dxa"/>
            <w:vAlign w:val="bottom"/>
            <w:tcBorders>
              <w:bottom w:val="single" w:sz="8" w:color="EDEEEF"/>
            </w:tcBorders>
            <w:shd w:val="clear" w:color="auto" w:fill="EDEEEF"/>
          </w:tcPr>
          <w:p>
            <w:pPr>
              <w:ind w:left="100"/>
              <w:spacing w:after="0"/>
              <w:rPr>
                <w:sz w:val="20"/>
                <w:szCs w:val="20"/>
                <w:color w:val="auto"/>
              </w:rPr>
            </w:pPr>
            <w:r>
              <w:rPr>
                <w:rFonts w:ascii="Arial" w:cs="Arial" w:eastAsia="Arial" w:hAnsi="Arial"/>
                <w:sz w:val="16"/>
                <w:szCs w:val="16"/>
                <w:color w:val="202E39"/>
              </w:rPr>
              <w:t>Awards</w:t>
            </w:r>
          </w:p>
        </w:tc>
      </w:tr>
      <w:tr>
        <w:trPr>
          <w:trHeight w:val="20"/>
        </w:trPr>
        <w:tc>
          <w:tcPr>
            <w:tcW w:w="5480" w:type="dxa"/>
            <w:vAlign w:val="bottom"/>
            <w:shd w:val="clear" w:color="auto" w:fill="009FE3"/>
          </w:tcPr>
          <w:p>
            <w:pPr>
              <w:spacing w:after="0" w:line="20" w:lineRule="exact"/>
              <w:rPr>
                <w:sz w:val="1"/>
                <w:szCs w:val="1"/>
                <w:color w:val="auto"/>
              </w:rPr>
            </w:pPr>
          </w:p>
        </w:tc>
        <w:tc>
          <w:tcPr>
            <w:tcW w:w="5260" w:type="dxa"/>
            <w:vAlign w:val="bottom"/>
            <w:shd w:val="clear" w:color="auto" w:fill="009FE3"/>
          </w:tcPr>
          <w:p>
            <w:pPr>
              <w:spacing w:after="0" w:line="20" w:lineRule="exact"/>
              <w:rPr>
                <w:sz w:val="1"/>
                <w:szCs w:val="1"/>
                <w:color w:val="auto"/>
              </w:rPr>
            </w:pPr>
          </w:p>
        </w:tc>
      </w:tr>
    </w:tbl>
    <w:p>
      <w:pPr>
        <w:spacing w:after="0" w:line="93" w:lineRule="exact"/>
        <w:rPr>
          <w:sz w:val="20"/>
          <w:szCs w:val="20"/>
          <w:color w:val="auto"/>
        </w:rPr>
      </w:pPr>
    </w:p>
    <w:p>
      <w:pPr>
        <w:ind w:left="260" w:right="300"/>
        <w:spacing w:after="0" w:line="245" w:lineRule="auto"/>
        <w:rPr>
          <w:sz w:val="20"/>
          <w:szCs w:val="20"/>
          <w:color w:val="auto"/>
        </w:rPr>
      </w:pPr>
      <w:r>
        <w:rPr>
          <w:rFonts w:ascii="Arial" w:cs="Arial" w:eastAsia="Arial" w:hAnsi="Arial"/>
          <w:sz w:val="16"/>
          <w:szCs w:val="16"/>
          <w:color w:val="202E39"/>
        </w:rPr>
        <w:t>The Nomination, Evaluation and Corporate Governance Committee recognized Mr. Dankberg’s accomplishments, as set forth above, as well as the achievement of other leadership and strategic objectives and during a period of significant challenges for the Company. In consideration of the macro environment, including our strategic positioning and market conditions, the Nomination, Evaluation and Corporate Governance Committee determined that in the best interest of the company and its shareholders, it would exercise negative discretion and provide Mr. Dankberg 90% credit for the achievement of leadership objectives and 70% credit for the achievement of strategic performance objectives. The Committee relied on the foregoing evaluations in determining Mr. Dankberg’s final annual bonus award.</w:t>
      </w:r>
    </w:p>
    <w:p>
      <w:pPr>
        <w:spacing w:after="0" w:line="82" w:lineRule="exact"/>
        <w:rPr>
          <w:sz w:val="20"/>
          <w:szCs w:val="20"/>
          <w:color w:val="auto"/>
        </w:rPr>
      </w:pPr>
    </w:p>
    <w:p>
      <w:pPr>
        <w:ind w:left="260" w:right="60"/>
        <w:spacing w:after="0" w:line="244" w:lineRule="auto"/>
        <w:rPr>
          <w:sz w:val="20"/>
          <w:szCs w:val="20"/>
          <w:color w:val="auto"/>
        </w:rPr>
      </w:pPr>
      <w:r>
        <w:rPr>
          <w:rFonts w:ascii="Arial" w:cs="Arial" w:eastAsia="Arial" w:hAnsi="Arial"/>
          <w:sz w:val="16"/>
          <w:szCs w:val="16"/>
          <w:i w:val="1"/>
          <w:iCs w:val="1"/>
          <w:color w:val="009FE3"/>
        </w:rPr>
        <w:t>Other Named Executive Officers Annual Bonus Results.</w:t>
      </w:r>
      <w:r>
        <w:rPr>
          <w:rFonts w:ascii="Arial" w:cs="Arial" w:eastAsia="Arial" w:hAnsi="Arial"/>
          <w:sz w:val="16"/>
          <w:szCs w:val="16"/>
          <w:i w:val="1"/>
          <w:i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In making its overall determinations relative to the leadership and strategic components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other Named Executive Officers’ bonuses, the Committee assigned the same weightings to the financial (50% of annual bonus determination), leadership (25%) and strategic (25%) performance criteria that it used for our Chief Executive Officer. The Committee placed special emphasis on the leadership provided by each executive officer in the achievement of financial, critical non-financial, operational and strategic business objectives during fiscal year 2024. In particular, the Committee considered each individual’s contributions during fiscal year 2024 to achieving strong financial results and key strategic and developmental objectives, including record revenue and awards, execution on synergy and strategic opportunities though methodical Inmarsat integration, and strengthening our capital structure and investing in profitable, sustainable growth. In addition, the Committee considered the following for each Named Executive Officer:</w:t>
      </w:r>
    </w:p>
    <w:p>
      <w:pPr>
        <w:spacing w:after="0" w:line="94" w:lineRule="exact"/>
        <w:rPr>
          <w:sz w:val="20"/>
          <w:szCs w:val="20"/>
          <w:color w:val="auto"/>
        </w:rPr>
      </w:pPr>
    </w:p>
    <w:p>
      <w:pPr>
        <w:ind w:left="780" w:right="100" w:hanging="203"/>
        <w:spacing w:after="0" w:line="249" w:lineRule="auto"/>
        <w:tabs>
          <w:tab w:leader="none" w:pos="780" w:val="left"/>
        </w:tabs>
        <w:numPr>
          <w:ilvl w:val="0"/>
          <w:numId w:val="40"/>
        </w:numPr>
        <w:rPr>
          <w:rFonts w:ascii="Arial" w:cs="Arial" w:eastAsia="Arial" w:hAnsi="Arial"/>
          <w:sz w:val="16"/>
          <w:szCs w:val="16"/>
          <w:color w:val="009FE3"/>
        </w:rPr>
      </w:pPr>
      <w:r>
        <w:rPr>
          <w:rFonts w:ascii="Arial" w:cs="Arial" w:eastAsia="Arial" w:hAnsi="Arial"/>
          <w:sz w:val="16"/>
          <w:szCs w:val="16"/>
          <w:color w:val="009FE3"/>
        </w:rPr>
        <w:t>Mr. Gowrappan:</w:t>
      </w:r>
      <w:r>
        <w:rPr>
          <w:rFonts w:ascii="Arial" w:cs="Arial" w:eastAsia="Arial" w:hAnsi="Arial"/>
          <w:sz w:val="16"/>
          <w:szCs w:val="16"/>
          <w:color w:val="202E39"/>
        </w:rPr>
        <w:t xml:space="preserve">  Leadership over the close and subsequent integration of the Inmarsat Acquisition, including a reorganization of the company to</w:t>
      </w:r>
      <w:r>
        <w:rPr>
          <w:rFonts w:ascii="Arial" w:cs="Arial" w:eastAsia="Arial" w:hAnsi="Arial"/>
          <w:sz w:val="16"/>
          <w:szCs w:val="16"/>
          <w:color w:val="009FE3"/>
        </w:rPr>
        <w:t xml:space="preserve"> </w:t>
      </w:r>
      <w:r>
        <w:rPr>
          <w:rFonts w:ascii="Arial" w:cs="Arial" w:eastAsia="Arial" w:hAnsi="Arial"/>
          <w:sz w:val="16"/>
          <w:szCs w:val="16"/>
          <w:color w:val="202E39"/>
        </w:rPr>
        <w:t>facilitate greater efficiency using common infrastructure, operational, go-to-market, and engineering resources for delivering our services, leading to an accelerated realization of the planned $100 million in annualized cash operating savings by addressing redundancies, and through productivity improvements.</w:t>
      </w:r>
    </w:p>
    <w:p>
      <w:pPr>
        <w:spacing w:after="0" w:line="38" w:lineRule="exact"/>
        <w:rPr>
          <w:rFonts w:ascii="Arial" w:cs="Arial" w:eastAsia="Arial" w:hAnsi="Arial"/>
          <w:sz w:val="16"/>
          <w:szCs w:val="16"/>
          <w:color w:val="009FE3"/>
        </w:rPr>
      </w:pPr>
    </w:p>
    <w:p>
      <w:pPr>
        <w:ind w:left="780" w:right="520" w:hanging="203"/>
        <w:spacing w:after="0" w:line="254" w:lineRule="auto"/>
        <w:tabs>
          <w:tab w:leader="none" w:pos="780" w:val="left"/>
        </w:tabs>
        <w:numPr>
          <w:ilvl w:val="0"/>
          <w:numId w:val="40"/>
        </w:numPr>
        <w:rPr>
          <w:rFonts w:ascii="Arial" w:cs="Arial" w:eastAsia="Arial" w:hAnsi="Arial"/>
          <w:sz w:val="16"/>
          <w:szCs w:val="16"/>
          <w:color w:val="009FE3"/>
        </w:rPr>
      </w:pPr>
      <w:r>
        <w:rPr>
          <w:rFonts w:ascii="Arial" w:cs="Arial" w:eastAsia="Arial" w:hAnsi="Arial"/>
          <w:sz w:val="16"/>
          <w:szCs w:val="16"/>
          <w:color w:val="009FE3"/>
        </w:rPr>
        <w:t>Ms. Duffy:</w:t>
      </w:r>
      <w:r>
        <w:rPr>
          <w:rFonts w:ascii="Arial" w:cs="Arial" w:eastAsia="Arial" w:hAnsi="Arial"/>
          <w:sz w:val="16"/>
          <w:szCs w:val="16"/>
          <w:color w:val="202E39"/>
        </w:rPr>
        <w:t xml:space="preserve">  Leadership over our corporate finance strategy, including realization of record revenues and awards, and capital synergies that</w:t>
      </w:r>
      <w:r>
        <w:rPr>
          <w:rFonts w:ascii="Arial" w:cs="Arial" w:eastAsia="Arial" w:hAnsi="Arial"/>
          <w:sz w:val="16"/>
          <w:szCs w:val="16"/>
          <w:color w:val="009FE3"/>
        </w:rPr>
        <w:t xml:space="preserve"> </w:t>
      </w:r>
      <w:r>
        <w:rPr>
          <w:rFonts w:ascii="Arial" w:cs="Arial" w:eastAsia="Arial" w:hAnsi="Arial"/>
          <w:sz w:val="16"/>
          <w:szCs w:val="16"/>
          <w:color w:val="202E39"/>
        </w:rPr>
        <w:t>reduced capital expenditures by approximately $175 million below our outlook while we continued to progress deployment of five new state-of-the-art broadband satellites, two polar coverage satellites, and three replenishment L-band satellites.</w:t>
      </w:r>
    </w:p>
    <w:p>
      <w:pPr>
        <w:spacing w:after="0" w:line="33" w:lineRule="exact"/>
        <w:rPr>
          <w:rFonts w:ascii="Arial" w:cs="Arial" w:eastAsia="Arial" w:hAnsi="Arial"/>
          <w:sz w:val="16"/>
          <w:szCs w:val="16"/>
          <w:color w:val="009FE3"/>
        </w:rPr>
      </w:pPr>
    </w:p>
    <w:p>
      <w:pPr>
        <w:ind w:left="780" w:right="80" w:hanging="203"/>
        <w:spacing w:after="0" w:line="269" w:lineRule="auto"/>
        <w:tabs>
          <w:tab w:leader="none" w:pos="780" w:val="left"/>
        </w:tabs>
        <w:numPr>
          <w:ilvl w:val="0"/>
          <w:numId w:val="40"/>
        </w:numPr>
        <w:rPr>
          <w:rFonts w:ascii="Arial" w:cs="Arial" w:eastAsia="Arial" w:hAnsi="Arial"/>
          <w:sz w:val="16"/>
          <w:szCs w:val="16"/>
          <w:color w:val="009FE3"/>
        </w:rPr>
      </w:pPr>
      <w:r>
        <w:rPr>
          <w:rFonts w:ascii="Arial" w:cs="Arial" w:eastAsia="Arial" w:hAnsi="Arial"/>
          <w:sz w:val="16"/>
          <w:szCs w:val="16"/>
          <w:color w:val="009FE3"/>
        </w:rPr>
        <w:t>Mr. Harkenrider:</w:t>
      </w:r>
      <w:r>
        <w:rPr>
          <w:rFonts w:ascii="Arial" w:cs="Arial" w:eastAsia="Arial" w:hAnsi="Arial"/>
          <w:sz w:val="16"/>
          <w:szCs w:val="16"/>
          <w:color w:val="202E39"/>
        </w:rPr>
        <w:t xml:space="preserve">  Leadership over the execution of our corporate operational priorities, including integration of common operational infrastructure</w:t>
      </w:r>
      <w:r>
        <w:rPr>
          <w:rFonts w:ascii="Arial" w:cs="Arial" w:eastAsia="Arial" w:hAnsi="Arial"/>
          <w:sz w:val="16"/>
          <w:szCs w:val="16"/>
          <w:color w:val="009FE3"/>
        </w:rPr>
        <w:t xml:space="preserve"> </w:t>
      </w:r>
      <w:r>
        <w:rPr>
          <w:rFonts w:ascii="Arial" w:cs="Arial" w:eastAsia="Arial" w:hAnsi="Arial"/>
          <w:sz w:val="16"/>
          <w:szCs w:val="16"/>
          <w:color w:val="202E39"/>
        </w:rPr>
        <w:t>following the Inmarsat Acquisition.</w:t>
      </w:r>
    </w:p>
    <w:p>
      <w:pPr>
        <w:spacing w:after="0" w:line="21" w:lineRule="exact"/>
        <w:rPr>
          <w:rFonts w:ascii="Arial" w:cs="Arial" w:eastAsia="Arial" w:hAnsi="Arial"/>
          <w:sz w:val="16"/>
          <w:szCs w:val="16"/>
          <w:color w:val="009FE3"/>
        </w:rPr>
      </w:pPr>
    </w:p>
    <w:p>
      <w:pPr>
        <w:ind w:left="780" w:hanging="203"/>
        <w:spacing w:after="0"/>
        <w:tabs>
          <w:tab w:leader="none" w:pos="780" w:val="left"/>
        </w:tabs>
        <w:numPr>
          <w:ilvl w:val="0"/>
          <w:numId w:val="40"/>
        </w:numPr>
        <w:rPr>
          <w:rFonts w:ascii="Arial" w:cs="Arial" w:eastAsia="Arial" w:hAnsi="Arial"/>
          <w:sz w:val="16"/>
          <w:szCs w:val="16"/>
          <w:color w:val="009FE3"/>
        </w:rPr>
      </w:pPr>
      <w:r>
        <w:rPr>
          <w:rFonts w:ascii="Arial" w:cs="Arial" w:eastAsia="Arial" w:hAnsi="Arial"/>
          <w:sz w:val="16"/>
          <w:szCs w:val="16"/>
          <w:color w:val="009FE3"/>
        </w:rPr>
        <w:t>Craig Miller:</w:t>
      </w:r>
      <w:r>
        <w:rPr>
          <w:rFonts w:ascii="Arial" w:cs="Arial" w:eastAsia="Arial" w:hAnsi="Arial"/>
          <w:sz w:val="16"/>
          <w:szCs w:val="16"/>
          <w:color w:val="202E39"/>
        </w:rPr>
        <w:t xml:space="preserve">   Leadership over our centralized engineering operating model and evolution into a product-centric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99695</wp:posOffset>
            </wp:positionV>
            <wp:extent cx="425450" cy="150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42       </w:t>
      </w:r>
    </w:p>
    <w:p>
      <w:pPr>
        <w:sectPr>
          <w:pgSz w:w="11900" w:h="16838" w:orient="portrait"/>
          <w:cols w:equalWidth="0" w:num="1">
            <w:col w:w="11000"/>
          </w:cols>
          <w:pgMar w:left="320" w:top="474"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right="520"/>
        <w:spacing w:after="0" w:line="249" w:lineRule="auto"/>
        <w:rPr>
          <w:sz w:val="20"/>
          <w:szCs w:val="20"/>
          <w:color w:val="auto"/>
        </w:rPr>
      </w:pPr>
      <w:r>
        <w:rPr>
          <w:rFonts w:ascii="Arial" w:cs="Arial" w:eastAsia="Arial" w:hAnsi="Arial"/>
          <w:sz w:val="16"/>
          <w:szCs w:val="16"/>
          <w:color w:val="202E39"/>
        </w:rPr>
        <w:t>The Committee applied a consistent approach when making bonus decisions for other Named Executive Officers and considered its ability to apply negative discretion to ensure final bonus decisions are in alignment with the best interests of the Company and its shareholders. Additionally, the Committee assessed the total direct compensation positioning for each Named Executive Officer to ensure final decisions are appropriately market competitive relative to each executive officers’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140335</wp:posOffset>
            </wp:positionV>
            <wp:extent cx="5082540" cy="534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82540"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60" w:right="180"/>
        <w:spacing w:after="0" w:line="254" w:lineRule="auto"/>
        <w:rPr>
          <w:sz w:val="20"/>
          <w:szCs w:val="20"/>
          <w:color w:val="auto"/>
        </w:rPr>
      </w:pPr>
      <w:r>
        <w:rPr>
          <w:rFonts w:ascii="Arial" w:cs="Arial" w:eastAsia="Arial" w:hAnsi="Arial"/>
          <w:sz w:val="16"/>
          <w:szCs w:val="16"/>
          <w:color w:val="202E39"/>
        </w:rPr>
        <w:t>Based upon our financial results for fiscal year 2024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2024:</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Fiscal Year 2024 Bonuses</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5700" w:type="dxa"/>
            <w:vAlign w:val="bottom"/>
            <w:tcBorders>
              <w:top w:val="single" w:sz="8" w:color="E8EAEB"/>
              <w:right w:val="single" w:sz="8" w:color="E8EAEB"/>
            </w:tcBorders>
          </w:tcPr>
          <w:p>
            <w:pPr>
              <w:spacing w:after="0"/>
              <w:rPr>
                <w:sz w:val="17"/>
                <w:szCs w:val="17"/>
                <w:color w:val="auto"/>
              </w:rPr>
            </w:pPr>
          </w:p>
        </w:tc>
        <w:tc>
          <w:tcPr>
            <w:tcW w:w="320" w:type="dxa"/>
            <w:vAlign w:val="bottom"/>
            <w:tcBorders>
              <w:top w:val="single" w:sz="8" w:color="E8EAEB"/>
            </w:tcBorders>
          </w:tcPr>
          <w:p>
            <w:pPr>
              <w:spacing w:after="0"/>
              <w:rPr>
                <w:sz w:val="17"/>
                <w:szCs w:val="17"/>
                <w:color w:val="auto"/>
              </w:rPr>
            </w:pPr>
          </w:p>
        </w:tc>
        <w:tc>
          <w:tcPr>
            <w:tcW w:w="1400" w:type="dxa"/>
            <w:vAlign w:val="bottom"/>
            <w:tcBorders>
              <w:top w:val="single" w:sz="8" w:color="E8EAEB"/>
              <w:right w:val="single" w:sz="8" w:color="E8EAEB"/>
            </w:tcBorders>
          </w:tcPr>
          <w:p>
            <w:pPr>
              <w:jc w:val="center"/>
              <w:ind w:right="24"/>
              <w:spacing w:after="0"/>
              <w:rPr>
                <w:sz w:val="20"/>
                <w:szCs w:val="20"/>
                <w:color w:val="auto"/>
              </w:rPr>
            </w:pPr>
            <w:r>
              <w:rPr>
                <w:rFonts w:ascii="Arial" w:cs="Arial" w:eastAsia="Arial" w:hAnsi="Arial"/>
                <w:sz w:val="14"/>
                <w:szCs w:val="14"/>
                <w:b w:val="1"/>
                <w:bCs w:val="1"/>
                <w:color w:val="009FE3"/>
                <w:w w:val="99"/>
              </w:rPr>
              <w:t>Target Bonus</w:t>
            </w:r>
          </w:p>
        </w:tc>
        <w:tc>
          <w:tcPr>
            <w:tcW w:w="1500" w:type="dxa"/>
            <w:vAlign w:val="bottom"/>
            <w:tcBorders>
              <w:top w:val="single" w:sz="8" w:color="E8EAEB"/>
              <w:right w:val="single" w:sz="8" w:color="E8EAEB"/>
            </w:tcBorders>
          </w:tcPr>
          <w:p>
            <w:pPr>
              <w:spacing w:after="0"/>
              <w:rPr>
                <w:sz w:val="17"/>
                <w:szCs w:val="17"/>
                <w:color w:val="auto"/>
              </w:rPr>
            </w:pPr>
          </w:p>
        </w:tc>
        <w:tc>
          <w:tcPr>
            <w:tcW w:w="1820" w:type="dxa"/>
            <w:vAlign w:val="bottom"/>
            <w:tcBorders>
              <w:top w:val="single" w:sz="8" w:color="E8EAEB"/>
            </w:tcBorders>
          </w:tcPr>
          <w:p>
            <w:pPr>
              <w:jc w:val="center"/>
              <w:ind w:left="124"/>
              <w:spacing w:after="0"/>
              <w:rPr>
                <w:sz w:val="20"/>
                <w:szCs w:val="20"/>
                <w:color w:val="auto"/>
              </w:rPr>
            </w:pPr>
            <w:r>
              <w:rPr>
                <w:rFonts w:ascii="Arial" w:cs="Arial" w:eastAsia="Arial" w:hAnsi="Arial"/>
                <w:sz w:val="14"/>
                <w:szCs w:val="14"/>
                <w:b w:val="1"/>
                <w:bCs w:val="1"/>
                <w:color w:val="009FE3"/>
                <w:w w:val="99"/>
              </w:rPr>
              <w:t>Actual Bonus</w:t>
            </w:r>
          </w:p>
        </w:tc>
      </w:tr>
      <w:tr>
        <w:trPr>
          <w:trHeight w:val="158"/>
        </w:trPr>
        <w:tc>
          <w:tcPr>
            <w:tcW w:w="5700" w:type="dxa"/>
            <w:vAlign w:val="bottom"/>
            <w:tcBorders>
              <w:right w:val="single" w:sz="8" w:color="E8EAEB"/>
            </w:tcBorders>
          </w:tcPr>
          <w:p>
            <w:pPr>
              <w:spacing w:after="0"/>
              <w:rPr>
                <w:sz w:val="13"/>
                <w:szCs w:val="13"/>
                <w:color w:val="auto"/>
              </w:rPr>
            </w:pPr>
          </w:p>
        </w:tc>
        <w:tc>
          <w:tcPr>
            <w:tcW w:w="320" w:type="dxa"/>
            <w:vAlign w:val="bottom"/>
          </w:tcPr>
          <w:p>
            <w:pPr>
              <w:ind w:left="220"/>
              <w:spacing w:after="0"/>
              <w:rPr>
                <w:sz w:val="20"/>
                <w:szCs w:val="20"/>
                <w:color w:val="auto"/>
              </w:rPr>
            </w:pPr>
            <w:r>
              <w:rPr>
                <w:rFonts w:ascii="Arial" w:cs="Arial" w:eastAsia="Arial" w:hAnsi="Arial"/>
                <w:sz w:val="11"/>
                <w:szCs w:val="11"/>
                <w:b w:val="1"/>
                <w:bCs w:val="1"/>
                <w:color w:val="009FE3"/>
                <w:w w:val="72"/>
              </w:rPr>
              <w:t> </w:t>
            </w:r>
          </w:p>
        </w:tc>
        <w:tc>
          <w:tcPr>
            <w:tcW w:w="1400" w:type="dxa"/>
            <w:vAlign w:val="bottom"/>
            <w:tcBorders>
              <w:right w:val="single" w:sz="8" w:color="E8EAEB"/>
            </w:tcBorders>
          </w:tcPr>
          <w:p>
            <w:pPr>
              <w:ind w:left="40"/>
              <w:spacing w:after="0" w:line="158" w:lineRule="exact"/>
              <w:rPr>
                <w:sz w:val="20"/>
                <w:szCs w:val="20"/>
                <w:color w:val="auto"/>
              </w:rPr>
            </w:pPr>
            <w:r>
              <w:rPr>
                <w:rFonts w:ascii="Arial" w:cs="Arial" w:eastAsia="Arial" w:hAnsi="Arial"/>
                <w:sz w:val="14"/>
                <w:szCs w:val="14"/>
                <w:b w:val="1"/>
                <w:bCs w:val="1"/>
                <w:color w:val="009FE3"/>
              </w:rPr>
              <w:t xml:space="preserve"> As Percentage of    </w:t>
            </w:r>
          </w:p>
        </w:tc>
        <w:tc>
          <w:tcPr>
            <w:tcW w:w="1500" w:type="dxa"/>
            <w:vAlign w:val="bottom"/>
            <w:tcBorders>
              <w:right w:val="single" w:sz="8" w:color="E8EAEB"/>
            </w:tcBorders>
          </w:tcPr>
          <w:p>
            <w:pPr>
              <w:ind w:left="240"/>
              <w:spacing w:after="0" w:line="158" w:lineRule="exact"/>
              <w:rPr>
                <w:sz w:val="20"/>
                <w:szCs w:val="20"/>
                <w:color w:val="auto"/>
              </w:rPr>
            </w:pPr>
            <w:r>
              <w:rPr>
                <w:rFonts w:ascii="Arial" w:cs="Arial" w:eastAsia="Arial" w:hAnsi="Arial"/>
                <w:sz w:val="14"/>
                <w:szCs w:val="14"/>
                <w:b w:val="1"/>
                <w:bCs w:val="1"/>
                <w:color w:val="009FE3"/>
                <w:w w:val="95"/>
              </w:rPr>
              <w:t xml:space="preserve">    Actual Bonus    </w:t>
            </w:r>
          </w:p>
        </w:tc>
        <w:tc>
          <w:tcPr>
            <w:tcW w:w="1820" w:type="dxa"/>
            <w:vAlign w:val="bottom"/>
          </w:tcPr>
          <w:p>
            <w:pPr>
              <w:jc w:val="center"/>
              <w:ind w:left="124"/>
              <w:spacing w:after="0" w:line="158" w:lineRule="exact"/>
              <w:rPr>
                <w:sz w:val="20"/>
                <w:szCs w:val="20"/>
                <w:color w:val="auto"/>
              </w:rPr>
            </w:pPr>
            <w:r>
              <w:rPr>
                <w:rFonts w:ascii="Arial" w:cs="Arial" w:eastAsia="Arial" w:hAnsi="Arial"/>
                <w:sz w:val="14"/>
                <w:szCs w:val="14"/>
                <w:b w:val="1"/>
                <w:bCs w:val="1"/>
                <w:color w:val="009FE3"/>
                <w:w w:val="99"/>
              </w:rPr>
              <w:t>As Percentage of</w:t>
            </w:r>
          </w:p>
        </w:tc>
      </w:tr>
      <w:tr>
        <w:trPr>
          <w:trHeight w:val="193"/>
        </w:trPr>
        <w:tc>
          <w:tcPr>
            <w:tcW w:w="57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Executive</w:t>
            </w:r>
          </w:p>
        </w:tc>
        <w:tc>
          <w:tcPr>
            <w:tcW w:w="320" w:type="dxa"/>
            <w:vAlign w:val="bottom"/>
            <w:tcBorders>
              <w:bottom w:val="single" w:sz="8" w:color="009FE3"/>
            </w:tcBorders>
          </w:tcPr>
          <w:p>
            <w:pPr>
              <w:spacing w:after="0"/>
              <w:rPr>
                <w:sz w:val="16"/>
                <w:szCs w:val="16"/>
                <w:color w:val="auto"/>
              </w:rPr>
            </w:pPr>
          </w:p>
        </w:tc>
        <w:tc>
          <w:tcPr>
            <w:tcW w:w="1400" w:type="dxa"/>
            <w:vAlign w:val="bottom"/>
            <w:tcBorders>
              <w:bottom w:val="single" w:sz="8" w:color="009FE3"/>
              <w:right w:val="single" w:sz="8" w:color="E8EAEB"/>
            </w:tcBorders>
          </w:tcPr>
          <w:p>
            <w:pPr>
              <w:jc w:val="center"/>
              <w:ind w:right="24"/>
              <w:spacing w:after="0"/>
              <w:rPr>
                <w:sz w:val="20"/>
                <w:szCs w:val="20"/>
                <w:color w:val="auto"/>
              </w:rPr>
            </w:pPr>
            <w:r>
              <w:rPr>
                <w:rFonts w:ascii="Arial" w:cs="Arial" w:eastAsia="Arial" w:hAnsi="Arial"/>
                <w:sz w:val="14"/>
                <w:szCs w:val="14"/>
                <w:b w:val="1"/>
                <w:bCs w:val="1"/>
                <w:color w:val="009FE3"/>
              </w:rPr>
              <w:t>Base Salary (%)</w:t>
            </w:r>
          </w:p>
        </w:tc>
        <w:tc>
          <w:tcPr>
            <w:tcW w:w="1500" w:type="dxa"/>
            <w:vAlign w:val="bottom"/>
            <w:tcBorders>
              <w:bottom w:val="single" w:sz="8" w:color="009FE3"/>
              <w:right w:val="single" w:sz="8" w:color="E8EAEB"/>
            </w:tcBorders>
          </w:tcPr>
          <w:p>
            <w:pPr>
              <w:jc w:val="center"/>
              <w:ind w:left="124"/>
              <w:spacing w:after="0"/>
              <w:rPr>
                <w:sz w:val="20"/>
                <w:szCs w:val="20"/>
                <w:color w:val="auto"/>
              </w:rPr>
            </w:pPr>
            <w:r>
              <w:rPr>
                <w:rFonts w:ascii="Arial" w:cs="Arial" w:eastAsia="Arial" w:hAnsi="Arial"/>
                <w:sz w:val="14"/>
                <w:szCs w:val="14"/>
                <w:b w:val="1"/>
                <w:bCs w:val="1"/>
                <w:color w:val="009FE3"/>
              </w:rPr>
              <w:t>($)</w:t>
            </w:r>
          </w:p>
        </w:tc>
        <w:tc>
          <w:tcPr>
            <w:tcW w:w="1820" w:type="dxa"/>
            <w:vAlign w:val="bottom"/>
            <w:tcBorders>
              <w:bottom w:val="single" w:sz="8" w:color="009FE3"/>
            </w:tcBorders>
          </w:tcPr>
          <w:p>
            <w:pPr>
              <w:jc w:val="center"/>
              <w:ind w:left="144"/>
              <w:spacing w:after="0"/>
              <w:rPr>
                <w:sz w:val="20"/>
                <w:szCs w:val="20"/>
                <w:color w:val="auto"/>
              </w:rPr>
            </w:pPr>
            <w:r>
              <w:rPr>
                <w:rFonts w:ascii="Arial" w:cs="Arial" w:eastAsia="Arial" w:hAnsi="Arial"/>
                <w:sz w:val="14"/>
                <w:szCs w:val="14"/>
                <w:b w:val="1"/>
                <w:bCs w:val="1"/>
                <w:color w:val="009FE3"/>
              </w:rPr>
              <w:t xml:space="preserve">    Base Salary (%) (1)    </w:t>
            </w:r>
          </w:p>
        </w:tc>
      </w:tr>
      <w:tr>
        <w:trPr>
          <w:trHeight w:val="240"/>
        </w:trPr>
        <w:tc>
          <w:tcPr>
            <w:tcW w:w="57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320" w:type="dxa"/>
            <w:vAlign w:val="bottom"/>
          </w:tcPr>
          <w:p>
            <w:pPr>
              <w:spacing w:after="0"/>
              <w:rPr>
                <w:sz w:val="20"/>
                <w:szCs w:val="20"/>
                <w:color w:val="auto"/>
              </w:rPr>
            </w:pPr>
          </w:p>
        </w:tc>
        <w:tc>
          <w:tcPr>
            <w:tcW w:w="1400" w:type="dxa"/>
            <w:vAlign w:val="bottom"/>
            <w:tcBorders>
              <w:right w:val="single" w:sz="8" w:color="E8EAEB"/>
            </w:tcBorders>
          </w:tcPr>
          <w:p>
            <w:pPr>
              <w:jc w:val="center"/>
              <w:ind w:right="24"/>
              <w:spacing w:after="0"/>
              <w:rPr>
                <w:sz w:val="20"/>
                <w:szCs w:val="20"/>
                <w:color w:val="auto"/>
              </w:rPr>
            </w:pPr>
            <w:r>
              <w:rPr>
                <w:rFonts w:ascii="Arial" w:cs="Arial" w:eastAsia="Arial" w:hAnsi="Arial"/>
                <w:sz w:val="16"/>
                <w:szCs w:val="16"/>
                <w:color w:val="202E39"/>
                <w:w w:val="97"/>
              </w:rPr>
              <w:t>140</w:t>
            </w:r>
          </w:p>
        </w:tc>
        <w:tc>
          <w:tcPr>
            <w:tcW w:w="1500" w:type="dxa"/>
            <w:vAlign w:val="bottom"/>
            <w:tcBorders>
              <w:right w:val="single" w:sz="8" w:color="E8EAEB"/>
            </w:tcBorders>
          </w:tcPr>
          <w:p>
            <w:pPr>
              <w:jc w:val="center"/>
              <w:ind w:left="124"/>
              <w:spacing w:after="0"/>
              <w:rPr>
                <w:sz w:val="20"/>
                <w:szCs w:val="20"/>
                <w:color w:val="auto"/>
              </w:rPr>
            </w:pPr>
            <w:r>
              <w:rPr>
                <w:rFonts w:ascii="Arial" w:cs="Arial" w:eastAsia="Arial" w:hAnsi="Arial"/>
                <w:sz w:val="16"/>
                <w:szCs w:val="16"/>
                <w:color w:val="202E39"/>
                <w:w w:val="98"/>
              </w:rPr>
              <w:t>1,758,100</w:t>
            </w:r>
          </w:p>
        </w:tc>
        <w:tc>
          <w:tcPr>
            <w:tcW w:w="1820" w:type="dxa"/>
            <w:vAlign w:val="bottom"/>
          </w:tcPr>
          <w:p>
            <w:pPr>
              <w:jc w:val="center"/>
              <w:ind w:left="124"/>
              <w:spacing w:after="0"/>
              <w:rPr>
                <w:sz w:val="20"/>
                <w:szCs w:val="20"/>
                <w:color w:val="auto"/>
              </w:rPr>
            </w:pPr>
            <w:r>
              <w:rPr>
                <w:rFonts w:ascii="Arial" w:cs="Arial" w:eastAsia="Arial" w:hAnsi="Arial"/>
                <w:sz w:val="16"/>
                <w:szCs w:val="16"/>
                <w:color w:val="202E39"/>
                <w:w w:val="97"/>
              </w:rPr>
              <w:t>129</w:t>
            </w:r>
          </w:p>
        </w:tc>
      </w:tr>
      <w:tr>
        <w:trPr>
          <w:trHeight w:val="55"/>
        </w:trPr>
        <w:tc>
          <w:tcPr>
            <w:tcW w:w="5700" w:type="dxa"/>
            <w:vAlign w:val="bottom"/>
            <w:tcBorders>
              <w:bottom w:val="single" w:sz="8" w:color="E8EAEB"/>
              <w:right w:val="single" w:sz="8" w:color="E8EAEB"/>
            </w:tcBorders>
          </w:tcPr>
          <w:p>
            <w:pPr>
              <w:spacing w:after="0"/>
              <w:rPr>
                <w:sz w:val="4"/>
                <w:szCs w:val="4"/>
                <w:color w:val="auto"/>
              </w:rPr>
            </w:pPr>
          </w:p>
        </w:tc>
        <w:tc>
          <w:tcPr>
            <w:tcW w:w="320" w:type="dxa"/>
            <w:vAlign w:val="bottom"/>
            <w:tcBorders>
              <w:bottom w:val="single" w:sz="8" w:color="E8EAEB"/>
            </w:tcBorders>
          </w:tcPr>
          <w:p>
            <w:pPr>
              <w:spacing w:after="0"/>
              <w:rPr>
                <w:sz w:val="4"/>
                <w:szCs w:val="4"/>
                <w:color w:val="auto"/>
              </w:rPr>
            </w:pPr>
          </w:p>
        </w:tc>
        <w:tc>
          <w:tcPr>
            <w:tcW w:w="1400" w:type="dxa"/>
            <w:vAlign w:val="bottom"/>
            <w:tcBorders>
              <w:bottom w:val="single" w:sz="8" w:color="E8EAEB"/>
              <w:right w:val="single" w:sz="8" w:color="E8EAEB"/>
            </w:tcBorders>
          </w:tcPr>
          <w:p>
            <w:pPr>
              <w:spacing w:after="0"/>
              <w:rPr>
                <w:sz w:val="4"/>
                <w:szCs w:val="4"/>
                <w:color w:val="auto"/>
              </w:rPr>
            </w:pPr>
          </w:p>
        </w:tc>
        <w:tc>
          <w:tcPr>
            <w:tcW w:w="1500" w:type="dxa"/>
            <w:vAlign w:val="bottom"/>
            <w:tcBorders>
              <w:bottom w:val="single" w:sz="8" w:color="E8EAEB"/>
              <w:right w:val="single" w:sz="8" w:color="E8EAEB"/>
            </w:tcBorders>
          </w:tcPr>
          <w:p>
            <w:pPr>
              <w:spacing w:after="0"/>
              <w:rPr>
                <w:sz w:val="4"/>
                <w:szCs w:val="4"/>
                <w:color w:val="auto"/>
              </w:rPr>
            </w:pPr>
          </w:p>
        </w:tc>
        <w:tc>
          <w:tcPr>
            <w:tcW w:w="1820" w:type="dxa"/>
            <w:vAlign w:val="bottom"/>
            <w:tcBorders>
              <w:bottom w:val="single" w:sz="8" w:color="E8EAEB"/>
            </w:tcBorders>
          </w:tcPr>
          <w:p>
            <w:pPr>
              <w:spacing w:after="0"/>
              <w:rPr>
                <w:sz w:val="4"/>
                <w:szCs w:val="4"/>
                <w:color w:val="auto"/>
              </w:rPr>
            </w:pPr>
          </w:p>
        </w:tc>
      </w:tr>
      <w:tr>
        <w:trPr>
          <w:trHeight w:val="240"/>
        </w:trPr>
        <w:tc>
          <w:tcPr>
            <w:tcW w:w="57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 Guru Gowrappan</w:t>
            </w:r>
          </w:p>
        </w:tc>
        <w:tc>
          <w:tcPr>
            <w:tcW w:w="320" w:type="dxa"/>
            <w:vAlign w:val="bottom"/>
          </w:tcPr>
          <w:p>
            <w:pPr>
              <w:spacing w:after="0"/>
              <w:rPr>
                <w:sz w:val="20"/>
                <w:szCs w:val="20"/>
                <w:color w:val="auto"/>
              </w:rPr>
            </w:pPr>
          </w:p>
        </w:tc>
        <w:tc>
          <w:tcPr>
            <w:tcW w:w="1400" w:type="dxa"/>
            <w:vAlign w:val="bottom"/>
            <w:tcBorders>
              <w:right w:val="single" w:sz="8" w:color="E8EAEB"/>
            </w:tcBorders>
          </w:tcPr>
          <w:p>
            <w:pPr>
              <w:jc w:val="center"/>
              <w:ind w:right="24"/>
              <w:spacing w:after="0"/>
              <w:rPr>
                <w:sz w:val="20"/>
                <w:szCs w:val="20"/>
                <w:color w:val="auto"/>
              </w:rPr>
            </w:pPr>
            <w:r>
              <w:rPr>
                <w:rFonts w:ascii="Arial" w:cs="Arial" w:eastAsia="Arial" w:hAnsi="Arial"/>
                <w:sz w:val="16"/>
                <w:szCs w:val="16"/>
                <w:color w:val="202E39"/>
                <w:w w:val="97"/>
              </w:rPr>
              <w:t>140</w:t>
            </w:r>
          </w:p>
        </w:tc>
        <w:tc>
          <w:tcPr>
            <w:tcW w:w="1500" w:type="dxa"/>
            <w:vAlign w:val="bottom"/>
            <w:tcBorders>
              <w:right w:val="single" w:sz="8" w:color="E8EAEB"/>
            </w:tcBorders>
          </w:tcPr>
          <w:p>
            <w:pPr>
              <w:jc w:val="center"/>
              <w:ind w:left="124"/>
              <w:spacing w:after="0"/>
              <w:rPr>
                <w:sz w:val="20"/>
                <w:szCs w:val="20"/>
                <w:color w:val="auto"/>
              </w:rPr>
            </w:pPr>
            <w:r>
              <w:rPr>
                <w:rFonts w:ascii="Arial" w:cs="Arial" w:eastAsia="Arial" w:hAnsi="Arial"/>
                <w:sz w:val="16"/>
                <w:szCs w:val="16"/>
                <w:color w:val="202E39"/>
                <w:w w:val="98"/>
              </w:rPr>
              <w:t>1,288,000</w:t>
            </w:r>
          </w:p>
        </w:tc>
        <w:tc>
          <w:tcPr>
            <w:tcW w:w="1820" w:type="dxa"/>
            <w:vAlign w:val="bottom"/>
          </w:tcPr>
          <w:p>
            <w:pPr>
              <w:jc w:val="center"/>
              <w:ind w:left="124"/>
              <w:spacing w:after="0"/>
              <w:rPr>
                <w:sz w:val="20"/>
                <w:szCs w:val="20"/>
                <w:color w:val="auto"/>
              </w:rPr>
            </w:pPr>
            <w:r>
              <w:rPr>
                <w:rFonts w:ascii="Arial" w:cs="Arial" w:eastAsia="Arial" w:hAnsi="Arial"/>
                <w:sz w:val="16"/>
                <w:szCs w:val="16"/>
                <w:color w:val="202E39"/>
                <w:w w:val="97"/>
              </w:rPr>
              <w:t>129</w:t>
            </w:r>
          </w:p>
        </w:tc>
      </w:tr>
      <w:tr>
        <w:trPr>
          <w:trHeight w:val="55"/>
        </w:trPr>
        <w:tc>
          <w:tcPr>
            <w:tcW w:w="5700" w:type="dxa"/>
            <w:vAlign w:val="bottom"/>
            <w:tcBorders>
              <w:bottom w:val="single" w:sz="8" w:color="E8EAEB"/>
              <w:right w:val="single" w:sz="8" w:color="E8EAEB"/>
            </w:tcBorders>
          </w:tcPr>
          <w:p>
            <w:pPr>
              <w:spacing w:after="0"/>
              <w:rPr>
                <w:sz w:val="4"/>
                <w:szCs w:val="4"/>
                <w:color w:val="auto"/>
              </w:rPr>
            </w:pPr>
          </w:p>
        </w:tc>
        <w:tc>
          <w:tcPr>
            <w:tcW w:w="320" w:type="dxa"/>
            <w:vAlign w:val="bottom"/>
            <w:tcBorders>
              <w:bottom w:val="single" w:sz="8" w:color="E8EAEB"/>
            </w:tcBorders>
          </w:tcPr>
          <w:p>
            <w:pPr>
              <w:spacing w:after="0"/>
              <w:rPr>
                <w:sz w:val="4"/>
                <w:szCs w:val="4"/>
                <w:color w:val="auto"/>
              </w:rPr>
            </w:pPr>
          </w:p>
        </w:tc>
        <w:tc>
          <w:tcPr>
            <w:tcW w:w="1400" w:type="dxa"/>
            <w:vAlign w:val="bottom"/>
            <w:tcBorders>
              <w:bottom w:val="single" w:sz="8" w:color="E8EAEB"/>
              <w:right w:val="single" w:sz="8" w:color="E8EAEB"/>
            </w:tcBorders>
          </w:tcPr>
          <w:p>
            <w:pPr>
              <w:spacing w:after="0"/>
              <w:rPr>
                <w:sz w:val="4"/>
                <w:szCs w:val="4"/>
                <w:color w:val="auto"/>
              </w:rPr>
            </w:pPr>
          </w:p>
        </w:tc>
        <w:tc>
          <w:tcPr>
            <w:tcW w:w="1500" w:type="dxa"/>
            <w:vAlign w:val="bottom"/>
            <w:tcBorders>
              <w:bottom w:val="single" w:sz="8" w:color="E8EAEB"/>
              <w:right w:val="single" w:sz="8" w:color="E8EAEB"/>
            </w:tcBorders>
          </w:tcPr>
          <w:p>
            <w:pPr>
              <w:spacing w:after="0"/>
              <w:rPr>
                <w:sz w:val="4"/>
                <w:szCs w:val="4"/>
                <w:color w:val="auto"/>
              </w:rPr>
            </w:pPr>
          </w:p>
        </w:tc>
        <w:tc>
          <w:tcPr>
            <w:tcW w:w="1820" w:type="dxa"/>
            <w:vAlign w:val="bottom"/>
            <w:tcBorders>
              <w:bottom w:val="single" w:sz="8" w:color="E8EAEB"/>
            </w:tcBorders>
          </w:tcPr>
          <w:p>
            <w:pPr>
              <w:spacing w:after="0"/>
              <w:rPr>
                <w:sz w:val="4"/>
                <w:szCs w:val="4"/>
                <w:color w:val="auto"/>
              </w:rPr>
            </w:pPr>
          </w:p>
        </w:tc>
      </w:tr>
      <w:tr>
        <w:trPr>
          <w:trHeight w:val="240"/>
        </w:trPr>
        <w:tc>
          <w:tcPr>
            <w:tcW w:w="57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320" w:type="dxa"/>
            <w:vAlign w:val="bottom"/>
          </w:tcPr>
          <w:p>
            <w:pPr>
              <w:spacing w:after="0"/>
              <w:rPr>
                <w:sz w:val="20"/>
                <w:szCs w:val="20"/>
                <w:color w:val="auto"/>
              </w:rPr>
            </w:pPr>
          </w:p>
        </w:tc>
        <w:tc>
          <w:tcPr>
            <w:tcW w:w="1400" w:type="dxa"/>
            <w:vAlign w:val="bottom"/>
            <w:tcBorders>
              <w:right w:val="single" w:sz="8" w:color="E8EAEB"/>
            </w:tcBorders>
          </w:tcPr>
          <w:p>
            <w:pPr>
              <w:jc w:val="center"/>
              <w:ind w:right="24"/>
              <w:spacing w:after="0"/>
              <w:rPr>
                <w:sz w:val="20"/>
                <w:szCs w:val="20"/>
                <w:color w:val="auto"/>
              </w:rPr>
            </w:pPr>
            <w:r>
              <w:rPr>
                <w:rFonts w:ascii="Arial" w:cs="Arial" w:eastAsia="Arial" w:hAnsi="Arial"/>
                <w:sz w:val="16"/>
                <w:szCs w:val="16"/>
                <w:color w:val="202E39"/>
                <w:w w:val="83"/>
              </w:rPr>
              <w:t>  90</w:t>
            </w:r>
          </w:p>
        </w:tc>
        <w:tc>
          <w:tcPr>
            <w:tcW w:w="1500" w:type="dxa"/>
            <w:vAlign w:val="bottom"/>
            <w:tcBorders>
              <w:right w:val="single" w:sz="8" w:color="E8EAEB"/>
            </w:tcBorders>
          </w:tcPr>
          <w:p>
            <w:pPr>
              <w:jc w:val="center"/>
              <w:ind w:left="124"/>
              <w:spacing w:after="0"/>
              <w:rPr>
                <w:sz w:val="20"/>
                <w:szCs w:val="20"/>
                <w:color w:val="auto"/>
              </w:rPr>
            </w:pPr>
            <w:r>
              <w:rPr>
                <w:rFonts w:ascii="Arial" w:cs="Arial" w:eastAsia="Arial" w:hAnsi="Arial"/>
                <w:sz w:val="16"/>
                <w:szCs w:val="16"/>
                <w:color w:val="202E39"/>
                <w:w w:val="93"/>
              </w:rPr>
              <w:t>   535,000</w:t>
            </w:r>
          </w:p>
        </w:tc>
        <w:tc>
          <w:tcPr>
            <w:tcW w:w="1820" w:type="dxa"/>
            <w:vAlign w:val="bottom"/>
          </w:tcPr>
          <w:p>
            <w:pPr>
              <w:jc w:val="center"/>
              <w:ind w:left="124"/>
              <w:spacing w:after="0"/>
              <w:rPr>
                <w:sz w:val="20"/>
                <w:szCs w:val="20"/>
                <w:color w:val="auto"/>
              </w:rPr>
            </w:pPr>
            <w:r>
              <w:rPr>
                <w:rFonts w:ascii="Arial" w:cs="Arial" w:eastAsia="Arial" w:hAnsi="Arial"/>
                <w:sz w:val="16"/>
                <w:szCs w:val="16"/>
                <w:color w:val="202E39"/>
                <w:w w:val="83"/>
              </w:rPr>
              <w:t>  81</w:t>
            </w:r>
          </w:p>
        </w:tc>
      </w:tr>
      <w:tr>
        <w:trPr>
          <w:trHeight w:val="55"/>
        </w:trPr>
        <w:tc>
          <w:tcPr>
            <w:tcW w:w="5700" w:type="dxa"/>
            <w:vAlign w:val="bottom"/>
            <w:tcBorders>
              <w:bottom w:val="single" w:sz="8" w:color="E8EAEB"/>
              <w:right w:val="single" w:sz="8" w:color="E8EAEB"/>
            </w:tcBorders>
          </w:tcPr>
          <w:p>
            <w:pPr>
              <w:spacing w:after="0"/>
              <w:rPr>
                <w:sz w:val="4"/>
                <w:szCs w:val="4"/>
                <w:color w:val="auto"/>
              </w:rPr>
            </w:pPr>
          </w:p>
        </w:tc>
        <w:tc>
          <w:tcPr>
            <w:tcW w:w="320" w:type="dxa"/>
            <w:vAlign w:val="bottom"/>
            <w:tcBorders>
              <w:bottom w:val="single" w:sz="8" w:color="E8EAEB"/>
            </w:tcBorders>
          </w:tcPr>
          <w:p>
            <w:pPr>
              <w:spacing w:after="0"/>
              <w:rPr>
                <w:sz w:val="4"/>
                <w:szCs w:val="4"/>
                <w:color w:val="auto"/>
              </w:rPr>
            </w:pPr>
          </w:p>
        </w:tc>
        <w:tc>
          <w:tcPr>
            <w:tcW w:w="1400" w:type="dxa"/>
            <w:vAlign w:val="bottom"/>
            <w:tcBorders>
              <w:bottom w:val="single" w:sz="8" w:color="E8EAEB"/>
              <w:right w:val="single" w:sz="8" w:color="E8EAEB"/>
            </w:tcBorders>
          </w:tcPr>
          <w:p>
            <w:pPr>
              <w:spacing w:after="0"/>
              <w:rPr>
                <w:sz w:val="4"/>
                <w:szCs w:val="4"/>
                <w:color w:val="auto"/>
              </w:rPr>
            </w:pPr>
          </w:p>
        </w:tc>
        <w:tc>
          <w:tcPr>
            <w:tcW w:w="1500" w:type="dxa"/>
            <w:vAlign w:val="bottom"/>
            <w:tcBorders>
              <w:bottom w:val="single" w:sz="8" w:color="E8EAEB"/>
              <w:right w:val="single" w:sz="8" w:color="E8EAEB"/>
            </w:tcBorders>
          </w:tcPr>
          <w:p>
            <w:pPr>
              <w:spacing w:after="0"/>
              <w:rPr>
                <w:sz w:val="4"/>
                <w:szCs w:val="4"/>
                <w:color w:val="auto"/>
              </w:rPr>
            </w:pPr>
          </w:p>
        </w:tc>
        <w:tc>
          <w:tcPr>
            <w:tcW w:w="1820" w:type="dxa"/>
            <w:vAlign w:val="bottom"/>
            <w:tcBorders>
              <w:bottom w:val="single" w:sz="8" w:color="E8EAEB"/>
            </w:tcBorders>
          </w:tcPr>
          <w:p>
            <w:pPr>
              <w:spacing w:after="0"/>
              <w:rPr>
                <w:sz w:val="4"/>
                <w:szCs w:val="4"/>
                <w:color w:val="auto"/>
              </w:rPr>
            </w:pPr>
          </w:p>
        </w:tc>
      </w:tr>
      <w:tr>
        <w:trPr>
          <w:trHeight w:val="240"/>
        </w:trPr>
        <w:tc>
          <w:tcPr>
            <w:tcW w:w="57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Kevin Harkenrider</w:t>
            </w:r>
          </w:p>
        </w:tc>
        <w:tc>
          <w:tcPr>
            <w:tcW w:w="320" w:type="dxa"/>
            <w:vAlign w:val="bottom"/>
          </w:tcPr>
          <w:p>
            <w:pPr>
              <w:spacing w:after="0"/>
              <w:rPr>
                <w:sz w:val="20"/>
                <w:szCs w:val="20"/>
                <w:color w:val="auto"/>
              </w:rPr>
            </w:pPr>
          </w:p>
        </w:tc>
        <w:tc>
          <w:tcPr>
            <w:tcW w:w="1400" w:type="dxa"/>
            <w:vAlign w:val="bottom"/>
            <w:tcBorders>
              <w:right w:val="single" w:sz="8" w:color="E8EAEB"/>
            </w:tcBorders>
          </w:tcPr>
          <w:p>
            <w:pPr>
              <w:jc w:val="center"/>
              <w:ind w:right="24"/>
              <w:spacing w:after="0"/>
              <w:rPr>
                <w:sz w:val="20"/>
                <w:szCs w:val="20"/>
                <w:color w:val="auto"/>
              </w:rPr>
            </w:pPr>
            <w:r>
              <w:rPr>
                <w:rFonts w:ascii="Arial" w:cs="Arial" w:eastAsia="Arial" w:hAnsi="Arial"/>
                <w:sz w:val="16"/>
                <w:szCs w:val="16"/>
                <w:color w:val="202E39"/>
                <w:w w:val="83"/>
              </w:rPr>
              <w:t>  90</w:t>
            </w:r>
          </w:p>
        </w:tc>
        <w:tc>
          <w:tcPr>
            <w:tcW w:w="1500" w:type="dxa"/>
            <w:vAlign w:val="bottom"/>
            <w:tcBorders>
              <w:right w:val="single" w:sz="8" w:color="E8EAEB"/>
            </w:tcBorders>
          </w:tcPr>
          <w:p>
            <w:pPr>
              <w:jc w:val="center"/>
              <w:ind w:left="124"/>
              <w:spacing w:after="0"/>
              <w:rPr>
                <w:sz w:val="20"/>
                <w:szCs w:val="20"/>
                <w:color w:val="auto"/>
              </w:rPr>
            </w:pPr>
            <w:r>
              <w:rPr>
                <w:rFonts w:ascii="Arial" w:cs="Arial" w:eastAsia="Arial" w:hAnsi="Arial"/>
                <w:sz w:val="16"/>
                <w:szCs w:val="16"/>
                <w:color w:val="202E39"/>
                <w:w w:val="93"/>
              </w:rPr>
              <w:t>   605,000</w:t>
            </w:r>
          </w:p>
        </w:tc>
        <w:tc>
          <w:tcPr>
            <w:tcW w:w="1820" w:type="dxa"/>
            <w:vAlign w:val="bottom"/>
          </w:tcPr>
          <w:p>
            <w:pPr>
              <w:jc w:val="center"/>
              <w:ind w:left="124"/>
              <w:spacing w:after="0"/>
              <w:rPr>
                <w:sz w:val="20"/>
                <w:szCs w:val="20"/>
                <w:color w:val="auto"/>
              </w:rPr>
            </w:pPr>
            <w:r>
              <w:rPr>
                <w:rFonts w:ascii="Arial" w:cs="Arial" w:eastAsia="Arial" w:hAnsi="Arial"/>
                <w:sz w:val="16"/>
                <w:szCs w:val="16"/>
                <w:color w:val="202E39"/>
                <w:w w:val="83"/>
              </w:rPr>
              <w:t>  81</w:t>
            </w:r>
          </w:p>
        </w:tc>
      </w:tr>
      <w:tr>
        <w:trPr>
          <w:trHeight w:val="55"/>
        </w:trPr>
        <w:tc>
          <w:tcPr>
            <w:tcW w:w="5700" w:type="dxa"/>
            <w:vAlign w:val="bottom"/>
            <w:tcBorders>
              <w:bottom w:val="single" w:sz="8" w:color="E8EAEB"/>
              <w:right w:val="single" w:sz="8" w:color="E8EAEB"/>
            </w:tcBorders>
          </w:tcPr>
          <w:p>
            <w:pPr>
              <w:spacing w:after="0"/>
              <w:rPr>
                <w:sz w:val="4"/>
                <w:szCs w:val="4"/>
                <w:color w:val="auto"/>
              </w:rPr>
            </w:pPr>
          </w:p>
        </w:tc>
        <w:tc>
          <w:tcPr>
            <w:tcW w:w="320" w:type="dxa"/>
            <w:vAlign w:val="bottom"/>
            <w:tcBorders>
              <w:bottom w:val="single" w:sz="8" w:color="E8EAEB"/>
            </w:tcBorders>
          </w:tcPr>
          <w:p>
            <w:pPr>
              <w:spacing w:after="0"/>
              <w:rPr>
                <w:sz w:val="4"/>
                <w:szCs w:val="4"/>
                <w:color w:val="auto"/>
              </w:rPr>
            </w:pPr>
          </w:p>
        </w:tc>
        <w:tc>
          <w:tcPr>
            <w:tcW w:w="1400" w:type="dxa"/>
            <w:vAlign w:val="bottom"/>
            <w:tcBorders>
              <w:bottom w:val="single" w:sz="8" w:color="E8EAEB"/>
              <w:right w:val="single" w:sz="8" w:color="E8EAEB"/>
            </w:tcBorders>
          </w:tcPr>
          <w:p>
            <w:pPr>
              <w:spacing w:after="0"/>
              <w:rPr>
                <w:sz w:val="4"/>
                <w:szCs w:val="4"/>
                <w:color w:val="auto"/>
              </w:rPr>
            </w:pPr>
          </w:p>
        </w:tc>
        <w:tc>
          <w:tcPr>
            <w:tcW w:w="1500" w:type="dxa"/>
            <w:vAlign w:val="bottom"/>
            <w:tcBorders>
              <w:bottom w:val="single" w:sz="8" w:color="E8EAEB"/>
              <w:right w:val="single" w:sz="8" w:color="E8EAEB"/>
            </w:tcBorders>
          </w:tcPr>
          <w:p>
            <w:pPr>
              <w:spacing w:after="0"/>
              <w:rPr>
                <w:sz w:val="4"/>
                <w:szCs w:val="4"/>
                <w:color w:val="auto"/>
              </w:rPr>
            </w:pPr>
          </w:p>
        </w:tc>
        <w:tc>
          <w:tcPr>
            <w:tcW w:w="1820" w:type="dxa"/>
            <w:vAlign w:val="bottom"/>
            <w:tcBorders>
              <w:bottom w:val="single" w:sz="8" w:color="E8EAEB"/>
            </w:tcBorders>
          </w:tcPr>
          <w:p>
            <w:pPr>
              <w:spacing w:after="0"/>
              <w:rPr>
                <w:sz w:val="4"/>
                <w:szCs w:val="4"/>
                <w:color w:val="auto"/>
              </w:rPr>
            </w:pPr>
          </w:p>
        </w:tc>
      </w:tr>
      <w:tr>
        <w:trPr>
          <w:trHeight w:val="240"/>
        </w:trPr>
        <w:tc>
          <w:tcPr>
            <w:tcW w:w="570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Craig Miller</w:t>
            </w:r>
          </w:p>
        </w:tc>
        <w:tc>
          <w:tcPr>
            <w:tcW w:w="320" w:type="dxa"/>
            <w:vAlign w:val="bottom"/>
          </w:tcPr>
          <w:p>
            <w:pPr>
              <w:spacing w:after="0"/>
              <w:rPr>
                <w:sz w:val="20"/>
                <w:szCs w:val="20"/>
                <w:color w:val="auto"/>
              </w:rPr>
            </w:pPr>
          </w:p>
        </w:tc>
        <w:tc>
          <w:tcPr>
            <w:tcW w:w="1400" w:type="dxa"/>
            <w:vAlign w:val="bottom"/>
            <w:tcBorders>
              <w:right w:val="single" w:sz="8" w:color="E8EAEB"/>
            </w:tcBorders>
          </w:tcPr>
          <w:p>
            <w:pPr>
              <w:jc w:val="center"/>
              <w:ind w:right="24"/>
              <w:spacing w:after="0"/>
              <w:rPr>
                <w:sz w:val="20"/>
                <w:szCs w:val="20"/>
                <w:color w:val="auto"/>
              </w:rPr>
            </w:pPr>
            <w:r>
              <w:rPr>
                <w:rFonts w:ascii="Arial" w:cs="Arial" w:eastAsia="Arial" w:hAnsi="Arial"/>
                <w:sz w:val="16"/>
                <w:szCs w:val="16"/>
                <w:color w:val="202E39"/>
                <w:w w:val="83"/>
              </w:rPr>
              <w:t>  80</w:t>
            </w:r>
          </w:p>
        </w:tc>
        <w:tc>
          <w:tcPr>
            <w:tcW w:w="1500" w:type="dxa"/>
            <w:vAlign w:val="bottom"/>
            <w:tcBorders>
              <w:right w:val="single" w:sz="8" w:color="E8EAEB"/>
            </w:tcBorders>
          </w:tcPr>
          <w:p>
            <w:pPr>
              <w:jc w:val="center"/>
              <w:ind w:left="124"/>
              <w:spacing w:after="0"/>
              <w:rPr>
                <w:sz w:val="20"/>
                <w:szCs w:val="20"/>
                <w:color w:val="auto"/>
              </w:rPr>
            </w:pPr>
            <w:r>
              <w:rPr>
                <w:rFonts w:ascii="Arial" w:cs="Arial" w:eastAsia="Arial" w:hAnsi="Arial"/>
                <w:sz w:val="16"/>
                <w:szCs w:val="16"/>
                <w:color w:val="202E39"/>
                <w:w w:val="93"/>
              </w:rPr>
              <w:t>   650,000</w:t>
            </w:r>
          </w:p>
        </w:tc>
        <w:tc>
          <w:tcPr>
            <w:tcW w:w="1820" w:type="dxa"/>
            <w:vAlign w:val="bottom"/>
          </w:tcPr>
          <w:p>
            <w:pPr>
              <w:jc w:val="center"/>
              <w:ind w:left="124"/>
              <w:spacing w:after="0"/>
              <w:rPr>
                <w:sz w:val="20"/>
                <w:szCs w:val="20"/>
                <w:color w:val="auto"/>
              </w:rPr>
            </w:pPr>
            <w:r>
              <w:rPr>
                <w:rFonts w:ascii="Arial" w:cs="Arial" w:eastAsia="Arial" w:hAnsi="Arial"/>
                <w:sz w:val="16"/>
                <w:szCs w:val="16"/>
                <w:color w:val="202E39"/>
                <w:w w:val="83"/>
              </w:rPr>
              <w:t>  96</w:t>
            </w:r>
          </w:p>
        </w:tc>
      </w:tr>
      <w:tr>
        <w:trPr>
          <w:trHeight w:val="55"/>
        </w:trPr>
        <w:tc>
          <w:tcPr>
            <w:tcW w:w="5700" w:type="dxa"/>
            <w:vAlign w:val="bottom"/>
            <w:tcBorders>
              <w:bottom w:val="single" w:sz="8" w:color="009FE3"/>
              <w:right w:val="single" w:sz="8" w:color="E8EAEB"/>
            </w:tcBorders>
          </w:tcPr>
          <w:p>
            <w:pPr>
              <w:spacing w:after="0"/>
              <w:rPr>
                <w:sz w:val="4"/>
                <w:szCs w:val="4"/>
                <w:color w:val="auto"/>
              </w:rPr>
            </w:pPr>
          </w:p>
        </w:tc>
        <w:tc>
          <w:tcPr>
            <w:tcW w:w="320" w:type="dxa"/>
            <w:vAlign w:val="bottom"/>
            <w:tcBorders>
              <w:bottom w:val="single" w:sz="8" w:color="009FE3"/>
            </w:tcBorders>
          </w:tcPr>
          <w:p>
            <w:pPr>
              <w:spacing w:after="0"/>
              <w:rPr>
                <w:sz w:val="4"/>
                <w:szCs w:val="4"/>
                <w:color w:val="auto"/>
              </w:rPr>
            </w:pPr>
          </w:p>
        </w:tc>
        <w:tc>
          <w:tcPr>
            <w:tcW w:w="1400" w:type="dxa"/>
            <w:vAlign w:val="bottom"/>
            <w:tcBorders>
              <w:bottom w:val="single" w:sz="8" w:color="009FE3"/>
              <w:right w:val="single" w:sz="8" w:color="E8EAEB"/>
            </w:tcBorders>
          </w:tcPr>
          <w:p>
            <w:pPr>
              <w:spacing w:after="0"/>
              <w:rPr>
                <w:sz w:val="4"/>
                <w:szCs w:val="4"/>
                <w:color w:val="auto"/>
              </w:rPr>
            </w:pPr>
          </w:p>
        </w:tc>
        <w:tc>
          <w:tcPr>
            <w:tcW w:w="1500" w:type="dxa"/>
            <w:vAlign w:val="bottom"/>
            <w:tcBorders>
              <w:bottom w:val="single" w:sz="8" w:color="009FE3"/>
              <w:right w:val="single" w:sz="8" w:color="E8EAEB"/>
            </w:tcBorders>
          </w:tcPr>
          <w:p>
            <w:pPr>
              <w:spacing w:after="0"/>
              <w:rPr>
                <w:sz w:val="4"/>
                <w:szCs w:val="4"/>
                <w:color w:val="auto"/>
              </w:rPr>
            </w:pPr>
          </w:p>
        </w:tc>
        <w:tc>
          <w:tcPr>
            <w:tcW w:w="1820" w:type="dxa"/>
            <w:vAlign w:val="bottom"/>
            <w:tcBorders>
              <w:bottom w:val="single" w:sz="8" w:color="009FE3"/>
            </w:tcBorders>
          </w:tcPr>
          <w:p>
            <w:pPr>
              <w:spacing w:after="0"/>
              <w:rPr>
                <w:sz w:val="4"/>
                <w:szCs w:val="4"/>
                <w:color w:val="auto"/>
              </w:rPr>
            </w:pPr>
          </w:p>
        </w:tc>
      </w:tr>
    </w:tbl>
    <w:p>
      <w:pPr>
        <w:spacing w:after="0" w:line="109" w:lineRule="exact"/>
        <w:rPr>
          <w:sz w:val="20"/>
          <w:szCs w:val="20"/>
          <w:color w:val="auto"/>
        </w:rPr>
      </w:pPr>
    </w:p>
    <w:p>
      <w:pPr>
        <w:ind w:left="680" w:hanging="419"/>
        <w:spacing w:after="0"/>
        <w:tabs>
          <w:tab w:leader="none" w:pos="68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In response to stockholder feedback, the Committee established a maximum bonus payout of 250% of each executive officer’s target bonus opportunity.</w:t>
      </w:r>
    </w:p>
    <w:p>
      <w:pPr>
        <w:spacing w:after="0" w:line="99" w:lineRule="exact"/>
        <w:rPr>
          <w:sz w:val="20"/>
          <w:szCs w:val="20"/>
          <w:color w:val="auto"/>
        </w:rPr>
      </w:pPr>
    </w:p>
    <w:p>
      <w:pPr>
        <w:ind w:left="260" w:right="20"/>
        <w:spacing w:after="0" w:line="263" w:lineRule="auto"/>
        <w:rPr>
          <w:sz w:val="20"/>
          <w:szCs w:val="20"/>
          <w:color w:val="auto"/>
        </w:rPr>
      </w:pPr>
      <w:r>
        <w:rPr>
          <w:rFonts w:ascii="Arial" w:cs="Arial" w:eastAsia="Arial" w:hAnsi="Arial"/>
          <w:sz w:val="15"/>
          <w:szCs w:val="15"/>
          <w:i w:val="1"/>
          <w:iCs w:val="1"/>
          <w:color w:val="009FE3"/>
        </w:rPr>
        <w:t>Equity-Based Compensation.</w:t>
      </w:r>
      <w:r>
        <w:rPr>
          <w:rFonts w:ascii="Arial" w:cs="Arial" w:eastAsia="Arial" w:hAnsi="Arial"/>
          <w:sz w:val="15"/>
          <w:szCs w:val="15"/>
          <w:color w:val="202E39"/>
        </w:rPr>
        <w:t xml:space="preserve">  Consistent with our belief that equity-based compensation is a key component of an effective executive compensation</w:t>
      </w:r>
      <w:r>
        <w:rPr>
          <w:rFonts w:ascii="Arial" w:cs="Arial" w:eastAsia="Arial" w:hAnsi="Arial"/>
          <w:sz w:val="15"/>
          <w:szCs w:val="15"/>
          <w:i w:val="1"/>
          <w:iCs w:val="1"/>
          <w:color w:val="009FE3"/>
        </w:rPr>
        <w:t xml:space="preserve"> </w:t>
      </w:r>
      <w:r>
        <w:rPr>
          <w:rFonts w:ascii="Arial" w:cs="Arial" w:eastAsia="Arial" w:hAnsi="Arial"/>
          <w:sz w:val="15"/>
          <w:szCs w:val="15"/>
          <w:color w:val="202E39"/>
        </w:rPr>
        <w:t>program at growth-oriented technology companies, particularly one with non-linear growth, our Committee, acting under delegation of authority from the Board, approved long-term equity awards to our executive officers in fiscal year 2024. The Committee determined equity award levels for fiscal year 2024 in a manner consistent with the determination of base salary and annual bonuses. The Committee considered (1) the industry compensation data described above, (2) individual performance and contributions, (3) total executive compensation, (4) stockholder feedback on our executive compensation program, and (5) the availability and affordability of shares for equity awards in determining equity compensation for our executive officers. In determining the availability and affordability of shares for the fiscal year 2024 equity awards for our executive officers, the Committee also considered:</w:t>
      </w:r>
    </w:p>
    <w:p>
      <w:pPr>
        <w:spacing w:after="0" w:line="31" w:lineRule="exact"/>
        <w:rPr>
          <w:sz w:val="20"/>
          <w:szCs w:val="20"/>
          <w:color w:val="auto"/>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peer group data and compensation survey data from Radford,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number of shares available for issuance under our equity plan,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number of shares budgeted for non-executive equity awards,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expected future retention of both executive officers and non-executives,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annual dilution (burn) rate associated with the grant of equity awards,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Viasat’s equity overhang levels,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estimated accounting expense of potential equity awards,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tax consequences associated with the grant of equity awards.</w:t>
      </w:r>
    </w:p>
    <w:p>
      <w:pPr>
        <w:spacing w:after="0" w:line="105" w:lineRule="exact"/>
        <w:rPr>
          <w:sz w:val="20"/>
          <w:szCs w:val="20"/>
          <w:color w:val="auto"/>
        </w:rPr>
      </w:pPr>
    </w:p>
    <w:p>
      <w:pPr>
        <w:ind w:left="260" w:right="200"/>
        <w:spacing w:after="0" w:line="249" w:lineRule="auto"/>
        <w:rPr>
          <w:sz w:val="20"/>
          <w:szCs w:val="20"/>
          <w:color w:val="auto"/>
        </w:rPr>
      </w:pPr>
      <w:r>
        <w:rPr>
          <w:rFonts w:ascii="Arial" w:cs="Arial" w:eastAsia="Arial" w:hAnsi="Arial"/>
          <w:sz w:val="16"/>
          <w:szCs w:val="16"/>
          <w:color w:val="202E39"/>
        </w:rPr>
        <w:t>Based on the factors discussed above, our Committee, acting under delegation of authority from the Board, approved equity awards in the form of restricted stock units and performance-based stock options for our Named Executive Officers in fiscal year 2024. Consistent with our historical practice, equity awards to our Named Executive Officers (other than Mr. Gowrappan) during fiscal year 2024 were delivered in the form of time-based restricted stock units and performance-based stock options.</w:t>
      </w:r>
    </w:p>
    <w:p>
      <w:pPr>
        <w:spacing w:after="0" w:line="76" w:lineRule="exact"/>
        <w:rPr>
          <w:sz w:val="20"/>
          <w:szCs w:val="20"/>
          <w:color w:val="auto"/>
        </w:rPr>
      </w:pPr>
    </w:p>
    <w:p>
      <w:pPr>
        <w:ind w:left="260" w:right="80"/>
        <w:spacing w:after="0" w:line="248" w:lineRule="auto"/>
        <w:rPr>
          <w:sz w:val="20"/>
          <w:szCs w:val="20"/>
          <w:color w:val="auto"/>
        </w:rPr>
      </w:pPr>
      <w:r>
        <w:rPr>
          <w:rFonts w:ascii="Arial" w:cs="Arial" w:eastAsia="Arial" w:hAnsi="Arial"/>
          <w:sz w:val="16"/>
          <w:szCs w:val="16"/>
          <w:i w:val="1"/>
          <w:iCs w:val="1"/>
          <w:color w:val="009FE3"/>
        </w:rPr>
        <w:t>Restricted Stock Units.</w:t>
      </w:r>
      <w:r>
        <w:rPr>
          <w:rFonts w:ascii="Arial" w:cs="Arial" w:eastAsia="Arial" w:hAnsi="Arial"/>
          <w:sz w:val="16"/>
          <w:szCs w:val="16"/>
          <w:b w:val="1"/>
          <w:b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Our Committee believes that time-based restricted stock units that vest over a multi-year period in equal annual installments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based on continued employment provide a strong retentive tool for our Named Executive Officers and help to ensure their continued service over a multi-year period. Prior to June 2024, restricted stock units granted to our Named Executive Officers vested over four years, which was revised to a standard three-year vesting schedule commencing with the restricted stock units granted to our Named Executive Officers in June 2024. In addition, Mr. Gowrappan commenced</w:t>
      </w:r>
    </w:p>
    <w:p>
      <w:pPr>
        <w:spacing w:after="0" w:line="11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43</w:t>
      </w:r>
    </w:p>
    <w:p>
      <w:pPr>
        <w:sectPr>
          <w:pgSz w:w="11900" w:h="16838" w:orient="portrait"/>
          <w:cols w:equalWidth="0" w:num="1">
            <w:col w:w="11000"/>
          </w:cols>
          <w:pgMar w:left="320" w:top="474" w:right="5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31" w:lineRule="exact"/>
        <w:rPr>
          <w:sz w:val="20"/>
          <w:szCs w:val="20"/>
          <w:color w:val="auto"/>
        </w:rPr>
      </w:pPr>
    </w:p>
    <w:p>
      <w:pPr>
        <w:ind w:left="260" w:right="280"/>
        <w:spacing w:after="0" w:line="269" w:lineRule="auto"/>
        <w:rPr>
          <w:sz w:val="20"/>
          <w:szCs w:val="20"/>
          <w:color w:val="auto"/>
        </w:rPr>
      </w:pPr>
      <w:r>
        <w:rPr>
          <w:rFonts w:ascii="Arial" w:cs="Arial" w:eastAsia="Arial" w:hAnsi="Arial"/>
          <w:sz w:val="16"/>
          <w:szCs w:val="16"/>
          <w:color w:val="202E39"/>
        </w:rPr>
        <w:t>employment as our President during fiscal year 2024. In connection with his commencement of employment, he received an award of restricted stock units in April 2023 that vest over a four-year vesting schedule.</w:t>
      </w:r>
    </w:p>
    <w:p>
      <w:pPr>
        <w:spacing w:after="0" w:line="61" w:lineRule="exact"/>
        <w:rPr>
          <w:sz w:val="20"/>
          <w:szCs w:val="20"/>
          <w:color w:val="auto"/>
        </w:rPr>
      </w:pPr>
    </w:p>
    <w:p>
      <w:pPr>
        <w:ind w:left="260" w:right="80"/>
        <w:spacing w:after="0" w:line="243" w:lineRule="auto"/>
        <w:rPr>
          <w:sz w:val="20"/>
          <w:szCs w:val="20"/>
          <w:color w:val="auto"/>
        </w:rPr>
      </w:pPr>
      <w:r>
        <w:rPr>
          <w:rFonts w:ascii="Arial" w:cs="Arial" w:eastAsia="Arial" w:hAnsi="Arial"/>
          <w:sz w:val="16"/>
          <w:szCs w:val="16"/>
          <w:i w:val="1"/>
          <w:iCs w:val="1"/>
          <w:color w:val="009FE3"/>
        </w:rPr>
        <w:t xml:space="preserve">Performance-Based Stock Options Granted to Named Executive Officers in October 2023.  </w:t>
      </w:r>
      <w:r>
        <w:rPr>
          <w:rFonts w:ascii="Arial" w:cs="Arial" w:eastAsia="Arial" w:hAnsi="Arial"/>
          <w:sz w:val="16"/>
          <w:szCs w:val="16"/>
          <w:color w:val="202E39"/>
        </w:rPr>
        <w:t>Consistent with previous years, in fiscal year 2024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Committee granted a substantial portion of the equity incentives to our Named Executive Officers in the form of performance-based stock options. In lieu of relative TSR over a four-year period as the sole performance metric, the Committee selected specified stock price hurdles for these performance-based stock options. Our Committee members continue to believe stock price performance is the strongest indicator of long-term stockholder value creation, but felt that stock price hurdles would be a more appropriate performance objective for these awards. Delivering the award in the form of a performance-based stock option provides for further alignment with stockholders as any stock price gains realized by our executive officers would be in proportion to those realized by our stockholders. Furthermore, as these awards are stock options, if Viasat’s stock price falls below the exercise price, which is equal to the closing market price on the day of grant, any vested stock options would retain no value until the stock price increases above the exercise price.</w:t>
      </w:r>
    </w:p>
    <w:p>
      <w:pPr>
        <w:spacing w:after="0" w:line="98" w:lineRule="exact"/>
        <w:rPr>
          <w:sz w:val="20"/>
          <w:szCs w:val="20"/>
          <w:color w:val="auto"/>
        </w:rPr>
      </w:pPr>
    </w:p>
    <w:p>
      <w:pPr>
        <w:ind w:left="780" w:right="160" w:hanging="203"/>
        <w:spacing w:after="0" w:line="265" w:lineRule="auto"/>
        <w:tabs>
          <w:tab w:leader="none" w:pos="780" w:val="left"/>
        </w:tabs>
        <w:numPr>
          <w:ilvl w:val="0"/>
          <w:numId w:val="43"/>
        </w:numPr>
        <w:rPr>
          <w:rFonts w:ascii="Arial" w:cs="Arial" w:eastAsia="Arial" w:hAnsi="Arial"/>
          <w:sz w:val="15"/>
          <w:szCs w:val="15"/>
          <w:color w:val="009FE3"/>
        </w:rPr>
      </w:pPr>
      <w:r>
        <w:rPr>
          <w:rFonts w:ascii="Arial" w:cs="Arial" w:eastAsia="Arial" w:hAnsi="Arial"/>
          <w:sz w:val="15"/>
          <w:szCs w:val="15"/>
          <w:i w:val="1"/>
          <w:iCs w:val="1"/>
          <w:color w:val="009FE3"/>
        </w:rPr>
        <w:t>Performance-Contingent Vesting Component.</w:t>
      </w:r>
      <w:r>
        <w:rPr>
          <w:rFonts w:ascii="Arial" w:cs="Arial" w:eastAsia="Arial" w:hAnsi="Arial"/>
          <w:sz w:val="15"/>
          <w:szCs w:val="15"/>
          <w:color w:val="202E39"/>
        </w:rPr>
        <w:t xml:space="preserve">  The performance-based stock options will vest based on Viasat’s absolute stock price</w:t>
      </w:r>
      <w:r>
        <w:rPr>
          <w:rFonts w:ascii="Arial" w:cs="Arial" w:eastAsia="Arial" w:hAnsi="Arial"/>
          <w:sz w:val="15"/>
          <w:szCs w:val="15"/>
          <w:i w:val="1"/>
          <w:iCs w:val="1"/>
          <w:color w:val="009FE3"/>
        </w:rPr>
        <w:t xml:space="preserve"> </w:t>
      </w:r>
      <w:r>
        <w:rPr>
          <w:rFonts w:ascii="Arial" w:cs="Arial" w:eastAsia="Arial" w:hAnsi="Arial"/>
          <w:sz w:val="15"/>
          <w:szCs w:val="15"/>
          <w:color w:val="202E39"/>
        </w:rPr>
        <w:t>achievement (each of the levels indicated below is referred to as a “Stock Price Hurdle”) during the three-year period commencing November 1,</w:t>
      </w:r>
    </w:p>
    <w:p>
      <w:pPr>
        <w:spacing w:after="0" w:line="1" w:lineRule="exact"/>
        <w:rPr>
          <w:rFonts w:ascii="Arial" w:cs="Arial" w:eastAsia="Arial" w:hAnsi="Arial"/>
          <w:sz w:val="15"/>
          <w:szCs w:val="15"/>
          <w:color w:val="009FE3"/>
        </w:rPr>
      </w:pPr>
    </w:p>
    <w:p>
      <w:pPr>
        <w:ind w:left="780"/>
        <w:spacing w:after="0"/>
        <w:rPr>
          <w:rFonts w:ascii="Arial" w:cs="Arial" w:eastAsia="Arial" w:hAnsi="Arial"/>
          <w:sz w:val="15"/>
          <w:szCs w:val="15"/>
          <w:color w:val="009FE3"/>
        </w:rPr>
      </w:pPr>
      <w:r>
        <w:rPr>
          <w:rFonts w:ascii="Arial" w:cs="Arial" w:eastAsia="Arial" w:hAnsi="Arial"/>
          <w:sz w:val="16"/>
          <w:szCs w:val="16"/>
          <w:color w:val="202E39"/>
        </w:rPr>
        <w:t>2023 and ending October 9, 2026 (or, if earlier, on a change in control) according to the following chart:</w:t>
      </w:r>
    </w:p>
    <w:p>
      <w:pPr>
        <w:spacing w:after="0" w:line="215"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5840" w:type="dxa"/>
            <w:vAlign w:val="bottom"/>
            <w:tcBorders>
              <w:top w:val="single" w:sz="8" w:color="E8EAEB"/>
              <w:right w:val="single" w:sz="8" w:color="E8EAEB"/>
            </w:tcBorders>
          </w:tcPr>
          <w:p>
            <w:pPr>
              <w:spacing w:after="0"/>
              <w:rPr>
                <w:sz w:val="17"/>
                <w:szCs w:val="17"/>
                <w:color w:val="auto"/>
              </w:rPr>
            </w:pPr>
          </w:p>
        </w:tc>
        <w:tc>
          <w:tcPr>
            <w:tcW w:w="1800" w:type="dxa"/>
            <w:vAlign w:val="bottom"/>
            <w:tcBorders>
              <w:top w:val="single" w:sz="8" w:color="E8EAEB"/>
              <w:right w:val="single" w:sz="8" w:color="E8EAEB"/>
            </w:tcBorders>
          </w:tcPr>
          <w:p>
            <w:pPr>
              <w:spacing w:after="0"/>
              <w:rPr>
                <w:sz w:val="17"/>
                <w:szCs w:val="17"/>
                <w:color w:val="auto"/>
              </w:rPr>
            </w:pPr>
          </w:p>
        </w:tc>
        <w:tc>
          <w:tcPr>
            <w:tcW w:w="2220" w:type="dxa"/>
            <w:vAlign w:val="bottom"/>
            <w:tcBorders>
              <w:top w:val="single" w:sz="8" w:color="E8EAEB"/>
            </w:tcBorders>
          </w:tcPr>
          <w:p>
            <w:pPr>
              <w:jc w:val="center"/>
              <w:ind w:left="325"/>
              <w:spacing w:after="0"/>
              <w:rPr>
                <w:sz w:val="20"/>
                <w:szCs w:val="20"/>
                <w:color w:val="auto"/>
              </w:rPr>
            </w:pPr>
            <w:r>
              <w:rPr>
                <w:rFonts w:ascii="Arial" w:cs="Arial" w:eastAsia="Arial" w:hAnsi="Arial"/>
                <w:sz w:val="14"/>
                <w:szCs w:val="14"/>
                <w:b w:val="1"/>
                <w:bCs w:val="1"/>
                <w:color w:val="009FE3"/>
              </w:rPr>
              <w:t xml:space="preserve">    </w:t>
            </w:r>
          </w:p>
        </w:tc>
      </w:tr>
      <w:tr>
        <w:trPr>
          <w:trHeight w:val="158"/>
        </w:trPr>
        <w:tc>
          <w:tcPr>
            <w:tcW w:w="5840" w:type="dxa"/>
            <w:vAlign w:val="bottom"/>
            <w:tcBorders>
              <w:right w:val="single" w:sz="8" w:color="E8EAEB"/>
            </w:tcBorders>
          </w:tcPr>
          <w:p>
            <w:pPr>
              <w:spacing w:after="0"/>
              <w:rPr>
                <w:sz w:val="13"/>
                <w:szCs w:val="13"/>
                <w:color w:val="auto"/>
              </w:rPr>
            </w:pPr>
          </w:p>
        </w:tc>
        <w:tc>
          <w:tcPr>
            <w:tcW w:w="1800" w:type="dxa"/>
            <w:vAlign w:val="bottom"/>
            <w:tcBorders>
              <w:right w:val="single" w:sz="8" w:color="E8EAEB"/>
            </w:tcBorders>
          </w:tcPr>
          <w:p>
            <w:pPr>
              <w:jc w:val="center"/>
              <w:ind w:left="264"/>
              <w:spacing w:after="0" w:line="158" w:lineRule="exact"/>
              <w:rPr>
                <w:sz w:val="20"/>
                <w:szCs w:val="20"/>
                <w:color w:val="auto"/>
              </w:rPr>
            </w:pPr>
            <w:r>
              <w:rPr>
                <w:rFonts w:ascii="Arial" w:cs="Arial" w:eastAsia="Arial" w:hAnsi="Arial"/>
                <w:sz w:val="14"/>
                <w:szCs w:val="14"/>
                <w:b w:val="1"/>
                <w:bCs w:val="1"/>
                <w:color w:val="009FE3"/>
              </w:rPr>
              <w:t xml:space="preserve">    </w:t>
            </w:r>
          </w:p>
        </w:tc>
        <w:tc>
          <w:tcPr>
            <w:tcW w:w="2220" w:type="dxa"/>
            <w:vAlign w:val="bottom"/>
          </w:tcPr>
          <w:p>
            <w:pPr>
              <w:jc w:val="center"/>
              <w:ind w:left="305"/>
              <w:spacing w:after="0" w:line="158" w:lineRule="exact"/>
              <w:rPr>
                <w:sz w:val="20"/>
                <w:szCs w:val="20"/>
                <w:color w:val="auto"/>
              </w:rPr>
            </w:pPr>
            <w:r>
              <w:rPr>
                <w:rFonts w:ascii="Arial" w:cs="Arial" w:eastAsia="Arial" w:hAnsi="Arial"/>
                <w:sz w:val="14"/>
                <w:szCs w:val="14"/>
                <w:b w:val="1"/>
                <w:bCs w:val="1"/>
                <w:color w:val="009FE3"/>
              </w:rPr>
              <w:t xml:space="preserve">Stock Price Achievement    </w:t>
            </w:r>
          </w:p>
        </w:tc>
      </w:tr>
      <w:tr>
        <w:trPr>
          <w:trHeight w:val="193"/>
        </w:trPr>
        <w:tc>
          <w:tcPr>
            <w:tcW w:w="5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Achievement</w:t>
            </w:r>
          </w:p>
        </w:tc>
        <w:tc>
          <w:tcPr>
            <w:tcW w:w="1800" w:type="dxa"/>
            <w:vAlign w:val="bottom"/>
            <w:tcBorders>
              <w:bottom w:val="single" w:sz="8" w:color="009FE3"/>
              <w:right w:val="single" w:sz="8" w:color="E8EAEB"/>
            </w:tcBorders>
          </w:tcPr>
          <w:p>
            <w:pPr>
              <w:jc w:val="center"/>
              <w:ind w:left="264"/>
              <w:spacing w:after="0"/>
              <w:rPr>
                <w:sz w:val="20"/>
                <w:szCs w:val="20"/>
                <w:color w:val="auto"/>
              </w:rPr>
            </w:pPr>
            <w:r>
              <w:rPr>
                <w:rFonts w:ascii="Arial" w:cs="Arial" w:eastAsia="Arial" w:hAnsi="Arial"/>
                <w:sz w:val="14"/>
                <w:szCs w:val="14"/>
                <w:b w:val="1"/>
                <w:bCs w:val="1"/>
                <w:color w:val="009FE3"/>
              </w:rPr>
              <w:t xml:space="preserve">Stock Price Hurdle    </w:t>
            </w:r>
          </w:p>
        </w:tc>
        <w:tc>
          <w:tcPr>
            <w:tcW w:w="2220" w:type="dxa"/>
            <w:vAlign w:val="bottom"/>
            <w:tcBorders>
              <w:bottom w:val="single" w:sz="8" w:color="009FE3"/>
            </w:tcBorders>
          </w:tcPr>
          <w:p>
            <w:pPr>
              <w:jc w:val="center"/>
              <w:ind w:left="305"/>
              <w:spacing w:after="0"/>
              <w:rPr>
                <w:sz w:val="20"/>
                <w:szCs w:val="20"/>
                <w:color w:val="auto"/>
              </w:rPr>
            </w:pPr>
            <w:r>
              <w:rPr>
                <w:rFonts w:ascii="Arial" w:cs="Arial" w:eastAsia="Arial" w:hAnsi="Arial"/>
                <w:sz w:val="14"/>
                <w:szCs w:val="14"/>
                <w:b w:val="1"/>
                <w:bCs w:val="1"/>
                <w:color w:val="009FE3"/>
              </w:rPr>
              <w:t>Percentage</w:t>
            </w:r>
          </w:p>
        </w:tc>
      </w:tr>
      <w:tr>
        <w:trPr>
          <w:trHeight w:val="240"/>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Below Threshold</w:t>
            </w:r>
          </w:p>
        </w:tc>
        <w:tc>
          <w:tcPr>
            <w:tcW w:w="1800" w:type="dxa"/>
            <w:vAlign w:val="bottom"/>
            <w:tcBorders>
              <w:right w:val="single" w:sz="8" w:color="E8EAEB"/>
            </w:tcBorders>
          </w:tcPr>
          <w:p>
            <w:pPr>
              <w:jc w:val="center"/>
              <w:ind w:left="264"/>
              <w:spacing w:after="0"/>
              <w:rPr>
                <w:sz w:val="20"/>
                <w:szCs w:val="20"/>
                <w:color w:val="auto"/>
              </w:rPr>
            </w:pPr>
            <w:r>
              <w:rPr>
                <w:rFonts w:ascii="Arial" w:cs="Arial" w:eastAsia="Arial" w:hAnsi="Arial"/>
                <w:sz w:val="16"/>
                <w:szCs w:val="16"/>
                <w:color w:val="202E39"/>
                <w:w w:val="99"/>
              </w:rPr>
              <w:t>Less than $30.00</w:t>
            </w:r>
          </w:p>
        </w:tc>
        <w:tc>
          <w:tcPr>
            <w:tcW w:w="2220" w:type="dxa"/>
            <w:vAlign w:val="bottom"/>
          </w:tcPr>
          <w:p>
            <w:pPr>
              <w:jc w:val="center"/>
              <w:ind w:left="305"/>
              <w:spacing w:after="0"/>
              <w:rPr>
                <w:sz w:val="20"/>
                <w:szCs w:val="20"/>
                <w:color w:val="auto"/>
              </w:rPr>
            </w:pPr>
            <w:r>
              <w:rPr>
                <w:rFonts w:ascii="Arial" w:cs="Arial" w:eastAsia="Arial" w:hAnsi="Arial"/>
                <w:sz w:val="16"/>
                <w:szCs w:val="16"/>
                <w:color w:val="202E39"/>
                <w:w w:val="88"/>
              </w:rPr>
              <w:t>    0%</w:t>
            </w:r>
          </w:p>
        </w:tc>
      </w:tr>
      <w:tr>
        <w:trPr>
          <w:trHeight w:val="55"/>
        </w:trPr>
        <w:tc>
          <w:tcPr>
            <w:tcW w:w="5840" w:type="dxa"/>
            <w:vAlign w:val="bottom"/>
            <w:tcBorders>
              <w:bottom w:val="single" w:sz="8" w:color="E8EAEB"/>
              <w:right w:val="single" w:sz="8" w:color="E8EAEB"/>
            </w:tcBorders>
          </w:tcPr>
          <w:p>
            <w:pPr>
              <w:spacing w:after="0"/>
              <w:rPr>
                <w:sz w:val="4"/>
                <w:szCs w:val="4"/>
                <w:color w:val="auto"/>
              </w:rPr>
            </w:pPr>
          </w:p>
        </w:tc>
        <w:tc>
          <w:tcPr>
            <w:tcW w:w="1800" w:type="dxa"/>
            <w:vAlign w:val="bottom"/>
            <w:tcBorders>
              <w:bottom w:val="single" w:sz="8" w:color="E8EAEB"/>
              <w:right w:val="single" w:sz="8" w:color="E8EAEB"/>
            </w:tcBorders>
          </w:tcPr>
          <w:p>
            <w:pPr>
              <w:spacing w:after="0"/>
              <w:rPr>
                <w:sz w:val="4"/>
                <w:szCs w:val="4"/>
                <w:color w:val="auto"/>
              </w:rPr>
            </w:pPr>
          </w:p>
        </w:tc>
        <w:tc>
          <w:tcPr>
            <w:tcW w:w="2220" w:type="dxa"/>
            <w:vAlign w:val="bottom"/>
            <w:tcBorders>
              <w:bottom w:val="single" w:sz="8" w:color="E8EAEB"/>
            </w:tcBorders>
          </w:tcPr>
          <w:p>
            <w:pPr>
              <w:spacing w:after="0"/>
              <w:rPr>
                <w:sz w:val="4"/>
                <w:szCs w:val="4"/>
                <w:color w:val="auto"/>
              </w:rPr>
            </w:pPr>
          </w:p>
        </w:tc>
      </w:tr>
      <w:tr>
        <w:trPr>
          <w:trHeight w:val="240"/>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Threshold</w:t>
            </w:r>
          </w:p>
        </w:tc>
        <w:tc>
          <w:tcPr>
            <w:tcW w:w="1800" w:type="dxa"/>
            <w:vAlign w:val="bottom"/>
            <w:tcBorders>
              <w:right w:val="single" w:sz="8" w:color="E8EAEB"/>
            </w:tcBorders>
          </w:tcPr>
          <w:p>
            <w:pPr>
              <w:jc w:val="center"/>
              <w:ind w:left="244"/>
              <w:spacing w:after="0"/>
              <w:rPr>
                <w:sz w:val="20"/>
                <w:szCs w:val="20"/>
                <w:color w:val="auto"/>
              </w:rPr>
            </w:pPr>
            <w:r>
              <w:rPr>
                <w:rFonts w:ascii="Arial" w:cs="Arial" w:eastAsia="Arial" w:hAnsi="Arial"/>
                <w:sz w:val="16"/>
                <w:szCs w:val="16"/>
                <w:color w:val="202E39"/>
                <w:w w:val="98"/>
              </w:rPr>
              <w:t>$30.00</w:t>
            </w:r>
          </w:p>
        </w:tc>
        <w:tc>
          <w:tcPr>
            <w:tcW w:w="2220" w:type="dxa"/>
            <w:vAlign w:val="bottom"/>
          </w:tcPr>
          <w:p>
            <w:pPr>
              <w:jc w:val="center"/>
              <w:ind w:left="305"/>
              <w:spacing w:after="0"/>
              <w:rPr>
                <w:sz w:val="20"/>
                <w:szCs w:val="20"/>
                <w:color w:val="auto"/>
              </w:rPr>
            </w:pPr>
            <w:r>
              <w:rPr>
                <w:rFonts w:ascii="Arial" w:cs="Arial" w:eastAsia="Arial" w:hAnsi="Arial"/>
                <w:sz w:val="16"/>
                <w:szCs w:val="16"/>
                <w:color w:val="202E39"/>
                <w:w w:val="88"/>
              </w:rPr>
              <w:t>  70%</w:t>
            </w:r>
          </w:p>
        </w:tc>
      </w:tr>
      <w:tr>
        <w:trPr>
          <w:trHeight w:val="55"/>
        </w:trPr>
        <w:tc>
          <w:tcPr>
            <w:tcW w:w="5840" w:type="dxa"/>
            <w:vAlign w:val="bottom"/>
            <w:tcBorders>
              <w:bottom w:val="single" w:sz="8" w:color="E8EAEB"/>
              <w:right w:val="single" w:sz="8" w:color="E8EAEB"/>
            </w:tcBorders>
          </w:tcPr>
          <w:p>
            <w:pPr>
              <w:spacing w:after="0"/>
              <w:rPr>
                <w:sz w:val="4"/>
                <w:szCs w:val="4"/>
                <w:color w:val="auto"/>
              </w:rPr>
            </w:pPr>
          </w:p>
        </w:tc>
        <w:tc>
          <w:tcPr>
            <w:tcW w:w="1800" w:type="dxa"/>
            <w:vAlign w:val="bottom"/>
            <w:tcBorders>
              <w:bottom w:val="single" w:sz="8" w:color="E8EAEB"/>
              <w:right w:val="single" w:sz="8" w:color="E8EAEB"/>
            </w:tcBorders>
          </w:tcPr>
          <w:p>
            <w:pPr>
              <w:spacing w:after="0"/>
              <w:rPr>
                <w:sz w:val="4"/>
                <w:szCs w:val="4"/>
                <w:color w:val="auto"/>
              </w:rPr>
            </w:pPr>
          </w:p>
        </w:tc>
        <w:tc>
          <w:tcPr>
            <w:tcW w:w="2220" w:type="dxa"/>
            <w:vAlign w:val="bottom"/>
            <w:tcBorders>
              <w:bottom w:val="single" w:sz="8" w:color="E8EAEB"/>
            </w:tcBorders>
          </w:tcPr>
          <w:p>
            <w:pPr>
              <w:spacing w:after="0"/>
              <w:rPr>
                <w:sz w:val="4"/>
                <w:szCs w:val="4"/>
                <w:color w:val="auto"/>
              </w:rPr>
            </w:pPr>
          </w:p>
        </w:tc>
      </w:tr>
      <w:tr>
        <w:trPr>
          <w:trHeight w:val="240"/>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Target</w:t>
            </w:r>
          </w:p>
        </w:tc>
        <w:tc>
          <w:tcPr>
            <w:tcW w:w="1800" w:type="dxa"/>
            <w:vAlign w:val="bottom"/>
            <w:tcBorders>
              <w:right w:val="single" w:sz="8" w:color="E8EAEB"/>
            </w:tcBorders>
          </w:tcPr>
          <w:p>
            <w:pPr>
              <w:jc w:val="center"/>
              <w:ind w:left="244"/>
              <w:spacing w:after="0"/>
              <w:rPr>
                <w:sz w:val="20"/>
                <w:szCs w:val="20"/>
                <w:color w:val="auto"/>
              </w:rPr>
            </w:pPr>
            <w:r>
              <w:rPr>
                <w:rFonts w:ascii="Arial" w:cs="Arial" w:eastAsia="Arial" w:hAnsi="Arial"/>
                <w:sz w:val="16"/>
                <w:szCs w:val="16"/>
                <w:color w:val="202E39"/>
                <w:w w:val="98"/>
              </w:rPr>
              <w:t>$45.00</w:t>
            </w:r>
          </w:p>
        </w:tc>
        <w:tc>
          <w:tcPr>
            <w:tcW w:w="2220" w:type="dxa"/>
            <w:vAlign w:val="bottom"/>
          </w:tcPr>
          <w:p>
            <w:pPr>
              <w:jc w:val="center"/>
              <w:ind w:left="305"/>
              <w:spacing w:after="0"/>
              <w:rPr>
                <w:sz w:val="20"/>
                <w:szCs w:val="20"/>
                <w:color w:val="auto"/>
              </w:rPr>
            </w:pPr>
            <w:r>
              <w:rPr>
                <w:rFonts w:ascii="Arial" w:cs="Arial" w:eastAsia="Arial" w:hAnsi="Arial"/>
                <w:sz w:val="16"/>
                <w:szCs w:val="16"/>
                <w:color w:val="202E39"/>
                <w:w w:val="97"/>
              </w:rPr>
              <w:t>100%</w:t>
            </w:r>
          </w:p>
        </w:tc>
      </w:tr>
      <w:tr>
        <w:trPr>
          <w:trHeight w:val="55"/>
        </w:trPr>
        <w:tc>
          <w:tcPr>
            <w:tcW w:w="5840" w:type="dxa"/>
            <w:vAlign w:val="bottom"/>
            <w:tcBorders>
              <w:bottom w:val="single" w:sz="8" w:color="E8EAEB"/>
              <w:right w:val="single" w:sz="8" w:color="E8EAEB"/>
            </w:tcBorders>
          </w:tcPr>
          <w:p>
            <w:pPr>
              <w:spacing w:after="0"/>
              <w:rPr>
                <w:sz w:val="4"/>
                <w:szCs w:val="4"/>
                <w:color w:val="auto"/>
              </w:rPr>
            </w:pPr>
          </w:p>
        </w:tc>
        <w:tc>
          <w:tcPr>
            <w:tcW w:w="1800" w:type="dxa"/>
            <w:vAlign w:val="bottom"/>
            <w:tcBorders>
              <w:bottom w:val="single" w:sz="8" w:color="E8EAEB"/>
              <w:right w:val="single" w:sz="8" w:color="E8EAEB"/>
            </w:tcBorders>
          </w:tcPr>
          <w:p>
            <w:pPr>
              <w:spacing w:after="0"/>
              <w:rPr>
                <w:sz w:val="4"/>
                <w:szCs w:val="4"/>
                <w:color w:val="auto"/>
              </w:rPr>
            </w:pPr>
          </w:p>
        </w:tc>
        <w:tc>
          <w:tcPr>
            <w:tcW w:w="2220" w:type="dxa"/>
            <w:vAlign w:val="bottom"/>
            <w:tcBorders>
              <w:bottom w:val="single" w:sz="8" w:color="E8EAEB"/>
            </w:tcBorders>
          </w:tcPr>
          <w:p>
            <w:pPr>
              <w:spacing w:after="0"/>
              <w:rPr>
                <w:sz w:val="4"/>
                <w:szCs w:val="4"/>
                <w:color w:val="auto"/>
              </w:rPr>
            </w:pPr>
          </w:p>
        </w:tc>
      </w:tr>
      <w:tr>
        <w:trPr>
          <w:trHeight w:val="240"/>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Maximum</w:t>
            </w:r>
          </w:p>
        </w:tc>
        <w:tc>
          <w:tcPr>
            <w:tcW w:w="1800" w:type="dxa"/>
            <w:vAlign w:val="bottom"/>
            <w:tcBorders>
              <w:right w:val="single" w:sz="8" w:color="E8EAEB"/>
            </w:tcBorders>
          </w:tcPr>
          <w:p>
            <w:pPr>
              <w:jc w:val="center"/>
              <w:ind w:left="244"/>
              <w:spacing w:after="0"/>
              <w:rPr>
                <w:sz w:val="20"/>
                <w:szCs w:val="20"/>
                <w:color w:val="auto"/>
              </w:rPr>
            </w:pPr>
            <w:r>
              <w:rPr>
                <w:rFonts w:ascii="Arial" w:cs="Arial" w:eastAsia="Arial" w:hAnsi="Arial"/>
                <w:sz w:val="16"/>
                <w:szCs w:val="16"/>
                <w:color w:val="202E39"/>
                <w:w w:val="98"/>
              </w:rPr>
              <w:t>$65.00</w:t>
            </w:r>
          </w:p>
        </w:tc>
        <w:tc>
          <w:tcPr>
            <w:tcW w:w="2220" w:type="dxa"/>
            <w:vAlign w:val="bottom"/>
          </w:tcPr>
          <w:p>
            <w:pPr>
              <w:jc w:val="center"/>
              <w:ind w:left="305"/>
              <w:spacing w:after="0"/>
              <w:rPr>
                <w:sz w:val="20"/>
                <w:szCs w:val="20"/>
                <w:color w:val="auto"/>
              </w:rPr>
            </w:pPr>
            <w:r>
              <w:rPr>
                <w:rFonts w:ascii="Arial" w:cs="Arial" w:eastAsia="Arial" w:hAnsi="Arial"/>
                <w:sz w:val="16"/>
                <w:szCs w:val="16"/>
                <w:color w:val="202E39"/>
                <w:w w:val="97"/>
              </w:rPr>
              <w:t>250%</w:t>
            </w:r>
          </w:p>
        </w:tc>
      </w:tr>
      <w:tr>
        <w:trPr>
          <w:trHeight w:val="55"/>
        </w:trPr>
        <w:tc>
          <w:tcPr>
            <w:tcW w:w="5840" w:type="dxa"/>
            <w:vAlign w:val="bottom"/>
            <w:tcBorders>
              <w:bottom w:val="single" w:sz="8" w:color="009FE3"/>
              <w:right w:val="single" w:sz="8" w:color="E8EAEB"/>
            </w:tcBorders>
          </w:tcPr>
          <w:p>
            <w:pPr>
              <w:spacing w:after="0"/>
              <w:rPr>
                <w:sz w:val="4"/>
                <w:szCs w:val="4"/>
                <w:color w:val="auto"/>
              </w:rPr>
            </w:pPr>
          </w:p>
        </w:tc>
        <w:tc>
          <w:tcPr>
            <w:tcW w:w="1800" w:type="dxa"/>
            <w:vAlign w:val="bottom"/>
            <w:tcBorders>
              <w:bottom w:val="single" w:sz="8" w:color="009FE3"/>
              <w:right w:val="single" w:sz="8" w:color="E8EAEB"/>
            </w:tcBorders>
          </w:tcPr>
          <w:p>
            <w:pPr>
              <w:spacing w:after="0"/>
              <w:rPr>
                <w:sz w:val="4"/>
                <w:szCs w:val="4"/>
                <w:color w:val="auto"/>
              </w:rPr>
            </w:pPr>
          </w:p>
        </w:tc>
        <w:tc>
          <w:tcPr>
            <w:tcW w:w="2220" w:type="dxa"/>
            <w:vAlign w:val="bottom"/>
            <w:tcBorders>
              <w:bottom w:val="single" w:sz="8" w:color="009FE3"/>
            </w:tcBorders>
          </w:tcPr>
          <w:p>
            <w:pPr>
              <w:spacing w:after="0"/>
              <w:rPr>
                <w:sz w:val="4"/>
                <w:szCs w:val="4"/>
                <w:color w:val="auto"/>
              </w:rPr>
            </w:pPr>
          </w:p>
        </w:tc>
      </w:tr>
    </w:tbl>
    <w:p>
      <w:pPr>
        <w:spacing w:after="0" w:line="93" w:lineRule="exact"/>
        <w:rPr>
          <w:sz w:val="20"/>
          <w:szCs w:val="20"/>
          <w:color w:val="auto"/>
        </w:rPr>
      </w:pPr>
    </w:p>
    <w:p>
      <w:pPr>
        <w:ind w:left="700" w:right="80"/>
        <w:spacing w:after="0" w:line="262" w:lineRule="auto"/>
        <w:rPr>
          <w:sz w:val="20"/>
          <w:szCs w:val="20"/>
          <w:color w:val="auto"/>
        </w:rPr>
      </w:pPr>
      <w:r>
        <w:rPr>
          <w:rFonts w:ascii="Arial" w:cs="Arial" w:eastAsia="Arial" w:hAnsi="Arial"/>
          <w:sz w:val="15"/>
          <w:szCs w:val="15"/>
          <w:color w:val="202E39"/>
        </w:rPr>
        <w:t>As of each Annual Vesting Date (as defined below), if the company’s 45-day trailing average market closing price equals or exceeds a Stock Price Hurdle, a number of options will be considered performance-vested options as of such Annual Vesting Date as is determined by multiplying (i) the “Stock Price Achievement Percentage” set forth opposite the highest Stock Price Hurdle achieved during such period in the table above by (ii) the “target” number of options granted. In no event will any option vest unless and until the “threshold” Stock Price Hurdle is achieved. Any portion of the options that becomes performance-vested options during the performance period will only be exercisable if those options also become time-vested options as described below. In the event that the Stock Price is above the “threshold” Stock Price Hurdle but falls between two Stock Price Hurdles, the number of options that will be considered performance-vested will be determined by linear interpolation. In the event of a change in capitalization or other similar adjustment to the company’s common stock, the Stock Price Hurdles will be equitably adjusted by the Committee.</w:t>
      </w:r>
    </w:p>
    <w:p>
      <w:pPr>
        <w:spacing w:after="0" w:line="71" w:lineRule="exact"/>
        <w:rPr>
          <w:sz w:val="20"/>
          <w:szCs w:val="20"/>
          <w:color w:val="auto"/>
        </w:rPr>
      </w:pPr>
    </w:p>
    <w:p>
      <w:pPr>
        <w:ind w:left="700" w:right="60"/>
        <w:spacing w:after="0" w:line="260" w:lineRule="auto"/>
        <w:rPr>
          <w:sz w:val="20"/>
          <w:szCs w:val="20"/>
          <w:color w:val="auto"/>
        </w:rPr>
      </w:pPr>
      <w:r>
        <w:rPr>
          <w:rFonts w:ascii="Arial" w:cs="Arial" w:eastAsia="Arial" w:hAnsi="Arial"/>
          <w:sz w:val="15"/>
          <w:szCs w:val="15"/>
          <w:color w:val="202E39"/>
        </w:rPr>
        <w:t>The portion of the options that are considered performance-vested options as a result of achieving or exceeding any Stock Price Hurdle as of any Annual Vesting Date or upon a change in control will be inclusive of any portion of the options that have previously become performance vested, and in no event will the number of options that are considered performance-vested options as of any Annual Vesting Date or upon a change in control exceed (i) the Stock Price Achievement Percentage determined as of such Annual Vesting Date or upon the change in control multiplied by</w:t>
      </w:r>
    </w:p>
    <w:p>
      <w:pPr>
        <w:spacing w:after="0" w:line="3" w:lineRule="exact"/>
        <w:rPr>
          <w:sz w:val="20"/>
          <w:szCs w:val="20"/>
          <w:color w:val="auto"/>
        </w:rPr>
      </w:pPr>
    </w:p>
    <w:p>
      <w:pPr>
        <w:ind w:left="700"/>
        <w:spacing w:after="0" w:line="245" w:lineRule="auto"/>
        <w:rPr>
          <w:sz w:val="20"/>
          <w:szCs w:val="20"/>
          <w:color w:val="auto"/>
        </w:rPr>
      </w:pPr>
      <w:r>
        <w:rPr>
          <w:rFonts w:ascii="Arial" w:cs="Arial" w:eastAsia="Arial" w:hAnsi="Arial"/>
          <w:sz w:val="16"/>
          <w:szCs w:val="16"/>
          <w:color w:val="202E39"/>
        </w:rPr>
        <w:t>(ii) the “target” number of options. Each Stock Price Hurdle (or any achievement level between Stock Price Hurdles) may be achieved only once during the performance period and more than one Stock Price Hurdle (or any achievement level between Stock Price Hurdles) may be achieved on a particular date.</w:t>
      </w:r>
    </w:p>
    <w:p>
      <w:pPr>
        <w:spacing w:after="0" w:line="92" w:lineRule="exact"/>
        <w:rPr>
          <w:sz w:val="20"/>
          <w:szCs w:val="20"/>
          <w:color w:val="auto"/>
        </w:rPr>
      </w:pPr>
    </w:p>
    <w:p>
      <w:pPr>
        <w:ind w:left="680" w:hanging="208"/>
        <w:spacing w:after="0" w:line="260" w:lineRule="auto"/>
        <w:tabs>
          <w:tab w:leader="none" w:pos="680" w:val="left"/>
        </w:tabs>
        <w:numPr>
          <w:ilvl w:val="0"/>
          <w:numId w:val="44"/>
        </w:numPr>
        <w:rPr>
          <w:rFonts w:ascii="Arial" w:cs="Arial" w:eastAsia="Arial" w:hAnsi="Arial"/>
          <w:sz w:val="15"/>
          <w:szCs w:val="15"/>
          <w:color w:val="009FE3"/>
        </w:rPr>
      </w:pPr>
      <w:r>
        <w:rPr>
          <w:rFonts w:ascii="Arial" w:cs="Arial" w:eastAsia="Arial" w:hAnsi="Arial"/>
          <w:sz w:val="15"/>
          <w:szCs w:val="15"/>
          <w:i w:val="1"/>
          <w:iCs w:val="1"/>
          <w:color w:val="009FE3"/>
        </w:rPr>
        <w:t>Time-Based Vesting Component.</w:t>
      </w:r>
      <w:r>
        <w:rPr>
          <w:rFonts w:ascii="Arial" w:cs="Arial" w:eastAsia="Arial" w:hAnsi="Arial"/>
          <w:sz w:val="15"/>
          <w:szCs w:val="15"/>
          <w:i w:val="1"/>
          <w:iCs w:val="1"/>
          <w:color w:val="202E39"/>
        </w:rPr>
        <w:t xml:space="preserve"> </w:t>
      </w:r>
      <w:r>
        <w:rPr>
          <w:rFonts w:ascii="Arial" w:cs="Arial" w:eastAsia="Arial" w:hAnsi="Arial"/>
          <w:sz w:val="15"/>
          <w:szCs w:val="15"/>
          <w:i w:val="1"/>
          <w:iCs w:val="1"/>
          <w:color w:val="009FE3"/>
        </w:rPr>
        <w:t xml:space="preserve"> </w:t>
      </w:r>
      <w:r>
        <w:rPr>
          <w:rFonts w:ascii="Arial" w:cs="Arial" w:eastAsia="Arial" w:hAnsi="Arial"/>
          <w:sz w:val="15"/>
          <w:szCs w:val="15"/>
          <w:color w:val="202E39"/>
        </w:rPr>
        <w:t>The performance-based stock options are also subject to a time-based vesting component. A Named Executive</w:t>
      </w:r>
      <w:r>
        <w:rPr>
          <w:rFonts w:ascii="Arial" w:cs="Arial" w:eastAsia="Arial" w:hAnsi="Arial"/>
          <w:sz w:val="15"/>
          <w:szCs w:val="15"/>
          <w:i w:val="1"/>
          <w:iCs w:val="1"/>
          <w:color w:val="009FE3"/>
        </w:rPr>
        <w:t xml:space="preserve"> </w:t>
      </w:r>
      <w:r>
        <w:rPr>
          <w:rFonts w:ascii="Arial" w:cs="Arial" w:eastAsia="Arial" w:hAnsi="Arial"/>
          <w:sz w:val="15"/>
          <w:szCs w:val="15"/>
          <w:color w:val="202E39"/>
        </w:rPr>
        <w:t>Officer will become eligible to vest in one-third of the performance-vested options on each of the first three anniversaries of the grant date (each an “Annual Vesting Date”), subject to continued employment through each such date; provided, however, in the event a Stock Price Hurdle is first achieved or exceeded on or after the first Annual Vesting Date but prior to the second and/or third Annual Vesting Dates, any options that become performance-vested options as a result of achieving or exceeding the Stock Price Hurdle that would been time-vested prior to such date will be considered time-vested on the first Annual Vesting Date following the date those options first become performance-vested options. In the event of a Named Executive Officer’s termination of employment for any reason other than death or disability, any options that were both performance-based options as of the Annual Vesting Date preceding the date of termination and time-based options as of the date of termination will be vested and exercisable. In the case of a Named Executive Officer’s death or disability, he or she will fully vest on the date of termination in any of the options for which the Stock Price Hurdle was achieved as of the Annual Vesting Date preceding the date of termination (or, if such termination occurs following a change in control, as of the date of the change in control). The performance-based stock options must be vested under both the time-based vesting schedule and the performance-based vesting conditions to become exercisable by a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78105</wp:posOffset>
            </wp:positionV>
            <wp:extent cx="425450" cy="150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44       </w:t>
      </w:r>
    </w:p>
    <w:p>
      <w:pPr>
        <w:sectPr>
          <w:pgSz w:w="11900" w:h="16838" w:orient="portrait"/>
          <w:cols w:equalWidth="0" w:num="1">
            <w:col w:w="10940"/>
          </w:cols>
          <w:pgMar w:left="320" w:top="474"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right="40"/>
        <w:spacing w:after="0" w:line="244" w:lineRule="auto"/>
        <w:rPr>
          <w:sz w:val="20"/>
          <w:szCs w:val="20"/>
          <w:color w:val="auto"/>
        </w:rPr>
      </w:pPr>
      <w:r>
        <w:rPr>
          <w:rFonts w:ascii="Arial" w:cs="Arial" w:eastAsia="Arial" w:hAnsi="Arial"/>
          <w:sz w:val="16"/>
          <w:szCs w:val="16"/>
          <w:i w:val="1"/>
          <w:iCs w:val="1"/>
          <w:color w:val="009FE3"/>
        </w:rPr>
        <w:t xml:space="preserve">Performance-Based Stock Options Granted to K. Guru Gowrappan in April 2023.  </w:t>
      </w:r>
      <w:r>
        <w:rPr>
          <w:rFonts w:ascii="Arial" w:cs="Arial" w:eastAsia="Arial" w:hAnsi="Arial"/>
          <w:sz w:val="16"/>
          <w:szCs w:val="16"/>
          <w:color w:val="202E39"/>
        </w:rPr>
        <w:t>In connection with his commencement of employment in April 2023, in</w:t>
      </w:r>
      <w:r>
        <w:rPr>
          <w:rFonts w:ascii="Arial" w:cs="Arial" w:eastAsia="Arial" w:hAnsi="Arial"/>
          <w:sz w:val="16"/>
          <w:szCs w:val="16"/>
          <w:i w:val="1"/>
          <w:iCs w:val="1"/>
          <w:color w:val="009FE3"/>
        </w:rPr>
        <w:t xml:space="preserve"> </w:t>
      </w:r>
      <w:r>
        <w:rPr>
          <w:rFonts w:ascii="Arial" w:cs="Arial" w:eastAsia="Arial" w:hAnsi="Arial"/>
          <w:sz w:val="16"/>
          <w:szCs w:val="16"/>
          <w:color w:val="202E39"/>
        </w:rPr>
        <w:t>April 2023 the Committee granted performance-based stock options to Mr. Gowrappan. Consistent with the performance-based stock options granted to our other Named Executive Officers in November 2022, the Committee selected relative TSR over a four-year period as the sole performance metric for these awards as our Committee members believe TSR is the strongest indicator of long-term stockholder value creation. Delivering the award in the form of a performance-based stock option provides for further alignment with stockholders as any stock price gains realized by our executive officers would be in proportion to those realized by our stockholders. Furthermore, as these awards are stock options, if Viasat’s stock price falls below the exercise price, which is equal to the closing market price on the day of grant, any vested stock options would retain no value until the stock price increases above the exercise price.</w:t>
      </w:r>
    </w:p>
    <w:p>
      <w:pPr>
        <w:spacing w:after="0" w:line="94" w:lineRule="exact"/>
        <w:rPr>
          <w:sz w:val="20"/>
          <w:szCs w:val="20"/>
          <w:color w:val="auto"/>
        </w:rPr>
      </w:pPr>
    </w:p>
    <w:p>
      <w:pPr>
        <w:ind w:left="780" w:right="360" w:hanging="203"/>
        <w:spacing w:after="0" w:line="269" w:lineRule="auto"/>
        <w:tabs>
          <w:tab w:leader="none" w:pos="780" w:val="left"/>
        </w:tabs>
        <w:numPr>
          <w:ilvl w:val="0"/>
          <w:numId w:val="45"/>
        </w:numPr>
        <w:rPr>
          <w:rFonts w:ascii="Arial" w:cs="Arial" w:eastAsia="Arial" w:hAnsi="Arial"/>
          <w:sz w:val="16"/>
          <w:szCs w:val="16"/>
          <w:color w:val="009FE3"/>
        </w:rPr>
      </w:pPr>
      <w:r>
        <w:rPr>
          <w:rFonts w:ascii="Arial" w:cs="Arial" w:eastAsia="Arial" w:hAnsi="Arial"/>
          <w:sz w:val="16"/>
          <w:szCs w:val="16"/>
          <w:i w:val="1"/>
          <w:iCs w:val="1"/>
          <w:color w:val="009FE3"/>
        </w:rPr>
        <w:t>Performance-Contingent Vesting Component.</w:t>
      </w:r>
      <w:r>
        <w:rPr>
          <w:rFonts w:ascii="Arial" w:cs="Arial" w:eastAsia="Arial" w:hAnsi="Arial"/>
          <w:sz w:val="16"/>
          <w:szCs w:val="16"/>
          <w:i w:val="1"/>
          <w:i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performance-based stock options will vest based on Viasat’s four-year TSR performance</w:t>
      </w:r>
      <w:r>
        <w:rPr>
          <w:rFonts w:ascii="Arial" w:cs="Arial" w:eastAsia="Arial" w:hAnsi="Arial"/>
          <w:sz w:val="16"/>
          <w:szCs w:val="16"/>
          <w:i w:val="1"/>
          <w:iCs w:val="1"/>
          <w:color w:val="009FE3"/>
        </w:rPr>
        <w:t xml:space="preserve"> </w:t>
      </w:r>
      <w:r>
        <w:rPr>
          <w:rFonts w:ascii="Arial" w:cs="Arial" w:eastAsia="Arial" w:hAnsi="Arial"/>
          <w:sz w:val="16"/>
          <w:szCs w:val="16"/>
          <w:color w:val="202E39"/>
        </w:rPr>
        <w:t>relative to the S&amp;P MidCap 400 index according to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129540</wp:posOffset>
            </wp:positionV>
            <wp:extent cx="2812415" cy="667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12415" cy="66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540" w:hanging="319"/>
        <w:spacing w:after="0" w:line="193" w:lineRule="auto"/>
        <w:tabs>
          <w:tab w:leader="none" w:pos="1540" w:val="left"/>
        </w:tabs>
        <w:numPr>
          <w:ilvl w:val="1"/>
          <w:numId w:val="46"/>
        </w:numPr>
        <w:rPr>
          <w:rFonts w:ascii="Wingdings" w:cs="Wingdings" w:eastAsia="Wingdings" w:hAnsi="Wingdings"/>
          <w:sz w:val="12"/>
          <w:szCs w:val="12"/>
          <w:b w:val="1"/>
          <w:bCs w:val="1"/>
          <w:color w:val="202E39"/>
        </w:rPr>
      </w:pPr>
      <w:r>
        <w:rPr>
          <w:rFonts w:ascii="Arial" w:cs="Arial" w:eastAsia="Arial" w:hAnsi="Arial"/>
          <w:sz w:val="16"/>
          <w:szCs w:val="16"/>
          <w:i w:val="1"/>
          <w:iCs w:val="1"/>
          <w:color w:val="202E39"/>
        </w:rPr>
        <w:t>Above the 25</w:t>
      </w:r>
      <w:r>
        <w:rPr>
          <w:rFonts w:ascii="Arial" w:cs="Arial" w:eastAsia="Arial" w:hAnsi="Arial"/>
          <w:sz w:val="23"/>
          <w:szCs w:val="23"/>
          <w:i w:val="1"/>
          <w:iCs w:val="1"/>
          <w:color w:val="202E39"/>
          <w:vertAlign w:val="superscript"/>
        </w:rPr>
        <w:t>th</w:t>
      </w:r>
      <w:r>
        <w:rPr>
          <w:rFonts w:ascii="Arial" w:cs="Arial" w:eastAsia="Arial" w:hAnsi="Arial"/>
          <w:sz w:val="16"/>
          <w:szCs w:val="16"/>
          <w:i w:val="1"/>
          <w:iCs w:val="1"/>
          <w:color w:val="202E39"/>
        </w:rPr>
        <w:t xml:space="preserve"> and below the 90</w:t>
      </w:r>
      <w:r>
        <w:rPr>
          <w:rFonts w:ascii="Arial" w:cs="Arial" w:eastAsia="Arial" w:hAnsi="Arial"/>
          <w:sz w:val="23"/>
          <w:szCs w:val="23"/>
          <w:i w:val="1"/>
          <w:iCs w:val="1"/>
          <w:color w:val="202E39"/>
          <w:vertAlign w:val="superscript"/>
        </w:rPr>
        <w:t>th</w:t>
      </w:r>
      <w:r>
        <w:rPr>
          <w:rFonts w:ascii="Arial" w:cs="Arial" w:eastAsia="Arial" w:hAnsi="Arial"/>
          <w:sz w:val="16"/>
          <w:szCs w:val="16"/>
          <w:i w:val="1"/>
          <w:iCs w:val="1"/>
          <w:color w:val="202E39"/>
        </w:rPr>
        <w:t xml:space="preserve"> percentiles:</w:t>
      </w:r>
      <w:r>
        <w:rPr>
          <w:rFonts w:ascii="Arial" w:cs="Arial" w:eastAsia="Arial" w:hAnsi="Arial"/>
          <w:sz w:val="16"/>
          <w:szCs w:val="16"/>
          <w:color w:val="202E39"/>
        </w:rPr>
        <w:t xml:space="preserve">  Performance-based stock options will vest on a linear scale between a range of 50%</w:t>
      </w:r>
      <w:r>
        <w:rPr>
          <w:rFonts w:ascii="Arial" w:cs="Arial" w:eastAsia="Arial" w:hAnsi="Arial"/>
          <w:sz w:val="16"/>
          <w:szCs w:val="16"/>
          <w:i w:val="1"/>
          <w:iCs w:val="1"/>
          <w:color w:val="202E39"/>
        </w:rPr>
        <w:t xml:space="preserve"> </w:t>
      </w:r>
      <w:r>
        <w:rPr>
          <w:rFonts w:ascii="Arial" w:cs="Arial" w:eastAsia="Arial" w:hAnsi="Arial"/>
          <w:sz w:val="16"/>
          <w:szCs w:val="16"/>
          <w:color w:val="202E39"/>
        </w:rPr>
        <w:t>and 175% of the target number of options, where the target is achieved at the 50</w:t>
      </w:r>
      <w:r>
        <w:rPr>
          <w:rFonts w:ascii="Arial" w:cs="Arial" w:eastAsia="Arial" w:hAnsi="Arial"/>
          <w:sz w:val="23"/>
          <w:szCs w:val="23"/>
          <w:color w:val="202E39"/>
          <w:vertAlign w:val="superscript"/>
        </w:rPr>
        <w:t>th</w:t>
      </w:r>
      <w:r>
        <w:rPr>
          <w:rFonts w:ascii="Arial" w:cs="Arial" w:eastAsia="Arial" w:hAnsi="Arial"/>
          <w:sz w:val="16"/>
          <w:szCs w:val="16"/>
          <w:color w:val="202E39"/>
        </w:rPr>
        <w:t xml:space="preserve"> percentile (with the resulting number of stock options that ultimately vest at the end of the performance period referred to as the performance-adjusted options).</w:t>
      </w:r>
    </w:p>
    <w:p>
      <w:pPr>
        <w:spacing w:after="0" w:line="96" w:lineRule="exact"/>
        <w:rPr>
          <w:rFonts w:ascii="Wingdings" w:cs="Wingdings" w:eastAsia="Wingdings" w:hAnsi="Wingdings"/>
          <w:sz w:val="12"/>
          <w:szCs w:val="12"/>
          <w:b w:val="1"/>
          <w:bCs w:val="1"/>
          <w:color w:val="202E39"/>
        </w:rPr>
      </w:pPr>
    </w:p>
    <w:p>
      <w:pPr>
        <w:ind w:left="1540" w:hanging="319"/>
        <w:spacing w:after="0"/>
        <w:tabs>
          <w:tab w:leader="none" w:pos="1540" w:val="left"/>
        </w:tabs>
        <w:numPr>
          <w:ilvl w:val="1"/>
          <w:numId w:val="46"/>
        </w:numPr>
        <w:rPr>
          <w:rFonts w:ascii="Wingdings" w:cs="Wingdings" w:eastAsia="Wingdings" w:hAnsi="Wingdings"/>
          <w:sz w:val="12"/>
          <w:szCs w:val="12"/>
          <w:b w:val="1"/>
          <w:bCs w:val="1"/>
          <w:color w:val="202E39"/>
        </w:rPr>
      </w:pPr>
      <w:r>
        <w:rPr>
          <w:rFonts w:ascii="Arial" w:cs="Arial" w:eastAsia="Arial" w:hAnsi="Arial"/>
          <w:sz w:val="16"/>
          <w:szCs w:val="16"/>
          <w:i w:val="1"/>
          <w:iCs w:val="1"/>
          <w:color w:val="202E39"/>
        </w:rPr>
        <w:t>At or below 25</w:t>
      </w:r>
      <w:r>
        <w:rPr>
          <w:rFonts w:ascii="Arial" w:cs="Arial" w:eastAsia="Arial" w:hAnsi="Arial"/>
          <w:sz w:val="23"/>
          <w:szCs w:val="23"/>
          <w:i w:val="1"/>
          <w:iCs w:val="1"/>
          <w:color w:val="202E39"/>
          <w:vertAlign w:val="superscript"/>
        </w:rPr>
        <w:t>th</w:t>
      </w:r>
      <w:r>
        <w:rPr>
          <w:rFonts w:ascii="Arial" w:cs="Arial" w:eastAsia="Arial" w:hAnsi="Arial"/>
          <w:sz w:val="16"/>
          <w:szCs w:val="16"/>
          <w:i w:val="1"/>
          <w:iCs w:val="1"/>
          <w:color w:val="202E39"/>
        </w:rPr>
        <w:t xml:space="preserve"> percentile:</w:t>
      </w:r>
      <w:r>
        <w:rPr>
          <w:rFonts w:ascii="Arial" w:cs="Arial" w:eastAsia="Arial" w:hAnsi="Arial"/>
          <w:sz w:val="16"/>
          <w:szCs w:val="16"/>
          <w:color w:val="202E39"/>
        </w:rPr>
        <w:t xml:space="preserve">   No performance-based stock options will vest and they will be forfeited by Mr. Gowrappan.</w:t>
      </w:r>
    </w:p>
    <w:p>
      <w:pPr>
        <w:spacing w:after="0" w:line="51" w:lineRule="exact"/>
        <w:rPr>
          <w:rFonts w:ascii="Wingdings" w:cs="Wingdings" w:eastAsia="Wingdings" w:hAnsi="Wingdings"/>
          <w:sz w:val="12"/>
          <w:szCs w:val="12"/>
          <w:b w:val="1"/>
          <w:bCs w:val="1"/>
          <w:color w:val="202E39"/>
        </w:rPr>
      </w:pPr>
    </w:p>
    <w:p>
      <w:pPr>
        <w:ind w:left="780" w:hanging="203"/>
        <w:spacing w:after="0" w:line="241" w:lineRule="auto"/>
        <w:tabs>
          <w:tab w:leader="none" w:pos="780" w:val="left"/>
        </w:tabs>
        <w:numPr>
          <w:ilvl w:val="0"/>
          <w:numId w:val="46"/>
        </w:numPr>
        <w:rPr>
          <w:rFonts w:ascii="Arial" w:cs="Arial" w:eastAsia="Arial" w:hAnsi="Arial"/>
          <w:sz w:val="16"/>
          <w:szCs w:val="16"/>
          <w:color w:val="009FE3"/>
        </w:rPr>
      </w:pPr>
      <w:r>
        <w:rPr>
          <w:rFonts w:ascii="Arial" w:cs="Arial" w:eastAsia="Arial" w:hAnsi="Arial"/>
          <w:sz w:val="16"/>
          <w:szCs w:val="16"/>
          <w:i w:val="1"/>
          <w:iCs w:val="1"/>
          <w:color w:val="009FE3"/>
        </w:rPr>
        <w:t>Time-Based Vesting Component.</w:t>
      </w:r>
      <w:r>
        <w:rPr>
          <w:rFonts w:ascii="Arial" w:cs="Arial" w:eastAsia="Arial" w:hAnsi="Arial"/>
          <w:sz w:val="16"/>
          <w:szCs w:val="16"/>
          <w:i w:val="1"/>
          <w:i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performance-based stock options are also subject to a time-based vesting component. Mr. Gowrappan will</w:t>
      </w:r>
      <w:r>
        <w:rPr>
          <w:rFonts w:ascii="Arial" w:cs="Arial" w:eastAsia="Arial" w:hAnsi="Arial"/>
          <w:sz w:val="16"/>
          <w:szCs w:val="16"/>
          <w:i w:val="1"/>
          <w:iCs w:val="1"/>
          <w:color w:val="009FE3"/>
        </w:rPr>
        <w:t xml:space="preserve"> </w:t>
      </w:r>
      <w:r>
        <w:rPr>
          <w:rFonts w:ascii="Arial" w:cs="Arial" w:eastAsia="Arial" w:hAnsi="Arial"/>
          <w:sz w:val="16"/>
          <w:szCs w:val="16"/>
          <w:color w:val="202E39"/>
        </w:rPr>
        <w:t>become eligible to vest in 25% of the performance-adjusted options at the end of the performance period on each of the first four anniversaries of the grant date, subject to continued employment through each such date. In the event of a Mr. Gowrappan’s termination of employment prior to the end of the performance period, he will remain eligible to vest, at the end of the performance period, in such portion of the performance-adjusted options as had vested as of the date of termination in accordance with the time-based vesting schedule described above (and, in the case of his death or disability, he or she will be given full credit under the time-based vesting schedule through the date of termination and will remain eligible to vest in any and all of the performance-adjusted options at the end of the performance period). The performance-based stock options must be vested under both the time-based vesting schedule and the performance-based vesting conditions to become exercisable by Mr. Gowrappan.</w:t>
      </w:r>
    </w:p>
    <w:p>
      <w:pPr>
        <w:spacing w:after="0" w:line="85" w:lineRule="exact"/>
        <w:rPr>
          <w:sz w:val="20"/>
          <w:szCs w:val="20"/>
          <w:color w:val="auto"/>
        </w:rPr>
      </w:pPr>
    </w:p>
    <w:p>
      <w:pPr>
        <w:ind w:left="260"/>
        <w:spacing w:after="0" w:line="263" w:lineRule="auto"/>
        <w:rPr>
          <w:sz w:val="20"/>
          <w:szCs w:val="20"/>
          <w:color w:val="auto"/>
        </w:rPr>
      </w:pPr>
      <w:r>
        <w:rPr>
          <w:rFonts w:ascii="Arial" w:cs="Arial" w:eastAsia="Arial" w:hAnsi="Arial"/>
          <w:sz w:val="15"/>
          <w:szCs w:val="15"/>
          <w:i w:val="1"/>
          <w:iCs w:val="1"/>
          <w:color w:val="009FE3"/>
        </w:rPr>
        <w:t>Relationship Between Pay and Performance.</w:t>
      </w:r>
      <w:r>
        <w:rPr>
          <w:rFonts w:ascii="Arial" w:cs="Arial" w:eastAsia="Arial" w:hAnsi="Arial"/>
          <w:sz w:val="15"/>
          <w:szCs w:val="15"/>
          <w:i w:val="1"/>
          <w:iCs w:val="1"/>
          <w:color w:val="202E39"/>
        </w:rPr>
        <w:t xml:space="preserve"> </w:t>
      </w:r>
      <w:r>
        <w:rPr>
          <w:rFonts w:ascii="Arial" w:cs="Arial" w:eastAsia="Arial" w:hAnsi="Arial"/>
          <w:sz w:val="15"/>
          <w:szCs w:val="15"/>
          <w:i w:val="1"/>
          <w:iCs w:val="1"/>
          <w:color w:val="009FE3"/>
        </w:rPr>
        <w:t xml:space="preserve"> </w:t>
      </w:r>
      <w:r>
        <w:rPr>
          <w:rFonts w:ascii="Arial" w:cs="Arial" w:eastAsia="Arial" w:hAnsi="Arial"/>
          <w:sz w:val="15"/>
          <w:szCs w:val="15"/>
          <w:color w:val="202E39"/>
        </w:rPr>
        <w:t>The performance-based stock options awarded to our executive officers are designed to further align</w:t>
      </w:r>
      <w:r>
        <w:rPr>
          <w:rFonts w:ascii="Arial" w:cs="Arial" w:eastAsia="Arial" w:hAnsi="Arial"/>
          <w:sz w:val="15"/>
          <w:szCs w:val="15"/>
          <w:i w:val="1"/>
          <w:iCs w:val="1"/>
          <w:color w:val="009FE3"/>
        </w:rPr>
        <w:t xml:space="preserve"> </w:t>
      </w:r>
      <w:r>
        <w:rPr>
          <w:rFonts w:ascii="Arial" w:cs="Arial" w:eastAsia="Arial" w:hAnsi="Arial"/>
          <w:sz w:val="15"/>
          <w:szCs w:val="15"/>
          <w:color w:val="202E39"/>
        </w:rPr>
        <w:t>executive pay with stockholder value creation by only delivering value when Viasat’s TSR during the applicable measurement period outperforms the TSR of at least 25% of companies in the S&amp;P MidCap 400 (for awards granted prior to October 2023) or equals or exceeds the specified Stock Price Hurdles (for the October 2023 awards) and Viasat’s stock price exceeds the exercise price of such performance-based stock options. Illustrating that a significant portion of our executive officers’ pay is at risk, Viasat’s TSR performance for the performance-based stock option awards granted in fiscal years 2018, 2019 and 2020 were below the 25</w:t>
      </w:r>
      <w:r>
        <w:rPr>
          <w:rFonts w:ascii="Arial" w:cs="Arial" w:eastAsia="Arial" w:hAnsi="Arial"/>
          <w:sz w:val="22"/>
          <w:szCs w:val="22"/>
          <w:color w:val="202E39"/>
          <w:vertAlign w:val="superscript"/>
        </w:rPr>
        <w:t>th</w:t>
      </w:r>
      <w:r>
        <w:rPr>
          <w:rFonts w:ascii="Arial" w:cs="Arial" w:eastAsia="Arial" w:hAnsi="Arial"/>
          <w:sz w:val="15"/>
          <w:szCs w:val="15"/>
          <w:color w:val="202E39"/>
        </w:rPr>
        <w:t xml:space="preserve"> percentile on the performance measurement date and resulted in no performance-based stock options being earned.</w:t>
      </w:r>
    </w:p>
    <w:p>
      <w:pPr>
        <w:spacing w:after="0" w:line="1" w:lineRule="exact"/>
        <w:rPr>
          <w:sz w:val="20"/>
          <w:szCs w:val="20"/>
          <w:color w:val="auto"/>
        </w:rPr>
      </w:pPr>
    </w:p>
    <w:p>
      <w:pPr>
        <w:ind w:left="260" w:right="20"/>
        <w:spacing w:after="0" w:line="241" w:lineRule="auto"/>
        <w:rPr>
          <w:sz w:val="20"/>
          <w:szCs w:val="20"/>
          <w:color w:val="auto"/>
        </w:rPr>
      </w:pPr>
      <w:r>
        <w:rPr>
          <w:rFonts w:ascii="Arial" w:cs="Arial" w:eastAsia="Arial" w:hAnsi="Arial"/>
          <w:sz w:val="16"/>
          <w:szCs w:val="16"/>
          <w:i w:val="1"/>
          <w:iCs w:val="1"/>
          <w:color w:val="009FE3"/>
        </w:rPr>
        <w:t>Accelerated Vesting of Performance-Based Stock Options.</w:t>
      </w:r>
      <w:r>
        <w:rPr>
          <w:rFonts w:ascii="Arial" w:cs="Arial" w:eastAsia="Arial" w:hAnsi="Arial"/>
          <w:sz w:val="16"/>
          <w:szCs w:val="16"/>
          <w:i w:val="1"/>
          <w:iCs w:val="1"/>
          <w:color w:val="202E39"/>
        </w:rPr>
        <w:t xml:space="preserve"> </w:t>
      </w:r>
      <w:r>
        <w:rPr>
          <w:rFonts w:ascii="Arial" w:cs="Arial" w:eastAsia="Arial" w:hAnsi="Arial"/>
          <w:sz w:val="16"/>
          <w:szCs w:val="16"/>
          <w:i w:val="1"/>
          <w:iCs w:val="1"/>
          <w:color w:val="009FE3"/>
        </w:rPr>
        <w:t xml:space="preserve"> </w:t>
      </w:r>
      <w:r>
        <w:rPr>
          <w:rFonts w:ascii="Arial" w:cs="Arial" w:eastAsia="Arial" w:hAnsi="Arial"/>
          <w:sz w:val="16"/>
          <w:szCs w:val="16"/>
          <w:color w:val="202E39"/>
        </w:rPr>
        <w:t>In the event of a change in control of the company prior to the end of the performance period</w:t>
      </w:r>
      <w:r>
        <w:rPr>
          <w:rFonts w:ascii="Arial" w:cs="Arial" w:eastAsia="Arial" w:hAnsi="Arial"/>
          <w:sz w:val="16"/>
          <w:szCs w:val="16"/>
          <w:i w:val="1"/>
          <w:iCs w:val="1"/>
          <w:color w:val="009FE3"/>
        </w:rPr>
        <w:t xml:space="preserve"> </w:t>
      </w:r>
      <w:r>
        <w:rPr>
          <w:rFonts w:ascii="Arial" w:cs="Arial" w:eastAsia="Arial" w:hAnsi="Arial"/>
          <w:sz w:val="16"/>
          <w:szCs w:val="16"/>
          <w:color w:val="202E39"/>
        </w:rPr>
        <w:t>and the performance vesting of all of the options, the number of performance-vested 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or stock price (based on the CIC price). The Named Executive Officers may also be eligible for accelerated vesting of any portion of the performance-adjusted options (as determined at the time of the change in control) that remain eligible to vest based on continued service in accordance with the terms of their severance agreements and change in control severance agreements, as described below. For more information on the restricted stock units and performance-based stock options granted during fiscal year 2024, see the Grants of Plan-Based Awards in Fiscal Year 2024 table below.</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45</w:t>
      </w:r>
    </w:p>
    <w:p>
      <w:pPr>
        <w:sectPr>
          <w:pgSz w:w="11900" w:h="16838" w:orient="portrait"/>
          <w:cols w:equalWidth="0" w:num="1">
            <w:col w:w="10980"/>
          </w:cols>
          <w:pgMar w:left="320" w:top="474" w:right="5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Discussion and Analysis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Other Benefits</w:t>
      </w:r>
    </w:p>
    <w:p>
      <w:pPr>
        <w:spacing w:after="0" w:line="105" w:lineRule="exact"/>
        <w:rPr>
          <w:sz w:val="20"/>
          <w:szCs w:val="20"/>
          <w:color w:val="auto"/>
        </w:rPr>
      </w:pPr>
    </w:p>
    <w:p>
      <w:pPr>
        <w:ind w:left="260" w:right="300"/>
        <w:spacing w:after="0" w:line="254" w:lineRule="auto"/>
        <w:rPr>
          <w:sz w:val="20"/>
          <w:szCs w:val="20"/>
          <w:color w:val="auto"/>
        </w:rPr>
      </w:pPr>
      <w:r>
        <w:rPr>
          <w:rFonts w:ascii="Arial" w:cs="Arial" w:eastAsia="Arial" w:hAnsi="Arial"/>
          <w:sz w:val="16"/>
          <w:szCs w:val="16"/>
          <w:color w:val="202E39"/>
        </w:rPr>
        <w:t>We currently provide for certain severance payments and benefits if an executive officer’s employment is involuntarily or constructively terminated, including in connection with a change in control of the company. Benefits can be found under the Potential Payments Upon Termination section of this proxy statement.</w:t>
      </w:r>
    </w:p>
    <w:p>
      <w:pPr>
        <w:spacing w:after="0" w:line="73" w:lineRule="exact"/>
        <w:rPr>
          <w:sz w:val="20"/>
          <w:szCs w:val="20"/>
          <w:color w:val="auto"/>
        </w:rPr>
      </w:pPr>
    </w:p>
    <w:p>
      <w:pPr>
        <w:ind w:left="260" w:right="140"/>
        <w:spacing w:after="0" w:line="249" w:lineRule="auto"/>
        <w:rPr>
          <w:sz w:val="20"/>
          <w:szCs w:val="20"/>
          <w:color w:val="auto"/>
        </w:rPr>
      </w:pPr>
      <w:r>
        <w:rPr>
          <w:rFonts w:ascii="Arial" w:cs="Arial" w:eastAsia="Arial" w:hAnsi="Arial"/>
          <w:sz w:val="16"/>
          <w:szCs w:val="16"/>
          <w:color w:val="202E39"/>
        </w:rPr>
        <w:t>We also provide a comprehensive benefits package to all of our employees, including our executive officers, which includes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Perquisites and Other Personal Benefits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Certain executive officers also receive access to our sports and golf club memberships, and relocation reimbursement.</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Additional Information</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Stock Ownership Guidelines</w:t>
      </w:r>
    </w:p>
    <w:p>
      <w:pPr>
        <w:spacing w:after="0" w:line="105" w:lineRule="exact"/>
        <w:rPr>
          <w:sz w:val="20"/>
          <w:szCs w:val="20"/>
          <w:color w:val="auto"/>
        </w:rPr>
      </w:pPr>
    </w:p>
    <w:p>
      <w:pPr>
        <w:ind w:left="260" w:right="60"/>
        <w:spacing w:after="0" w:line="247" w:lineRule="auto"/>
        <w:rPr>
          <w:sz w:val="20"/>
          <w:szCs w:val="20"/>
          <w:color w:val="auto"/>
        </w:rPr>
      </w:pPr>
      <w:r>
        <w:rPr>
          <w:rFonts w:ascii="Arial" w:cs="Arial" w:eastAsia="Arial" w:hAnsi="Arial"/>
          <w:sz w:val="16"/>
          <w:szCs w:val="16"/>
          <w:color w:val="202E39"/>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140970</wp:posOffset>
            </wp:positionV>
            <wp:extent cx="3405505" cy="6007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05505" cy="600710"/>
                    </a:xfrm>
                    <a:prstGeom prst="rect">
                      <a:avLst/>
                    </a:prstGeom>
                    <a:noFill/>
                  </pic:spPr>
                </pic:pic>
              </a:graphicData>
            </a:graphic>
          </wp:anchor>
        </w:drawing>
      </w:r>
    </w:p>
    <w:p>
      <w:pPr>
        <w:spacing w:after="0" w:line="202" w:lineRule="exact"/>
        <w:rPr>
          <w:sz w:val="20"/>
          <w:szCs w:val="20"/>
          <w:color w:val="auto"/>
        </w:rPr>
      </w:pPr>
    </w:p>
    <w:tbl>
      <w:tblPr>
        <w:tblLayout w:type="fixed"/>
        <w:tblInd w:w="2940" w:type="dxa"/>
        <w:tblCellMar>
          <w:top w:w="0" w:type="dxa"/>
          <w:left w:w="0" w:type="dxa"/>
          <w:bottom w:w="0" w:type="dxa"/>
          <w:right w:w="0" w:type="dxa"/>
        </w:tblCellMar>
      </w:tblPr>
      <w:tr>
        <w:trPr>
          <w:trHeight w:val="214"/>
        </w:trPr>
        <w:tc>
          <w:tcPr>
            <w:tcW w:w="2920" w:type="dxa"/>
            <w:vAlign w:val="bottom"/>
            <w:shd w:val="clear" w:color="auto" w:fill="009FE3"/>
          </w:tcPr>
          <w:p>
            <w:pPr>
              <w:spacing w:after="0"/>
              <w:rPr>
                <w:sz w:val="18"/>
                <w:szCs w:val="18"/>
                <w:color w:val="auto"/>
              </w:rPr>
            </w:pPr>
          </w:p>
        </w:tc>
        <w:tc>
          <w:tcPr>
            <w:tcW w:w="2460" w:type="dxa"/>
            <w:vAlign w:val="bottom"/>
            <w:shd w:val="clear" w:color="auto" w:fill="009FE3"/>
          </w:tcPr>
          <w:p>
            <w:pPr>
              <w:jc w:val="center"/>
              <w:ind w:left="6"/>
              <w:spacing w:after="0"/>
              <w:rPr>
                <w:sz w:val="20"/>
                <w:szCs w:val="20"/>
                <w:color w:val="auto"/>
              </w:rPr>
            </w:pPr>
            <w:r>
              <w:rPr>
                <w:rFonts w:ascii="Arial" w:cs="Arial" w:eastAsia="Arial" w:hAnsi="Arial"/>
                <w:sz w:val="14"/>
                <w:szCs w:val="14"/>
                <w:b w:val="1"/>
                <w:bCs w:val="1"/>
                <w:color w:val="FFFFFF"/>
                <w:w w:val="99"/>
              </w:rPr>
              <w:t>Stock Ownership Guideline</w:t>
            </w:r>
          </w:p>
        </w:tc>
      </w:tr>
      <w:tr>
        <w:trPr>
          <w:trHeight w:val="207"/>
        </w:trPr>
        <w:tc>
          <w:tcPr>
            <w:tcW w:w="2920" w:type="dxa"/>
            <w:vAlign w:val="bottom"/>
            <w:shd w:val="clear" w:color="auto" w:fill="009FE3"/>
          </w:tcPr>
          <w:p>
            <w:pPr>
              <w:ind w:left="1000"/>
              <w:spacing w:after="0"/>
              <w:rPr>
                <w:sz w:val="20"/>
                <w:szCs w:val="20"/>
                <w:color w:val="auto"/>
              </w:rPr>
            </w:pPr>
            <w:r>
              <w:rPr>
                <w:rFonts w:ascii="Arial" w:cs="Arial" w:eastAsia="Arial" w:hAnsi="Arial"/>
                <w:sz w:val="14"/>
                <w:szCs w:val="14"/>
                <w:b w:val="1"/>
                <w:bCs w:val="1"/>
                <w:color w:val="FFFFFF"/>
              </w:rPr>
              <w:t>Executive Officer</w:t>
            </w:r>
          </w:p>
        </w:tc>
        <w:tc>
          <w:tcPr>
            <w:tcW w:w="2460" w:type="dxa"/>
            <w:vAlign w:val="bottom"/>
            <w:shd w:val="clear" w:color="auto" w:fill="009FE3"/>
          </w:tcPr>
          <w:p>
            <w:pPr>
              <w:jc w:val="center"/>
              <w:ind w:left="6"/>
              <w:spacing w:after="0"/>
              <w:rPr>
                <w:sz w:val="20"/>
                <w:szCs w:val="20"/>
                <w:color w:val="auto"/>
              </w:rPr>
            </w:pPr>
            <w:r>
              <w:rPr>
                <w:rFonts w:ascii="Arial" w:cs="Arial" w:eastAsia="Arial" w:hAnsi="Arial"/>
                <w:sz w:val="14"/>
                <w:szCs w:val="14"/>
                <w:b w:val="1"/>
                <w:bCs w:val="1"/>
                <w:color w:val="FFFFFF"/>
                <w:w w:val="99"/>
              </w:rPr>
              <w:t>(as a multiple of base salary)</w:t>
            </w:r>
          </w:p>
        </w:tc>
      </w:tr>
      <w:tr>
        <w:trPr>
          <w:trHeight w:val="234"/>
        </w:trPr>
        <w:tc>
          <w:tcPr>
            <w:tcW w:w="2920" w:type="dxa"/>
            <w:vAlign w:val="bottom"/>
            <w:shd w:val="clear" w:color="auto" w:fill="EDEEEF"/>
          </w:tcPr>
          <w:p>
            <w:pPr>
              <w:ind w:left="80"/>
              <w:spacing w:after="0"/>
              <w:rPr>
                <w:sz w:val="20"/>
                <w:szCs w:val="20"/>
                <w:color w:val="auto"/>
              </w:rPr>
            </w:pPr>
            <w:r>
              <w:rPr>
                <w:rFonts w:ascii="Arial" w:cs="Arial" w:eastAsia="Arial" w:hAnsi="Arial"/>
                <w:sz w:val="16"/>
                <w:szCs w:val="16"/>
                <w:color w:val="202E39"/>
                <w:w w:val="97"/>
              </w:rPr>
              <w:t>  President and Chief Executive Officer </w:t>
            </w:r>
          </w:p>
        </w:tc>
        <w:tc>
          <w:tcPr>
            <w:tcW w:w="2460" w:type="dxa"/>
            <w:vAlign w:val="bottom"/>
            <w:shd w:val="clear" w:color="auto" w:fill="EDEEEF"/>
          </w:tcPr>
          <w:p>
            <w:pPr>
              <w:jc w:val="center"/>
              <w:ind w:left="6"/>
              <w:spacing w:after="0"/>
              <w:rPr>
                <w:sz w:val="20"/>
                <w:szCs w:val="20"/>
                <w:color w:val="auto"/>
              </w:rPr>
            </w:pPr>
            <w:r>
              <w:rPr>
                <w:rFonts w:ascii="Arial" w:cs="Arial" w:eastAsia="Arial" w:hAnsi="Arial"/>
                <w:sz w:val="16"/>
                <w:szCs w:val="16"/>
                <w:color w:val="202E39"/>
                <w:w w:val="97"/>
              </w:rPr>
              <w:t>Three times</w:t>
            </w:r>
          </w:p>
        </w:tc>
      </w:tr>
      <w:tr>
        <w:trPr>
          <w:trHeight w:val="272"/>
        </w:trPr>
        <w:tc>
          <w:tcPr>
            <w:tcW w:w="2920" w:type="dxa"/>
            <w:vAlign w:val="bottom"/>
            <w:tcBorders>
              <w:bottom w:val="single" w:sz="8" w:color="009FE3"/>
            </w:tcBorders>
            <w:shd w:val="clear" w:color="auto" w:fill="EDEEEF"/>
          </w:tcPr>
          <w:p>
            <w:pPr>
              <w:ind w:left="640"/>
              <w:spacing w:after="0"/>
              <w:rPr>
                <w:sz w:val="20"/>
                <w:szCs w:val="20"/>
                <w:color w:val="auto"/>
              </w:rPr>
            </w:pPr>
            <w:r>
              <w:rPr>
                <w:rFonts w:ascii="Arial" w:cs="Arial" w:eastAsia="Arial" w:hAnsi="Arial"/>
                <w:sz w:val="16"/>
                <w:szCs w:val="16"/>
                <w:color w:val="202E39"/>
              </w:rPr>
              <w:t>Other Executive Officers</w:t>
            </w:r>
          </w:p>
        </w:tc>
        <w:tc>
          <w:tcPr>
            <w:tcW w:w="2460" w:type="dxa"/>
            <w:vAlign w:val="bottom"/>
            <w:tcBorders>
              <w:bottom w:val="single" w:sz="8" w:color="009FE3"/>
            </w:tcBorders>
            <w:shd w:val="clear" w:color="auto" w:fill="EDEEEF"/>
          </w:tcPr>
          <w:p>
            <w:pPr>
              <w:jc w:val="center"/>
              <w:spacing w:after="0"/>
              <w:rPr>
                <w:sz w:val="20"/>
                <w:szCs w:val="20"/>
                <w:color w:val="auto"/>
              </w:rPr>
            </w:pPr>
            <w:r>
              <w:rPr>
                <w:rFonts w:ascii="Arial" w:cs="Arial" w:eastAsia="Arial" w:hAnsi="Arial"/>
                <w:sz w:val="16"/>
                <w:szCs w:val="16"/>
                <w:color w:val="202E39"/>
                <w:w w:val="98"/>
              </w:rPr>
              <w:t>One time</w:t>
            </w:r>
          </w:p>
        </w:tc>
      </w:tr>
    </w:tbl>
    <w:p>
      <w:pPr>
        <w:spacing w:after="0" w:line="198" w:lineRule="exact"/>
        <w:rPr>
          <w:sz w:val="20"/>
          <w:szCs w:val="20"/>
          <w:color w:val="auto"/>
        </w:rPr>
      </w:pPr>
    </w:p>
    <w:p>
      <w:pPr>
        <w:ind w:left="260" w:right="20"/>
        <w:spacing w:after="0" w:line="269" w:lineRule="auto"/>
        <w:rPr>
          <w:sz w:val="20"/>
          <w:szCs w:val="20"/>
          <w:color w:val="auto"/>
        </w:rPr>
      </w:pPr>
      <w:r>
        <w:rPr>
          <w:rFonts w:ascii="Arial" w:cs="Arial" w:eastAsia="Arial" w:hAnsi="Arial"/>
          <w:sz w:val="16"/>
          <w:szCs w:val="16"/>
          <w:color w:val="202E39"/>
        </w:rPr>
        <w:t>As of the end of fiscal year 2024, all Named Executive Officers were in compliance with the applicable stock ownership guidelines, and all other executive officers were in compliance or subject to an applicable exemption based on personal circumstances.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CEO Stock Holding Policy</w:t>
      </w:r>
    </w:p>
    <w:p>
      <w:pPr>
        <w:spacing w:after="0" w:line="105" w:lineRule="exact"/>
        <w:rPr>
          <w:sz w:val="20"/>
          <w:szCs w:val="20"/>
          <w:color w:val="auto"/>
        </w:rPr>
      </w:pPr>
    </w:p>
    <w:p>
      <w:pPr>
        <w:ind w:left="260"/>
        <w:spacing w:after="0" w:line="245" w:lineRule="auto"/>
        <w:rPr>
          <w:sz w:val="20"/>
          <w:szCs w:val="20"/>
          <w:color w:val="auto"/>
        </w:rPr>
      </w:pPr>
      <w:r>
        <w:rPr>
          <w:rFonts w:ascii="Arial" w:cs="Arial" w:eastAsia="Arial" w:hAnsi="Arial"/>
          <w:sz w:val="16"/>
          <w:szCs w:val="16"/>
          <w:color w:val="202E39"/>
        </w:rPr>
        <w:t>Our CEO Stock Holding Policy requires our Chief Executive Officer to hold 100% of net shares (</w:t>
      </w:r>
      <w:r>
        <w:rPr>
          <w:rFonts w:ascii="Arial" w:cs="Arial" w:eastAsia="Arial" w:hAnsi="Arial"/>
          <w:sz w:val="16"/>
          <w:szCs w:val="16"/>
          <w:i w:val="1"/>
          <w:iCs w:val="1"/>
          <w:color w:val="202E39"/>
        </w:rPr>
        <w:t>i.e.</w:t>
      </w:r>
      <w:r>
        <w:rPr>
          <w:rFonts w:ascii="Arial" w:cs="Arial" w:eastAsia="Arial" w:hAnsi="Arial"/>
          <w:sz w:val="16"/>
          <w:szCs w:val="16"/>
          <w:color w:val="202E39"/>
        </w:rPr>
        <w:t>, shares remaining after shares are sold, tendered or withheld to pay the exercise price or settle tax liabilities in connection with such exercise, vesting or settlement) of our common stock acquired pursuant to the exercise, vesting or settlement of equity awards (including stock options and RSUs) until the earlier of twelve months following the issuance of such shares upon the exercise, vesting or settlement of such awards or the Chief Executive Officer’s termination of employment. This holding requirement further aligns the interests of our Chief Executive Officer with the interests of the stockholders and continues the at-risk nature of the compensation program for the duration of the holding period.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Compensation Recovery (“Clawback”) Policies</w:t>
      </w:r>
    </w:p>
    <w:p>
      <w:pPr>
        <w:spacing w:after="0" w:line="105" w:lineRule="exact"/>
        <w:rPr>
          <w:sz w:val="20"/>
          <w:szCs w:val="20"/>
          <w:color w:val="auto"/>
        </w:rPr>
      </w:pPr>
    </w:p>
    <w:p>
      <w:pPr>
        <w:ind w:left="260" w:right="80"/>
        <w:spacing w:after="0" w:line="244" w:lineRule="auto"/>
        <w:rPr>
          <w:sz w:val="20"/>
          <w:szCs w:val="20"/>
          <w:color w:val="auto"/>
        </w:rPr>
      </w:pPr>
      <w:r>
        <w:rPr>
          <w:rFonts w:ascii="Arial" w:cs="Arial" w:eastAsia="Arial" w:hAnsi="Arial"/>
          <w:sz w:val="16"/>
          <w:szCs w:val="16"/>
          <w:color w:val="202E39"/>
        </w:rPr>
        <w:t>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including all equity awards (both time-based and performance-based) or may seek to recover incentive compensation paid to such executive officer. In fiscal year 2024, we also adopted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83820</wp:posOffset>
            </wp:positionV>
            <wp:extent cx="425450" cy="150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46       </w:t>
      </w:r>
    </w:p>
    <w:p>
      <w:pPr>
        <w:sectPr>
          <w:pgSz w:w="11900" w:h="16838" w:orient="portrait"/>
          <w:cols w:equalWidth="0" w:num="1">
            <w:col w:w="10980"/>
          </w:cols>
          <w:pgMar w:left="320" w:top="474" w:right="5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Compensation Discussion and Analysis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Anti-Hedging and Pledging Policy</w:t>
      </w:r>
    </w:p>
    <w:p>
      <w:pPr>
        <w:spacing w:after="0" w:line="105" w:lineRule="exact"/>
        <w:rPr>
          <w:sz w:val="20"/>
          <w:szCs w:val="20"/>
          <w:color w:val="auto"/>
        </w:rPr>
      </w:pPr>
    </w:p>
    <w:p>
      <w:pPr>
        <w:ind w:left="260" w:right="80"/>
        <w:spacing w:after="0" w:line="243" w:lineRule="auto"/>
        <w:rPr>
          <w:sz w:val="20"/>
          <w:szCs w:val="20"/>
          <w:color w:val="auto"/>
        </w:rPr>
      </w:pPr>
      <w:r>
        <w:rPr>
          <w:rFonts w:ascii="Arial" w:cs="Arial" w:eastAsia="Arial" w:hAnsi="Arial"/>
          <w:sz w:val="16"/>
          <w:szCs w:val="16"/>
          <w:color w:val="202E39"/>
        </w:rPr>
        <w:t>Our insider trading compliance policies and procedures prohibit all of our directors and officers from engaging in hedging transactions involving Viasat’s securities, such as prepaid variable forward contracts, equity swaps, collars and exchange funds or other transactions that hedge or offset, or are designed to hedge or offset, any decrease in the market value of our equity securities, because these transactions would allow a director or officer to continue to own the covered securities, but without the full risks and rewards of ownership. When a director or officer engages in a hedging transaction, such director or officer may no longer have the same objectives as Viasat’s other stockholders. Therefore, such transactions involving Viasat’s securities are prohibited. We also strongly discourage any pledges of Viasat equity securities that could have any adverse impact on the company. Accordingly, our insider trading compliance policies and procedures also prohibit our directors and officers from purchasing Viasat securities on margin, placing Viasat securities in a margin account or pledging Viasat securities as a collateral for a loan, in each case unless pre-cleared by our General Counsel (or Chief Corporate Counsel for transaction by our General Counsel).</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202E39"/>
        </w:rPr>
        <w:t>Tax and Accounting Considerations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We select and implement the components of our executive compensation program primarily for their ability to help us achieve the company’s objectives</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and not based on any unique or preferential financial tax or accounting treatment. In addition, Section 162(m) of the Code generally sets a limit of</w:t>
      </w:r>
    </w:p>
    <w:p>
      <w:pPr>
        <w:ind w:left="260"/>
        <w:spacing w:after="0"/>
        <w:rPr>
          <w:sz w:val="20"/>
          <w:szCs w:val="20"/>
          <w:color w:val="auto"/>
        </w:rPr>
      </w:pPr>
      <w:r>
        <w:rPr>
          <w:rFonts w:ascii="Arial" w:cs="Arial" w:eastAsia="Arial" w:hAnsi="Arial"/>
          <w:sz w:val="16"/>
          <w:szCs w:val="16"/>
          <w:color w:val="202E39"/>
        </w:rPr>
        <w:t>$1.0 million on the amount of annual compensation that we may deduct for federal income tax purposes for certain covered individuals. We have not</w:t>
      </w:r>
    </w:p>
    <w:p>
      <w:pPr>
        <w:ind w:left="260"/>
        <w:spacing w:after="0"/>
        <w:rPr>
          <w:sz w:val="20"/>
          <w:szCs w:val="20"/>
          <w:color w:val="auto"/>
        </w:rPr>
      </w:pPr>
      <w:r>
        <w:rPr>
          <w:rFonts w:ascii="Arial" w:cs="Arial" w:eastAsia="Arial" w:hAnsi="Arial"/>
          <w:sz w:val="16"/>
          <w:szCs w:val="16"/>
          <w:color w:val="202E39"/>
        </w:rPr>
        <w:t>adopted a policy requiring that all compensation be deductible, although the Committee will continue to review the Section 162(m) deductibility of our</w:t>
      </w:r>
    </w:p>
    <w:p>
      <w:pPr>
        <w:ind w:left="260"/>
        <w:spacing w:after="0"/>
        <w:rPr>
          <w:sz w:val="20"/>
          <w:szCs w:val="20"/>
          <w:color w:val="auto"/>
        </w:rPr>
      </w:pPr>
      <w:r>
        <w:rPr>
          <w:rFonts w:ascii="Arial" w:cs="Arial" w:eastAsia="Arial" w:hAnsi="Arial"/>
          <w:sz w:val="16"/>
          <w:szCs w:val="16"/>
          <w:color w:val="202E39"/>
        </w:rPr>
        <w:t>compensation arrangements in fiscal year 2024 and future fiscal years. The Committee retains the discretion to approve compensation that may not</w:t>
      </w:r>
    </w:p>
    <w:p>
      <w:pPr>
        <w:ind w:left="260"/>
        <w:spacing w:after="0"/>
        <w:rPr>
          <w:sz w:val="20"/>
          <w:szCs w:val="20"/>
          <w:color w:val="auto"/>
        </w:rPr>
      </w:pPr>
      <w:r>
        <w:rPr>
          <w:rFonts w:ascii="Arial" w:cs="Arial" w:eastAsia="Arial" w:hAnsi="Arial"/>
          <w:sz w:val="15"/>
          <w:szCs w:val="15"/>
          <w:color w:val="202E39"/>
        </w:rPr>
        <w:t>qualify for the compensation deduction if, in light of all applicable circumstances, it would be in our best interest for such compensation to be paid without</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regard to whether it may be tax deductible.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47</w:t>
      </w:r>
    </w:p>
    <w:p>
      <w:pPr>
        <w:sectPr>
          <w:pgSz w:w="11900" w:h="16838" w:orient="portrait"/>
          <w:cols w:equalWidth="0" w:num="1">
            <w:col w:w="10980"/>
          </w:cols>
          <w:pgMar w:left="320" w:top="474"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Committee Report</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Compensation Committee Report</w:t>
      </w:r>
    </w:p>
    <w:p>
      <w:pPr>
        <w:spacing w:after="0" w:line="124" w:lineRule="exact"/>
        <w:rPr>
          <w:sz w:val="20"/>
          <w:szCs w:val="20"/>
          <w:color w:val="auto"/>
        </w:rPr>
      </w:pPr>
    </w:p>
    <w:p>
      <w:pPr>
        <w:ind w:left="260" w:right="120"/>
        <w:spacing w:after="0" w:line="303" w:lineRule="auto"/>
        <w:rPr>
          <w:sz w:val="20"/>
          <w:szCs w:val="20"/>
          <w:color w:val="auto"/>
        </w:rPr>
      </w:pPr>
      <w:r>
        <w:rPr>
          <w:rFonts w:ascii="Arial" w:cs="Arial" w:eastAsia="Arial" w:hAnsi="Arial"/>
          <w:sz w:val="15"/>
          <w:szCs w:val="15"/>
          <w:color w:val="202E39"/>
        </w:rPr>
        <w:t>The Committee has reviewed and discussed the Compensation Discussion and Analysis with management and, based on such review and discussions, the Committee recommended to the Board of Directors that the Compensation Discussion and Analysis be included in this proxy statement.</w:t>
      </w:r>
    </w:p>
    <w:p>
      <w:pPr>
        <w:spacing w:after="0" w:line="38" w:lineRule="exact"/>
        <w:rPr>
          <w:sz w:val="20"/>
          <w:szCs w:val="20"/>
          <w:color w:val="auto"/>
        </w:rPr>
      </w:pPr>
    </w:p>
    <w:p>
      <w:pPr>
        <w:jc w:val="both"/>
        <w:ind w:left="260"/>
        <w:spacing w:after="0" w:line="249" w:lineRule="auto"/>
        <w:rPr>
          <w:sz w:val="20"/>
          <w:szCs w:val="20"/>
          <w:color w:val="auto"/>
        </w:rPr>
      </w:pPr>
      <w:r>
        <w:rPr>
          <w:rFonts w:ascii="Arial" w:cs="Arial" w:eastAsia="Arial" w:hAnsi="Arial"/>
          <w:sz w:val="16"/>
          <w:szCs w:val="16"/>
          <w:i w:val="1"/>
          <w:iCs w:val="1"/>
          <w:color w:val="202E39"/>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78"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Respectfully Submitted by the</w:t>
      </w:r>
    </w:p>
    <w:p>
      <w:pPr>
        <w:spacing w:after="0" w:line="14"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Compensation and Human Resources Committee</w:t>
      </w:r>
    </w:p>
    <w:p>
      <w:pPr>
        <w:spacing w:after="0" w:line="196"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Theresa Wise (Chair)</w:t>
      </w:r>
    </w:p>
    <w:p>
      <w:pPr>
        <w:spacing w:after="0" w:line="14"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Sean Pak</w:t>
      </w:r>
    </w:p>
    <w:p>
      <w:pPr>
        <w:ind w:left="7020"/>
        <w:spacing w:after="0"/>
        <w:rPr>
          <w:sz w:val="20"/>
          <w:szCs w:val="20"/>
          <w:color w:val="auto"/>
        </w:rPr>
      </w:pPr>
      <w:r>
        <w:rPr>
          <w:rFonts w:ascii="Arial" w:cs="Arial" w:eastAsia="Arial" w:hAnsi="Arial"/>
          <w:sz w:val="16"/>
          <w:szCs w:val="16"/>
          <w:color w:val="202E39"/>
        </w:rPr>
        <w:t>John Stenbit</w:t>
      </w:r>
    </w:p>
    <w:p>
      <w:pPr>
        <w:ind w:left="7020"/>
        <w:spacing w:after="0"/>
        <w:rPr>
          <w:sz w:val="20"/>
          <w:szCs w:val="20"/>
          <w:color w:val="auto"/>
        </w:rPr>
      </w:pPr>
      <w:r>
        <w:rPr>
          <w:rFonts w:ascii="Arial" w:cs="Arial" w:eastAsia="Arial" w:hAnsi="Arial"/>
          <w:sz w:val="16"/>
          <w:szCs w:val="16"/>
          <w:color w:val="202E39"/>
        </w:rPr>
        <w:t>Andrew Sukawaty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90805</wp:posOffset>
            </wp:positionV>
            <wp:extent cx="425450" cy="150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48       </w:t>
      </w:r>
    </w:p>
    <w:p>
      <w:pPr>
        <w:sectPr>
          <w:pgSz w:w="11900" w:h="16838" w:orient="portrait"/>
          <w:cols w:equalWidth="0" w:num="1">
            <w:col w:w="10980"/>
          </w:cols>
          <w:pgMar w:left="320" w:top="474"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92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Summary Compensation Table</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Summary Compensation Table</w:t>
      </w:r>
    </w:p>
    <w:p>
      <w:pPr>
        <w:spacing w:after="0" w:line="124" w:lineRule="exact"/>
        <w:rPr>
          <w:sz w:val="20"/>
          <w:szCs w:val="20"/>
          <w:color w:val="auto"/>
        </w:rPr>
      </w:pPr>
    </w:p>
    <w:p>
      <w:pPr>
        <w:ind w:left="260" w:right="180"/>
        <w:spacing w:after="0" w:line="247" w:lineRule="auto"/>
        <w:rPr>
          <w:sz w:val="20"/>
          <w:szCs w:val="20"/>
          <w:color w:val="auto"/>
        </w:rPr>
      </w:pPr>
      <w:r>
        <w:rPr>
          <w:rFonts w:ascii="Arial" w:cs="Arial" w:eastAsia="Arial" w:hAnsi="Arial"/>
          <w:sz w:val="16"/>
          <w:szCs w:val="16"/>
          <w:color w:val="202E39"/>
        </w:rPr>
        <w:t>The following table sets forth the compensation earned during the fiscal years ended March 31, 2024, March 31, 2023 and March 31, 2022 by each person who served as Chief Executive Officer and Chief Financial Officer during the fiscal year ended March 31, 2024, as well as our three other most highly compensated executive officers who were serving as executive officers at the end of fiscal year 2024 and one additional individual who served as an executive officer during fiscal year 2024 and would have been one of the three other most highly compensated executive officers but for the fact he was no longer serving as an executive officer as of March 31, 2024 (collectively, the Named Executive Officers):</w:t>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420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right w:val="single" w:sz="8" w:color="E8EAEB"/>
            </w:tcBorders>
          </w:tcPr>
          <w:p>
            <w:pPr>
              <w:spacing w:after="0"/>
              <w:rPr>
                <w:sz w:val="17"/>
                <w:szCs w:val="17"/>
                <w:color w:val="auto"/>
              </w:rPr>
            </w:pPr>
          </w:p>
        </w:tc>
        <w:tc>
          <w:tcPr>
            <w:tcW w:w="70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right w:val="single" w:sz="8" w:color="E8EAEB"/>
            </w:tcBorders>
          </w:tcPr>
          <w:p>
            <w:pPr>
              <w:spacing w:after="0"/>
              <w:rPr>
                <w:sz w:val="17"/>
                <w:szCs w:val="17"/>
                <w:color w:val="auto"/>
              </w:rPr>
            </w:pPr>
          </w:p>
        </w:tc>
        <w:tc>
          <w:tcPr>
            <w:tcW w:w="700" w:type="dxa"/>
            <w:vAlign w:val="bottom"/>
            <w:tcBorders>
              <w:top w:val="single" w:sz="8" w:color="E8EAEB"/>
              <w:right w:val="single" w:sz="8" w:color="E8EAEB"/>
            </w:tcBorders>
          </w:tcPr>
          <w:p>
            <w:pPr>
              <w:spacing w:after="0"/>
              <w:rPr>
                <w:sz w:val="17"/>
                <w:szCs w:val="17"/>
                <w:color w:val="auto"/>
              </w:rPr>
            </w:pPr>
          </w:p>
        </w:tc>
        <w:tc>
          <w:tcPr>
            <w:tcW w:w="80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Non-Equity</w:t>
            </w:r>
          </w:p>
        </w:tc>
        <w:tc>
          <w:tcPr>
            <w:tcW w:w="1060" w:type="dxa"/>
            <w:vAlign w:val="bottom"/>
            <w:tcBorders>
              <w:top w:val="single" w:sz="8" w:color="E8EAEB"/>
              <w:right w:val="single" w:sz="8" w:color="E8EAEB"/>
            </w:tcBorders>
          </w:tcPr>
          <w:p>
            <w:pPr>
              <w:spacing w:after="0"/>
              <w:rPr>
                <w:sz w:val="17"/>
                <w:szCs w:val="17"/>
                <w:color w:val="auto"/>
              </w:rPr>
            </w:pPr>
          </w:p>
        </w:tc>
        <w:tc>
          <w:tcPr>
            <w:tcW w:w="780" w:type="dxa"/>
            <w:vAlign w:val="bottom"/>
            <w:tcBorders>
              <w:top w:val="single" w:sz="8" w:color="E8EAEB"/>
            </w:tcBorders>
          </w:tcPr>
          <w:p>
            <w:pPr>
              <w:spacing w:after="0"/>
              <w:rPr>
                <w:sz w:val="17"/>
                <w:szCs w:val="17"/>
                <w:color w:val="auto"/>
              </w:rPr>
            </w:pPr>
          </w:p>
        </w:tc>
      </w:tr>
      <w:tr>
        <w:trPr>
          <w:trHeight w:val="158"/>
        </w:trPr>
        <w:tc>
          <w:tcPr>
            <w:tcW w:w="4200" w:type="dxa"/>
            <w:vAlign w:val="bottom"/>
            <w:tcBorders>
              <w:right w:val="single" w:sz="8" w:color="E8EAEB"/>
            </w:tcBorders>
          </w:tcPr>
          <w:p>
            <w:pPr>
              <w:spacing w:after="0"/>
              <w:rPr>
                <w:sz w:val="13"/>
                <w:szCs w:val="13"/>
                <w:color w:val="auto"/>
              </w:rPr>
            </w:pPr>
          </w:p>
        </w:tc>
        <w:tc>
          <w:tcPr>
            <w:tcW w:w="720" w:type="dxa"/>
            <w:vAlign w:val="bottom"/>
            <w:tcBorders>
              <w:right w:val="single" w:sz="8" w:color="E8EAEB"/>
            </w:tcBorders>
          </w:tcPr>
          <w:p>
            <w:pPr>
              <w:spacing w:after="0"/>
              <w:rPr>
                <w:sz w:val="13"/>
                <w:szCs w:val="13"/>
                <w:color w:val="auto"/>
              </w:rPr>
            </w:pPr>
          </w:p>
        </w:tc>
        <w:tc>
          <w:tcPr>
            <w:tcW w:w="700" w:type="dxa"/>
            <w:vAlign w:val="bottom"/>
            <w:tcBorders>
              <w:right w:val="single" w:sz="8" w:color="E8EAEB"/>
            </w:tcBorders>
          </w:tcPr>
          <w:p>
            <w:pPr>
              <w:spacing w:after="0"/>
              <w:rPr>
                <w:sz w:val="13"/>
                <w:szCs w:val="13"/>
                <w:color w:val="auto"/>
              </w:rPr>
            </w:pPr>
          </w:p>
        </w:tc>
        <w:tc>
          <w:tcPr>
            <w:tcW w:w="720" w:type="dxa"/>
            <w:vAlign w:val="bottom"/>
            <w:tcBorders>
              <w:right w:val="single" w:sz="8" w:color="E8EAEB"/>
            </w:tcBorders>
          </w:tcPr>
          <w:p>
            <w:pPr>
              <w:spacing w:after="0"/>
              <w:rPr>
                <w:sz w:val="13"/>
                <w:szCs w:val="13"/>
                <w:color w:val="auto"/>
              </w:rPr>
            </w:pPr>
          </w:p>
        </w:tc>
        <w:tc>
          <w:tcPr>
            <w:tcW w:w="700" w:type="dxa"/>
            <w:vAlign w:val="bottom"/>
            <w:tcBorders>
              <w:right w:val="single" w:sz="8" w:color="E8EAEB"/>
            </w:tcBorders>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Incentive Plan</w:t>
            </w:r>
          </w:p>
        </w:tc>
        <w:tc>
          <w:tcPr>
            <w:tcW w:w="10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All Other</w:t>
            </w:r>
          </w:p>
        </w:tc>
        <w:tc>
          <w:tcPr>
            <w:tcW w:w="780" w:type="dxa"/>
            <w:vAlign w:val="bottom"/>
          </w:tcPr>
          <w:p>
            <w:pPr>
              <w:spacing w:after="0"/>
              <w:rPr>
                <w:sz w:val="13"/>
                <w:szCs w:val="13"/>
                <w:color w:val="auto"/>
              </w:rPr>
            </w:pPr>
          </w:p>
        </w:tc>
      </w:tr>
      <w:tr>
        <w:trPr>
          <w:trHeight w:val="158"/>
        </w:trPr>
        <w:tc>
          <w:tcPr>
            <w:tcW w:w="4200" w:type="dxa"/>
            <w:vAlign w:val="bottom"/>
            <w:tcBorders>
              <w:right w:val="single" w:sz="8" w:color="E8EAEB"/>
            </w:tcBorders>
          </w:tcPr>
          <w:p>
            <w:pPr>
              <w:spacing w:after="0"/>
              <w:rPr>
                <w:sz w:val="13"/>
                <w:szCs w:val="13"/>
                <w:color w:val="auto"/>
              </w:rPr>
            </w:pPr>
          </w:p>
        </w:tc>
        <w:tc>
          <w:tcPr>
            <w:tcW w:w="720" w:type="dxa"/>
            <w:vAlign w:val="bottom"/>
            <w:tcBorders>
              <w:right w:val="single" w:sz="8" w:color="E8EAEB"/>
            </w:tcBorders>
          </w:tcPr>
          <w:p>
            <w:pPr>
              <w:spacing w:after="0"/>
              <w:rPr>
                <w:sz w:val="13"/>
                <w:szCs w:val="13"/>
                <w:color w:val="auto"/>
              </w:rPr>
            </w:pPr>
          </w:p>
        </w:tc>
        <w:tc>
          <w:tcPr>
            <w:tcW w:w="700" w:type="dxa"/>
            <w:vAlign w:val="bottom"/>
            <w:tcBorders>
              <w:right w:val="single" w:sz="8" w:color="E8EAEB"/>
            </w:tcBorders>
          </w:tcPr>
          <w:p>
            <w:pPr>
              <w:spacing w:after="0"/>
              <w:rPr>
                <w:sz w:val="13"/>
                <w:szCs w:val="13"/>
                <w:color w:val="auto"/>
              </w:rPr>
            </w:pPr>
          </w:p>
        </w:tc>
        <w:tc>
          <w:tcPr>
            <w:tcW w:w="720" w:type="dxa"/>
            <w:vAlign w:val="bottom"/>
            <w:tcBorders>
              <w:right w:val="single" w:sz="8" w:color="E8EAEB"/>
            </w:tcBorders>
          </w:tcPr>
          <w:p>
            <w:pPr>
              <w:spacing w:after="0"/>
              <w:rPr>
                <w:sz w:val="13"/>
                <w:szCs w:val="13"/>
                <w:color w:val="auto"/>
              </w:rPr>
            </w:pPr>
          </w:p>
        </w:tc>
        <w:tc>
          <w:tcPr>
            <w:tcW w:w="7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Stock</w:t>
            </w:r>
          </w:p>
        </w:tc>
        <w:tc>
          <w:tcPr>
            <w:tcW w:w="8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7"/>
              </w:rPr>
              <w:t>Option</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w w:val="71"/>
              </w:rPr>
              <w:t> </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w w:val="71"/>
              </w:rPr>
              <w:t> </w:t>
            </w:r>
          </w:p>
        </w:tc>
        <w:tc>
          <w:tcPr>
            <w:tcW w:w="780" w:type="dxa"/>
            <w:vAlign w:val="bottom"/>
          </w:tcPr>
          <w:p>
            <w:pPr>
              <w:spacing w:after="0"/>
              <w:rPr>
                <w:sz w:val="13"/>
                <w:szCs w:val="13"/>
                <w:color w:val="auto"/>
              </w:rPr>
            </w:pPr>
          </w:p>
        </w:tc>
      </w:tr>
      <w:tr>
        <w:trPr>
          <w:trHeight w:val="158"/>
        </w:trPr>
        <w:tc>
          <w:tcPr>
            <w:tcW w:w="4200" w:type="dxa"/>
            <w:vAlign w:val="bottom"/>
            <w:tcBorders>
              <w:right w:val="single" w:sz="8" w:color="E8EAEB"/>
            </w:tcBorders>
          </w:tcPr>
          <w:p>
            <w:pPr>
              <w:ind w:left="80"/>
              <w:spacing w:after="0" w:line="158" w:lineRule="exact"/>
              <w:rPr>
                <w:sz w:val="20"/>
                <w:szCs w:val="20"/>
                <w:color w:val="auto"/>
              </w:rPr>
            </w:pPr>
            <w:r>
              <w:rPr>
                <w:rFonts w:ascii="Arial" w:cs="Arial" w:eastAsia="Arial" w:hAnsi="Arial"/>
                <w:sz w:val="14"/>
                <w:szCs w:val="14"/>
                <w:b w:val="1"/>
                <w:bCs w:val="1"/>
                <w:color w:val="009FE3"/>
              </w:rPr>
              <w:t>Name and</w:t>
            </w:r>
          </w:p>
        </w:tc>
        <w:tc>
          <w:tcPr>
            <w:tcW w:w="720" w:type="dxa"/>
            <w:vAlign w:val="bottom"/>
            <w:tcBorders>
              <w:right w:val="single" w:sz="8" w:color="E8EAEB"/>
            </w:tcBorders>
          </w:tcPr>
          <w:p>
            <w:pPr>
              <w:ind w:left="140"/>
              <w:spacing w:after="0" w:line="158" w:lineRule="exact"/>
              <w:rPr>
                <w:sz w:val="20"/>
                <w:szCs w:val="20"/>
                <w:color w:val="auto"/>
              </w:rPr>
            </w:pPr>
            <w:r>
              <w:rPr>
                <w:rFonts w:ascii="Arial" w:cs="Arial" w:eastAsia="Arial" w:hAnsi="Arial"/>
                <w:sz w:val="14"/>
                <w:szCs w:val="14"/>
                <w:b w:val="1"/>
                <w:bCs w:val="1"/>
                <w:color w:val="009FE3"/>
              </w:rPr>
              <w:t>Fiscal</w:t>
            </w:r>
          </w:p>
        </w:tc>
        <w:tc>
          <w:tcPr>
            <w:tcW w:w="700" w:type="dxa"/>
            <w:vAlign w:val="bottom"/>
            <w:tcBorders>
              <w:right w:val="single" w:sz="8" w:color="E8EAEB"/>
            </w:tcBorders>
          </w:tcPr>
          <w:p>
            <w:pPr>
              <w:jc w:val="right"/>
              <w:ind w:right="90"/>
              <w:spacing w:after="0" w:line="158" w:lineRule="exact"/>
              <w:rPr>
                <w:sz w:val="20"/>
                <w:szCs w:val="20"/>
                <w:color w:val="auto"/>
              </w:rPr>
            </w:pPr>
            <w:r>
              <w:rPr>
                <w:rFonts w:ascii="Arial" w:cs="Arial" w:eastAsia="Arial" w:hAnsi="Arial"/>
                <w:sz w:val="14"/>
                <w:szCs w:val="14"/>
                <w:b w:val="1"/>
                <w:bCs w:val="1"/>
                <w:color w:val="009FE3"/>
              </w:rPr>
              <w:t>Salary</w:t>
            </w:r>
          </w:p>
        </w:tc>
        <w:tc>
          <w:tcPr>
            <w:tcW w:w="720" w:type="dxa"/>
            <w:vAlign w:val="bottom"/>
            <w:tcBorders>
              <w:right w:val="single" w:sz="8" w:color="E8EAEB"/>
            </w:tcBorders>
          </w:tcPr>
          <w:p>
            <w:pPr>
              <w:ind w:left="120"/>
              <w:spacing w:after="0" w:line="158" w:lineRule="exact"/>
              <w:rPr>
                <w:sz w:val="20"/>
                <w:szCs w:val="20"/>
                <w:color w:val="auto"/>
              </w:rPr>
            </w:pPr>
            <w:r>
              <w:rPr>
                <w:rFonts w:ascii="Arial" w:cs="Arial" w:eastAsia="Arial" w:hAnsi="Arial"/>
                <w:sz w:val="14"/>
                <w:szCs w:val="14"/>
                <w:b w:val="1"/>
                <w:bCs w:val="1"/>
                <w:color w:val="009FE3"/>
              </w:rPr>
              <w:t>Bonus</w:t>
            </w:r>
          </w:p>
        </w:tc>
        <w:tc>
          <w:tcPr>
            <w:tcW w:w="7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Awards</w:t>
            </w:r>
          </w:p>
        </w:tc>
        <w:tc>
          <w:tcPr>
            <w:tcW w:w="8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right"/>
              <w:ind w:right="31"/>
              <w:spacing w:after="0" w:line="158" w:lineRule="exact"/>
              <w:rPr>
                <w:sz w:val="20"/>
                <w:szCs w:val="20"/>
                <w:color w:val="auto"/>
              </w:rPr>
            </w:pPr>
            <w:r>
              <w:rPr>
                <w:rFonts w:ascii="Arial" w:cs="Arial" w:eastAsia="Arial" w:hAnsi="Arial"/>
                <w:sz w:val="14"/>
                <w:szCs w:val="14"/>
                <w:b w:val="1"/>
                <w:bCs w:val="1"/>
                <w:color w:val="009FE3"/>
                <w:w w:val="96"/>
              </w:rPr>
              <w:t>Compensation</w:t>
            </w:r>
          </w:p>
        </w:tc>
        <w:tc>
          <w:tcPr>
            <w:tcW w:w="1060" w:type="dxa"/>
            <w:vAlign w:val="bottom"/>
            <w:tcBorders>
              <w:right w:val="single" w:sz="8" w:color="E8EAEB"/>
            </w:tcBorders>
          </w:tcPr>
          <w:p>
            <w:pPr>
              <w:jc w:val="right"/>
              <w:ind w:right="31"/>
              <w:spacing w:after="0" w:line="158" w:lineRule="exact"/>
              <w:rPr>
                <w:sz w:val="20"/>
                <w:szCs w:val="20"/>
                <w:color w:val="auto"/>
              </w:rPr>
            </w:pPr>
            <w:r>
              <w:rPr>
                <w:rFonts w:ascii="Arial" w:cs="Arial" w:eastAsia="Arial" w:hAnsi="Arial"/>
                <w:sz w:val="14"/>
                <w:szCs w:val="14"/>
                <w:b w:val="1"/>
                <w:bCs w:val="1"/>
                <w:color w:val="009FE3"/>
                <w:w w:val="96"/>
              </w:rPr>
              <w:t>Compensation</w:t>
            </w:r>
          </w:p>
        </w:tc>
        <w:tc>
          <w:tcPr>
            <w:tcW w:w="780" w:type="dxa"/>
            <w:vAlign w:val="bottom"/>
          </w:tcPr>
          <w:p>
            <w:pPr>
              <w:jc w:val="right"/>
              <w:ind w:right="170"/>
              <w:spacing w:after="0" w:line="158" w:lineRule="exact"/>
              <w:rPr>
                <w:sz w:val="20"/>
                <w:szCs w:val="20"/>
                <w:color w:val="auto"/>
              </w:rPr>
            </w:pPr>
            <w:r>
              <w:rPr>
                <w:rFonts w:ascii="Arial" w:cs="Arial" w:eastAsia="Arial" w:hAnsi="Arial"/>
                <w:sz w:val="14"/>
                <w:szCs w:val="14"/>
                <w:b w:val="1"/>
                <w:bCs w:val="1"/>
                <w:color w:val="009FE3"/>
              </w:rPr>
              <w:t>Total</w:t>
            </w:r>
          </w:p>
        </w:tc>
      </w:tr>
      <w:tr>
        <w:trPr>
          <w:trHeight w:val="206"/>
        </w:trPr>
        <w:tc>
          <w:tcPr>
            <w:tcW w:w="42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Principal Position</w:t>
            </w:r>
          </w:p>
        </w:tc>
        <w:tc>
          <w:tcPr>
            <w:tcW w:w="7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b w:val="1"/>
                <w:bCs w:val="1"/>
                <w:color w:val="009FE3"/>
              </w:rPr>
              <w:t>Year</w:t>
            </w:r>
          </w:p>
        </w:tc>
        <w:tc>
          <w:tcPr>
            <w:tcW w:w="700" w:type="dxa"/>
            <w:vAlign w:val="bottom"/>
            <w:tcBorders>
              <w:bottom w:val="single" w:sz="8" w:color="009FE3"/>
              <w:right w:val="single" w:sz="8" w:color="E8EAEB"/>
            </w:tcBorders>
          </w:tcPr>
          <w:p>
            <w:pPr>
              <w:jc w:val="right"/>
              <w:ind w:right="210"/>
              <w:spacing w:after="0"/>
              <w:rPr>
                <w:sz w:val="20"/>
                <w:szCs w:val="20"/>
                <w:color w:val="auto"/>
              </w:rPr>
            </w:pPr>
            <w:r>
              <w:rPr>
                <w:rFonts w:ascii="Arial" w:cs="Arial" w:eastAsia="Arial" w:hAnsi="Arial"/>
                <w:sz w:val="14"/>
                <w:szCs w:val="14"/>
                <w:b w:val="1"/>
                <w:bCs w:val="1"/>
                <w:color w:val="009FE3"/>
              </w:rPr>
              <w:t>($)</w:t>
            </w:r>
          </w:p>
        </w:tc>
        <w:tc>
          <w:tcPr>
            <w:tcW w:w="720" w:type="dxa"/>
            <w:vAlign w:val="bottom"/>
            <w:tcBorders>
              <w:bottom w:val="single" w:sz="8" w:color="009FE3"/>
              <w:right w:val="single" w:sz="8" w:color="E8EAEB"/>
            </w:tcBorders>
          </w:tcPr>
          <w:p>
            <w:pPr>
              <w:ind w:left="180"/>
              <w:spacing w:after="0"/>
              <w:rPr>
                <w:sz w:val="20"/>
                <w:szCs w:val="20"/>
                <w:color w:val="auto"/>
              </w:rPr>
            </w:pPr>
            <w:r>
              <w:rPr>
                <w:rFonts w:ascii="Arial" w:cs="Arial" w:eastAsia="Arial" w:hAnsi="Arial"/>
                <w:sz w:val="14"/>
                <w:szCs w:val="14"/>
                <w:b w:val="1"/>
                <w:bCs w:val="1"/>
                <w:color w:val="009FE3"/>
              </w:rPr>
              <w:t>($)(1)</w:t>
            </w:r>
          </w:p>
        </w:tc>
        <w:tc>
          <w:tcPr>
            <w:tcW w:w="7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(2)</w:t>
            </w:r>
          </w:p>
        </w:tc>
        <w:tc>
          <w:tcPr>
            <w:tcW w:w="8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(2)</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(4)</w:t>
            </w:r>
          </w:p>
        </w:tc>
        <w:tc>
          <w:tcPr>
            <w:tcW w:w="780" w:type="dxa"/>
            <w:vAlign w:val="bottom"/>
            <w:tcBorders>
              <w:bottom w:val="single" w:sz="8" w:color="009FE3"/>
            </w:tcBorders>
          </w:tcPr>
          <w:p>
            <w:pPr>
              <w:jc w:val="right"/>
              <w:ind w:right="250"/>
              <w:spacing w:after="0"/>
              <w:rPr>
                <w:sz w:val="20"/>
                <w:szCs w:val="20"/>
                <w:color w:val="auto"/>
              </w:rPr>
            </w:pPr>
            <w:r>
              <w:rPr>
                <w:rFonts w:ascii="Arial" w:cs="Arial" w:eastAsia="Arial" w:hAnsi="Arial"/>
                <w:sz w:val="14"/>
                <w:szCs w:val="14"/>
                <w:b w:val="1"/>
                <w:bCs w:val="1"/>
                <w:color w:val="009FE3"/>
              </w:rPr>
              <w:t>($)</w:t>
            </w:r>
          </w:p>
        </w:tc>
      </w:tr>
      <w:tr>
        <w:trPr>
          <w:trHeight w:val="182"/>
        </w:trPr>
        <w:tc>
          <w:tcPr>
            <w:tcW w:w="42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Mark Dankberg</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2024</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1,365,000</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3,808,829</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2,002,500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1,758,100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26,250</w:t>
            </w:r>
          </w:p>
        </w:tc>
        <w:tc>
          <w:tcPr>
            <w:tcW w:w="780" w:type="dxa"/>
            <w:vAlign w:val="bottom"/>
          </w:tcPr>
          <w:p>
            <w:pPr>
              <w:jc w:val="right"/>
              <w:spacing w:after="0"/>
              <w:rPr>
                <w:sz w:val="20"/>
                <w:szCs w:val="20"/>
                <w:color w:val="auto"/>
              </w:rPr>
            </w:pPr>
            <w:r>
              <w:rPr>
                <w:rFonts w:ascii="Arial" w:cs="Arial" w:eastAsia="Arial" w:hAnsi="Arial"/>
                <w:sz w:val="14"/>
                <w:szCs w:val="14"/>
                <w:color w:val="202E39"/>
              </w:rPr>
              <w:t>8,960,679</w:t>
            </w:r>
          </w:p>
        </w:tc>
      </w:tr>
      <w:tr>
        <w:trPr>
          <w:trHeight w:val="223"/>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Chairman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2023</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1,364,000</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— </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3,575,736</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2,030,400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26,779</w:t>
            </w:r>
          </w:p>
        </w:tc>
        <w:tc>
          <w:tcPr>
            <w:tcW w:w="780" w:type="dxa"/>
            <w:vAlign w:val="bottom"/>
          </w:tcPr>
          <w:p>
            <w:pPr>
              <w:jc w:val="right"/>
              <w:spacing w:after="0"/>
              <w:rPr>
                <w:sz w:val="20"/>
                <w:szCs w:val="20"/>
                <w:color w:val="auto"/>
              </w:rPr>
            </w:pPr>
            <w:r>
              <w:rPr>
                <w:rFonts w:ascii="Arial" w:cs="Arial" w:eastAsia="Arial" w:hAnsi="Arial"/>
                <w:sz w:val="14"/>
                <w:szCs w:val="14"/>
                <w:color w:val="202E39"/>
              </w:rPr>
              <w:t>6,996,915</w:t>
            </w:r>
          </w:p>
        </w:tc>
      </w:tr>
      <w:tr>
        <w:trPr>
          <w:trHeight w:val="241"/>
        </w:trPr>
        <w:tc>
          <w:tcPr>
            <w:tcW w:w="42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Executive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2022</w:t>
            </w:r>
          </w:p>
        </w:tc>
        <w:tc>
          <w:tcPr>
            <w:tcW w:w="70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1,300,000</w:t>
            </w:r>
          </w:p>
        </w:tc>
        <w:tc>
          <w:tcPr>
            <w:tcW w:w="720" w:type="dxa"/>
            <w:vAlign w:val="bottom"/>
            <w:tcBorders>
              <w:bottom w:val="single" w:sz="8" w:color="E8EAEB"/>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4,729,517</w:t>
            </w:r>
          </w:p>
        </w:tc>
        <w:tc>
          <w:tcPr>
            <w:tcW w:w="80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4,438,993</w:t>
            </w:r>
          </w:p>
        </w:tc>
        <w:tc>
          <w:tcPr>
            <w:tcW w:w="1060" w:type="dxa"/>
            <w:vAlign w:val="bottom"/>
            <w:tcBorders>
              <w:bottom w:val="single" w:sz="8" w:color="E8EAEB"/>
              <w:right w:val="single" w:sz="8" w:color="E8EAEB"/>
            </w:tcBorders>
          </w:tcPr>
          <w:p>
            <w:pPr>
              <w:jc w:val="right"/>
              <w:ind w:right="131"/>
              <w:spacing w:after="0"/>
              <w:rPr>
                <w:sz w:val="20"/>
                <w:szCs w:val="20"/>
                <w:color w:val="auto"/>
              </w:rPr>
            </w:pPr>
            <w:r>
              <w:rPr>
                <w:rFonts w:ascii="Arial" w:cs="Arial" w:eastAsia="Arial" w:hAnsi="Arial"/>
                <w:sz w:val="14"/>
                <w:szCs w:val="14"/>
                <w:color w:val="202E39"/>
              </w:rPr>
              <w:t>1,815,500</w:t>
            </w:r>
          </w:p>
        </w:tc>
        <w:tc>
          <w:tcPr>
            <w:tcW w:w="1060" w:type="dxa"/>
            <w:vAlign w:val="bottom"/>
            <w:tcBorders>
              <w:bottom w:val="single" w:sz="8" w:color="E8EAEB"/>
              <w:right w:val="single" w:sz="8" w:color="E8EAEB"/>
            </w:tcBorders>
          </w:tcPr>
          <w:p>
            <w:pPr>
              <w:jc w:val="right"/>
              <w:ind w:right="131"/>
              <w:spacing w:after="0"/>
              <w:rPr>
                <w:sz w:val="20"/>
                <w:szCs w:val="20"/>
                <w:color w:val="auto"/>
              </w:rPr>
            </w:pPr>
            <w:r>
              <w:rPr>
                <w:rFonts w:ascii="Arial" w:cs="Arial" w:eastAsia="Arial" w:hAnsi="Arial"/>
                <w:sz w:val="14"/>
                <w:szCs w:val="14"/>
                <w:color w:val="202E39"/>
              </w:rPr>
              <w:t>21,299</w:t>
            </w:r>
          </w:p>
        </w:tc>
        <w:tc>
          <w:tcPr>
            <w:tcW w:w="78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12,305,309</w:t>
            </w:r>
          </w:p>
        </w:tc>
      </w:tr>
      <w:tr>
        <w:trPr>
          <w:trHeight w:val="185"/>
        </w:trPr>
        <w:tc>
          <w:tcPr>
            <w:tcW w:w="42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 Guru Gowrappan</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2024</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950,000</w:t>
            </w:r>
          </w:p>
        </w:tc>
        <w:tc>
          <w:tcPr>
            <w:tcW w:w="72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w w:val="99"/>
              </w:rPr>
              <w:t>1,000,000</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7,309,420</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10,134,746</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1,288,000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16,500</w:t>
            </w:r>
          </w:p>
        </w:tc>
        <w:tc>
          <w:tcPr>
            <w:tcW w:w="780" w:type="dxa"/>
            <w:vAlign w:val="bottom"/>
          </w:tcPr>
          <w:p>
            <w:pPr>
              <w:jc w:val="right"/>
              <w:spacing w:after="0"/>
              <w:rPr>
                <w:sz w:val="20"/>
                <w:szCs w:val="20"/>
                <w:color w:val="auto"/>
              </w:rPr>
            </w:pPr>
            <w:r>
              <w:rPr>
                <w:rFonts w:ascii="Arial" w:cs="Arial" w:eastAsia="Arial" w:hAnsi="Arial"/>
                <w:sz w:val="14"/>
                <w:szCs w:val="14"/>
                <w:color w:val="202E39"/>
              </w:rPr>
              <w:t>20,698,666</w:t>
            </w:r>
          </w:p>
        </w:tc>
      </w:tr>
      <w:tr>
        <w:trPr>
          <w:trHeight w:val="185"/>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President (5)</w:t>
            </w:r>
          </w:p>
        </w:tc>
        <w:tc>
          <w:tcPr>
            <w:tcW w:w="720" w:type="dxa"/>
            <w:vAlign w:val="bottom"/>
            <w:tcBorders>
              <w:right w:val="single" w:sz="8" w:color="E8EAEB"/>
            </w:tcBorders>
          </w:tcPr>
          <w:p>
            <w:pPr>
              <w:spacing w:after="0"/>
              <w:rPr>
                <w:sz w:val="16"/>
                <w:szCs w:val="16"/>
                <w:color w:val="auto"/>
              </w:rPr>
            </w:pPr>
          </w:p>
        </w:tc>
        <w:tc>
          <w:tcPr>
            <w:tcW w:w="700" w:type="dxa"/>
            <w:vAlign w:val="bottom"/>
            <w:tcBorders>
              <w:right w:val="single" w:sz="8" w:color="E8EAEB"/>
            </w:tcBorders>
          </w:tcPr>
          <w:p>
            <w:pPr>
              <w:spacing w:after="0"/>
              <w:rPr>
                <w:sz w:val="16"/>
                <w:szCs w:val="16"/>
                <w:color w:val="auto"/>
              </w:rPr>
            </w:pPr>
          </w:p>
        </w:tc>
        <w:tc>
          <w:tcPr>
            <w:tcW w:w="720" w:type="dxa"/>
            <w:vAlign w:val="bottom"/>
            <w:tcBorders>
              <w:right w:val="single" w:sz="8" w:color="E8EAEB"/>
            </w:tcBorders>
          </w:tcPr>
          <w:p>
            <w:pPr>
              <w:spacing w:after="0"/>
              <w:rPr>
                <w:sz w:val="16"/>
                <w:szCs w:val="16"/>
                <w:color w:val="auto"/>
              </w:rPr>
            </w:pPr>
          </w:p>
        </w:tc>
        <w:tc>
          <w:tcPr>
            <w:tcW w:w="700" w:type="dxa"/>
            <w:vAlign w:val="bottom"/>
            <w:tcBorders>
              <w:right w:val="single" w:sz="8" w:color="E8EAEB"/>
            </w:tcBorders>
          </w:tcPr>
          <w:p>
            <w:pPr>
              <w:spacing w:after="0"/>
              <w:rPr>
                <w:sz w:val="16"/>
                <w:szCs w:val="16"/>
                <w:color w:val="auto"/>
              </w:rPr>
            </w:pPr>
          </w:p>
        </w:tc>
        <w:tc>
          <w:tcPr>
            <w:tcW w:w="800" w:type="dxa"/>
            <w:vAlign w:val="bottom"/>
            <w:tcBorders>
              <w:right w:val="single" w:sz="8" w:color="E8EAEB"/>
            </w:tcBorders>
          </w:tcPr>
          <w:p>
            <w:pPr>
              <w:spacing w:after="0"/>
              <w:rPr>
                <w:sz w:val="16"/>
                <w:szCs w:val="16"/>
                <w:color w:val="auto"/>
              </w:rPr>
            </w:pPr>
          </w:p>
        </w:tc>
        <w:tc>
          <w:tcPr>
            <w:tcW w:w="1060" w:type="dxa"/>
            <w:vAlign w:val="bottom"/>
            <w:tcBorders>
              <w:right w:val="single" w:sz="8" w:color="E8EAEB"/>
            </w:tcBorders>
          </w:tcPr>
          <w:p>
            <w:pPr>
              <w:spacing w:after="0"/>
              <w:rPr>
                <w:sz w:val="16"/>
                <w:szCs w:val="16"/>
                <w:color w:val="auto"/>
              </w:rPr>
            </w:pPr>
          </w:p>
        </w:tc>
        <w:tc>
          <w:tcPr>
            <w:tcW w:w="1060" w:type="dxa"/>
            <w:vAlign w:val="bottom"/>
            <w:tcBorders>
              <w:right w:val="single" w:sz="8" w:color="E8EAEB"/>
            </w:tcBorders>
          </w:tcPr>
          <w:p>
            <w:pPr>
              <w:spacing w:after="0"/>
              <w:rPr>
                <w:sz w:val="16"/>
                <w:szCs w:val="16"/>
                <w:color w:val="auto"/>
              </w:rPr>
            </w:pPr>
          </w:p>
        </w:tc>
        <w:tc>
          <w:tcPr>
            <w:tcW w:w="780" w:type="dxa"/>
            <w:vAlign w:val="bottom"/>
          </w:tcPr>
          <w:p>
            <w:pPr>
              <w:spacing w:after="0"/>
              <w:rPr>
                <w:sz w:val="16"/>
                <w:szCs w:val="16"/>
                <w:color w:val="auto"/>
              </w:rPr>
            </w:pPr>
          </w:p>
        </w:tc>
      </w:tr>
      <w:tr>
        <w:trPr>
          <w:trHeight w:val="35"/>
        </w:trPr>
        <w:tc>
          <w:tcPr>
            <w:tcW w:w="4200" w:type="dxa"/>
            <w:vAlign w:val="bottom"/>
            <w:tcBorders>
              <w:bottom w:val="single" w:sz="8" w:color="E8EAEB"/>
              <w:right w:val="single" w:sz="8" w:color="E8EAEB"/>
            </w:tcBorders>
          </w:tcPr>
          <w:p>
            <w:pPr>
              <w:spacing w:after="0"/>
              <w:rPr>
                <w:sz w:val="3"/>
                <w:szCs w:val="3"/>
                <w:color w:val="auto"/>
              </w:rPr>
            </w:pPr>
          </w:p>
        </w:tc>
        <w:tc>
          <w:tcPr>
            <w:tcW w:w="720" w:type="dxa"/>
            <w:vAlign w:val="bottom"/>
            <w:tcBorders>
              <w:bottom w:val="single" w:sz="8" w:color="E8EAEB"/>
              <w:right w:val="single" w:sz="8" w:color="E8EAEB"/>
            </w:tcBorders>
          </w:tcPr>
          <w:p>
            <w:pPr>
              <w:spacing w:after="0"/>
              <w:rPr>
                <w:sz w:val="3"/>
                <w:szCs w:val="3"/>
                <w:color w:val="auto"/>
              </w:rPr>
            </w:pPr>
          </w:p>
        </w:tc>
        <w:tc>
          <w:tcPr>
            <w:tcW w:w="700" w:type="dxa"/>
            <w:vAlign w:val="bottom"/>
            <w:tcBorders>
              <w:bottom w:val="single" w:sz="8" w:color="E8EAEB"/>
              <w:right w:val="single" w:sz="8" w:color="E8EAEB"/>
            </w:tcBorders>
          </w:tcPr>
          <w:p>
            <w:pPr>
              <w:spacing w:after="0"/>
              <w:rPr>
                <w:sz w:val="3"/>
                <w:szCs w:val="3"/>
                <w:color w:val="auto"/>
              </w:rPr>
            </w:pPr>
          </w:p>
        </w:tc>
        <w:tc>
          <w:tcPr>
            <w:tcW w:w="720" w:type="dxa"/>
            <w:vAlign w:val="bottom"/>
            <w:tcBorders>
              <w:bottom w:val="single" w:sz="8" w:color="E8EAEB"/>
              <w:right w:val="single" w:sz="8" w:color="E8EAEB"/>
            </w:tcBorders>
          </w:tcPr>
          <w:p>
            <w:pPr>
              <w:spacing w:after="0"/>
              <w:rPr>
                <w:sz w:val="3"/>
                <w:szCs w:val="3"/>
                <w:color w:val="auto"/>
              </w:rPr>
            </w:pPr>
          </w:p>
        </w:tc>
        <w:tc>
          <w:tcPr>
            <w:tcW w:w="700" w:type="dxa"/>
            <w:vAlign w:val="bottom"/>
            <w:tcBorders>
              <w:bottom w:val="single" w:sz="8" w:color="E8EAEB"/>
              <w:right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060" w:type="dxa"/>
            <w:vAlign w:val="bottom"/>
            <w:tcBorders>
              <w:bottom w:val="single" w:sz="8" w:color="E8EAEB"/>
              <w:right w:val="single" w:sz="8" w:color="E8EAEB"/>
            </w:tcBorders>
          </w:tcPr>
          <w:p>
            <w:pPr>
              <w:spacing w:after="0"/>
              <w:rPr>
                <w:sz w:val="3"/>
                <w:szCs w:val="3"/>
                <w:color w:val="auto"/>
              </w:rPr>
            </w:pPr>
          </w:p>
        </w:tc>
        <w:tc>
          <w:tcPr>
            <w:tcW w:w="1060" w:type="dxa"/>
            <w:vAlign w:val="bottom"/>
            <w:tcBorders>
              <w:bottom w:val="single" w:sz="8" w:color="E8EAEB"/>
              <w:right w:val="single" w:sz="8" w:color="E8EAEB"/>
            </w:tcBorders>
          </w:tcPr>
          <w:p>
            <w:pPr>
              <w:spacing w:after="0"/>
              <w:rPr>
                <w:sz w:val="3"/>
                <w:szCs w:val="3"/>
                <w:color w:val="auto"/>
              </w:rPr>
            </w:pPr>
          </w:p>
        </w:tc>
        <w:tc>
          <w:tcPr>
            <w:tcW w:w="780" w:type="dxa"/>
            <w:vAlign w:val="bottom"/>
            <w:tcBorders>
              <w:bottom w:val="single" w:sz="8" w:color="E8EAEB"/>
            </w:tcBorders>
          </w:tcPr>
          <w:p>
            <w:pPr>
              <w:spacing w:after="0"/>
              <w:rPr>
                <w:sz w:val="3"/>
                <w:szCs w:val="3"/>
                <w:color w:val="auto"/>
              </w:rPr>
            </w:pPr>
          </w:p>
        </w:tc>
      </w:tr>
      <w:tr>
        <w:trPr>
          <w:trHeight w:val="221"/>
        </w:trPr>
        <w:tc>
          <w:tcPr>
            <w:tcW w:w="42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Shawn Duffy</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2024</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659,423</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934,272</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580,725</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535,000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26,586</w:t>
            </w:r>
          </w:p>
        </w:tc>
        <w:tc>
          <w:tcPr>
            <w:tcW w:w="780" w:type="dxa"/>
            <w:vAlign w:val="bottom"/>
          </w:tcPr>
          <w:p>
            <w:pPr>
              <w:jc w:val="right"/>
              <w:spacing w:after="0"/>
              <w:rPr>
                <w:sz w:val="20"/>
                <w:szCs w:val="20"/>
                <w:color w:val="auto"/>
              </w:rPr>
            </w:pPr>
            <w:r>
              <w:rPr>
                <w:rFonts w:ascii="Arial" w:cs="Arial" w:eastAsia="Arial" w:hAnsi="Arial"/>
                <w:sz w:val="14"/>
                <w:szCs w:val="14"/>
                <w:color w:val="202E39"/>
              </w:rPr>
              <w:t>2,736,006</w:t>
            </w:r>
          </w:p>
        </w:tc>
      </w:tr>
      <w:tr>
        <w:trPr>
          <w:trHeight w:val="210"/>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2023</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629,538</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— </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877,100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650,000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10,458</w:t>
            </w:r>
          </w:p>
        </w:tc>
        <w:tc>
          <w:tcPr>
            <w:tcW w:w="780" w:type="dxa"/>
            <w:vAlign w:val="bottom"/>
          </w:tcPr>
          <w:p>
            <w:pPr>
              <w:jc w:val="right"/>
              <w:spacing w:after="0"/>
              <w:rPr>
                <w:sz w:val="20"/>
                <w:szCs w:val="20"/>
                <w:color w:val="auto"/>
              </w:rPr>
            </w:pPr>
            <w:r>
              <w:rPr>
                <w:rFonts w:ascii="Arial" w:cs="Arial" w:eastAsia="Arial" w:hAnsi="Arial"/>
                <w:sz w:val="14"/>
                <w:szCs w:val="14"/>
                <w:color w:val="202E39"/>
              </w:rPr>
              <w:t>2,167,096</w:t>
            </w:r>
          </w:p>
        </w:tc>
      </w:tr>
      <w:tr>
        <w:trPr>
          <w:trHeight w:val="241"/>
        </w:trPr>
        <w:tc>
          <w:tcPr>
            <w:tcW w:w="42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Financial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2022</w:t>
            </w:r>
          </w:p>
        </w:tc>
        <w:tc>
          <w:tcPr>
            <w:tcW w:w="70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599,711</w:t>
            </w:r>
          </w:p>
        </w:tc>
        <w:tc>
          <w:tcPr>
            <w:tcW w:w="720" w:type="dxa"/>
            <w:vAlign w:val="bottom"/>
            <w:tcBorders>
              <w:bottom w:val="single" w:sz="8" w:color="E8EAEB"/>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997,966</w:t>
            </w:r>
          </w:p>
        </w:tc>
        <w:tc>
          <w:tcPr>
            <w:tcW w:w="80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934,544</w:t>
            </w:r>
          </w:p>
        </w:tc>
        <w:tc>
          <w:tcPr>
            <w:tcW w:w="1060" w:type="dxa"/>
            <w:vAlign w:val="bottom"/>
            <w:tcBorders>
              <w:bottom w:val="single" w:sz="8" w:color="E8EAEB"/>
              <w:right w:val="single" w:sz="8" w:color="E8EAEB"/>
            </w:tcBorders>
          </w:tcPr>
          <w:p>
            <w:pPr>
              <w:jc w:val="right"/>
              <w:ind w:right="131"/>
              <w:spacing w:after="0"/>
              <w:rPr>
                <w:sz w:val="20"/>
                <w:szCs w:val="20"/>
                <w:color w:val="auto"/>
              </w:rPr>
            </w:pPr>
            <w:r>
              <w:rPr>
                <w:rFonts w:ascii="Arial" w:cs="Arial" w:eastAsia="Arial" w:hAnsi="Arial"/>
                <w:sz w:val="14"/>
                <w:szCs w:val="14"/>
                <w:color w:val="202E39"/>
              </w:rPr>
              <w:t>650,000</w:t>
            </w:r>
          </w:p>
        </w:tc>
        <w:tc>
          <w:tcPr>
            <w:tcW w:w="1060" w:type="dxa"/>
            <w:vAlign w:val="bottom"/>
            <w:tcBorders>
              <w:bottom w:val="single" w:sz="8" w:color="E8EAEB"/>
              <w:right w:val="single" w:sz="8" w:color="E8EAEB"/>
            </w:tcBorders>
          </w:tcPr>
          <w:p>
            <w:pPr>
              <w:jc w:val="right"/>
              <w:ind w:right="131"/>
              <w:spacing w:after="0"/>
              <w:rPr>
                <w:sz w:val="20"/>
                <w:szCs w:val="20"/>
                <w:color w:val="auto"/>
              </w:rPr>
            </w:pPr>
            <w:r>
              <w:rPr>
                <w:rFonts w:ascii="Arial" w:cs="Arial" w:eastAsia="Arial" w:hAnsi="Arial"/>
                <w:sz w:val="14"/>
                <w:szCs w:val="14"/>
                <w:color w:val="202E39"/>
              </w:rPr>
              <w:t>24,041</w:t>
            </w:r>
          </w:p>
        </w:tc>
        <w:tc>
          <w:tcPr>
            <w:tcW w:w="78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3,206,262</w:t>
            </w:r>
          </w:p>
        </w:tc>
      </w:tr>
      <w:tr>
        <w:trPr>
          <w:trHeight w:val="225"/>
        </w:trPr>
        <w:tc>
          <w:tcPr>
            <w:tcW w:w="42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Kevin Harkenrider</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2024</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750,000</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1,334,674</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580,725</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605,000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13,583</w:t>
            </w:r>
          </w:p>
        </w:tc>
        <w:tc>
          <w:tcPr>
            <w:tcW w:w="780" w:type="dxa"/>
            <w:vAlign w:val="bottom"/>
          </w:tcPr>
          <w:p>
            <w:pPr>
              <w:jc w:val="right"/>
              <w:spacing w:after="0"/>
              <w:rPr>
                <w:sz w:val="20"/>
                <w:szCs w:val="20"/>
                <w:color w:val="auto"/>
              </w:rPr>
            </w:pPr>
            <w:r>
              <w:rPr>
                <w:rFonts w:ascii="Arial" w:cs="Arial" w:eastAsia="Arial" w:hAnsi="Arial"/>
                <w:sz w:val="14"/>
                <w:szCs w:val="14"/>
                <w:color w:val="202E39"/>
              </w:rPr>
              <w:t>3,283,982</w:t>
            </w:r>
          </w:p>
        </w:tc>
      </w:tr>
      <w:tr>
        <w:trPr>
          <w:trHeight w:val="210"/>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Executive Vice President,</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2023</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749,231</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— </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1,253,000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675,000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13,913</w:t>
            </w:r>
          </w:p>
        </w:tc>
        <w:tc>
          <w:tcPr>
            <w:tcW w:w="780" w:type="dxa"/>
            <w:vAlign w:val="bottom"/>
          </w:tcPr>
          <w:p>
            <w:pPr>
              <w:jc w:val="right"/>
              <w:spacing w:after="0"/>
              <w:rPr>
                <w:sz w:val="20"/>
                <w:szCs w:val="20"/>
                <w:color w:val="auto"/>
              </w:rPr>
            </w:pPr>
            <w:r>
              <w:rPr>
                <w:rFonts w:ascii="Arial" w:cs="Arial" w:eastAsia="Arial" w:hAnsi="Arial"/>
                <w:sz w:val="14"/>
                <w:szCs w:val="14"/>
                <w:color w:val="202E39"/>
              </w:rPr>
              <w:t>2,691,144</w:t>
            </w:r>
          </w:p>
        </w:tc>
      </w:tr>
      <w:tr>
        <w:trPr>
          <w:trHeight w:val="210"/>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Chief Operating Officer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2022</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629,135</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1,087,514</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1,074,726</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675,000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13,721</w:t>
            </w:r>
          </w:p>
        </w:tc>
        <w:tc>
          <w:tcPr>
            <w:tcW w:w="780" w:type="dxa"/>
            <w:vAlign w:val="bottom"/>
          </w:tcPr>
          <w:p>
            <w:pPr>
              <w:jc w:val="right"/>
              <w:spacing w:after="0"/>
              <w:rPr>
                <w:sz w:val="20"/>
                <w:szCs w:val="20"/>
                <w:color w:val="auto"/>
              </w:rPr>
            </w:pPr>
            <w:r>
              <w:rPr>
                <w:rFonts w:ascii="Arial" w:cs="Arial" w:eastAsia="Arial" w:hAnsi="Arial"/>
                <w:sz w:val="14"/>
                <w:szCs w:val="14"/>
                <w:color w:val="202E39"/>
              </w:rPr>
              <w:t>3,480,096</w:t>
            </w:r>
          </w:p>
        </w:tc>
      </w:tr>
      <w:tr>
        <w:trPr>
          <w:trHeight w:val="193"/>
        </w:trPr>
        <w:tc>
          <w:tcPr>
            <w:tcW w:w="42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Corporate Officer</w:t>
            </w:r>
          </w:p>
        </w:tc>
        <w:tc>
          <w:tcPr>
            <w:tcW w:w="720" w:type="dxa"/>
            <w:vAlign w:val="bottom"/>
            <w:tcBorders>
              <w:bottom w:val="single" w:sz="8" w:color="E8EAEB"/>
              <w:right w:val="single" w:sz="8" w:color="E8EAEB"/>
            </w:tcBorders>
          </w:tcPr>
          <w:p>
            <w:pPr>
              <w:spacing w:after="0"/>
              <w:rPr>
                <w:sz w:val="16"/>
                <w:szCs w:val="16"/>
                <w:color w:val="auto"/>
              </w:rPr>
            </w:pPr>
          </w:p>
        </w:tc>
        <w:tc>
          <w:tcPr>
            <w:tcW w:w="700" w:type="dxa"/>
            <w:vAlign w:val="bottom"/>
            <w:tcBorders>
              <w:bottom w:val="single" w:sz="8" w:color="E8EAEB"/>
              <w:right w:val="single" w:sz="8" w:color="E8EAEB"/>
            </w:tcBorders>
          </w:tcPr>
          <w:p>
            <w:pPr>
              <w:spacing w:after="0"/>
              <w:rPr>
                <w:sz w:val="16"/>
                <w:szCs w:val="16"/>
                <w:color w:val="auto"/>
              </w:rPr>
            </w:pPr>
          </w:p>
        </w:tc>
        <w:tc>
          <w:tcPr>
            <w:tcW w:w="720" w:type="dxa"/>
            <w:vAlign w:val="bottom"/>
            <w:tcBorders>
              <w:bottom w:val="single" w:sz="8" w:color="E8EAEB"/>
              <w:right w:val="single" w:sz="8" w:color="E8EAEB"/>
            </w:tcBorders>
          </w:tcPr>
          <w:p>
            <w:pPr>
              <w:spacing w:after="0"/>
              <w:rPr>
                <w:sz w:val="16"/>
                <w:szCs w:val="16"/>
                <w:color w:val="auto"/>
              </w:rPr>
            </w:pPr>
          </w:p>
        </w:tc>
        <w:tc>
          <w:tcPr>
            <w:tcW w:w="700" w:type="dxa"/>
            <w:vAlign w:val="bottom"/>
            <w:tcBorders>
              <w:bottom w:val="single" w:sz="8" w:color="E8EAEB"/>
              <w:right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spacing w:after="0"/>
              <w:rPr>
                <w:sz w:val="16"/>
                <w:szCs w:val="16"/>
                <w:color w:val="auto"/>
              </w:rPr>
            </w:pPr>
          </w:p>
        </w:tc>
        <w:tc>
          <w:tcPr>
            <w:tcW w:w="1060" w:type="dxa"/>
            <w:vAlign w:val="bottom"/>
            <w:tcBorders>
              <w:bottom w:val="single" w:sz="8" w:color="E8EAEB"/>
              <w:right w:val="single" w:sz="8" w:color="E8EAEB"/>
            </w:tcBorders>
          </w:tcPr>
          <w:p>
            <w:pPr>
              <w:spacing w:after="0"/>
              <w:rPr>
                <w:sz w:val="16"/>
                <w:szCs w:val="16"/>
                <w:color w:val="auto"/>
              </w:rPr>
            </w:pPr>
          </w:p>
        </w:tc>
        <w:tc>
          <w:tcPr>
            <w:tcW w:w="1060" w:type="dxa"/>
            <w:vAlign w:val="bottom"/>
            <w:tcBorders>
              <w:bottom w:val="single" w:sz="8" w:color="E8EAEB"/>
              <w:right w:val="single" w:sz="8" w:color="E8EAEB"/>
            </w:tcBorders>
          </w:tcPr>
          <w:p>
            <w:pPr>
              <w:spacing w:after="0"/>
              <w:rPr>
                <w:sz w:val="16"/>
                <w:szCs w:val="16"/>
                <w:color w:val="auto"/>
              </w:rPr>
            </w:pPr>
          </w:p>
        </w:tc>
        <w:tc>
          <w:tcPr>
            <w:tcW w:w="780" w:type="dxa"/>
            <w:vAlign w:val="bottom"/>
            <w:tcBorders>
              <w:bottom w:val="single" w:sz="8" w:color="E8EAEB"/>
            </w:tcBorders>
          </w:tcPr>
          <w:p>
            <w:pPr>
              <w:spacing w:after="0"/>
              <w:rPr>
                <w:sz w:val="16"/>
                <w:szCs w:val="16"/>
                <w:color w:val="auto"/>
              </w:rPr>
            </w:pPr>
          </w:p>
        </w:tc>
      </w:tr>
      <w:tr>
        <w:trPr>
          <w:trHeight w:val="208"/>
        </w:trPr>
        <w:tc>
          <w:tcPr>
            <w:tcW w:w="42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Craig Miller</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2024</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674,039</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800,804</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667,500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650,000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16,760</w:t>
            </w:r>
          </w:p>
        </w:tc>
        <w:tc>
          <w:tcPr>
            <w:tcW w:w="780" w:type="dxa"/>
            <w:vAlign w:val="bottom"/>
          </w:tcPr>
          <w:p>
            <w:pPr>
              <w:jc w:val="right"/>
              <w:spacing w:after="0"/>
              <w:rPr>
                <w:sz w:val="20"/>
                <w:szCs w:val="20"/>
                <w:color w:val="auto"/>
              </w:rPr>
            </w:pPr>
            <w:r>
              <w:rPr>
                <w:rFonts w:ascii="Arial" w:cs="Arial" w:eastAsia="Arial" w:hAnsi="Arial"/>
                <w:sz w:val="14"/>
                <w:szCs w:val="14"/>
                <w:color w:val="202E39"/>
              </w:rPr>
              <w:t>2,809,103</w:t>
            </w:r>
          </w:p>
        </w:tc>
      </w:tr>
      <w:tr>
        <w:trPr>
          <w:trHeight w:val="223"/>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President, Global Space Networks (6)</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2023</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580,385</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— </w:t>
            </w:r>
          </w:p>
        </w:tc>
        <w:tc>
          <w:tcPr>
            <w:tcW w:w="8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751,800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675,000</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17,173</w:t>
            </w:r>
          </w:p>
        </w:tc>
        <w:tc>
          <w:tcPr>
            <w:tcW w:w="780" w:type="dxa"/>
            <w:vAlign w:val="bottom"/>
          </w:tcPr>
          <w:p>
            <w:pPr>
              <w:jc w:val="right"/>
              <w:spacing w:after="0"/>
              <w:rPr>
                <w:sz w:val="20"/>
                <w:szCs w:val="20"/>
                <w:color w:val="auto"/>
              </w:rPr>
            </w:pPr>
            <w:r>
              <w:rPr>
                <w:rFonts w:ascii="Arial" w:cs="Arial" w:eastAsia="Arial" w:hAnsi="Arial"/>
                <w:sz w:val="14"/>
                <w:szCs w:val="14"/>
                <w:color w:val="202E39"/>
              </w:rPr>
              <w:t>2,024,358</w:t>
            </w:r>
          </w:p>
        </w:tc>
      </w:tr>
      <w:tr>
        <w:trPr>
          <w:trHeight w:val="35"/>
        </w:trPr>
        <w:tc>
          <w:tcPr>
            <w:tcW w:w="4200" w:type="dxa"/>
            <w:vAlign w:val="bottom"/>
            <w:tcBorders>
              <w:bottom w:val="single" w:sz="8" w:color="E8EAEB"/>
              <w:right w:val="single" w:sz="8" w:color="E8EAEB"/>
            </w:tcBorders>
          </w:tcPr>
          <w:p>
            <w:pPr>
              <w:spacing w:after="0"/>
              <w:rPr>
                <w:sz w:val="3"/>
                <w:szCs w:val="3"/>
                <w:color w:val="auto"/>
              </w:rPr>
            </w:pPr>
          </w:p>
        </w:tc>
        <w:tc>
          <w:tcPr>
            <w:tcW w:w="720" w:type="dxa"/>
            <w:vAlign w:val="bottom"/>
            <w:tcBorders>
              <w:bottom w:val="single" w:sz="8" w:color="E8EAEB"/>
              <w:right w:val="single" w:sz="8" w:color="E8EAEB"/>
            </w:tcBorders>
          </w:tcPr>
          <w:p>
            <w:pPr>
              <w:spacing w:after="0"/>
              <w:rPr>
                <w:sz w:val="3"/>
                <w:szCs w:val="3"/>
                <w:color w:val="auto"/>
              </w:rPr>
            </w:pPr>
          </w:p>
        </w:tc>
        <w:tc>
          <w:tcPr>
            <w:tcW w:w="700" w:type="dxa"/>
            <w:vAlign w:val="bottom"/>
            <w:tcBorders>
              <w:bottom w:val="single" w:sz="8" w:color="E8EAEB"/>
              <w:right w:val="single" w:sz="8" w:color="E8EAEB"/>
            </w:tcBorders>
          </w:tcPr>
          <w:p>
            <w:pPr>
              <w:spacing w:after="0"/>
              <w:rPr>
                <w:sz w:val="3"/>
                <w:szCs w:val="3"/>
                <w:color w:val="auto"/>
              </w:rPr>
            </w:pPr>
          </w:p>
        </w:tc>
        <w:tc>
          <w:tcPr>
            <w:tcW w:w="720" w:type="dxa"/>
            <w:vAlign w:val="bottom"/>
            <w:tcBorders>
              <w:bottom w:val="single" w:sz="8" w:color="E8EAEB"/>
              <w:right w:val="single" w:sz="8" w:color="E8EAEB"/>
            </w:tcBorders>
          </w:tcPr>
          <w:p>
            <w:pPr>
              <w:spacing w:after="0"/>
              <w:rPr>
                <w:sz w:val="3"/>
                <w:szCs w:val="3"/>
                <w:color w:val="auto"/>
              </w:rPr>
            </w:pPr>
          </w:p>
        </w:tc>
        <w:tc>
          <w:tcPr>
            <w:tcW w:w="700" w:type="dxa"/>
            <w:vAlign w:val="bottom"/>
            <w:tcBorders>
              <w:bottom w:val="single" w:sz="8" w:color="E8EAEB"/>
              <w:right w:val="single" w:sz="8" w:color="E8EAEB"/>
            </w:tcBorders>
          </w:tcPr>
          <w:p>
            <w:pPr>
              <w:spacing w:after="0"/>
              <w:rPr>
                <w:sz w:val="3"/>
                <w:szCs w:val="3"/>
                <w:color w:val="auto"/>
              </w:rPr>
            </w:pPr>
          </w:p>
        </w:tc>
        <w:tc>
          <w:tcPr>
            <w:tcW w:w="800" w:type="dxa"/>
            <w:vAlign w:val="bottom"/>
            <w:tcBorders>
              <w:bottom w:val="single" w:sz="8" w:color="E8EAEB"/>
              <w:right w:val="single" w:sz="8" w:color="E8EAEB"/>
            </w:tcBorders>
          </w:tcPr>
          <w:p>
            <w:pPr>
              <w:spacing w:after="0"/>
              <w:rPr>
                <w:sz w:val="3"/>
                <w:szCs w:val="3"/>
                <w:color w:val="auto"/>
              </w:rPr>
            </w:pPr>
          </w:p>
        </w:tc>
        <w:tc>
          <w:tcPr>
            <w:tcW w:w="1060" w:type="dxa"/>
            <w:vAlign w:val="bottom"/>
            <w:tcBorders>
              <w:bottom w:val="single" w:sz="8" w:color="E8EAEB"/>
              <w:right w:val="single" w:sz="8" w:color="E8EAEB"/>
            </w:tcBorders>
          </w:tcPr>
          <w:p>
            <w:pPr>
              <w:spacing w:after="0"/>
              <w:rPr>
                <w:sz w:val="3"/>
                <w:szCs w:val="3"/>
                <w:color w:val="auto"/>
              </w:rPr>
            </w:pPr>
          </w:p>
        </w:tc>
        <w:tc>
          <w:tcPr>
            <w:tcW w:w="1060" w:type="dxa"/>
            <w:vAlign w:val="bottom"/>
            <w:tcBorders>
              <w:bottom w:val="single" w:sz="8" w:color="E8EAEB"/>
              <w:right w:val="single" w:sz="8" w:color="E8EAEB"/>
            </w:tcBorders>
          </w:tcPr>
          <w:p>
            <w:pPr>
              <w:spacing w:after="0"/>
              <w:rPr>
                <w:sz w:val="3"/>
                <w:szCs w:val="3"/>
                <w:color w:val="auto"/>
              </w:rPr>
            </w:pPr>
          </w:p>
        </w:tc>
        <w:tc>
          <w:tcPr>
            <w:tcW w:w="780" w:type="dxa"/>
            <w:vAlign w:val="bottom"/>
            <w:tcBorders>
              <w:bottom w:val="single" w:sz="8" w:color="E8EAEB"/>
            </w:tcBorders>
          </w:tcPr>
          <w:p>
            <w:pPr>
              <w:spacing w:after="0"/>
              <w:rPr>
                <w:sz w:val="3"/>
                <w:szCs w:val="3"/>
                <w:color w:val="auto"/>
              </w:rPr>
            </w:pPr>
          </w:p>
        </w:tc>
      </w:tr>
      <w:tr>
        <w:trPr>
          <w:trHeight w:val="221"/>
        </w:trPr>
        <w:tc>
          <w:tcPr>
            <w:tcW w:w="42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David Ryan</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2024</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324,519</w:t>
            </w:r>
          </w:p>
        </w:tc>
        <w:tc>
          <w:tcPr>
            <w:tcW w:w="72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— </w:t>
            </w: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667,337</w:t>
            </w:r>
          </w:p>
        </w:tc>
        <w:tc>
          <w:tcPr>
            <w:tcW w:w="800" w:type="dxa"/>
            <w:vAlign w:val="bottom"/>
            <w:tcBorders>
              <w:right w:val="single" w:sz="8" w:color="E8EAEB"/>
            </w:tcBorders>
          </w:tcPr>
          <w:p>
            <w:pPr>
              <w:jc w:val="right"/>
              <w:ind w:right="1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jc w:val="right"/>
              <w:ind w:right="151"/>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jc w:val="right"/>
              <w:ind w:right="131"/>
              <w:spacing w:after="0"/>
              <w:rPr>
                <w:sz w:val="20"/>
                <w:szCs w:val="20"/>
                <w:color w:val="auto"/>
              </w:rPr>
            </w:pPr>
            <w:r>
              <w:rPr>
                <w:rFonts w:ascii="Arial" w:cs="Arial" w:eastAsia="Arial" w:hAnsi="Arial"/>
                <w:sz w:val="14"/>
                <w:szCs w:val="14"/>
                <w:color w:val="202E39"/>
              </w:rPr>
              <w:t>2,412,915</w:t>
            </w:r>
          </w:p>
        </w:tc>
        <w:tc>
          <w:tcPr>
            <w:tcW w:w="780" w:type="dxa"/>
            <w:vAlign w:val="bottom"/>
          </w:tcPr>
          <w:p>
            <w:pPr>
              <w:jc w:val="right"/>
              <w:spacing w:after="0"/>
              <w:rPr>
                <w:sz w:val="20"/>
                <w:szCs w:val="20"/>
                <w:color w:val="auto"/>
              </w:rPr>
            </w:pPr>
            <w:r>
              <w:rPr>
                <w:rFonts w:ascii="Arial" w:cs="Arial" w:eastAsia="Arial" w:hAnsi="Arial"/>
                <w:sz w:val="14"/>
                <w:szCs w:val="14"/>
                <w:color w:val="202E39"/>
              </w:rPr>
              <w:t>3,404,771</w:t>
            </w:r>
          </w:p>
        </w:tc>
      </w:tr>
      <w:tr>
        <w:trPr>
          <w:trHeight w:val="210"/>
        </w:trPr>
        <w:tc>
          <w:tcPr>
            <w:tcW w:w="42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Former President, Space and Commercial Networks (7)</w:t>
            </w:r>
          </w:p>
        </w:tc>
        <w:tc>
          <w:tcPr>
            <w:tcW w:w="720" w:type="dxa"/>
            <w:vAlign w:val="bottom"/>
            <w:tcBorders>
              <w:right w:val="single" w:sz="8" w:color="E8EAEB"/>
            </w:tcBorders>
          </w:tcPr>
          <w:p>
            <w:pPr>
              <w:spacing w:after="0"/>
              <w:rPr>
                <w:sz w:val="18"/>
                <w:szCs w:val="18"/>
                <w:color w:val="auto"/>
              </w:rPr>
            </w:pPr>
          </w:p>
        </w:tc>
        <w:tc>
          <w:tcPr>
            <w:tcW w:w="700" w:type="dxa"/>
            <w:vAlign w:val="bottom"/>
            <w:tcBorders>
              <w:right w:val="single" w:sz="8" w:color="E8EAEB"/>
            </w:tcBorders>
          </w:tcPr>
          <w:p>
            <w:pPr>
              <w:spacing w:after="0"/>
              <w:rPr>
                <w:sz w:val="18"/>
                <w:szCs w:val="18"/>
                <w:color w:val="auto"/>
              </w:rPr>
            </w:pPr>
          </w:p>
        </w:tc>
        <w:tc>
          <w:tcPr>
            <w:tcW w:w="720" w:type="dxa"/>
            <w:vAlign w:val="bottom"/>
            <w:tcBorders>
              <w:right w:val="single" w:sz="8" w:color="E8EAEB"/>
            </w:tcBorders>
          </w:tcPr>
          <w:p>
            <w:pPr>
              <w:spacing w:after="0"/>
              <w:rPr>
                <w:sz w:val="18"/>
                <w:szCs w:val="18"/>
                <w:color w:val="auto"/>
              </w:rPr>
            </w:pPr>
          </w:p>
        </w:tc>
        <w:tc>
          <w:tcPr>
            <w:tcW w:w="700" w:type="dxa"/>
            <w:vAlign w:val="bottom"/>
            <w:tcBorders>
              <w:right w:val="single" w:sz="8" w:color="E8EAEB"/>
            </w:tcBorders>
          </w:tcPr>
          <w:p>
            <w:pPr>
              <w:spacing w:after="0"/>
              <w:rPr>
                <w:sz w:val="18"/>
                <w:szCs w:val="18"/>
                <w:color w:val="auto"/>
              </w:rPr>
            </w:pPr>
          </w:p>
        </w:tc>
        <w:tc>
          <w:tcPr>
            <w:tcW w:w="800" w:type="dxa"/>
            <w:vAlign w:val="bottom"/>
            <w:tcBorders>
              <w:right w:val="single" w:sz="8" w:color="E8EAEB"/>
            </w:tcBorders>
          </w:tcPr>
          <w:p>
            <w:pPr>
              <w:spacing w:after="0"/>
              <w:rPr>
                <w:sz w:val="18"/>
                <w:szCs w:val="18"/>
                <w:color w:val="auto"/>
              </w:rPr>
            </w:pPr>
          </w:p>
        </w:tc>
        <w:tc>
          <w:tcPr>
            <w:tcW w:w="1060" w:type="dxa"/>
            <w:vAlign w:val="bottom"/>
            <w:tcBorders>
              <w:right w:val="single" w:sz="8" w:color="E8EAEB"/>
            </w:tcBorders>
          </w:tcPr>
          <w:p>
            <w:pPr>
              <w:spacing w:after="0"/>
              <w:rPr>
                <w:sz w:val="18"/>
                <w:szCs w:val="18"/>
                <w:color w:val="auto"/>
              </w:rPr>
            </w:pPr>
          </w:p>
        </w:tc>
        <w:tc>
          <w:tcPr>
            <w:tcW w:w="1060" w:type="dxa"/>
            <w:vAlign w:val="bottom"/>
            <w:tcBorders>
              <w:right w:val="single" w:sz="8" w:color="E8EAEB"/>
            </w:tcBorders>
          </w:tcPr>
          <w:p>
            <w:pPr>
              <w:spacing w:after="0"/>
              <w:rPr>
                <w:sz w:val="18"/>
                <w:szCs w:val="18"/>
                <w:color w:val="auto"/>
              </w:rPr>
            </w:pPr>
          </w:p>
        </w:tc>
        <w:tc>
          <w:tcPr>
            <w:tcW w:w="780" w:type="dxa"/>
            <w:vAlign w:val="bottom"/>
          </w:tcPr>
          <w:p>
            <w:pPr>
              <w:spacing w:after="0"/>
              <w:rPr>
                <w:sz w:val="18"/>
                <w:szCs w:val="18"/>
                <w:color w:val="auto"/>
              </w:rPr>
            </w:pPr>
          </w:p>
        </w:tc>
      </w:tr>
      <w:tr>
        <w:trPr>
          <w:trHeight w:val="35"/>
        </w:trPr>
        <w:tc>
          <w:tcPr>
            <w:tcW w:w="4200" w:type="dxa"/>
            <w:vAlign w:val="bottom"/>
            <w:tcBorders>
              <w:bottom w:val="single" w:sz="8" w:color="009FE3"/>
              <w:right w:val="single" w:sz="8" w:color="E8EAEB"/>
            </w:tcBorders>
          </w:tcPr>
          <w:p>
            <w:pPr>
              <w:spacing w:after="0"/>
              <w:rPr>
                <w:sz w:val="3"/>
                <w:szCs w:val="3"/>
                <w:color w:val="auto"/>
              </w:rPr>
            </w:pPr>
          </w:p>
        </w:tc>
        <w:tc>
          <w:tcPr>
            <w:tcW w:w="720" w:type="dxa"/>
            <w:vAlign w:val="bottom"/>
            <w:tcBorders>
              <w:bottom w:val="single" w:sz="8" w:color="009FE3"/>
              <w:right w:val="single" w:sz="8" w:color="E8EAEB"/>
            </w:tcBorders>
          </w:tcPr>
          <w:p>
            <w:pPr>
              <w:spacing w:after="0"/>
              <w:rPr>
                <w:sz w:val="3"/>
                <w:szCs w:val="3"/>
                <w:color w:val="auto"/>
              </w:rPr>
            </w:pPr>
          </w:p>
        </w:tc>
        <w:tc>
          <w:tcPr>
            <w:tcW w:w="700" w:type="dxa"/>
            <w:vAlign w:val="bottom"/>
            <w:tcBorders>
              <w:bottom w:val="single" w:sz="8" w:color="009FE3"/>
              <w:right w:val="single" w:sz="8" w:color="E8EAEB"/>
            </w:tcBorders>
          </w:tcPr>
          <w:p>
            <w:pPr>
              <w:spacing w:after="0"/>
              <w:rPr>
                <w:sz w:val="3"/>
                <w:szCs w:val="3"/>
                <w:color w:val="auto"/>
              </w:rPr>
            </w:pPr>
          </w:p>
        </w:tc>
        <w:tc>
          <w:tcPr>
            <w:tcW w:w="720" w:type="dxa"/>
            <w:vAlign w:val="bottom"/>
            <w:tcBorders>
              <w:bottom w:val="single" w:sz="8" w:color="009FE3"/>
              <w:right w:val="single" w:sz="8" w:color="E8EAEB"/>
            </w:tcBorders>
          </w:tcPr>
          <w:p>
            <w:pPr>
              <w:spacing w:after="0"/>
              <w:rPr>
                <w:sz w:val="3"/>
                <w:szCs w:val="3"/>
                <w:color w:val="auto"/>
              </w:rPr>
            </w:pPr>
          </w:p>
        </w:tc>
        <w:tc>
          <w:tcPr>
            <w:tcW w:w="700" w:type="dxa"/>
            <w:vAlign w:val="bottom"/>
            <w:tcBorders>
              <w:bottom w:val="single" w:sz="8" w:color="009FE3"/>
              <w:right w:val="single" w:sz="8" w:color="E8EAEB"/>
            </w:tcBorders>
          </w:tcPr>
          <w:p>
            <w:pPr>
              <w:spacing w:after="0"/>
              <w:rPr>
                <w:sz w:val="3"/>
                <w:szCs w:val="3"/>
                <w:color w:val="auto"/>
              </w:rPr>
            </w:pPr>
          </w:p>
        </w:tc>
        <w:tc>
          <w:tcPr>
            <w:tcW w:w="800" w:type="dxa"/>
            <w:vAlign w:val="bottom"/>
            <w:tcBorders>
              <w:bottom w:val="single" w:sz="8" w:color="009FE3"/>
              <w:right w:val="single" w:sz="8" w:color="E8EAEB"/>
            </w:tcBorders>
          </w:tcPr>
          <w:p>
            <w:pPr>
              <w:spacing w:after="0"/>
              <w:rPr>
                <w:sz w:val="3"/>
                <w:szCs w:val="3"/>
                <w:color w:val="auto"/>
              </w:rPr>
            </w:pPr>
          </w:p>
        </w:tc>
        <w:tc>
          <w:tcPr>
            <w:tcW w:w="1060" w:type="dxa"/>
            <w:vAlign w:val="bottom"/>
            <w:tcBorders>
              <w:bottom w:val="single" w:sz="8" w:color="009FE3"/>
              <w:right w:val="single" w:sz="8" w:color="E8EAEB"/>
            </w:tcBorders>
          </w:tcPr>
          <w:p>
            <w:pPr>
              <w:spacing w:after="0"/>
              <w:rPr>
                <w:sz w:val="3"/>
                <w:szCs w:val="3"/>
                <w:color w:val="auto"/>
              </w:rPr>
            </w:pPr>
          </w:p>
        </w:tc>
        <w:tc>
          <w:tcPr>
            <w:tcW w:w="1060" w:type="dxa"/>
            <w:vAlign w:val="bottom"/>
            <w:tcBorders>
              <w:bottom w:val="single" w:sz="8" w:color="009FE3"/>
              <w:right w:val="single" w:sz="8" w:color="E8EAEB"/>
            </w:tcBorders>
          </w:tcPr>
          <w:p>
            <w:pPr>
              <w:spacing w:after="0"/>
              <w:rPr>
                <w:sz w:val="3"/>
                <w:szCs w:val="3"/>
                <w:color w:val="auto"/>
              </w:rPr>
            </w:pPr>
          </w:p>
        </w:tc>
        <w:tc>
          <w:tcPr>
            <w:tcW w:w="780" w:type="dxa"/>
            <w:vAlign w:val="bottom"/>
            <w:tcBorders>
              <w:bottom w:val="single" w:sz="8" w:color="009FE3"/>
            </w:tcBorders>
          </w:tcPr>
          <w:p>
            <w:pPr>
              <w:spacing w:after="0"/>
              <w:rPr>
                <w:sz w:val="3"/>
                <w:szCs w:val="3"/>
                <w:color w:val="auto"/>
              </w:rPr>
            </w:pPr>
          </w:p>
        </w:tc>
      </w:tr>
    </w:tbl>
    <w:p>
      <w:pPr>
        <w:spacing w:after="0" w:line="109" w:lineRule="exact"/>
        <w:rPr>
          <w:sz w:val="20"/>
          <w:szCs w:val="20"/>
          <w:color w:val="auto"/>
        </w:rPr>
      </w:pPr>
    </w:p>
    <w:p>
      <w:pPr>
        <w:ind w:left="680" w:hanging="419"/>
        <w:spacing w:after="0"/>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Represents a one-time relocation bonus paid to Mr. Gowrappan in connection with his commencement of employment.</w:t>
      </w:r>
    </w:p>
    <w:p>
      <w:pPr>
        <w:spacing w:after="0" w:line="62" w:lineRule="exact"/>
        <w:rPr>
          <w:rFonts w:ascii="Arial" w:cs="Arial" w:eastAsia="Arial" w:hAnsi="Arial"/>
          <w:sz w:val="14"/>
          <w:szCs w:val="14"/>
          <w:color w:val="202E39"/>
        </w:rPr>
      </w:pPr>
    </w:p>
    <w:p>
      <w:pPr>
        <w:ind w:left="680" w:right="20" w:hanging="419"/>
        <w:spacing w:after="0" w:line="238" w:lineRule="auto"/>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These columns represent the aggregate grant date fair value, calculated in accordance with SEC rules, of market-based performance stock options and restricted stock unit awards granted in fiscal years 2024, 2023 and 2022. These amounts generally reflect the amount that we expect to expense in our financial statements over the award’s vesting schedule, and do not correspond to the actual value that will be realized by the Named Executive Officers. In November 2021 and November 2022 (and, with respect to Mr. Gowrappan, April 2023), the Named Executive Officers were granted performance-based stock options which vest, in part, dependent upon continued service over a four-year vesting schedule and, in part, dependent upon the achievement of the company’s TSR compared to its peer group during the four-year performance period ending October 31, 2025 and 2026. In October 2023, the Named Executive Officers were granted performance-based stock options which vest, in part, dependent upon continued service over a three-year vesting schedule and, in part dependent on the company’s achievement of stock price hurdles over the same three-year performance period ending October 9, 2026. The grant date fair value of the market-based performance stock options was calculated using a Monte Carlo simulation which considered the likelihood of achieving the vesting conditions. For additional information on the valuation assumptions used in the calculation of these amounts for the respective year end, refer to note 9 to the financial statements included in our annual report on Form 10-K for the fiscal year ended March 31, 2024, as filed with the SEC.</w:t>
      </w:r>
    </w:p>
    <w:p>
      <w:pPr>
        <w:spacing w:after="0" w:line="44" w:lineRule="exact"/>
        <w:rPr>
          <w:rFonts w:ascii="Arial" w:cs="Arial" w:eastAsia="Arial" w:hAnsi="Arial"/>
          <w:sz w:val="14"/>
          <w:szCs w:val="14"/>
          <w:color w:val="202E39"/>
        </w:rPr>
      </w:pPr>
    </w:p>
    <w:p>
      <w:pPr>
        <w:ind w:left="680" w:hanging="419"/>
        <w:spacing w:after="0"/>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Represents amounts earned under our annual bonus program described in the Compensation Discussion and Analysis section.</w:t>
      </w:r>
    </w:p>
    <w:p>
      <w:pPr>
        <w:spacing w:after="0" w:line="62" w:lineRule="exact"/>
        <w:rPr>
          <w:rFonts w:ascii="Arial" w:cs="Arial" w:eastAsia="Arial" w:hAnsi="Arial"/>
          <w:sz w:val="14"/>
          <w:szCs w:val="14"/>
          <w:color w:val="202E39"/>
        </w:rPr>
      </w:pPr>
    </w:p>
    <w:p>
      <w:pPr>
        <w:ind w:left="680" w:right="280" w:hanging="419"/>
        <w:spacing w:after="0" w:line="246" w:lineRule="auto"/>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The amounts for fiscal year 2024 include the following: reimbursement of club dues for Mr. Dankberg and Ms. Duffy in the amounts of $11,000 and $15,128, respectively; severance compensation for Mr. Ryan in the amount of $2,407,290 patent awards for Mr. Miller in the amount of $750; and company 401(k) matching contributions for Mr. Dankberg, Mr. Gowrappan, Ms. Duffy, Mr. Harkenrider, Mr. Miller, Mr. Ryan in the amounts of $15,250; $16,500; $11,458; $13,583; $16,010; $5,625 respectively.</w:t>
      </w:r>
    </w:p>
    <w:p>
      <w:pPr>
        <w:spacing w:after="0" w:line="36" w:lineRule="exact"/>
        <w:rPr>
          <w:rFonts w:ascii="Arial" w:cs="Arial" w:eastAsia="Arial" w:hAnsi="Arial"/>
          <w:sz w:val="14"/>
          <w:szCs w:val="14"/>
          <w:color w:val="202E39"/>
        </w:rPr>
      </w:pPr>
    </w:p>
    <w:p>
      <w:pPr>
        <w:ind w:left="680" w:hanging="419"/>
        <w:spacing w:after="0"/>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K. Guru Gowrappan was not a Named Executive Officer in fiscal years 2022 or 2023.</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Craig Miller was not a Named Executive Officer in fiscal year 2022.</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David Ryan was not a Named Executive Officer in fiscal years 2022 or 2023. Mr. Ryan departed Viasat during fiscal year 2024.</w:t>
      </w:r>
    </w:p>
    <w:p>
      <w:pPr>
        <w:spacing w:after="0" w:line="141"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49</w:t>
      </w:r>
    </w:p>
    <w:p>
      <w:pPr>
        <w:sectPr>
          <w:pgSz w:w="11900" w:h="16838" w:orient="portrait"/>
          <w:cols w:equalWidth="0" w:num="1">
            <w:col w:w="11000"/>
          </w:cols>
          <w:pgMar w:left="320" w:top="474" w:right="5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Grants of Plan-Based Awards in Fiscal Year 2024</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202E39"/>
        </w:rPr>
        <w:t>Grants of Plan-Based Awards in Fiscal Year 2024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following table sets forth information regarding grants of plan-based awards to each of the Named Executive Officers during fiscal year 2024:</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1220" w:type="dxa"/>
            <w:vAlign w:val="bottom"/>
            <w:tcBorders>
              <w:top w:val="single" w:sz="8" w:color="E8EAEB"/>
              <w:right w:val="single" w:sz="8" w:color="E8EAEB"/>
            </w:tcBorders>
          </w:tcPr>
          <w:p>
            <w:pPr>
              <w:spacing w:after="0"/>
              <w:rPr>
                <w:sz w:val="17"/>
                <w:szCs w:val="17"/>
                <w:color w:val="auto"/>
              </w:rPr>
            </w:pPr>
          </w:p>
        </w:tc>
        <w:tc>
          <w:tcPr>
            <w:tcW w:w="80" w:type="dxa"/>
            <w:vAlign w:val="bottom"/>
            <w:tcBorders>
              <w:top w:val="single" w:sz="8" w:color="E8EAEB"/>
            </w:tcBorders>
          </w:tcPr>
          <w:p>
            <w:pPr>
              <w:spacing w:after="0"/>
              <w:rPr>
                <w:sz w:val="17"/>
                <w:szCs w:val="17"/>
                <w:color w:val="auto"/>
              </w:rPr>
            </w:pPr>
          </w:p>
        </w:tc>
        <w:tc>
          <w:tcPr>
            <w:tcW w:w="600" w:type="dxa"/>
            <w:vAlign w:val="bottom"/>
            <w:tcBorders>
              <w:top w:val="single" w:sz="8" w:color="E8EAEB"/>
              <w:right w:val="single" w:sz="8" w:color="E8EAEB"/>
            </w:tcBorders>
          </w:tcPr>
          <w:p>
            <w:pPr>
              <w:spacing w:after="0"/>
              <w:rPr>
                <w:sz w:val="17"/>
                <w:szCs w:val="17"/>
                <w:color w:val="auto"/>
              </w:rPr>
            </w:pPr>
          </w:p>
        </w:tc>
        <w:tc>
          <w:tcPr>
            <w:tcW w:w="840" w:type="dxa"/>
            <w:vAlign w:val="bottom"/>
            <w:tcBorders>
              <w:top w:val="single" w:sz="8" w:color="E8EAEB"/>
            </w:tcBorders>
          </w:tcPr>
          <w:p>
            <w:pPr>
              <w:spacing w:after="0"/>
              <w:rPr>
                <w:sz w:val="17"/>
                <w:szCs w:val="17"/>
                <w:color w:val="auto"/>
              </w:rPr>
            </w:pPr>
          </w:p>
        </w:tc>
        <w:tc>
          <w:tcPr>
            <w:tcW w:w="140" w:type="dxa"/>
            <w:vAlign w:val="bottom"/>
            <w:tcBorders>
              <w:top w:val="single" w:sz="8" w:color="E8EAEB"/>
            </w:tcBorders>
          </w:tcPr>
          <w:p>
            <w:pPr>
              <w:spacing w:after="0"/>
              <w:rPr>
                <w:sz w:val="17"/>
                <w:szCs w:val="17"/>
                <w:color w:val="auto"/>
              </w:rPr>
            </w:pPr>
          </w:p>
        </w:tc>
        <w:tc>
          <w:tcPr>
            <w:tcW w:w="840" w:type="dxa"/>
            <w:vAlign w:val="bottom"/>
            <w:tcBorders>
              <w:top w:val="single" w:sz="8" w:color="E8EAEB"/>
            </w:tcBorders>
          </w:tcPr>
          <w:p>
            <w:pPr>
              <w:spacing w:after="0"/>
              <w:rPr>
                <w:sz w:val="17"/>
                <w:szCs w:val="17"/>
                <w:color w:val="auto"/>
              </w:rPr>
            </w:pPr>
          </w:p>
        </w:tc>
        <w:tc>
          <w:tcPr>
            <w:tcW w:w="100" w:type="dxa"/>
            <w:vAlign w:val="bottom"/>
            <w:tcBorders>
              <w:top w:val="single" w:sz="8" w:color="E8EAEB"/>
            </w:tcBorders>
          </w:tcPr>
          <w:p>
            <w:pPr>
              <w:spacing w:after="0"/>
              <w:rPr>
                <w:sz w:val="17"/>
                <w:szCs w:val="17"/>
                <w:color w:val="auto"/>
              </w:rPr>
            </w:pPr>
          </w:p>
        </w:tc>
        <w:tc>
          <w:tcPr>
            <w:tcW w:w="840" w:type="dxa"/>
            <w:vAlign w:val="bottom"/>
            <w:tcBorders>
              <w:top w:val="single" w:sz="8" w:color="E8EAEB"/>
              <w:right w:val="single" w:sz="8" w:color="E8EAEB"/>
            </w:tcBorders>
          </w:tcPr>
          <w:p>
            <w:pPr>
              <w:spacing w:after="0"/>
              <w:rPr>
                <w:sz w:val="17"/>
                <w:szCs w:val="17"/>
                <w:color w:val="auto"/>
              </w:rPr>
            </w:pPr>
          </w:p>
        </w:tc>
        <w:tc>
          <w:tcPr>
            <w:tcW w:w="980" w:type="dxa"/>
            <w:vAlign w:val="bottom"/>
            <w:tcBorders>
              <w:top w:val="single" w:sz="8" w:color="E8EAEB"/>
            </w:tcBorders>
          </w:tcPr>
          <w:p>
            <w:pPr>
              <w:spacing w:after="0"/>
              <w:rPr>
                <w:sz w:val="17"/>
                <w:szCs w:val="17"/>
                <w:color w:val="auto"/>
              </w:rPr>
            </w:pPr>
          </w:p>
        </w:tc>
        <w:tc>
          <w:tcPr>
            <w:tcW w:w="720" w:type="dxa"/>
            <w:vAlign w:val="bottom"/>
            <w:tcBorders>
              <w:top w:val="single" w:sz="8" w:color="E8EAEB"/>
            </w:tcBorders>
          </w:tcPr>
          <w:p>
            <w:pPr>
              <w:spacing w:after="0"/>
              <w:rPr>
                <w:sz w:val="17"/>
                <w:szCs w:val="17"/>
                <w:color w:val="auto"/>
              </w:rPr>
            </w:pPr>
          </w:p>
        </w:tc>
        <w:tc>
          <w:tcPr>
            <w:tcW w:w="140" w:type="dxa"/>
            <w:vAlign w:val="bottom"/>
            <w:tcBorders>
              <w:top w:val="single" w:sz="8" w:color="E8EAEB"/>
            </w:tcBorders>
          </w:tcPr>
          <w:p>
            <w:pPr>
              <w:spacing w:after="0"/>
              <w:rPr>
                <w:sz w:val="17"/>
                <w:szCs w:val="17"/>
                <w:color w:val="auto"/>
              </w:rPr>
            </w:pPr>
          </w:p>
        </w:tc>
        <w:tc>
          <w:tcPr>
            <w:tcW w:w="800" w:type="dxa"/>
            <w:vAlign w:val="bottom"/>
            <w:tcBorders>
              <w:top w:val="single" w:sz="8" w:color="E8EAEB"/>
              <w:right w:val="single" w:sz="8" w:color="E8EAEB"/>
            </w:tcBorders>
          </w:tcPr>
          <w:p>
            <w:pPr>
              <w:spacing w:after="0"/>
              <w:rPr>
                <w:sz w:val="17"/>
                <w:szCs w:val="17"/>
                <w:color w:val="auto"/>
              </w:rPr>
            </w:pPr>
          </w:p>
        </w:tc>
        <w:tc>
          <w:tcPr>
            <w:tcW w:w="100" w:type="dxa"/>
            <w:vAlign w:val="bottom"/>
            <w:tcBorders>
              <w:top w:val="single" w:sz="8" w:color="E8EAEB"/>
            </w:tcBorders>
          </w:tcPr>
          <w:p>
            <w:pPr>
              <w:spacing w:after="0"/>
              <w:rPr>
                <w:sz w:val="17"/>
                <w:szCs w:val="17"/>
                <w:color w:val="auto"/>
              </w:rPr>
            </w:pPr>
          </w:p>
        </w:tc>
        <w:tc>
          <w:tcPr>
            <w:tcW w:w="760" w:type="dxa"/>
            <w:vAlign w:val="bottom"/>
            <w:tcBorders>
              <w:top w:val="single" w:sz="8" w:color="E8EAEB"/>
              <w:right w:val="single" w:sz="8" w:color="E8EAEB"/>
            </w:tcBorders>
          </w:tcPr>
          <w:p>
            <w:pPr>
              <w:jc w:val="center"/>
              <w:ind w:right="70"/>
              <w:spacing w:after="0"/>
              <w:rPr>
                <w:sz w:val="20"/>
                <w:szCs w:val="20"/>
                <w:color w:val="auto"/>
              </w:rPr>
            </w:pPr>
            <w:r>
              <w:rPr>
                <w:rFonts w:ascii="Arial" w:cs="Arial" w:eastAsia="Arial" w:hAnsi="Arial"/>
                <w:sz w:val="14"/>
                <w:szCs w:val="14"/>
                <w:b w:val="1"/>
                <w:bCs w:val="1"/>
                <w:color w:val="009FE3"/>
              </w:rPr>
              <w:t>All</w:t>
            </w:r>
          </w:p>
        </w:tc>
        <w:tc>
          <w:tcPr>
            <w:tcW w:w="80" w:type="dxa"/>
            <w:vAlign w:val="bottom"/>
            <w:tcBorders>
              <w:top w:val="single" w:sz="8" w:color="E8EAEB"/>
            </w:tcBorders>
          </w:tcPr>
          <w:p>
            <w:pPr>
              <w:spacing w:after="0"/>
              <w:rPr>
                <w:sz w:val="17"/>
                <w:szCs w:val="17"/>
                <w:color w:val="auto"/>
              </w:rPr>
            </w:pPr>
          </w:p>
        </w:tc>
        <w:tc>
          <w:tcPr>
            <w:tcW w:w="94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80" w:type="dxa"/>
            <w:vAlign w:val="bottom"/>
            <w:tcBorders>
              <w:top w:val="single" w:sz="8" w:color="E8EAEB"/>
            </w:tcBorders>
          </w:tcPr>
          <w:p>
            <w:pPr>
              <w:spacing w:after="0"/>
              <w:rPr>
                <w:sz w:val="17"/>
                <w:szCs w:val="17"/>
                <w:color w:val="auto"/>
              </w:rPr>
            </w:pPr>
          </w:p>
        </w:tc>
        <w:tc>
          <w:tcPr>
            <w:tcW w:w="76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right w:val="single" w:sz="8" w:color="E8EAEB"/>
            </w:tcBorders>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6"/>
              </w:rPr>
              <w:t>Other</w:t>
            </w:r>
          </w:p>
        </w:tc>
        <w:tc>
          <w:tcPr>
            <w:tcW w:w="80" w:type="dxa"/>
            <w:vAlign w:val="bottom"/>
          </w:tcPr>
          <w:p>
            <w:pPr>
              <w:spacing w:after="0"/>
              <w:rPr>
                <w:sz w:val="13"/>
                <w:szCs w:val="13"/>
                <w:color w:val="auto"/>
              </w:rPr>
            </w:pPr>
          </w:p>
        </w:tc>
        <w:tc>
          <w:tcPr>
            <w:tcW w:w="94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right w:val="single" w:sz="8" w:color="E8EAEB"/>
            </w:tcBorders>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70"/>
              <w:spacing w:after="0" w:line="158" w:lineRule="exact"/>
              <w:rPr>
                <w:sz w:val="20"/>
                <w:szCs w:val="20"/>
                <w:color w:val="auto"/>
              </w:rPr>
            </w:pPr>
            <w:r>
              <w:rPr>
                <w:rFonts w:ascii="Arial" w:cs="Arial" w:eastAsia="Arial" w:hAnsi="Arial"/>
                <w:sz w:val="14"/>
                <w:szCs w:val="14"/>
                <w:b w:val="1"/>
                <w:bCs w:val="1"/>
                <w:color w:val="009FE3"/>
                <w:w w:val="99"/>
              </w:rPr>
              <w:t>Stock</w:t>
            </w:r>
          </w:p>
        </w:tc>
        <w:tc>
          <w:tcPr>
            <w:tcW w:w="80" w:type="dxa"/>
            <w:vAlign w:val="bottom"/>
          </w:tcPr>
          <w:p>
            <w:pPr>
              <w:spacing w:after="0"/>
              <w:rPr>
                <w:sz w:val="13"/>
                <w:szCs w:val="13"/>
                <w:color w:val="auto"/>
              </w:rPr>
            </w:pPr>
          </w:p>
        </w:tc>
        <w:tc>
          <w:tcPr>
            <w:tcW w:w="94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right w:val="single" w:sz="8" w:color="E8EAEB"/>
            </w:tcBorders>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rPr>
              <w:t>Awards:</w:t>
            </w:r>
          </w:p>
        </w:tc>
        <w:tc>
          <w:tcPr>
            <w:tcW w:w="80" w:type="dxa"/>
            <w:vAlign w:val="bottom"/>
          </w:tcPr>
          <w:p>
            <w:pPr>
              <w:spacing w:after="0"/>
              <w:rPr>
                <w:sz w:val="13"/>
                <w:szCs w:val="13"/>
                <w:color w:val="auto"/>
              </w:rPr>
            </w:pPr>
          </w:p>
        </w:tc>
        <w:tc>
          <w:tcPr>
            <w:tcW w:w="940" w:type="dxa"/>
            <w:vAlign w:val="bottom"/>
            <w:tcBorders>
              <w:right w:val="single" w:sz="8" w:color="E8EAEB"/>
            </w:tcBorders>
          </w:tcPr>
          <w:p>
            <w:pPr>
              <w:jc w:val="center"/>
              <w:ind w:right="30"/>
              <w:spacing w:after="0" w:line="158" w:lineRule="exact"/>
              <w:rPr>
                <w:sz w:val="20"/>
                <w:szCs w:val="20"/>
                <w:color w:val="auto"/>
              </w:rPr>
            </w:pPr>
            <w:r>
              <w:rPr>
                <w:rFonts w:ascii="Arial" w:cs="Arial" w:eastAsia="Arial" w:hAnsi="Arial"/>
                <w:sz w:val="14"/>
                <w:szCs w:val="14"/>
                <w:b w:val="1"/>
                <w:bCs w:val="1"/>
                <w:color w:val="009FE3"/>
              </w:rPr>
              <w:t>All Other</w:t>
            </w:r>
          </w:p>
        </w:tc>
        <w:tc>
          <w:tcPr>
            <w:tcW w:w="1060" w:type="dxa"/>
            <w:vAlign w:val="bottom"/>
            <w:tcBorders>
              <w:right w:val="single" w:sz="8" w:color="E8EAEB"/>
            </w:tcBorders>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8"/>
                <w:szCs w:val="8"/>
                <w:b w:val="1"/>
                <w:bCs w:val="1"/>
                <w:color w:val="009FE3"/>
                <w:w w:val="74"/>
              </w:rPr>
              <w:t> </w:t>
            </w:r>
          </w:p>
        </w:tc>
        <w:tc>
          <w:tcPr>
            <w:tcW w:w="760" w:type="dxa"/>
            <w:vAlign w:val="bottom"/>
          </w:tcPr>
          <w:p>
            <w:pPr>
              <w:jc w:val="right"/>
              <w:spacing w:after="0" w:line="158" w:lineRule="exact"/>
              <w:rPr>
                <w:sz w:val="20"/>
                <w:szCs w:val="20"/>
                <w:color w:val="auto"/>
              </w:rPr>
            </w:pPr>
            <w:r>
              <w:rPr>
                <w:rFonts w:ascii="Arial" w:cs="Arial" w:eastAsia="Arial" w:hAnsi="Arial"/>
                <w:sz w:val="14"/>
                <w:szCs w:val="14"/>
                <w:b w:val="1"/>
                <w:bCs w:val="1"/>
                <w:color w:val="009FE3"/>
              </w:rPr>
              <w:t>Grant Date</w:t>
            </w: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spacing w:after="0"/>
              <w:rPr>
                <w:sz w:val="13"/>
                <w:szCs w:val="13"/>
                <w:color w:val="auto"/>
              </w:rPr>
            </w:pPr>
          </w:p>
        </w:tc>
        <w:tc>
          <w:tcPr>
            <w:tcW w:w="2760" w:type="dxa"/>
            <w:vAlign w:val="bottom"/>
            <w:tcBorders>
              <w:right w:val="single" w:sz="8" w:color="E8EAEB"/>
            </w:tcBorders>
            <w:gridSpan w:val="5"/>
          </w:tcPr>
          <w:p>
            <w:pPr>
              <w:jc w:val="center"/>
              <w:spacing w:after="0" w:line="158" w:lineRule="exact"/>
              <w:rPr>
                <w:sz w:val="20"/>
                <w:szCs w:val="20"/>
                <w:color w:val="auto"/>
              </w:rPr>
            </w:pPr>
            <w:r>
              <w:rPr>
                <w:rFonts w:ascii="Arial" w:cs="Arial" w:eastAsia="Arial" w:hAnsi="Arial"/>
                <w:sz w:val="14"/>
                <w:szCs w:val="14"/>
                <w:b w:val="1"/>
                <w:bCs w:val="1"/>
                <w:color w:val="009FE3"/>
              </w:rPr>
              <w:t>Estimated Future Payouts</w:t>
            </w:r>
          </w:p>
        </w:tc>
        <w:tc>
          <w:tcPr>
            <w:tcW w:w="2640" w:type="dxa"/>
            <w:vAlign w:val="bottom"/>
            <w:tcBorders>
              <w:right w:val="single" w:sz="8" w:color="E8EAEB"/>
            </w:tcBorders>
            <w:gridSpan w:val="4"/>
          </w:tcPr>
          <w:p>
            <w:pPr>
              <w:jc w:val="center"/>
              <w:spacing w:after="0" w:line="158" w:lineRule="exact"/>
              <w:rPr>
                <w:sz w:val="20"/>
                <w:szCs w:val="20"/>
                <w:color w:val="auto"/>
              </w:rPr>
            </w:pPr>
            <w:r>
              <w:rPr>
                <w:rFonts w:ascii="Arial" w:cs="Arial" w:eastAsia="Arial" w:hAnsi="Arial"/>
                <w:sz w:val="14"/>
                <w:szCs w:val="14"/>
                <w:b w:val="1"/>
                <w:bCs w:val="1"/>
                <w:color w:val="009FE3"/>
              </w:rPr>
              <w:t>Estimated Future Payouts</w:t>
            </w: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8"/>
              </w:rPr>
              <w:t>Number</w:t>
            </w:r>
          </w:p>
        </w:tc>
        <w:tc>
          <w:tcPr>
            <w:tcW w:w="80" w:type="dxa"/>
            <w:vAlign w:val="bottom"/>
          </w:tcPr>
          <w:p>
            <w:pPr>
              <w:spacing w:after="0"/>
              <w:rPr>
                <w:sz w:val="13"/>
                <w:szCs w:val="13"/>
                <w:color w:val="auto"/>
              </w:rPr>
            </w:pPr>
          </w:p>
        </w:tc>
        <w:tc>
          <w:tcPr>
            <w:tcW w:w="940" w:type="dxa"/>
            <w:vAlign w:val="bottom"/>
            <w:tcBorders>
              <w:right w:val="single" w:sz="8" w:color="E8EAEB"/>
            </w:tcBorders>
          </w:tcPr>
          <w:p>
            <w:pPr>
              <w:jc w:val="center"/>
              <w:ind w:right="30"/>
              <w:spacing w:after="0" w:line="158" w:lineRule="exact"/>
              <w:rPr>
                <w:sz w:val="20"/>
                <w:szCs w:val="20"/>
                <w:color w:val="auto"/>
              </w:rPr>
            </w:pPr>
            <w:r>
              <w:rPr>
                <w:rFonts w:ascii="Arial" w:cs="Arial" w:eastAsia="Arial" w:hAnsi="Arial"/>
                <w:sz w:val="14"/>
                <w:szCs w:val="14"/>
                <w:b w:val="1"/>
                <w:bCs w:val="1"/>
                <w:color w:val="009FE3"/>
                <w:w w:val="97"/>
              </w:rPr>
              <w:t>Option</w:t>
            </w:r>
          </w:p>
        </w:tc>
        <w:tc>
          <w:tcPr>
            <w:tcW w:w="106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8"/>
              </w:rPr>
              <w:t>Fair Value</w:t>
            </w: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spacing w:after="0"/>
              <w:rPr>
                <w:sz w:val="13"/>
                <w:szCs w:val="13"/>
                <w:color w:val="auto"/>
              </w:rPr>
            </w:pPr>
          </w:p>
        </w:tc>
        <w:tc>
          <w:tcPr>
            <w:tcW w:w="2760" w:type="dxa"/>
            <w:vAlign w:val="bottom"/>
            <w:tcBorders>
              <w:right w:val="single" w:sz="8" w:color="E8EAEB"/>
            </w:tcBorders>
            <w:gridSpan w:val="5"/>
          </w:tcPr>
          <w:p>
            <w:pPr>
              <w:jc w:val="center"/>
              <w:spacing w:after="0" w:line="158" w:lineRule="exact"/>
              <w:rPr>
                <w:sz w:val="20"/>
                <w:szCs w:val="20"/>
                <w:color w:val="auto"/>
              </w:rPr>
            </w:pPr>
            <w:r>
              <w:rPr>
                <w:rFonts w:ascii="Arial" w:cs="Arial" w:eastAsia="Arial" w:hAnsi="Arial"/>
                <w:sz w:val="14"/>
                <w:szCs w:val="14"/>
                <w:b w:val="1"/>
                <w:bCs w:val="1"/>
                <w:color w:val="009FE3"/>
              </w:rPr>
              <w:t>Under Non-Equity Incentive</w:t>
            </w:r>
          </w:p>
        </w:tc>
        <w:tc>
          <w:tcPr>
            <w:tcW w:w="2640" w:type="dxa"/>
            <w:vAlign w:val="bottom"/>
            <w:tcBorders>
              <w:right w:val="single" w:sz="8" w:color="E8EAEB"/>
            </w:tcBorders>
            <w:gridSpan w:val="4"/>
          </w:tcPr>
          <w:p>
            <w:pPr>
              <w:jc w:val="center"/>
              <w:spacing w:after="0" w:line="158" w:lineRule="exact"/>
              <w:rPr>
                <w:sz w:val="20"/>
                <w:szCs w:val="20"/>
                <w:color w:val="auto"/>
              </w:rPr>
            </w:pPr>
            <w:r>
              <w:rPr>
                <w:rFonts w:ascii="Arial" w:cs="Arial" w:eastAsia="Arial" w:hAnsi="Arial"/>
                <w:sz w:val="14"/>
                <w:szCs w:val="14"/>
                <w:b w:val="1"/>
                <w:bCs w:val="1"/>
                <w:color w:val="009FE3"/>
              </w:rPr>
              <w:t>Under Equity Incentive</w:t>
            </w: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0"/>
              </w:rPr>
              <w:t>of</w:t>
            </w:r>
          </w:p>
        </w:tc>
        <w:tc>
          <w:tcPr>
            <w:tcW w:w="80" w:type="dxa"/>
            <w:vAlign w:val="bottom"/>
          </w:tcPr>
          <w:p>
            <w:pPr>
              <w:spacing w:after="0"/>
              <w:rPr>
                <w:sz w:val="13"/>
                <w:szCs w:val="13"/>
                <w:color w:val="auto"/>
              </w:rPr>
            </w:pPr>
          </w:p>
        </w:tc>
        <w:tc>
          <w:tcPr>
            <w:tcW w:w="940" w:type="dxa"/>
            <w:vAlign w:val="bottom"/>
            <w:tcBorders>
              <w:right w:val="single" w:sz="8" w:color="E8EAEB"/>
            </w:tcBorders>
          </w:tcPr>
          <w:p>
            <w:pPr>
              <w:jc w:val="center"/>
              <w:ind w:right="30"/>
              <w:spacing w:after="0" w:line="158" w:lineRule="exact"/>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spacing w:after="0" w:line="158" w:lineRule="exact"/>
              <w:rPr>
                <w:sz w:val="20"/>
                <w:szCs w:val="20"/>
                <w:color w:val="auto"/>
              </w:rPr>
            </w:pPr>
            <w:r>
              <w:rPr>
                <w:rFonts w:ascii="Arial" w:cs="Arial" w:eastAsia="Arial" w:hAnsi="Arial"/>
                <w:sz w:val="14"/>
                <w:szCs w:val="14"/>
                <w:b w:val="1"/>
                <w:bCs w:val="1"/>
                <w:color w:val="009FE3"/>
              </w:rPr>
              <w:t>   Exercise or</w:t>
            </w:r>
          </w:p>
        </w:tc>
        <w:tc>
          <w:tcPr>
            <w:tcW w:w="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7"/>
              </w:rPr>
              <w:t>of Stock</w:t>
            </w: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009FE3"/>
                <w:w w:val="98"/>
              </w:rPr>
              <w:t>Plan Awards (1)</w:t>
            </w:r>
          </w:p>
        </w:tc>
        <w:tc>
          <w:tcPr>
            <w:tcW w:w="840" w:type="dxa"/>
            <w:vAlign w:val="bottom"/>
            <w:tcBorders>
              <w:right w:val="single" w:sz="8" w:color="E8EAEB"/>
            </w:tcBorders>
          </w:tcPr>
          <w:p>
            <w:pPr>
              <w:spacing w:after="0"/>
              <w:rPr>
                <w:sz w:val="13"/>
                <w:szCs w:val="13"/>
                <w:color w:val="auto"/>
              </w:rPr>
            </w:pPr>
          </w:p>
        </w:tc>
        <w:tc>
          <w:tcPr>
            <w:tcW w:w="1840" w:type="dxa"/>
            <w:vAlign w:val="bottom"/>
            <w:gridSpan w:val="3"/>
          </w:tcPr>
          <w:p>
            <w:pPr>
              <w:jc w:val="center"/>
              <w:ind w:left="710"/>
              <w:spacing w:after="0" w:line="158" w:lineRule="exact"/>
              <w:rPr>
                <w:sz w:val="20"/>
                <w:szCs w:val="20"/>
                <w:color w:val="auto"/>
              </w:rPr>
            </w:pPr>
            <w:r>
              <w:rPr>
                <w:rFonts w:ascii="Arial" w:cs="Arial" w:eastAsia="Arial" w:hAnsi="Arial"/>
                <w:sz w:val="14"/>
                <w:szCs w:val="14"/>
                <w:b w:val="1"/>
                <w:bCs w:val="1"/>
                <w:color w:val="009FE3"/>
              </w:rPr>
              <w:t>Plan Awards (2)</w:t>
            </w:r>
          </w:p>
        </w:tc>
        <w:tc>
          <w:tcPr>
            <w:tcW w:w="800" w:type="dxa"/>
            <w:vAlign w:val="bottom"/>
            <w:tcBorders>
              <w:right w:val="single" w:sz="8" w:color="E8EAEB"/>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rPr>
              <w:t>Shares</w:t>
            </w:r>
          </w:p>
        </w:tc>
        <w:tc>
          <w:tcPr>
            <w:tcW w:w="80" w:type="dxa"/>
            <w:vAlign w:val="bottom"/>
          </w:tcPr>
          <w:p>
            <w:pPr>
              <w:spacing w:after="0"/>
              <w:rPr>
                <w:sz w:val="13"/>
                <w:szCs w:val="13"/>
                <w:color w:val="auto"/>
              </w:rPr>
            </w:pPr>
          </w:p>
        </w:tc>
        <w:tc>
          <w:tcPr>
            <w:tcW w:w="94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9"/>
              </w:rPr>
              <w:t>Number of</w:t>
            </w:r>
          </w:p>
        </w:tc>
        <w:tc>
          <w:tcPr>
            <w:tcW w:w="10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Base Price</w:t>
            </w:r>
          </w:p>
        </w:tc>
        <w:tc>
          <w:tcPr>
            <w:tcW w:w="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and</w:t>
            </w:r>
          </w:p>
        </w:tc>
        <w:tc>
          <w:tcPr>
            <w:tcW w:w="0" w:type="dxa"/>
            <w:vAlign w:val="bottom"/>
          </w:tcPr>
          <w:p>
            <w:pPr>
              <w:spacing w:after="0"/>
              <w:rPr>
                <w:sz w:val="1"/>
                <w:szCs w:val="1"/>
                <w:color w:val="auto"/>
              </w:rPr>
            </w:pPr>
          </w:p>
        </w:tc>
      </w:tr>
      <w:tr>
        <w:trPr>
          <w:trHeight w:val="75"/>
        </w:trPr>
        <w:tc>
          <w:tcPr>
            <w:tcW w:w="1220" w:type="dxa"/>
            <w:vAlign w:val="bottom"/>
            <w:tcBorders>
              <w:right w:val="single" w:sz="8" w:color="E8EAEB"/>
            </w:tcBorders>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right w:val="single" w:sz="8" w:color="E8EAEB"/>
            </w:tcBorders>
          </w:tcPr>
          <w:p>
            <w:pPr>
              <w:spacing w:after="0"/>
              <w:rPr>
                <w:sz w:val="6"/>
                <w:szCs w:val="6"/>
                <w:color w:val="auto"/>
              </w:rPr>
            </w:pPr>
          </w:p>
        </w:tc>
        <w:tc>
          <w:tcPr>
            <w:tcW w:w="840" w:type="dxa"/>
            <w:vAlign w:val="bottom"/>
            <w:tcBorders>
              <w:bottom w:val="single" w:sz="8" w:color="009FE3"/>
            </w:tcBorders>
          </w:tcPr>
          <w:p>
            <w:pPr>
              <w:spacing w:after="0"/>
              <w:rPr>
                <w:sz w:val="6"/>
                <w:szCs w:val="6"/>
                <w:color w:val="auto"/>
              </w:rPr>
            </w:pPr>
          </w:p>
        </w:tc>
        <w:tc>
          <w:tcPr>
            <w:tcW w:w="140" w:type="dxa"/>
            <w:vAlign w:val="bottom"/>
            <w:tcBorders>
              <w:bottom w:val="single" w:sz="8" w:color="009FE3"/>
            </w:tcBorders>
          </w:tcPr>
          <w:p>
            <w:pPr>
              <w:spacing w:after="0"/>
              <w:rPr>
                <w:sz w:val="6"/>
                <w:szCs w:val="6"/>
                <w:color w:val="auto"/>
              </w:rPr>
            </w:pPr>
          </w:p>
        </w:tc>
        <w:tc>
          <w:tcPr>
            <w:tcW w:w="840" w:type="dxa"/>
            <w:vAlign w:val="bottom"/>
            <w:tcBorders>
              <w:bottom w:val="single" w:sz="8" w:color="009FE3"/>
            </w:tcBorders>
          </w:tcPr>
          <w:p>
            <w:pPr>
              <w:spacing w:after="0"/>
              <w:rPr>
                <w:sz w:val="6"/>
                <w:szCs w:val="6"/>
                <w:color w:val="auto"/>
              </w:rPr>
            </w:pPr>
          </w:p>
        </w:tc>
        <w:tc>
          <w:tcPr>
            <w:tcW w:w="100" w:type="dxa"/>
            <w:vAlign w:val="bottom"/>
            <w:tcBorders>
              <w:bottom w:val="single" w:sz="8" w:color="009FE3"/>
            </w:tcBorders>
          </w:tcPr>
          <w:p>
            <w:pPr>
              <w:spacing w:after="0"/>
              <w:rPr>
                <w:sz w:val="6"/>
                <w:szCs w:val="6"/>
                <w:color w:val="auto"/>
              </w:rPr>
            </w:pPr>
          </w:p>
        </w:tc>
        <w:tc>
          <w:tcPr>
            <w:tcW w:w="840" w:type="dxa"/>
            <w:vAlign w:val="bottom"/>
            <w:tcBorders>
              <w:bottom w:val="single" w:sz="8" w:color="009FE3"/>
              <w:right w:val="single" w:sz="8" w:color="E8EAEB"/>
            </w:tcBorders>
          </w:tcPr>
          <w:p>
            <w:pPr>
              <w:spacing w:after="0"/>
              <w:rPr>
                <w:sz w:val="6"/>
                <w:szCs w:val="6"/>
                <w:color w:val="auto"/>
              </w:rPr>
            </w:pPr>
          </w:p>
        </w:tc>
        <w:tc>
          <w:tcPr>
            <w:tcW w:w="980" w:type="dxa"/>
            <w:vAlign w:val="bottom"/>
            <w:tcBorders>
              <w:bottom w:val="single" w:sz="8" w:color="009FE3"/>
            </w:tcBorders>
          </w:tcPr>
          <w:p>
            <w:pPr>
              <w:spacing w:after="0"/>
              <w:rPr>
                <w:sz w:val="6"/>
                <w:szCs w:val="6"/>
                <w:color w:val="auto"/>
              </w:rPr>
            </w:pPr>
          </w:p>
        </w:tc>
        <w:tc>
          <w:tcPr>
            <w:tcW w:w="720" w:type="dxa"/>
            <w:vAlign w:val="bottom"/>
            <w:tcBorders>
              <w:bottom w:val="single" w:sz="8" w:color="009FE3"/>
            </w:tcBorders>
          </w:tcPr>
          <w:p>
            <w:pPr>
              <w:spacing w:after="0"/>
              <w:rPr>
                <w:sz w:val="6"/>
                <w:szCs w:val="6"/>
                <w:color w:val="auto"/>
              </w:rPr>
            </w:pPr>
          </w:p>
        </w:tc>
        <w:tc>
          <w:tcPr>
            <w:tcW w:w="140" w:type="dxa"/>
            <w:vAlign w:val="bottom"/>
            <w:tcBorders>
              <w:bottom w:val="single" w:sz="8" w:color="009FE3"/>
            </w:tcBorders>
          </w:tcPr>
          <w:p>
            <w:pPr>
              <w:spacing w:after="0"/>
              <w:rPr>
                <w:sz w:val="6"/>
                <w:szCs w:val="6"/>
                <w:color w:val="auto"/>
              </w:rPr>
            </w:pPr>
          </w:p>
        </w:tc>
        <w:tc>
          <w:tcPr>
            <w:tcW w:w="800" w:type="dxa"/>
            <w:vAlign w:val="bottom"/>
            <w:tcBorders>
              <w:bottom w:val="single" w:sz="8" w:color="009FE3"/>
              <w:right w:val="single" w:sz="8" w:color="E8EAEB"/>
            </w:tcBorders>
          </w:tcPr>
          <w:p>
            <w:pPr>
              <w:spacing w:after="0"/>
              <w:rPr>
                <w:sz w:val="6"/>
                <w:szCs w:val="6"/>
                <w:color w:val="auto"/>
              </w:rPr>
            </w:pPr>
          </w:p>
        </w:tc>
        <w:tc>
          <w:tcPr>
            <w:tcW w:w="100" w:type="dxa"/>
            <w:vAlign w:val="bottom"/>
            <w:vMerge w:val="restart"/>
          </w:tcPr>
          <w:p>
            <w:pPr>
              <w:spacing w:after="0"/>
              <w:rPr>
                <w:sz w:val="20"/>
                <w:szCs w:val="20"/>
                <w:color w:val="auto"/>
              </w:rPr>
            </w:pPr>
            <w:r>
              <w:rPr>
                <w:rFonts w:ascii="Arial" w:cs="Arial" w:eastAsia="Arial" w:hAnsi="Arial"/>
                <w:sz w:val="11"/>
                <w:szCs w:val="11"/>
                <w:b w:val="1"/>
                <w:bCs w:val="1"/>
                <w:color w:val="009FE3"/>
                <w:w w:val="72"/>
              </w:rPr>
              <w:t> </w:t>
            </w:r>
          </w:p>
        </w:tc>
        <w:tc>
          <w:tcPr>
            <w:tcW w:w="760" w:type="dxa"/>
            <w:vAlign w:val="bottom"/>
            <w:tcBorders>
              <w:right w:val="single" w:sz="8" w:color="E8EAEB"/>
            </w:tcBorders>
            <w:vMerge w:val="restart"/>
          </w:tcPr>
          <w:p>
            <w:pPr>
              <w:jc w:val="center"/>
              <w:ind w:right="50"/>
              <w:spacing w:after="0" w:line="158" w:lineRule="exact"/>
              <w:rPr>
                <w:sz w:val="20"/>
                <w:szCs w:val="20"/>
                <w:color w:val="auto"/>
              </w:rPr>
            </w:pPr>
            <w:r>
              <w:rPr>
                <w:rFonts w:ascii="Arial" w:cs="Arial" w:eastAsia="Arial" w:hAnsi="Arial"/>
                <w:sz w:val="14"/>
                <w:szCs w:val="14"/>
                <w:b w:val="1"/>
                <w:bCs w:val="1"/>
                <w:color w:val="009FE3"/>
              </w:rPr>
              <w:t>of Stock</w:t>
            </w:r>
          </w:p>
        </w:tc>
        <w:tc>
          <w:tcPr>
            <w:tcW w:w="80" w:type="dxa"/>
            <w:vAlign w:val="bottom"/>
          </w:tcPr>
          <w:p>
            <w:pPr>
              <w:spacing w:after="0"/>
              <w:rPr>
                <w:sz w:val="6"/>
                <w:szCs w:val="6"/>
                <w:color w:val="auto"/>
              </w:rPr>
            </w:pPr>
          </w:p>
        </w:tc>
        <w:tc>
          <w:tcPr>
            <w:tcW w:w="940" w:type="dxa"/>
            <w:vAlign w:val="bottom"/>
            <w:tcBorders>
              <w:right w:val="single" w:sz="8" w:color="E8EAEB"/>
            </w:tcBorders>
            <w:vMerge w:val="restart"/>
          </w:tcPr>
          <w:p>
            <w:pPr>
              <w:jc w:val="center"/>
              <w:ind w:right="30"/>
              <w:spacing w:after="0" w:line="158" w:lineRule="exact"/>
              <w:rPr>
                <w:sz w:val="20"/>
                <w:szCs w:val="20"/>
                <w:color w:val="auto"/>
              </w:rPr>
            </w:pPr>
            <w:r>
              <w:rPr>
                <w:rFonts w:ascii="Arial" w:cs="Arial" w:eastAsia="Arial" w:hAnsi="Arial"/>
                <w:sz w:val="14"/>
                <w:szCs w:val="14"/>
                <w:b w:val="1"/>
                <w:bCs w:val="1"/>
                <w:color w:val="009FE3"/>
              </w:rPr>
              <w:t>Securities</w:t>
            </w:r>
          </w:p>
        </w:tc>
        <w:tc>
          <w:tcPr>
            <w:tcW w:w="1060" w:type="dxa"/>
            <w:vAlign w:val="bottom"/>
            <w:tcBorders>
              <w:right w:val="single" w:sz="8" w:color="E8EAEB"/>
            </w:tcBorders>
            <w:vMerge w:val="restart"/>
          </w:tcPr>
          <w:p>
            <w:pPr>
              <w:jc w:val="center"/>
              <w:spacing w:after="0" w:line="158" w:lineRule="exact"/>
              <w:rPr>
                <w:sz w:val="20"/>
                <w:szCs w:val="20"/>
                <w:color w:val="auto"/>
              </w:rPr>
            </w:pPr>
            <w:r>
              <w:rPr>
                <w:rFonts w:ascii="Arial" w:cs="Arial" w:eastAsia="Arial" w:hAnsi="Arial"/>
                <w:sz w:val="14"/>
                <w:szCs w:val="14"/>
                <w:b w:val="1"/>
                <w:bCs w:val="1"/>
                <w:color w:val="009FE3"/>
                <w:w w:val="99"/>
              </w:rPr>
              <w:t>of Option</w:t>
            </w:r>
          </w:p>
        </w:tc>
        <w:tc>
          <w:tcPr>
            <w:tcW w:w="80" w:type="dxa"/>
            <w:vAlign w:val="bottom"/>
          </w:tcPr>
          <w:p>
            <w:pPr>
              <w:spacing w:after="0"/>
              <w:rPr>
                <w:sz w:val="6"/>
                <w:szCs w:val="6"/>
                <w:color w:val="auto"/>
              </w:rPr>
            </w:pPr>
          </w:p>
        </w:tc>
        <w:tc>
          <w:tcPr>
            <w:tcW w:w="76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009FE3"/>
              </w:rPr>
              <w:t>Option</w:t>
            </w:r>
          </w:p>
        </w:tc>
        <w:tc>
          <w:tcPr>
            <w:tcW w:w="0" w:type="dxa"/>
            <w:vAlign w:val="bottom"/>
          </w:tcPr>
          <w:p>
            <w:pPr>
              <w:spacing w:after="0"/>
              <w:rPr>
                <w:sz w:val="1"/>
                <w:szCs w:val="1"/>
                <w:color w:val="auto"/>
              </w:rPr>
            </w:pPr>
          </w:p>
        </w:tc>
      </w:tr>
      <w:tr>
        <w:trPr>
          <w:trHeight w:val="63"/>
        </w:trPr>
        <w:tc>
          <w:tcPr>
            <w:tcW w:w="1220" w:type="dxa"/>
            <w:vAlign w:val="bottom"/>
            <w:tcBorders>
              <w:right w:val="single" w:sz="8" w:color="E8EAEB"/>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right w:val="single" w:sz="8" w:color="E8EAEB"/>
            </w:tcBorders>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Borders>
              <w:right w:val="single" w:sz="8" w:color="E8EAEB"/>
            </w:tcBorders>
          </w:tcPr>
          <w:p>
            <w:pPr>
              <w:spacing w:after="0"/>
              <w:rPr>
                <w:sz w:val="5"/>
                <w:szCs w:val="5"/>
                <w:color w:val="auto"/>
              </w:rPr>
            </w:pPr>
          </w:p>
        </w:tc>
        <w:tc>
          <w:tcPr>
            <w:tcW w:w="840" w:type="dxa"/>
            <w:vAlign w:val="bottom"/>
            <w:tcBorders>
              <w:right w:val="single" w:sz="8" w:color="E8EAEB"/>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right w:val="single" w:sz="8" w:color="E8EAEB"/>
            </w:tcBorders>
          </w:tcPr>
          <w:p>
            <w:pPr>
              <w:spacing w:after="0"/>
              <w:rPr>
                <w:sz w:val="5"/>
                <w:szCs w:val="5"/>
                <w:color w:val="auto"/>
              </w:rPr>
            </w:pPr>
          </w:p>
        </w:tc>
        <w:tc>
          <w:tcPr>
            <w:tcW w:w="980" w:type="dxa"/>
            <w:vAlign w:val="bottom"/>
            <w:tcBorders>
              <w:right w:val="single" w:sz="8" w:color="E8EAEB"/>
            </w:tcBorders>
          </w:tcPr>
          <w:p>
            <w:pPr>
              <w:spacing w:after="0"/>
              <w:rPr>
                <w:sz w:val="5"/>
                <w:szCs w:val="5"/>
                <w:color w:val="auto"/>
              </w:rPr>
            </w:pPr>
          </w:p>
        </w:tc>
        <w:tc>
          <w:tcPr>
            <w:tcW w:w="720" w:type="dxa"/>
            <w:vAlign w:val="bottom"/>
            <w:tcBorders>
              <w:right w:val="single" w:sz="8" w:color="E8EAEB"/>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right w:val="single" w:sz="8" w:color="E8EAEB"/>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760" w:type="dxa"/>
            <w:vAlign w:val="bottom"/>
            <w:tcBorders>
              <w:right w:val="single" w:sz="8" w:color="E8EAEB"/>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right w:val="single" w:sz="8" w:color="E8EAEB"/>
            </w:tcBorders>
            <w:vMerge w:val="continue"/>
          </w:tcPr>
          <w:p>
            <w:pPr>
              <w:spacing w:after="0"/>
              <w:rPr>
                <w:sz w:val="5"/>
                <w:szCs w:val="5"/>
                <w:color w:val="auto"/>
              </w:rPr>
            </w:pPr>
          </w:p>
        </w:tc>
        <w:tc>
          <w:tcPr>
            <w:tcW w:w="1060" w:type="dxa"/>
            <w:vAlign w:val="bottom"/>
            <w:tcBorders>
              <w:right w:val="single" w:sz="8" w:color="E8EAEB"/>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8"/>
                <w:szCs w:val="8"/>
                <w:b w:val="1"/>
                <w:bCs w:val="1"/>
                <w:color w:val="009FE3"/>
                <w:w w:val="74"/>
              </w:rPr>
              <w:t> </w:t>
            </w:r>
          </w:p>
        </w:tc>
        <w:tc>
          <w:tcPr>
            <w:tcW w:w="600" w:type="dxa"/>
            <w:vAlign w:val="bottom"/>
            <w:tcBorders>
              <w:right w:val="single" w:sz="8" w:color="E8EAEB"/>
            </w:tcBorders>
          </w:tcPr>
          <w:p>
            <w:pPr>
              <w:jc w:val="right"/>
              <w:ind w:right="90"/>
              <w:spacing w:after="0" w:line="158" w:lineRule="exact"/>
              <w:rPr>
                <w:sz w:val="20"/>
                <w:szCs w:val="20"/>
                <w:color w:val="auto"/>
              </w:rPr>
            </w:pPr>
            <w:r>
              <w:rPr>
                <w:rFonts w:ascii="Arial" w:cs="Arial" w:eastAsia="Arial" w:hAnsi="Arial"/>
                <w:sz w:val="14"/>
                <w:szCs w:val="14"/>
                <w:b w:val="1"/>
                <w:bCs w:val="1"/>
                <w:color w:val="009FE3"/>
              </w:rPr>
              <w:t>Grant</w:t>
            </w:r>
          </w:p>
        </w:tc>
        <w:tc>
          <w:tcPr>
            <w:tcW w:w="840" w:type="dxa"/>
            <w:vAlign w:val="bottom"/>
          </w:tcPr>
          <w:p>
            <w:pPr>
              <w:spacing w:after="0" w:line="158" w:lineRule="exact"/>
              <w:rPr>
                <w:sz w:val="20"/>
                <w:szCs w:val="20"/>
                <w:color w:val="auto"/>
              </w:rPr>
            </w:pPr>
            <w:r>
              <w:rPr>
                <w:rFonts w:ascii="Arial" w:cs="Arial" w:eastAsia="Arial" w:hAnsi="Arial"/>
                <w:sz w:val="14"/>
                <w:szCs w:val="14"/>
                <w:b w:val="1"/>
                <w:bCs w:val="1"/>
                <w:color w:val="009FE3"/>
                <w:w w:val="91"/>
              </w:rPr>
              <w:t>   Threshold</w:t>
            </w:r>
          </w:p>
        </w:tc>
        <w:tc>
          <w:tcPr>
            <w:tcW w:w="140" w:type="dxa"/>
            <w:vAlign w:val="bottom"/>
            <w:tcBorders>
              <w:right w:val="single" w:sz="8" w:color="E8EAEB"/>
            </w:tcBorders>
          </w:tcPr>
          <w:p>
            <w:pPr>
              <w:spacing w:after="0"/>
              <w:rPr>
                <w:sz w:val="13"/>
                <w:szCs w:val="13"/>
                <w:color w:val="auto"/>
              </w:rPr>
            </w:pPr>
          </w:p>
        </w:tc>
        <w:tc>
          <w:tcPr>
            <w:tcW w:w="840" w:type="dxa"/>
            <w:vAlign w:val="bottom"/>
            <w:tcBorders>
              <w:right w:val="single" w:sz="8" w:color="E8EAEB"/>
            </w:tcBorders>
          </w:tcPr>
          <w:p>
            <w:pPr>
              <w:jc w:val="right"/>
              <w:ind w:right="170"/>
              <w:spacing w:after="0" w:line="158" w:lineRule="exact"/>
              <w:rPr>
                <w:sz w:val="20"/>
                <w:szCs w:val="20"/>
                <w:color w:val="auto"/>
              </w:rPr>
            </w:pPr>
            <w:r>
              <w:rPr>
                <w:rFonts w:ascii="Arial" w:cs="Arial" w:eastAsia="Arial" w:hAnsi="Arial"/>
                <w:sz w:val="14"/>
                <w:szCs w:val="14"/>
                <w:b w:val="1"/>
                <w:bCs w:val="1"/>
                <w:color w:val="009FE3"/>
                <w:w w:val="89"/>
              </w:rPr>
              <w:t>   Target</w:t>
            </w:r>
          </w:p>
        </w:tc>
        <w:tc>
          <w:tcPr>
            <w:tcW w:w="100" w:type="dxa"/>
            <w:vAlign w:val="bottom"/>
          </w:tcPr>
          <w:p>
            <w:pPr>
              <w:spacing w:after="0"/>
              <w:rPr>
                <w:sz w:val="20"/>
                <w:szCs w:val="20"/>
                <w:color w:val="auto"/>
              </w:rPr>
            </w:pPr>
            <w:r>
              <w:rPr>
                <w:rFonts w:ascii="Arial" w:cs="Arial" w:eastAsia="Arial" w:hAnsi="Arial"/>
                <w:sz w:val="11"/>
                <w:szCs w:val="11"/>
                <w:b w:val="1"/>
                <w:bCs w:val="1"/>
                <w:color w:val="009FE3"/>
                <w:w w:val="72"/>
              </w:rPr>
              <w:t> </w:t>
            </w:r>
          </w:p>
        </w:tc>
        <w:tc>
          <w:tcPr>
            <w:tcW w:w="840" w:type="dxa"/>
            <w:vAlign w:val="bottom"/>
            <w:tcBorders>
              <w:right w:val="single" w:sz="8" w:color="E8EAEB"/>
            </w:tcBorders>
          </w:tcPr>
          <w:p>
            <w:pPr>
              <w:ind w:left="40"/>
              <w:spacing w:after="0" w:line="158" w:lineRule="exact"/>
              <w:rPr>
                <w:sz w:val="20"/>
                <w:szCs w:val="20"/>
                <w:color w:val="auto"/>
              </w:rPr>
            </w:pPr>
            <w:r>
              <w:rPr>
                <w:rFonts w:ascii="Arial" w:cs="Arial" w:eastAsia="Arial" w:hAnsi="Arial"/>
                <w:sz w:val="14"/>
                <w:szCs w:val="14"/>
                <w:b w:val="1"/>
                <w:bCs w:val="1"/>
                <w:color w:val="009FE3"/>
              </w:rPr>
              <w:t>Maximum</w:t>
            </w:r>
          </w:p>
        </w:tc>
        <w:tc>
          <w:tcPr>
            <w:tcW w:w="980" w:type="dxa"/>
            <w:vAlign w:val="bottom"/>
            <w:tcBorders>
              <w:right w:val="single" w:sz="8" w:color="E8EAEB"/>
            </w:tcBorders>
          </w:tcPr>
          <w:p>
            <w:pPr>
              <w:jc w:val="right"/>
              <w:ind w:right="90"/>
              <w:spacing w:after="0" w:line="158" w:lineRule="exact"/>
              <w:rPr>
                <w:sz w:val="20"/>
                <w:szCs w:val="20"/>
                <w:color w:val="auto"/>
              </w:rPr>
            </w:pPr>
            <w:r>
              <w:rPr>
                <w:rFonts w:ascii="Arial" w:cs="Arial" w:eastAsia="Arial" w:hAnsi="Arial"/>
                <w:sz w:val="14"/>
                <w:szCs w:val="14"/>
                <w:b w:val="1"/>
                <w:bCs w:val="1"/>
                <w:color w:val="009FE3"/>
                <w:w w:val="89"/>
              </w:rPr>
              <w:t>   Threshold</w:t>
            </w:r>
          </w:p>
        </w:tc>
        <w:tc>
          <w:tcPr>
            <w:tcW w:w="720" w:type="dxa"/>
            <w:vAlign w:val="bottom"/>
            <w:tcBorders>
              <w:right w:val="single" w:sz="8" w:color="E8EAEB"/>
            </w:tcBorders>
          </w:tcPr>
          <w:p>
            <w:pPr>
              <w:jc w:val="right"/>
              <w:ind w:right="90"/>
              <w:spacing w:after="0" w:line="158" w:lineRule="exact"/>
              <w:rPr>
                <w:sz w:val="20"/>
                <w:szCs w:val="20"/>
                <w:color w:val="auto"/>
              </w:rPr>
            </w:pPr>
            <w:r>
              <w:rPr>
                <w:rFonts w:ascii="Arial" w:cs="Arial" w:eastAsia="Arial" w:hAnsi="Arial"/>
                <w:sz w:val="14"/>
                <w:szCs w:val="14"/>
                <w:b w:val="1"/>
                <w:bCs w:val="1"/>
                <w:color w:val="009FE3"/>
                <w:w w:val="83"/>
              </w:rPr>
              <w:t>   Target</w:t>
            </w:r>
          </w:p>
        </w:tc>
        <w:tc>
          <w:tcPr>
            <w:tcW w:w="140" w:type="dxa"/>
            <w:vAlign w:val="bottom"/>
          </w:tcPr>
          <w:p>
            <w:pPr>
              <w:spacing w:after="0" w:line="158" w:lineRule="exact"/>
              <w:rPr>
                <w:sz w:val="20"/>
                <w:szCs w:val="20"/>
                <w:color w:val="auto"/>
              </w:rPr>
            </w:pPr>
            <w:r>
              <w:rPr>
                <w:rFonts w:ascii="Arial" w:cs="Arial" w:eastAsia="Arial" w:hAnsi="Arial"/>
                <w:sz w:val="14"/>
                <w:szCs w:val="14"/>
                <w:b w:val="1"/>
                <w:bCs w:val="1"/>
                <w:color w:val="009FE3"/>
                <w:w w:val="85"/>
              </w:rPr>
              <w:t> </w:t>
            </w:r>
          </w:p>
        </w:tc>
        <w:tc>
          <w:tcPr>
            <w:tcW w:w="800" w:type="dxa"/>
            <w:vAlign w:val="bottom"/>
            <w:tcBorders>
              <w:right w:val="single" w:sz="8" w:color="E8EAEB"/>
            </w:tcBorders>
          </w:tcPr>
          <w:p>
            <w:pPr>
              <w:spacing w:after="0" w:line="158" w:lineRule="exact"/>
              <w:rPr>
                <w:sz w:val="20"/>
                <w:szCs w:val="20"/>
                <w:color w:val="auto"/>
              </w:rPr>
            </w:pPr>
            <w:r>
              <w:rPr>
                <w:rFonts w:ascii="Arial" w:cs="Arial" w:eastAsia="Arial" w:hAnsi="Arial"/>
                <w:sz w:val="14"/>
                <w:szCs w:val="14"/>
                <w:b w:val="1"/>
                <w:bCs w:val="1"/>
                <w:color w:val="009FE3"/>
              </w:rPr>
              <w:t>Maximum</w:t>
            </w: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8"/>
              </w:rPr>
              <w:t>or Units</w:t>
            </w:r>
          </w:p>
        </w:tc>
        <w:tc>
          <w:tcPr>
            <w:tcW w:w="1020" w:type="dxa"/>
            <w:vAlign w:val="bottom"/>
            <w:tcBorders>
              <w:right w:val="single" w:sz="8" w:color="E8EAEB"/>
            </w:tcBorders>
            <w:gridSpan w:val="2"/>
          </w:tcPr>
          <w:p>
            <w:pPr>
              <w:spacing w:after="0" w:line="158" w:lineRule="exact"/>
              <w:rPr>
                <w:sz w:val="20"/>
                <w:szCs w:val="20"/>
                <w:color w:val="auto"/>
              </w:rPr>
            </w:pPr>
            <w:r>
              <w:rPr>
                <w:rFonts w:ascii="Arial" w:cs="Arial" w:eastAsia="Arial" w:hAnsi="Arial"/>
                <w:sz w:val="14"/>
                <w:szCs w:val="14"/>
                <w:b w:val="1"/>
                <w:bCs w:val="1"/>
                <w:color w:val="009FE3"/>
              </w:rPr>
              <w:t>   Underlying</w:t>
            </w:r>
          </w:p>
        </w:tc>
        <w:tc>
          <w:tcPr>
            <w:tcW w:w="10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Awards</w:t>
            </w:r>
          </w:p>
        </w:tc>
        <w:tc>
          <w:tcPr>
            <w:tcW w:w="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8"/>
              </w:rPr>
              <w:t>Awards</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w:t>
            </w:r>
          </w:p>
        </w:tc>
        <w:tc>
          <w:tcPr>
            <w:tcW w:w="80" w:type="dxa"/>
            <w:vAlign w:val="bottom"/>
            <w:tcBorders>
              <w:bottom w:val="single" w:sz="8" w:color="009FE3"/>
            </w:tcBorders>
          </w:tcPr>
          <w:p>
            <w:pPr>
              <w:spacing w:after="0"/>
              <w:rPr>
                <w:sz w:val="16"/>
                <w:szCs w:val="16"/>
                <w:color w:val="auto"/>
              </w:rPr>
            </w:pPr>
          </w:p>
        </w:tc>
        <w:tc>
          <w:tcPr>
            <w:tcW w:w="600" w:type="dxa"/>
            <w:vAlign w:val="bottom"/>
            <w:tcBorders>
              <w:bottom w:val="single" w:sz="8" w:color="009FE3"/>
              <w:right w:val="single" w:sz="8" w:color="E8EAEB"/>
            </w:tcBorders>
          </w:tcPr>
          <w:p>
            <w:pPr>
              <w:jc w:val="right"/>
              <w:ind w:right="130"/>
              <w:spacing w:after="0"/>
              <w:rPr>
                <w:sz w:val="20"/>
                <w:szCs w:val="20"/>
                <w:color w:val="auto"/>
              </w:rPr>
            </w:pPr>
            <w:r>
              <w:rPr>
                <w:rFonts w:ascii="Arial" w:cs="Arial" w:eastAsia="Arial" w:hAnsi="Arial"/>
                <w:sz w:val="14"/>
                <w:szCs w:val="14"/>
                <w:b w:val="1"/>
                <w:bCs w:val="1"/>
                <w:color w:val="009FE3"/>
              </w:rPr>
              <w:t>Date</w:t>
            </w:r>
          </w:p>
        </w:tc>
        <w:tc>
          <w:tcPr>
            <w:tcW w:w="840" w:type="dxa"/>
            <w:vAlign w:val="bottom"/>
            <w:tcBorders>
              <w:bottom w:val="single" w:sz="8" w:color="009FE3"/>
            </w:tcBorders>
          </w:tcPr>
          <w:p>
            <w:pPr>
              <w:ind w:left="380"/>
              <w:spacing w:after="0"/>
              <w:rPr>
                <w:sz w:val="20"/>
                <w:szCs w:val="20"/>
                <w:color w:val="auto"/>
              </w:rPr>
            </w:pPr>
            <w:r>
              <w:rPr>
                <w:rFonts w:ascii="Arial" w:cs="Arial" w:eastAsia="Arial" w:hAnsi="Arial"/>
                <w:sz w:val="14"/>
                <w:szCs w:val="14"/>
                <w:b w:val="1"/>
                <w:bCs w:val="1"/>
                <w:color w:val="009FE3"/>
              </w:rPr>
              <w:t>($)</w:t>
            </w:r>
          </w:p>
        </w:tc>
        <w:tc>
          <w:tcPr>
            <w:tcW w:w="140" w:type="dxa"/>
            <w:vAlign w:val="bottom"/>
            <w:tcBorders>
              <w:bottom w:val="single" w:sz="8" w:color="009FE3"/>
              <w:right w:val="single" w:sz="8" w:color="E8EAEB"/>
            </w:tcBorders>
          </w:tcPr>
          <w:p>
            <w:pPr>
              <w:spacing w:after="0"/>
              <w:rPr>
                <w:sz w:val="16"/>
                <w:szCs w:val="16"/>
                <w:color w:val="auto"/>
              </w:rPr>
            </w:pPr>
          </w:p>
        </w:tc>
        <w:tc>
          <w:tcPr>
            <w:tcW w:w="8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00" w:type="dxa"/>
            <w:vAlign w:val="bottom"/>
            <w:tcBorders>
              <w:bottom w:val="single" w:sz="8" w:color="009FE3"/>
            </w:tcBorders>
          </w:tcPr>
          <w:p>
            <w:pPr>
              <w:spacing w:after="0"/>
              <w:rPr>
                <w:sz w:val="16"/>
                <w:szCs w:val="16"/>
                <w:color w:val="auto"/>
              </w:rPr>
            </w:pPr>
          </w:p>
        </w:tc>
        <w:tc>
          <w:tcPr>
            <w:tcW w:w="840" w:type="dxa"/>
            <w:vAlign w:val="bottom"/>
            <w:tcBorders>
              <w:bottom w:val="single" w:sz="8" w:color="009FE3"/>
              <w:right w:val="single" w:sz="8" w:color="E8EAEB"/>
            </w:tcBorders>
          </w:tcPr>
          <w:p>
            <w:pPr>
              <w:ind w:left="260"/>
              <w:spacing w:after="0"/>
              <w:rPr>
                <w:sz w:val="20"/>
                <w:szCs w:val="20"/>
                <w:color w:val="auto"/>
              </w:rPr>
            </w:pPr>
            <w:r>
              <w:rPr>
                <w:rFonts w:ascii="Arial" w:cs="Arial" w:eastAsia="Arial" w:hAnsi="Arial"/>
                <w:sz w:val="14"/>
                <w:szCs w:val="14"/>
                <w:b w:val="1"/>
                <w:bCs w:val="1"/>
                <w:color w:val="009FE3"/>
              </w:rPr>
              <w:t>($)</w:t>
            </w:r>
          </w:p>
        </w:tc>
        <w:tc>
          <w:tcPr>
            <w:tcW w:w="980" w:type="dxa"/>
            <w:vAlign w:val="bottom"/>
            <w:tcBorders>
              <w:bottom w:val="single" w:sz="8" w:color="009FE3"/>
              <w:right w:val="single" w:sz="8" w:color="E8EAEB"/>
            </w:tcBorders>
          </w:tcPr>
          <w:p>
            <w:pPr>
              <w:jc w:val="right"/>
              <w:ind w:right="350"/>
              <w:spacing w:after="0"/>
              <w:rPr>
                <w:sz w:val="20"/>
                <w:szCs w:val="20"/>
                <w:color w:val="auto"/>
              </w:rPr>
            </w:pPr>
            <w:r>
              <w:rPr>
                <w:rFonts w:ascii="Arial" w:cs="Arial" w:eastAsia="Arial" w:hAnsi="Arial"/>
                <w:sz w:val="14"/>
                <w:szCs w:val="14"/>
                <w:b w:val="1"/>
                <w:bCs w:val="1"/>
                <w:color w:val="009FE3"/>
              </w:rPr>
              <w:t>(#)</w:t>
            </w:r>
          </w:p>
        </w:tc>
        <w:tc>
          <w:tcPr>
            <w:tcW w:w="7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40" w:type="dxa"/>
            <w:vAlign w:val="bottom"/>
            <w:tcBorders>
              <w:bottom w:val="single" w:sz="8" w:color="009FE3"/>
            </w:tcBorders>
          </w:tcPr>
          <w:p>
            <w:pPr>
              <w:spacing w:after="0"/>
              <w:rPr>
                <w:sz w:val="16"/>
                <w:szCs w:val="16"/>
                <w:color w:val="auto"/>
              </w:rPr>
            </w:pPr>
          </w:p>
        </w:tc>
        <w:tc>
          <w:tcPr>
            <w:tcW w:w="800" w:type="dxa"/>
            <w:vAlign w:val="bottom"/>
            <w:tcBorders>
              <w:bottom w:val="single" w:sz="8" w:color="009FE3"/>
              <w:right w:val="single" w:sz="8" w:color="E8EAEB"/>
            </w:tcBorders>
          </w:tcPr>
          <w:p>
            <w:pPr>
              <w:ind w:left="240"/>
              <w:spacing w:after="0"/>
              <w:rPr>
                <w:sz w:val="20"/>
                <w:szCs w:val="20"/>
                <w:color w:val="auto"/>
              </w:rPr>
            </w:pPr>
            <w:r>
              <w:rPr>
                <w:rFonts w:ascii="Arial" w:cs="Arial" w:eastAsia="Arial" w:hAnsi="Arial"/>
                <w:sz w:val="14"/>
                <w:szCs w:val="14"/>
                <w:b w:val="1"/>
                <w:bCs w:val="1"/>
                <w:color w:val="009FE3"/>
              </w:rPr>
              <w:t>(#)</w:t>
            </w:r>
          </w:p>
        </w:tc>
        <w:tc>
          <w:tcPr>
            <w:tcW w:w="100" w:type="dxa"/>
            <w:vAlign w:val="bottom"/>
            <w:tcBorders>
              <w:bottom w:val="single" w:sz="8" w:color="009FE3"/>
            </w:tcBorders>
          </w:tcPr>
          <w:p>
            <w:pPr>
              <w:spacing w:after="0"/>
              <w:rPr>
                <w:sz w:val="16"/>
                <w:szCs w:val="16"/>
                <w:color w:val="auto"/>
              </w:rPr>
            </w:pPr>
          </w:p>
        </w:tc>
        <w:tc>
          <w:tcPr>
            <w:tcW w:w="760" w:type="dxa"/>
            <w:vAlign w:val="bottom"/>
            <w:tcBorders>
              <w:bottom w:val="single" w:sz="8" w:color="009FE3"/>
              <w:right w:val="single" w:sz="8" w:color="E8EAEB"/>
            </w:tcBorders>
          </w:tcPr>
          <w:p>
            <w:pPr>
              <w:jc w:val="center"/>
              <w:ind w:right="70"/>
              <w:spacing w:after="0"/>
              <w:rPr>
                <w:sz w:val="20"/>
                <w:szCs w:val="20"/>
                <w:color w:val="auto"/>
              </w:rPr>
            </w:pPr>
            <w:r>
              <w:rPr>
                <w:rFonts w:ascii="Arial" w:cs="Arial" w:eastAsia="Arial" w:hAnsi="Arial"/>
                <w:sz w:val="14"/>
                <w:szCs w:val="14"/>
                <w:b w:val="1"/>
                <w:bCs w:val="1"/>
                <w:color w:val="009FE3"/>
                <w:w w:val="99"/>
              </w:rPr>
              <w:t>(#) (3)</w:t>
            </w:r>
          </w:p>
        </w:tc>
        <w:tc>
          <w:tcPr>
            <w:tcW w:w="80" w:type="dxa"/>
            <w:vAlign w:val="bottom"/>
            <w:tcBorders>
              <w:bottom w:val="single" w:sz="8" w:color="009FE3"/>
            </w:tcBorders>
          </w:tcPr>
          <w:p>
            <w:pPr>
              <w:spacing w:after="0"/>
              <w:rPr>
                <w:sz w:val="16"/>
                <w:szCs w:val="16"/>
                <w:color w:val="auto"/>
              </w:rPr>
            </w:pPr>
          </w:p>
        </w:tc>
        <w:tc>
          <w:tcPr>
            <w:tcW w:w="940" w:type="dxa"/>
            <w:vAlign w:val="bottom"/>
            <w:tcBorders>
              <w:bottom w:val="single" w:sz="8" w:color="009FE3"/>
              <w:right w:val="single" w:sz="8" w:color="E8EAEB"/>
            </w:tcBorders>
          </w:tcPr>
          <w:p>
            <w:pPr>
              <w:jc w:val="center"/>
              <w:ind w:right="50"/>
              <w:spacing w:after="0"/>
              <w:rPr>
                <w:sz w:val="20"/>
                <w:szCs w:val="20"/>
                <w:color w:val="auto"/>
              </w:rPr>
            </w:pPr>
            <w:r>
              <w:rPr>
                <w:rFonts w:ascii="Arial" w:cs="Arial" w:eastAsia="Arial" w:hAnsi="Arial"/>
                <w:sz w:val="14"/>
                <w:szCs w:val="14"/>
                <w:b w:val="1"/>
                <w:bCs w:val="1"/>
                <w:color w:val="009FE3"/>
              </w:rPr>
              <w:t>Options (#)</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 (4)</w:t>
            </w:r>
          </w:p>
        </w:tc>
        <w:tc>
          <w:tcPr>
            <w:tcW w:w="80" w:type="dxa"/>
            <w:vAlign w:val="bottom"/>
            <w:tcBorders>
              <w:bottom w:val="single" w:sz="8" w:color="009FE3"/>
            </w:tcBorders>
          </w:tcPr>
          <w:p>
            <w:pPr>
              <w:spacing w:after="0"/>
              <w:rPr>
                <w:sz w:val="16"/>
                <w:szCs w:val="16"/>
                <w:color w:val="auto"/>
              </w:rPr>
            </w:pPr>
          </w:p>
        </w:tc>
        <w:tc>
          <w:tcPr>
            <w:tcW w:w="76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w w:val="99"/>
              </w:rPr>
              <w:t>($) (5)</w:t>
            </w:r>
          </w:p>
        </w:tc>
        <w:tc>
          <w:tcPr>
            <w:tcW w:w="0" w:type="dxa"/>
            <w:vAlign w:val="bottom"/>
          </w:tcPr>
          <w:p>
            <w:pPr>
              <w:spacing w:after="0"/>
              <w:rPr>
                <w:sz w:val="1"/>
                <w:szCs w:val="1"/>
                <w:color w:val="auto"/>
              </w:rPr>
            </w:pPr>
          </w:p>
        </w:tc>
      </w:tr>
      <w:tr>
        <w:trPr>
          <w:trHeight w:val="221"/>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Mark Dankberg</w:t>
            </w:r>
          </w:p>
        </w:tc>
        <w:tc>
          <w:tcPr>
            <w:tcW w:w="80" w:type="dxa"/>
            <w:vAlign w:val="bottom"/>
          </w:tcPr>
          <w:p>
            <w:pPr>
              <w:spacing w:after="0"/>
              <w:rPr>
                <w:sz w:val="19"/>
                <w:szCs w:val="19"/>
                <w:color w:val="auto"/>
              </w:rPr>
            </w:pPr>
          </w:p>
        </w:tc>
        <w:tc>
          <w:tcPr>
            <w:tcW w:w="600" w:type="dxa"/>
            <w:vAlign w:val="bottom"/>
            <w:tcBorders>
              <w:right w:val="single" w:sz="8" w:color="E8EAEB"/>
            </w:tcBorders>
          </w:tcPr>
          <w:p>
            <w:pPr>
              <w:jc w:val="right"/>
              <w:ind w:right="50"/>
              <w:spacing w:after="0"/>
              <w:rPr>
                <w:sz w:val="20"/>
                <w:szCs w:val="20"/>
                <w:color w:val="auto"/>
              </w:rPr>
            </w:pPr>
            <w:r>
              <w:rPr>
                <w:rFonts w:ascii="Arial" w:cs="Arial" w:eastAsia="Arial" w:hAnsi="Arial"/>
                <w:sz w:val="14"/>
                <w:szCs w:val="14"/>
                <w:color w:val="202E39"/>
              </w:rPr>
              <w:t>— </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9"/>
                <w:szCs w:val="19"/>
                <w:color w:val="auto"/>
              </w:rPr>
            </w:pPr>
          </w:p>
        </w:tc>
        <w:tc>
          <w:tcPr>
            <w:tcW w:w="84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1,911,000</w:t>
            </w:r>
          </w:p>
        </w:tc>
        <w:tc>
          <w:tcPr>
            <w:tcW w:w="100" w:type="dxa"/>
            <w:vAlign w:val="bottom"/>
          </w:tcPr>
          <w:p>
            <w:pPr>
              <w:spacing w:after="0"/>
              <w:rPr>
                <w:sz w:val="19"/>
                <w:szCs w:val="19"/>
                <w:color w:val="auto"/>
              </w:rPr>
            </w:pPr>
          </w:p>
        </w:tc>
        <w:tc>
          <w:tcPr>
            <w:tcW w:w="840" w:type="dxa"/>
            <w:vAlign w:val="bottom"/>
            <w:tcBorders>
              <w:right w:val="single" w:sz="8" w:color="E8EAEB"/>
            </w:tcBorders>
          </w:tcPr>
          <w:p>
            <w:pPr>
              <w:ind w:left="120"/>
              <w:spacing w:after="0"/>
              <w:rPr>
                <w:sz w:val="20"/>
                <w:szCs w:val="20"/>
                <w:color w:val="auto"/>
              </w:rPr>
            </w:pPr>
            <w:r>
              <w:rPr>
                <w:rFonts w:ascii="Arial" w:cs="Arial" w:eastAsia="Arial" w:hAnsi="Arial"/>
                <w:sz w:val="14"/>
                <w:szCs w:val="14"/>
                <w:color w:val="202E39"/>
              </w:rPr>
              <w:t>4,777,500</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9"/>
                <w:szCs w:val="19"/>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9"/>
                <w:szCs w:val="19"/>
                <w:color w:val="auto"/>
              </w:rPr>
            </w:pPr>
          </w:p>
        </w:tc>
        <w:tc>
          <w:tcPr>
            <w:tcW w:w="76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83"/>
        </w:trPr>
        <w:tc>
          <w:tcPr>
            <w:tcW w:w="1220" w:type="dxa"/>
            <w:vAlign w:val="bottom"/>
            <w:tcBorders>
              <w:right w:val="single" w:sz="8" w:color="E8EAEB"/>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6/7/23</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5"/>
                <w:szCs w:val="15"/>
                <w:color w:val="auto"/>
              </w:rPr>
            </w:pPr>
          </w:p>
        </w:tc>
        <w:tc>
          <w:tcPr>
            <w:tcW w:w="84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5"/>
                <w:szCs w:val="15"/>
                <w:color w:val="auto"/>
              </w:rPr>
            </w:pPr>
          </w:p>
        </w:tc>
        <w:tc>
          <w:tcPr>
            <w:tcW w:w="84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5"/>
                <w:szCs w:val="15"/>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5"/>
                <w:szCs w:val="15"/>
                <w:color w:val="auto"/>
              </w:rPr>
            </w:pPr>
          </w:p>
        </w:tc>
        <w:tc>
          <w:tcPr>
            <w:tcW w:w="76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84,043</w:t>
            </w:r>
          </w:p>
        </w:tc>
        <w:tc>
          <w:tcPr>
            <w:tcW w:w="80" w:type="dxa"/>
            <w:vAlign w:val="bottom"/>
          </w:tcPr>
          <w:p>
            <w:pPr>
              <w:spacing w:after="0"/>
              <w:rPr>
                <w:sz w:val="15"/>
                <w:szCs w:val="15"/>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3,808,82</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E8EAEB"/>
              <w:right w:val="single" w:sz="8" w:color="E8EAEB"/>
            </w:tcBorders>
          </w:tcPr>
          <w:p>
            <w:pPr>
              <w:spacing w:after="0"/>
              <w:rPr>
                <w:sz w:val="16"/>
                <w:szCs w:val="16"/>
                <w:color w:val="auto"/>
              </w:rPr>
            </w:pPr>
          </w:p>
        </w:tc>
        <w:tc>
          <w:tcPr>
            <w:tcW w:w="80" w:type="dxa"/>
            <w:vAlign w:val="bottom"/>
            <w:tcBorders>
              <w:bottom w:val="single" w:sz="8" w:color="E8EAEB"/>
            </w:tcBorders>
          </w:tcPr>
          <w:p>
            <w:pPr>
              <w:spacing w:after="0"/>
              <w:rPr>
                <w:sz w:val="16"/>
                <w:szCs w:val="16"/>
                <w:color w:val="auto"/>
              </w:rPr>
            </w:pPr>
          </w:p>
        </w:tc>
        <w:tc>
          <w:tcPr>
            <w:tcW w:w="60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10/9/23</w:t>
            </w:r>
          </w:p>
        </w:tc>
        <w:tc>
          <w:tcPr>
            <w:tcW w:w="840" w:type="dxa"/>
            <w:vAlign w:val="bottom"/>
            <w:tcBorders>
              <w:bottom w:val="single" w:sz="8" w:color="E8EAEB"/>
            </w:tcBorders>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105,000</w:t>
            </w:r>
          </w:p>
        </w:tc>
        <w:tc>
          <w:tcPr>
            <w:tcW w:w="72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150,000</w:t>
            </w:r>
          </w:p>
        </w:tc>
        <w:tc>
          <w:tcPr>
            <w:tcW w:w="14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375,000</w:t>
            </w:r>
          </w:p>
        </w:tc>
        <w:tc>
          <w:tcPr>
            <w:tcW w:w="10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Borders>
              <w:bottom w:val="single" w:sz="8" w:color="E8EAEB"/>
            </w:tcBorders>
          </w:tcPr>
          <w:p>
            <w:pPr>
              <w:spacing w:after="0"/>
              <w:rPr>
                <w:sz w:val="16"/>
                <w:szCs w:val="16"/>
                <w:color w:val="auto"/>
              </w:rPr>
            </w:pPr>
          </w:p>
        </w:tc>
        <w:tc>
          <w:tcPr>
            <w:tcW w:w="940" w:type="dxa"/>
            <w:vAlign w:val="bottom"/>
            <w:tcBorders>
              <w:bottom w:val="single" w:sz="8" w:color="E8EAEB"/>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15.96</w:t>
            </w:r>
          </w:p>
        </w:tc>
        <w:tc>
          <w:tcPr>
            <w:tcW w:w="8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2,002,50</w:t>
            </w:r>
          </w:p>
        </w:tc>
        <w:tc>
          <w:tcPr>
            <w:tcW w:w="0" w:type="dxa"/>
            <w:vAlign w:val="bottom"/>
          </w:tcPr>
          <w:p>
            <w:pPr>
              <w:spacing w:after="0"/>
              <w:rPr>
                <w:sz w:val="1"/>
                <w:szCs w:val="1"/>
                <w:color w:val="auto"/>
              </w:rPr>
            </w:pPr>
          </w:p>
        </w:tc>
      </w:tr>
      <w:tr>
        <w:trPr>
          <w:trHeight w:val="185"/>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 Guru</w:t>
            </w:r>
          </w:p>
        </w:tc>
        <w:tc>
          <w:tcPr>
            <w:tcW w:w="80" w:type="dxa"/>
            <w:vAlign w:val="bottom"/>
          </w:tcPr>
          <w:p>
            <w:pPr>
              <w:spacing w:after="0"/>
              <w:rPr>
                <w:sz w:val="16"/>
                <w:szCs w:val="16"/>
                <w:color w:val="auto"/>
              </w:rPr>
            </w:pPr>
          </w:p>
        </w:tc>
        <w:tc>
          <w:tcPr>
            <w:tcW w:w="600" w:type="dxa"/>
            <w:vAlign w:val="bottom"/>
            <w:tcBorders>
              <w:right w:val="single" w:sz="8" w:color="E8EAEB"/>
            </w:tcBorders>
          </w:tcPr>
          <w:p>
            <w:pPr>
              <w:jc w:val="right"/>
              <w:ind w:right="50"/>
              <w:spacing w:after="0"/>
              <w:rPr>
                <w:sz w:val="20"/>
                <w:szCs w:val="20"/>
                <w:color w:val="auto"/>
              </w:rPr>
            </w:pPr>
            <w:r>
              <w:rPr>
                <w:rFonts w:ascii="Arial" w:cs="Arial" w:eastAsia="Arial" w:hAnsi="Arial"/>
                <w:sz w:val="14"/>
                <w:szCs w:val="14"/>
                <w:color w:val="202E39"/>
              </w:rPr>
              <w:t>— </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1,400,000</w:t>
            </w:r>
          </w:p>
        </w:tc>
        <w:tc>
          <w:tcPr>
            <w:tcW w:w="100" w:type="dxa"/>
            <w:vAlign w:val="bottom"/>
          </w:tcPr>
          <w:p>
            <w:pPr>
              <w:spacing w:after="0"/>
              <w:rPr>
                <w:sz w:val="16"/>
                <w:szCs w:val="16"/>
                <w:color w:val="auto"/>
              </w:rPr>
            </w:pPr>
          </w:p>
        </w:tc>
        <w:tc>
          <w:tcPr>
            <w:tcW w:w="840" w:type="dxa"/>
            <w:vAlign w:val="bottom"/>
            <w:tcBorders>
              <w:right w:val="single" w:sz="8" w:color="E8EAEB"/>
            </w:tcBorders>
          </w:tcPr>
          <w:p>
            <w:pPr>
              <w:ind w:left="120"/>
              <w:spacing w:after="0"/>
              <w:rPr>
                <w:sz w:val="20"/>
                <w:szCs w:val="20"/>
                <w:color w:val="auto"/>
              </w:rPr>
            </w:pPr>
            <w:r>
              <w:rPr>
                <w:rFonts w:ascii="Arial" w:cs="Arial" w:eastAsia="Arial" w:hAnsi="Arial"/>
                <w:sz w:val="14"/>
                <w:szCs w:val="14"/>
                <w:color w:val="202E39"/>
              </w:rPr>
              <w:t>3,500,000</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6"/>
                <w:szCs w:val="16"/>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6"/>
                <w:szCs w:val="16"/>
                <w:color w:val="auto"/>
              </w:rPr>
            </w:pPr>
          </w:p>
        </w:tc>
        <w:tc>
          <w:tcPr>
            <w:tcW w:w="76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6"/>
                <w:szCs w:val="16"/>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85"/>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Gowrappan</w:t>
            </w:r>
          </w:p>
        </w:tc>
        <w:tc>
          <w:tcPr>
            <w:tcW w:w="80" w:type="dxa"/>
            <w:vAlign w:val="bottom"/>
          </w:tcPr>
          <w:p>
            <w:pPr>
              <w:spacing w:after="0"/>
              <w:rPr>
                <w:sz w:val="16"/>
                <w:szCs w:val="16"/>
                <w:color w:val="auto"/>
              </w:rPr>
            </w:pPr>
          </w:p>
        </w:tc>
        <w:tc>
          <w:tcPr>
            <w:tcW w:w="600" w:type="dxa"/>
            <w:vAlign w:val="bottom"/>
            <w:tcBorders>
              <w:right w:val="single" w:sz="8" w:color="E8EAEB"/>
            </w:tcBorders>
            <w:vMerge w:val="restart"/>
          </w:tcPr>
          <w:p>
            <w:pPr>
              <w:jc w:val="right"/>
              <w:ind w:right="30"/>
              <w:spacing w:after="0"/>
              <w:rPr>
                <w:sz w:val="20"/>
                <w:szCs w:val="20"/>
                <w:color w:val="auto"/>
              </w:rPr>
            </w:pPr>
            <w:r>
              <w:rPr>
                <w:rFonts w:ascii="Arial" w:cs="Arial" w:eastAsia="Arial" w:hAnsi="Arial"/>
                <w:sz w:val="14"/>
                <w:szCs w:val="14"/>
                <w:color w:val="202E39"/>
              </w:rPr>
              <w:t>4/13/23</w:t>
            </w:r>
          </w:p>
        </w:tc>
        <w:tc>
          <w:tcPr>
            <w:tcW w:w="840" w:type="dxa"/>
            <w:vAlign w:val="bottom"/>
            <w:vMerge w:val="restart"/>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vMerge w:val="restart"/>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6"/>
                <w:szCs w:val="16"/>
                <w:color w:val="auto"/>
              </w:rPr>
            </w:pPr>
          </w:p>
        </w:tc>
        <w:tc>
          <w:tcPr>
            <w:tcW w:w="840" w:type="dxa"/>
            <w:vAlign w:val="bottom"/>
            <w:tcBorders>
              <w:right w:val="single" w:sz="8" w:color="E8EAEB"/>
            </w:tcBorders>
            <w:vMerge w:val="restart"/>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vMerge w:val="restart"/>
          </w:tcPr>
          <w:p>
            <w:pPr>
              <w:jc w:val="right"/>
              <w:ind w:right="30"/>
              <w:spacing w:after="0"/>
              <w:rPr>
                <w:sz w:val="20"/>
                <w:szCs w:val="20"/>
                <w:color w:val="auto"/>
              </w:rPr>
            </w:pPr>
            <w:r>
              <w:rPr>
                <w:rFonts w:ascii="Arial" w:cs="Arial" w:eastAsia="Arial" w:hAnsi="Arial"/>
                <w:sz w:val="14"/>
                <w:szCs w:val="14"/>
                <w:color w:val="202E39"/>
              </w:rPr>
              <w:t>153,962</w:t>
            </w:r>
          </w:p>
        </w:tc>
        <w:tc>
          <w:tcPr>
            <w:tcW w:w="720" w:type="dxa"/>
            <w:vAlign w:val="bottom"/>
            <w:tcBorders>
              <w:right w:val="single" w:sz="8" w:color="E8EAEB"/>
            </w:tcBorders>
            <w:vMerge w:val="restart"/>
          </w:tcPr>
          <w:p>
            <w:pPr>
              <w:jc w:val="right"/>
              <w:ind w:right="30"/>
              <w:spacing w:after="0"/>
              <w:rPr>
                <w:sz w:val="20"/>
                <w:szCs w:val="20"/>
                <w:color w:val="auto"/>
              </w:rPr>
            </w:pPr>
            <w:r>
              <w:rPr>
                <w:rFonts w:ascii="Arial" w:cs="Arial" w:eastAsia="Arial" w:hAnsi="Arial"/>
                <w:sz w:val="14"/>
                <w:szCs w:val="14"/>
                <w:color w:val="202E39"/>
              </w:rPr>
              <w:t>307,923</w:t>
            </w:r>
          </w:p>
        </w:tc>
        <w:tc>
          <w:tcPr>
            <w:tcW w:w="140" w:type="dxa"/>
            <w:vAlign w:val="bottom"/>
          </w:tcPr>
          <w:p>
            <w:pPr>
              <w:spacing w:after="0"/>
              <w:rPr>
                <w:sz w:val="16"/>
                <w:szCs w:val="16"/>
                <w:color w:val="auto"/>
              </w:rPr>
            </w:pPr>
          </w:p>
        </w:tc>
        <w:tc>
          <w:tcPr>
            <w:tcW w:w="800" w:type="dxa"/>
            <w:vAlign w:val="bottom"/>
            <w:tcBorders>
              <w:right w:val="single" w:sz="8" w:color="E8EAEB"/>
            </w:tcBorders>
            <w:vMerge w:val="restart"/>
          </w:tcPr>
          <w:p>
            <w:pPr>
              <w:ind w:left="200"/>
              <w:spacing w:after="0"/>
              <w:rPr>
                <w:sz w:val="20"/>
                <w:szCs w:val="20"/>
                <w:color w:val="auto"/>
              </w:rPr>
            </w:pPr>
            <w:r>
              <w:rPr>
                <w:rFonts w:ascii="Arial" w:cs="Arial" w:eastAsia="Arial" w:hAnsi="Arial"/>
                <w:sz w:val="14"/>
                <w:szCs w:val="14"/>
                <w:color w:val="202E39"/>
              </w:rPr>
              <w:t>538,865</w:t>
            </w:r>
          </w:p>
        </w:tc>
        <w:tc>
          <w:tcPr>
            <w:tcW w:w="100" w:type="dxa"/>
            <w:vAlign w:val="bottom"/>
          </w:tcPr>
          <w:p>
            <w:pPr>
              <w:spacing w:after="0"/>
              <w:rPr>
                <w:sz w:val="16"/>
                <w:szCs w:val="16"/>
                <w:color w:val="auto"/>
              </w:rPr>
            </w:pPr>
          </w:p>
        </w:tc>
        <w:tc>
          <w:tcPr>
            <w:tcW w:w="760" w:type="dxa"/>
            <w:vAlign w:val="bottom"/>
            <w:tcBorders>
              <w:right w:val="single" w:sz="8" w:color="E8EAEB"/>
            </w:tcBorders>
            <w:vMerge w:val="restart"/>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6"/>
                <w:szCs w:val="16"/>
                <w:color w:val="auto"/>
              </w:rPr>
            </w:pPr>
          </w:p>
        </w:tc>
        <w:tc>
          <w:tcPr>
            <w:tcW w:w="940" w:type="dxa"/>
            <w:vAlign w:val="bottom"/>
            <w:tcBorders>
              <w:right w:val="single" w:sz="8" w:color="E8EAEB"/>
            </w:tcBorders>
            <w:vMerge w:val="restart"/>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vMerge w:val="restart"/>
          </w:tcPr>
          <w:p>
            <w:pPr>
              <w:ind w:left="600"/>
              <w:spacing w:after="0"/>
              <w:rPr>
                <w:sz w:val="20"/>
                <w:szCs w:val="20"/>
                <w:color w:val="auto"/>
              </w:rPr>
            </w:pPr>
            <w:r>
              <w:rPr>
                <w:rFonts w:ascii="Arial" w:cs="Arial" w:eastAsia="Arial" w:hAnsi="Arial"/>
                <w:sz w:val="14"/>
                <w:szCs w:val="14"/>
                <w:color w:val="202E39"/>
              </w:rPr>
              <w:t>34.43</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202E39"/>
              </w:rPr>
              <w:t>8,132,24</w:t>
            </w:r>
          </w:p>
        </w:tc>
        <w:tc>
          <w:tcPr>
            <w:tcW w:w="0" w:type="dxa"/>
            <w:vAlign w:val="bottom"/>
          </w:tcPr>
          <w:p>
            <w:pPr>
              <w:spacing w:after="0"/>
              <w:rPr>
                <w:sz w:val="1"/>
                <w:szCs w:val="1"/>
                <w:color w:val="auto"/>
              </w:rPr>
            </w:pPr>
          </w:p>
        </w:tc>
      </w:tr>
      <w:tr>
        <w:trPr>
          <w:trHeight w:val="39"/>
        </w:trPr>
        <w:tc>
          <w:tcPr>
            <w:tcW w:w="1220" w:type="dxa"/>
            <w:vAlign w:val="bottom"/>
            <w:tcBorders>
              <w:right w:val="single" w:sz="8" w:color="E8EAEB"/>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right w:val="single" w:sz="8" w:color="E8EAEB"/>
            </w:tcBorders>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40" w:type="dxa"/>
            <w:vAlign w:val="bottom"/>
            <w:tcBorders>
              <w:right w:val="single" w:sz="8" w:color="E8EAEB"/>
            </w:tcBorders>
          </w:tcPr>
          <w:p>
            <w:pPr>
              <w:spacing w:after="0"/>
              <w:rPr>
                <w:sz w:val="3"/>
                <w:szCs w:val="3"/>
                <w:color w:val="auto"/>
              </w:rPr>
            </w:pPr>
          </w:p>
        </w:tc>
        <w:tc>
          <w:tcPr>
            <w:tcW w:w="840" w:type="dxa"/>
            <w:vAlign w:val="bottom"/>
            <w:tcBorders>
              <w:right w:val="single" w:sz="8" w:color="E8EAEB"/>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right w:val="single" w:sz="8" w:color="E8EAEB"/>
            </w:tcBorders>
            <w:vMerge w:val="continue"/>
          </w:tcPr>
          <w:p>
            <w:pPr>
              <w:spacing w:after="0"/>
              <w:rPr>
                <w:sz w:val="3"/>
                <w:szCs w:val="3"/>
                <w:color w:val="auto"/>
              </w:rPr>
            </w:pPr>
          </w:p>
        </w:tc>
        <w:tc>
          <w:tcPr>
            <w:tcW w:w="980" w:type="dxa"/>
            <w:vAlign w:val="bottom"/>
            <w:tcBorders>
              <w:right w:val="single" w:sz="8" w:color="E8EAEB"/>
            </w:tcBorders>
            <w:vMerge w:val="continue"/>
          </w:tcPr>
          <w:p>
            <w:pPr>
              <w:spacing w:after="0"/>
              <w:rPr>
                <w:sz w:val="3"/>
                <w:szCs w:val="3"/>
                <w:color w:val="auto"/>
              </w:rPr>
            </w:pPr>
          </w:p>
        </w:tc>
        <w:tc>
          <w:tcPr>
            <w:tcW w:w="720" w:type="dxa"/>
            <w:vAlign w:val="bottom"/>
            <w:tcBorders>
              <w:right w:val="single" w:sz="8" w:color="E8EAEB"/>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Borders>
              <w:right w:val="single" w:sz="8" w:color="E8EAEB"/>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right w:val="single" w:sz="8" w:color="E8EAEB"/>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right w:val="single" w:sz="8" w:color="E8EAEB"/>
            </w:tcBorders>
            <w:vMerge w:val="continue"/>
          </w:tcPr>
          <w:p>
            <w:pPr>
              <w:spacing w:after="0"/>
              <w:rPr>
                <w:sz w:val="3"/>
                <w:szCs w:val="3"/>
                <w:color w:val="auto"/>
              </w:rPr>
            </w:pPr>
          </w:p>
        </w:tc>
        <w:tc>
          <w:tcPr>
            <w:tcW w:w="1060" w:type="dxa"/>
            <w:vAlign w:val="bottom"/>
            <w:tcBorders>
              <w:right w:val="single" w:sz="8" w:color="E8EAEB"/>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jc w:val="right"/>
              <w:ind w:right="30"/>
              <w:spacing w:after="0" w:line="158" w:lineRule="exact"/>
              <w:rPr>
                <w:sz w:val="20"/>
                <w:szCs w:val="20"/>
                <w:color w:val="auto"/>
              </w:rPr>
            </w:pPr>
            <w:r>
              <w:rPr>
                <w:rFonts w:ascii="Arial" w:cs="Arial" w:eastAsia="Arial" w:hAnsi="Arial"/>
                <w:sz w:val="14"/>
                <w:szCs w:val="14"/>
                <w:color w:val="202E39"/>
              </w:rPr>
              <w:t>4/13/23</w:t>
            </w:r>
          </w:p>
        </w:tc>
        <w:tc>
          <w:tcPr>
            <w:tcW w:w="840" w:type="dxa"/>
            <w:vAlign w:val="bottom"/>
          </w:tcPr>
          <w:p>
            <w:pPr>
              <w:ind w:left="600"/>
              <w:spacing w:after="0" w:line="158" w:lineRule="exact"/>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3"/>
                <w:szCs w:val="13"/>
                <w:color w:val="auto"/>
              </w:rPr>
            </w:pPr>
          </w:p>
        </w:tc>
        <w:tc>
          <w:tcPr>
            <w:tcW w:w="840" w:type="dxa"/>
            <w:vAlign w:val="bottom"/>
            <w:tcBorders>
              <w:right w:val="single" w:sz="8" w:color="E8EAEB"/>
            </w:tcBorders>
          </w:tcPr>
          <w:p>
            <w:pPr>
              <w:jc w:val="right"/>
              <w:ind w:right="70"/>
              <w:spacing w:after="0" w:line="158" w:lineRule="exact"/>
              <w:rPr>
                <w:sz w:val="20"/>
                <w:szCs w:val="20"/>
                <w:color w:val="auto"/>
              </w:rPr>
            </w:pPr>
            <w:r>
              <w:rPr>
                <w:rFonts w:ascii="Arial" w:cs="Arial" w:eastAsia="Arial" w:hAnsi="Arial"/>
                <w:sz w:val="14"/>
                <w:szCs w:val="14"/>
                <w:color w:val="202E39"/>
              </w:rPr>
              <w:t>— </w:t>
            </w:r>
          </w:p>
        </w:tc>
        <w:tc>
          <w:tcPr>
            <w:tcW w:w="100" w:type="dxa"/>
            <w:vAlign w:val="bottom"/>
          </w:tcPr>
          <w:p>
            <w:pPr>
              <w:spacing w:after="0"/>
              <w:rPr>
                <w:sz w:val="13"/>
                <w:szCs w:val="13"/>
                <w:color w:val="auto"/>
              </w:rPr>
            </w:pPr>
          </w:p>
        </w:tc>
        <w:tc>
          <w:tcPr>
            <w:tcW w:w="840" w:type="dxa"/>
            <w:vAlign w:val="bottom"/>
            <w:tcBorders>
              <w:right w:val="single" w:sz="8" w:color="E8EAEB"/>
            </w:tcBorders>
          </w:tcPr>
          <w:p>
            <w:pPr>
              <w:ind w:left="540"/>
              <w:spacing w:after="0" w:line="158" w:lineRule="exact"/>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tcPr>
          <w:p>
            <w:pPr>
              <w:jc w:val="right"/>
              <w:ind w:right="70"/>
              <w:spacing w:after="0" w:line="158" w:lineRule="exact"/>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line="158" w:lineRule="exact"/>
              <w:rPr>
                <w:sz w:val="20"/>
                <w:szCs w:val="20"/>
                <w:color w:val="auto"/>
              </w:rPr>
            </w:pPr>
            <w:r>
              <w:rPr>
                <w:rFonts w:ascii="Arial" w:cs="Arial" w:eastAsia="Arial" w:hAnsi="Arial"/>
                <w:sz w:val="14"/>
                <w:szCs w:val="14"/>
                <w:color w:val="202E39"/>
              </w:rPr>
              <w:t>— </w:t>
            </w:r>
          </w:p>
        </w:tc>
        <w:tc>
          <w:tcPr>
            <w:tcW w:w="140" w:type="dxa"/>
            <w:vAlign w:val="bottom"/>
          </w:tcPr>
          <w:p>
            <w:pPr>
              <w:spacing w:after="0"/>
              <w:rPr>
                <w:sz w:val="13"/>
                <w:szCs w:val="13"/>
                <w:color w:val="auto"/>
              </w:rPr>
            </w:pPr>
          </w:p>
        </w:tc>
        <w:tc>
          <w:tcPr>
            <w:tcW w:w="800" w:type="dxa"/>
            <w:vAlign w:val="bottom"/>
            <w:tcBorders>
              <w:right w:val="single" w:sz="8" w:color="E8EAEB"/>
            </w:tcBorders>
          </w:tcPr>
          <w:p>
            <w:pPr>
              <w:ind w:left="500"/>
              <w:spacing w:after="0" w:line="158" w:lineRule="exact"/>
              <w:rPr>
                <w:sz w:val="20"/>
                <w:szCs w:val="20"/>
                <w:color w:val="auto"/>
              </w:rPr>
            </w:pPr>
            <w:r>
              <w:rPr>
                <w:rFonts w:ascii="Arial" w:cs="Arial" w:eastAsia="Arial" w:hAnsi="Arial"/>
                <w:sz w:val="14"/>
                <w:szCs w:val="14"/>
                <w:color w:val="202E39"/>
              </w:rPr>
              <w:t>— </w:t>
            </w: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right"/>
              <w:ind w:right="30"/>
              <w:spacing w:after="0" w:line="158" w:lineRule="exact"/>
              <w:rPr>
                <w:sz w:val="20"/>
                <w:szCs w:val="20"/>
                <w:color w:val="auto"/>
              </w:rPr>
            </w:pPr>
            <w:r>
              <w:rPr>
                <w:rFonts w:ascii="Arial" w:cs="Arial" w:eastAsia="Arial" w:hAnsi="Arial"/>
                <w:sz w:val="14"/>
                <w:szCs w:val="14"/>
                <w:color w:val="202E39"/>
              </w:rPr>
              <w:t>212,298</w:t>
            </w:r>
          </w:p>
        </w:tc>
        <w:tc>
          <w:tcPr>
            <w:tcW w:w="80" w:type="dxa"/>
            <w:vAlign w:val="bottom"/>
          </w:tcPr>
          <w:p>
            <w:pPr>
              <w:spacing w:after="0"/>
              <w:rPr>
                <w:sz w:val="13"/>
                <w:szCs w:val="13"/>
                <w:color w:val="auto"/>
              </w:rPr>
            </w:pPr>
          </w:p>
        </w:tc>
        <w:tc>
          <w:tcPr>
            <w:tcW w:w="940" w:type="dxa"/>
            <w:vAlign w:val="bottom"/>
            <w:tcBorders>
              <w:right w:val="single" w:sz="8" w:color="E8EAEB"/>
            </w:tcBorders>
          </w:tcPr>
          <w:p>
            <w:pPr>
              <w:ind w:left="640"/>
              <w:spacing w:after="0" w:line="158" w:lineRule="exact"/>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line="158" w:lineRule="exact"/>
              <w:rPr>
                <w:sz w:val="20"/>
                <w:szCs w:val="20"/>
                <w:color w:val="auto"/>
              </w:rPr>
            </w:pPr>
            <w:r>
              <w:rPr>
                <w:rFonts w:ascii="Arial" w:cs="Arial" w:eastAsia="Arial" w:hAnsi="Arial"/>
                <w:sz w:val="14"/>
                <w:szCs w:val="14"/>
                <w:color w:val="202E39"/>
              </w:rPr>
              <w:t>— </w:t>
            </w:r>
          </w:p>
        </w:tc>
        <w:tc>
          <w:tcPr>
            <w:tcW w:w="8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202E39"/>
              </w:rPr>
              <w:t>7,309,42</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E8EAEB"/>
              <w:right w:val="single" w:sz="8" w:color="E8EAEB"/>
            </w:tcBorders>
          </w:tcPr>
          <w:p>
            <w:pPr>
              <w:spacing w:after="0"/>
              <w:rPr>
                <w:sz w:val="16"/>
                <w:szCs w:val="16"/>
                <w:color w:val="auto"/>
              </w:rPr>
            </w:pPr>
          </w:p>
        </w:tc>
        <w:tc>
          <w:tcPr>
            <w:tcW w:w="80" w:type="dxa"/>
            <w:vAlign w:val="bottom"/>
            <w:tcBorders>
              <w:bottom w:val="single" w:sz="8" w:color="E8EAEB"/>
            </w:tcBorders>
          </w:tcPr>
          <w:p>
            <w:pPr>
              <w:spacing w:after="0"/>
              <w:rPr>
                <w:sz w:val="16"/>
                <w:szCs w:val="16"/>
                <w:color w:val="auto"/>
              </w:rPr>
            </w:pPr>
          </w:p>
        </w:tc>
        <w:tc>
          <w:tcPr>
            <w:tcW w:w="60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10/9/23</w:t>
            </w:r>
          </w:p>
        </w:tc>
        <w:tc>
          <w:tcPr>
            <w:tcW w:w="840" w:type="dxa"/>
            <w:vAlign w:val="bottom"/>
            <w:tcBorders>
              <w:bottom w:val="single" w:sz="8" w:color="E8EAEB"/>
            </w:tcBorders>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105,000</w:t>
            </w:r>
          </w:p>
        </w:tc>
        <w:tc>
          <w:tcPr>
            <w:tcW w:w="72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150,000</w:t>
            </w:r>
          </w:p>
        </w:tc>
        <w:tc>
          <w:tcPr>
            <w:tcW w:w="14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375,000</w:t>
            </w:r>
          </w:p>
        </w:tc>
        <w:tc>
          <w:tcPr>
            <w:tcW w:w="10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Borders>
              <w:bottom w:val="single" w:sz="8" w:color="E8EAEB"/>
            </w:tcBorders>
          </w:tcPr>
          <w:p>
            <w:pPr>
              <w:spacing w:after="0"/>
              <w:rPr>
                <w:sz w:val="16"/>
                <w:szCs w:val="16"/>
                <w:color w:val="auto"/>
              </w:rPr>
            </w:pPr>
          </w:p>
        </w:tc>
        <w:tc>
          <w:tcPr>
            <w:tcW w:w="940" w:type="dxa"/>
            <w:vAlign w:val="bottom"/>
            <w:tcBorders>
              <w:bottom w:val="single" w:sz="8" w:color="E8EAEB"/>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15.96</w:t>
            </w:r>
          </w:p>
        </w:tc>
        <w:tc>
          <w:tcPr>
            <w:tcW w:w="8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2,002,50</w:t>
            </w:r>
          </w:p>
        </w:tc>
        <w:tc>
          <w:tcPr>
            <w:tcW w:w="0" w:type="dxa"/>
            <w:vAlign w:val="bottom"/>
          </w:tcPr>
          <w:p>
            <w:pPr>
              <w:spacing w:after="0"/>
              <w:rPr>
                <w:sz w:val="1"/>
                <w:szCs w:val="1"/>
                <w:color w:val="auto"/>
              </w:rPr>
            </w:pPr>
          </w:p>
        </w:tc>
      </w:tr>
      <w:tr>
        <w:trPr>
          <w:trHeight w:val="198"/>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Shawn Duffy</w:t>
            </w:r>
          </w:p>
        </w:tc>
        <w:tc>
          <w:tcPr>
            <w:tcW w:w="80" w:type="dxa"/>
            <w:vAlign w:val="bottom"/>
          </w:tcPr>
          <w:p>
            <w:pPr>
              <w:spacing w:after="0"/>
              <w:rPr>
                <w:sz w:val="17"/>
                <w:szCs w:val="17"/>
                <w:color w:val="auto"/>
              </w:rPr>
            </w:pPr>
          </w:p>
        </w:tc>
        <w:tc>
          <w:tcPr>
            <w:tcW w:w="600" w:type="dxa"/>
            <w:vAlign w:val="bottom"/>
            <w:tcBorders>
              <w:right w:val="single" w:sz="8" w:color="E8EAEB"/>
            </w:tcBorders>
          </w:tcPr>
          <w:p>
            <w:pPr>
              <w:jc w:val="right"/>
              <w:ind w:right="50"/>
              <w:spacing w:after="0"/>
              <w:rPr>
                <w:sz w:val="20"/>
                <w:szCs w:val="20"/>
                <w:color w:val="auto"/>
              </w:rPr>
            </w:pPr>
            <w:r>
              <w:rPr>
                <w:rFonts w:ascii="Arial" w:cs="Arial" w:eastAsia="Arial" w:hAnsi="Arial"/>
                <w:sz w:val="14"/>
                <w:szCs w:val="14"/>
                <w:color w:val="202E39"/>
              </w:rPr>
              <w:t>— </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7"/>
                <w:szCs w:val="17"/>
                <w:color w:val="auto"/>
              </w:rPr>
            </w:pPr>
          </w:p>
        </w:tc>
        <w:tc>
          <w:tcPr>
            <w:tcW w:w="84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594,000</w:t>
            </w:r>
          </w:p>
        </w:tc>
        <w:tc>
          <w:tcPr>
            <w:tcW w:w="100" w:type="dxa"/>
            <w:vAlign w:val="bottom"/>
          </w:tcPr>
          <w:p>
            <w:pPr>
              <w:spacing w:after="0"/>
              <w:rPr>
                <w:sz w:val="17"/>
                <w:szCs w:val="17"/>
                <w:color w:val="auto"/>
              </w:rPr>
            </w:pPr>
          </w:p>
        </w:tc>
        <w:tc>
          <w:tcPr>
            <w:tcW w:w="840" w:type="dxa"/>
            <w:vAlign w:val="bottom"/>
            <w:tcBorders>
              <w:right w:val="single" w:sz="8" w:color="E8EAEB"/>
            </w:tcBorders>
          </w:tcPr>
          <w:p>
            <w:pPr>
              <w:ind w:left="120"/>
              <w:spacing w:after="0"/>
              <w:rPr>
                <w:sz w:val="20"/>
                <w:szCs w:val="20"/>
                <w:color w:val="auto"/>
              </w:rPr>
            </w:pPr>
            <w:r>
              <w:rPr>
                <w:rFonts w:ascii="Arial" w:cs="Arial" w:eastAsia="Arial" w:hAnsi="Arial"/>
                <w:sz w:val="14"/>
                <w:szCs w:val="14"/>
                <w:color w:val="202E39"/>
              </w:rPr>
              <w:t>1,485,000</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7"/>
                <w:szCs w:val="17"/>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7"/>
                <w:szCs w:val="17"/>
                <w:color w:val="auto"/>
              </w:rPr>
            </w:pPr>
          </w:p>
        </w:tc>
        <w:tc>
          <w:tcPr>
            <w:tcW w:w="76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7"/>
                <w:szCs w:val="17"/>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58"/>
        </w:trPr>
        <w:tc>
          <w:tcPr>
            <w:tcW w:w="1220" w:type="dxa"/>
            <w:vAlign w:val="bottom"/>
            <w:tcBorders>
              <w:right w:val="single" w:sz="8" w:color="E8EAEB"/>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E8EAEB"/>
            </w:tcBorders>
          </w:tcPr>
          <w:p>
            <w:pPr>
              <w:jc w:val="right"/>
              <w:ind w:right="30"/>
              <w:spacing w:after="0" w:line="158" w:lineRule="exact"/>
              <w:rPr>
                <w:sz w:val="20"/>
                <w:szCs w:val="20"/>
                <w:color w:val="auto"/>
              </w:rPr>
            </w:pPr>
            <w:r>
              <w:rPr>
                <w:rFonts w:ascii="Arial" w:cs="Arial" w:eastAsia="Arial" w:hAnsi="Arial"/>
                <w:sz w:val="14"/>
                <w:szCs w:val="14"/>
                <w:color w:val="202E39"/>
              </w:rPr>
              <w:t>6/7/23</w:t>
            </w:r>
          </w:p>
        </w:tc>
        <w:tc>
          <w:tcPr>
            <w:tcW w:w="840" w:type="dxa"/>
            <w:vAlign w:val="bottom"/>
          </w:tcPr>
          <w:p>
            <w:pPr>
              <w:ind w:left="600"/>
              <w:spacing w:after="0" w:line="158" w:lineRule="exact"/>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3"/>
                <w:szCs w:val="13"/>
                <w:color w:val="auto"/>
              </w:rPr>
            </w:pPr>
          </w:p>
        </w:tc>
        <w:tc>
          <w:tcPr>
            <w:tcW w:w="840" w:type="dxa"/>
            <w:vAlign w:val="bottom"/>
            <w:tcBorders>
              <w:right w:val="single" w:sz="8" w:color="E8EAEB"/>
            </w:tcBorders>
          </w:tcPr>
          <w:p>
            <w:pPr>
              <w:jc w:val="right"/>
              <w:ind w:right="70"/>
              <w:spacing w:after="0" w:line="158" w:lineRule="exact"/>
              <w:rPr>
                <w:sz w:val="20"/>
                <w:szCs w:val="20"/>
                <w:color w:val="auto"/>
              </w:rPr>
            </w:pPr>
            <w:r>
              <w:rPr>
                <w:rFonts w:ascii="Arial" w:cs="Arial" w:eastAsia="Arial" w:hAnsi="Arial"/>
                <w:sz w:val="14"/>
                <w:szCs w:val="14"/>
                <w:color w:val="202E39"/>
              </w:rPr>
              <w:t>— </w:t>
            </w:r>
          </w:p>
        </w:tc>
        <w:tc>
          <w:tcPr>
            <w:tcW w:w="100" w:type="dxa"/>
            <w:vAlign w:val="bottom"/>
          </w:tcPr>
          <w:p>
            <w:pPr>
              <w:spacing w:after="0"/>
              <w:rPr>
                <w:sz w:val="13"/>
                <w:szCs w:val="13"/>
                <w:color w:val="auto"/>
              </w:rPr>
            </w:pPr>
          </w:p>
        </w:tc>
        <w:tc>
          <w:tcPr>
            <w:tcW w:w="840" w:type="dxa"/>
            <w:vAlign w:val="bottom"/>
            <w:tcBorders>
              <w:right w:val="single" w:sz="8" w:color="E8EAEB"/>
            </w:tcBorders>
          </w:tcPr>
          <w:p>
            <w:pPr>
              <w:ind w:left="540"/>
              <w:spacing w:after="0" w:line="158" w:lineRule="exact"/>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tcPr>
          <w:p>
            <w:pPr>
              <w:jc w:val="right"/>
              <w:ind w:right="70"/>
              <w:spacing w:after="0" w:line="158" w:lineRule="exact"/>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line="158" w:lineRule="exact"/>
              <w:rPr>
                <w:sz w:val="20"/>
                <w:szCs w:val="20"/>
                <w:color w:val="auto"/>
              </w:rPr>
            </w:pPr>
            <w:r>
              <w:rPr>
                <w:rFonts w:ascii="Arial" w:cs="Arial" w:eastAsia="Arial" w:hAnsi="Arial"/>
                <w:sz w:val="14"/>
                <w:szCs w:val="14"/>
                <w:color w:val="202E39"/>
              </w:rPr>
              <w:t>— </w:t>
            </w:r>
          </w:p>
        </w:tc>
        <w:tc>
          <w:tcPr>
            <w:tcW w:w="140" w:type="dxa"/>
            <w:vAlign w:val="bottom"/>
          </w:tcPr>
          <w:p>
            <w:pPr>
              <w:spacing w:after="0"/>
              <w:rPr>
                <w:sz w:val="13"/>
                <w:szCs w:val="13"/>
                <w:color w:val="auto"/>
              </w:rPr>
            </w:pPr>
          </w:p>
        </w:tc>
        <w:tc>
          <w:tcPr>
            <w:tcW w:w="800" w:type="dxa"/>
            <w:vAlign w:val="bottom"/>
            <w:tcBorders>
              <w:right w:val="single" w:sz="8" w:color="E8EAEB"/>
            </w:tcBorders>
          </w:tcPr>
          <w:p>
            <w:pPr>
              <w:ind w:left="500"/>
              <w:spacing w:after="0" w:line="158" w:lineRule="exact"/>
              <w:rPr>
                <w:sz w:val="20"/>
                <w:szCs w:val="20"/>
                <w:color w:val="auto"/>
              </w:rPr>
            </w:pPr>
            <w:r>
              <w:rPr>
                <w:rFonts w:ascii="Arial" w:cs="Arial" w:eastAsia="Arial" w:hAnsi="Arial"/>
                <w:sz w:val="14"/>
                <w:szCs w:val="14"/>
                <w:color w:val="202E39"/>
              </w:rPr>
              <w:t>— </w:t>
            </w:r>
          </w:p>
        </w:tc>
        <w:tc>
          <w:tcPr>
            <w:tcW w:w="100" w:type="dxa"/>
            <w:vAlign w:val="bottom"/>
          </w:tcPr>
          <w:p>
            <w:pPr>
              <w:spacing w:after="0"/>
              <w:rPr>
                <w:sz w:val="13"/>
                <w:szCs w:val="13"/>
                <w:color w:val="auto"/>
              </w:rPr>
            </w:pPr>
          </w:p>
        </w:tc>
        <w:tc>
          <w:tcPr>
            <w:tcW w:w="760" w:type="dxa"/>
            <w:vAlign w:val="bottom"/>
            <w:tcBorders>
              <w:right w:val="single" w:sz="8" w:color="E8EAEB"/>
            </w:tcBorders>
          </w:tcPr>
          <w:p>
            <w:pPr>
              <w:jc w:val="right"/>
              <w:ind w:right="30"/>
              <w:spacing w:after="0" w:line="158" w:lineRule="exact"/>
              <w:rPr>
                <w:sz w:val="20"/>
                <w:szCs w:val="20"/>
                <w:color w:val="auto"/>
              </w:rPr>
            </w:pPr>
            <w:r>
              <w:rPr>
                <w:rFonts w:ascii="Arial" w:cs="Arial" w:eastAsia="Arial" w:hAnsi="Arial"/>
                <w:sz w:val="14"/>
                <w:szCs w:val="14"/>
                <w:color w:val="202E39"/>
              </w:rPr>
              <w:t>20,615</w:t>
            </w:r>
          </w:p>
        </w:tc>
        <w:tc>
          <w:tcPr>
            <w:tcW w:w="80" w:type="dxa"/>
            <w:vAlign w:val="bottom"/>
          </w:tcPr>
          <w:p>
            <w:pPr>
              <w:spacing w:after="0"/>
              <w:rPr>
                <w:sz w:val="13"/>
                <w:szCs w:val="13"/>
                <w:color w:val="auto"/>
              </w:rPr>
            </w:pPr>
          </w:p>
        </w:tc>
        <w:tc>
          <w:tcPr>
            <w:tcW w:w="940" w:type="dxa"/>
            <w:vAlign w:val="bottom"/>
            <w:tcBorders>
              <w:right w:val="single" w:sz="8" w:color="E8EAEB"/>
            </w:tcBorders>
          </w:tcPr>
          <w:p>
            <w:pPr>
              <w:ind w:left="640"/>
              <w:spacing w:after="0" w:line="158" w:lineRule="exact"/>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line="158" w:lineRule="exact"/>
              <w:rPr>
                <w:sz w:val="20"/>
                <w:szCs w:val="20"/>
                <w:color w:val="auto"/>
              </w:rPr>
            </w:pPr>
            <w:r>
              <w:rPr>
                <w:rFonts w:ascii="Arial" w:cs="Arial" w:eastAsia="Arial" w:hAnsi="Arial"/>
                <w:sz w:val="14"/>
                <w:szCs w:val="14"/>
                <w:color w:val="202E39"/>
              </w:rPr>
              <w:t>— </w:t>
            </w:r>
          </w:p>
        </w:tc>
        <w:tc>
          <w:tcPr>
            <w:tcW w:w="8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202E39"/>
              </w:rPr>
              <w:t>934,27</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E8EAEB"/>
              <w:right w:val="single" w:sz="8" w:color="E8EAEB"/>
            </w:tcBorders>
          </w:tcPr>
          <w:p>
            <w:pPr>
              <w:spacing w:after="0"/>
              <w:rPr>
                <w:sz w:val="16"/>
                <w:szCs w:val="16"/>
                <w:color w:val="auto"/>
              </w:rPr>
            </w:pPr>
          </w:p>
        </w:tc>
        <w:tc>
          <w:tcPr>
            <w:tcW w:w="80" w:type="dxa"/>
            <w:vAlign w:val="bottom"/>
            <w:tcBorders>
              <w:bottom w:val="single" w:sz="8" w:color="E8EAEB"/>
            </w:tcBorders>
          </w:tcPr>
          <w:p>
            <w:pPr>
              <w:spacing w:after="0"/>
              <w:rPr>
                <w:sz w:val="16"/>
                <w:szCs w:val="16"/>
                <w:color w:val="auto"/>
              </w:rPr>
            </w:pPr>
          </w:p>
        </w:tc>
        <w:tc>
          <w:tcPr>
            <w:tcW w:w="60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10/9/23</w:t>
            </w:r>
          </w:p>
        </w:tc>
        <w:tc>
          <w:tcPr>
            <w:tcW w:w="840" w:type="dxa"/>
            <w:vAlign w:val="bottom"/>
            <w:tcBorders>
              <w:bottom w:val="single" w:sz="8" w:color="E8EAEB"/>
            </w:tcBorders>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30,450</w:t>
            </w:r>
          </w:p>
        </w:tc>
        <w:tc>
          <w:tcPr>
            <w:tcW w:w="72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43,500</w:t>
            </w:r>
          </w:p>
        </w:tc>
        <w:tc>
          <w:tcPr>
            <w:tcW w:w="14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108,750</w:t>
            </w:r>
          </w:p>
        </w:tc>
        <w:tc>
          <w:tcPr>
            <w:tcW w:w="10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Borders>
              <w:bottom w:val="single" w:sz="8" w:color="E8EAEB"/>
            </w:tcBorders>
          </w:tcPr>
          <w:p>
            <w:pPr>
              <w:spacing w:after="0"/>
              <w:rPr>
                <w:sz w:val="16"/>
                <w:szCs w:val="16"/>
                <w:color w:val="auto"/>
              </w:rPr>
            </w:pPr>
          </w:p>
        </w:tc>
        <w:tc>
          <w:tcPr>
            <w:tcW w:w="940" w:type="dxa"/>
            <w:vAlign w:val="bottom"/>
            <w:tcBorders>
              <w:bottom w:val="single" w:sz="8" w:color="E8EAEB"/>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15.96</w:t>
            </w:r>
          </w:p>
        </w:tc>
        <w:tc>
          <w:tcPr>
            <w:tcW w:w="8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580,72</w:t>
            </w:r>
          </w:p>
        </w:tc>
        <w:tc>
          <w:tcPr>
            <w:tcW w:w="0" w:type="dxa"/>
            <w:vAlign w:val="bottom"/>
          </w:tcPr>
          <w:p>
            <w:pPr>
              <w:spacing w:after="0"/>
              <w:rPr>
                <w:sz w:val="1"/>
                <w:szCs w:val="1"/>
                <w:color w:val="auto"/>
              </w:rPr>
            </w:pPr>
          </w:p>
        </w:tc>
      </w:tr>
      <w:tr>
        <w:trPr>
          <w:trHeight w:val="225"/>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w w:val="98"/>
              </w:rPr>
              <w:t>Kevin Harkenrider</w:t>
            </w:r>
          </w:p>
        </w:tc>
        <w:tc>
          <w:tcPr>
            <w:tcW w:w="80" w:type="dxa"/>
            <w:vAlign w:val="bottom"/>
          </w:tcPr>
          <w:p>
            <w:pPr>
              <w:spacing w:after="0"/>
              <w:rPr>
                <w:sz w:val="19"/>
                <w:szCs w:val="19"/>
                <w:color w:val="auto"/>
              </w:rPr>
            </w:pPr>
          </w:p>
        </w:tc>
        <w:tc>
          <w:tcPr>
            <w:tcW w:w="600" w:type="dxa"/>
            <w:vAlign w:val="bottom"/>
            <w:tcBorders>
              <w:right w:val="single" w:sz="8" w:color="E8EAEB"/>
            </w:tcBorders>
          </w:tcPr>
          <w:p>
            <w:pPr>
              <w:jc w:val="right"/>
              <w:ind w:right="50"/>
              <w:spacing w:after="0"/>
              <w:rPr>
                <w:sz w:val="20"/>
                <w:szCs w:val="20"/>
                <w:color w:val="auto"/>
              </w:rPr>
            </w:pPr>
            <w:r>
              <w:rPr>
                <w:rFonts w:ascii="Arial" w:cs="Arial" w:eastAsia="Arial" w:hAnsi="Arial"/>
                <w:sz w:val="14"/>
                <w:szCs w:val="14"/>
                <w:color w:val="202E39"/>
              </w:rPr>
              <w:t>— </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9"/>
                <w:szCs w:val="19"/>
                <w:color w:val="auto"/>
              </w:rPr>
            </w:pPr>
          </w:p>
        </w:tc>
        <w:tc>
          <w:tcPr>
            <w:tcW w:w="84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675,000</w:t>
            </w:r>
          </w:p>
        </w:tc>
        <w:tc>
          <w:tcPr>
            <w:tcW w:w="100" w:type="dxa"/>
            <w:vAlign w:val="bottom"/>
          </w:tcPr>
          <w:p>
            <w:pPr>
              <w:spacing w:after="0"/>
              <w:rPr>
                <w:sz w:val="19"/>
                <w:szCs w:val="19"/>
                <w:color w:val="auto"/>
              </w:rPr>
            </w:pPr>
          </w:p>
        </w:tc>
        <w:tc>
          <w:tcPr>
            <w:tcW w:w="840" w:type="dxa"/>
            <w:vAlign w:val="bottom"/>
            <w:tcBorders>
              <w:right w:val="single" w:sz="8" w:color="E8EAEB"/>
            </w:tcBorders>
          </w:tcPr>
          <w:p>
            <w:pPr>
              <w:ind w:left="120"/>
              <w:spacing w:after="0"/>
              <w:rPr>
                <w:sz w:val="20"/>
                <w:szCs w:val="20"/>
                <w:color w:val="auto"/>
              </w:rPr>
            </w:pPr>
            <w:r>
              <w:rPr>
                <w:rFonts w:ascii="Arial" w:cs="Arial" w:eastAsia="Arial" w:hAnsi="Arial"/>
                <w:sz w:val="14"/>
                <w:szCs w:val="14"/>
                <w:color w:val="202E39"/>
              </w:rPr>
              <w:t>1,687,500</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9"/>
                <w:szCs w:val="19"/>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9"/>
                <w:szCs w:val="19"/>
                <w:color w:val="auto"/>
              </w:rPr>
            </w:pPr>
          </w:p>
        </w:tc>
        <w:tc>
          <w:tcPr>
            <w:tcW w:w="76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83"/>
        </w:trPr>
        <w:tc>
          <w:tcPr>
            <w:tcW w:w="1220" w:type="dxa"/>
            <w:vAlign w:val="bottom"/>
            <w:tcBorders>
              <w:right w:val="single" w:sz="8" w:color="E8EAEB"/>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6/7/23</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5"/>
                <w:szCs w:val="15"/>
                <w:color w:val="auto"/>
              </w:rPr>
            </w:pPr>
          </w:p>
        </w:tc>
        <w:tc>
          <w:tcPr>
            <w:tcW w:w="84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5"/>
                <w:szCs w:val="15"/>
                <w:color w:val="auto"/>
              </w:rPr>
            </w:pPr>
          </w:p>
        </w:tc>
        <w:tc>
          <w:tcPr>
            <w:tcW w:w="84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5"/>
                <w:szCs w:val="15"/>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5"/>
                <w:szCs w:val="15"/>
                <w:color w:val="auto"/>
              </w:rPr>
            </w:pPr>
          </w:p>
        </w:tc>
        <w:tc>
          <w:tcPr>
            <w:tcW w:w="76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29,450</w:t>
            </w:r>
          </w:p>
        </w:tc>
        <w:tc>
          <w:tcPr>
            <w:tcW w:w="80" w:type="dxa"/>
            <w:vAlign w:val="bottom"/>
          </w:tcPr>
          <w:p>
            <w:pPr>
              <w:spacing w:after="0"/>
              <w:rPr>
                <w:sz w:val="15"/>
                <w:szCs w:val="15"/>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1,334,67</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E8EAEB"/>
              <w:right w:val="single" w:sz="8" w:color="E8EAEB"/>
            </w:tcBorders>
          </w:tcPr>
          <w:p>
            <w:pPr>
              <w:spacing w:after="0"/>
              <w:rPr>
                <w:sz w:val="16"/>
                <w:szCs w:val="16"/>
                <w:color w:val="auto"/>
              </w:rPr>
            </w:pPr>
          </w:p>
        </w:tc>
        <w:tc>
          <w:tcPr>
            <w:tcW w:w="80" w:type="dxa"/>
            <w:vAlign w:val="bottom"/>
            <w:tcBorders>
              <w:bottom w:val="single" w:sz="8" w:color="E8EAEB"/>
            </w:tcBorders>
          </w:tcPr>
          <w:p>
            <w:pPr>
              <w:spacing w:after="0"/>
              <w:rPr>
                <w:sz w:val="16"/>
                <w:szCs w:val="16"/>
                <w:color w:val="auto"/>
              </w:rPr>
            </w:pPr>
          </w:p>
        </w:tc>
        <w:tc>
          <w:tcPr>
            <w:tcW w:w="60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10/9/23</w:t>
            </w:r>
          </w:p>
        </w:tc>
        <w:tc>
          <w:tcPr>
            <w:tcW w:w="840" w:type="dxa"/>
            <w:vAlign w:val="bottom"/>
            <w:tcBorders>
              <w:bottom w:val="single" w:sz="8" w:color="E8EAEB"/>
            </w:tcBorders>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30,450</w:t>
            </w:r>
          </w:p>
        </w:tc>
        <w:tc>
          <w:tcPr>
            <w:tcW w:w="72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43,500</w:t>
            </w:r>
          </w:p>
        </w:tc>
        <w:tc>
          <w:tcPr>
            <w:tcW w:w="14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108,750</w:t>
            </w:r>
          </w:p>
        </w:tc>
        <w:tc>
          <w:tcPr>
            <w:tcW w:w="10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Borders>
              <w:bottom w:val="single" w:sz="8" w:color="E8EAEB"/>
            </w:tcBorders>
          </w:tcPr>
          <w:p>
            <w:pPr>
              <w:spacing w:after="0"/>
              <w:rPr>
                <w:sz w:val="16"/>
                <w:szCs w:val="16"/>
                <w:color w:val="auto"/>
              </w:rPr>
            </w:pPr>
          </w:p>
        </w:tc>
        <w:tc>
          <w:tcPr>
            <w:tcW w:w="940" w:type="dxa"/>
            <w:vAlign w:val="bottom"/>
            <w:tcBorders>
              <w:bottom w:val="single" w:sz="8" w:color="E8EAEB"/>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15.96</w:t>
            </w:r>
          </w:p>
        </w:tc>
        <w:tc>
          <w:tcPr>
            <w:tcW w:w="8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580,72</w:t>
            </w:r>
          </w:p>
        </w:tc>
        <w:tc>
          <w:tcPr>
            <w:tcW w:w="0" w:type="dxa"/>
            <w:vAlign w:val="bottom"/>
          </w:tcPr>
          <w:p>
            <w:pPr>
              <w:spacing w:after="0"/>
              <w:rPr>
                <w:sz w:val="1"/>
                <w:szCs w:val="1"/>
                <w:color w:val="auto"/>
              </w:rPr>
            </w:pPr>
          </w:p>
        </w:tc>
      </w:tr>
      <w:tr>
        <w:trPr>
          <w:trHeight w:val="225"/>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Craig Miller</w:t>
            </w:r>
          </w:p>
        </w:tc>
        <w:tc>
          <w:tcPr>
            <w:tcW w:w="80" w:type="dxa"/>
            <w:vAlign w:val="bottom"/>
          </w:tcPr>
          <w:p>
            <w:pPr>
              <w:spacing w:after="0"/>
              <w:rPr>
                <w:sz w:val="19"/>
                <w:szCs w:val="19"/>
                <w:color w:val="auto"/>
              </w:rPr>
            </w:pPr>
          </w:p>
        </w:tc>
        <w:tc>
          <w:tcPr>
            <w:tcW w:w="600" w:type="dxa"/>
            <w:vAlign w:val="bottom"/>
            <w:tcBorders>
              <w:right w:val="single" w:sz="8" w:color="E8EAEB"/>
            </w:tcBorders>
          </w:tcPr>
          <w:p>
            <w:pPr>
              <w:jc w:val="right"/>
              <w:ind w:right="50"/>
              <w:spacing w:after="0"/>
              <w:rPr>
                <w:sz w:val="20"/>
                <w:szCs w:val="20"/>
                <w:color w:val="auto"/>
              </w:rPr>
            </w:pPr>
            <w:r>
              <w:rPr>
                <w:rFonts w:ascii="Arial" w:cs="Arial" w:eastAsia="Arial" w:hAnsi="Arial"/>
                <w:sz w:val="14"/>
                <w:szCs w:val="14"/>
                <w:color w:val="202E39"/>
              </w:rPr>
              <w:t>— </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9"/>
                <w:szCs w:val="19"/>
                <w:color w:val="auto"/>
              </w:rPr>
            </w:pPr>
          </w:p>
        </w:tc>
        <w:tc>
          <w:tcPr>
            <w:tcW w:w="84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540,000</w:t>
            </w:r>
          </w:p>
        </w:tc>
        <w:tc>
          <w:tcPr>
            <w:tcW w:w="100" w:type="dxa"/>
            <w:vAlign w:val="bottom"/>
          </w:tcPr>
          <w:p>
            <w:pPr>
              <w:spacing w:after="0"/>
              <w:rPr>
                <w:sz w:val="19"/>
                <w:szCs w:val="19"/>
                <w:color w:val="auto"/>
              </w:rPr>
            </w:pPr>
          </w:p>
        </w:tc>
        <w:tc>
          <w:tcPr>
            <w:tcW w:w="840" w:type="dxa"/>
            <w:vAlign w:val="bottom"/>
            <w:tcBorders>
              <w:right w:val="single" w:sz="8" w:color="E8EAEB"/>
            </w:tcBorders>
          </w:tcPr>
          <w:p>
            <w:pPr>
              <w:ind w:left="120"/>
              <w:spacing w:after="0"/>
              <w:rPr>
                <w:sz w:val="20"/>
                <w:szCs w:val="20"/>
                <w:color w:val="auto"/>
              </w:rPr>
            </w:pPr>
            <w:r>
              <w:rPr>
                <w:rFonts w:ascii="Arial" w:cs="Arial" w:eastAsia="Arial" w:hAnsi="Arial"/>
                <w:sz w:val="14"/>
                <w:szCs w:val="14"/>
                <w:color w:val="202E39"/>
              </w:rPr>
              <w:t>1,350,000</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9"/>
                <w:szCs w:val="19"/>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9"/>
                <w:szCs w:val="19"/>
                <w:color w:val="auto"/>
              </w:rPr>
            </w:pPr>
          </w:p>
        </w:tc>
        <w:tc>
          <w:tcPr>
            <w:tcW w:w="76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83"/>
        </w:trPr>
        <w:tc>
          <w:tcPr>
            <w:tcW w:w="1220" w:type="dxa"/>
            <w:vAlign w:val="bottom"/>
            <w:tcBorders>
              <w:right w:val="single" w:sz="8" w:color="E8EAEB"/>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6/7/23</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5"/>
                <w:szCs w:val="15"/>
                <w:color w:val="auto"/>
              </w:rPr>
            </w:pPr>
          </w:p>
        </w:tc>
        <w:tc>
          <w:tcPr>
            <w:tcW w:w="84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5"/>
                <w:szCs w:val="15"/>
                <w:color w:val="auto"/>
              </w:rPr>
            </w:pPr>
          </w:p>
        </w:tc>
        <w:tc>
          <w:tcPr>
            <w:tcW w:w="84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5"/>
                <w:szCs w:val="15"/>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5"/>
                <w:szCs w:val="15"/>
                <w:color w:val="auto"/>
              </w:rPr>
            </w:pPr>
          </w:p>
        </w:tc>
        <w:tc>
          <w:tcPr>
            <w:tcW w:w="76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17,670</w:t>
            </w:r>
          </w:p>
        </w:tc>
        <w:tc>
          <w:tcPr>
            <w:tcW w:w="80" w:type="dxa"/>
            <w:vAlign w:val="bottom"/>
          </w:tcPr>
          <w:p>
            <w:pPr>
              <w:spacing w:after="0"/>
              <w:rPr>
                <w:sz w:val="15"/>
                <w:szCs w:val="15"/>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800,80</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E8EAEB"/>
              <w:right w:val="single" w:sz="8" w:color="E8EAEB"/>
            </w:tcBorders>
          </w:tcPr>
          <w:p>
            <w:pPr>
              <w:spacing w:after="0"/>
              <w:rPr>
                <w:sz w:val="16"/>
                <w:szCs w:val="16"/>
                <w:color w:val="auto"/>
              </w:rPr>
            </w:pPr>
          </w:p>
        </w:tc>
        <w:tc>
          <w:tcPr>
            <w:tcW w:w="80" w:type="dxa"/>
            <w:vAlign w:val="bottom"/>
            <w:tcBorders>
              <w:bottom w:val="single" w:sz="8" w:color="E8EAEB"/>
            </w:tcBorders>
          </w:tcPr>
          <w:p>
            <w:pPr>
              <w:spacing w:after="0"/>
              <w:rPr>
                <w:sz w:val="16"/>
                <w:szCs w:val="16"/>
                <w:color w:val="auto"/>
              </w:rPr>
            </w:pPr>
          </w:p>
        </w:tc>
        <w:tc>
          <w:tcPr>
            <w:tcW w:w="60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10/9/23</w:t>
            </w:r>
          </w:p>
        </w:tc>
        <w:tc>
          <w:tcPr>
            <w:tcW w:w="840" w:type="dxa"/>
            <w:vAlign w:val="bottom"/>
            <w:tcBorders>
              <w:bottom w:val="single" w:sz="8" w:color="E8EAEB"/>
            </w:tcBorders>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35,000</w:t>
            </w:r>
          </w:p>
        </w:tc>
        <w:tc>
          <w:tcPr>
            <w:tcW w:w="720" w:type="dxa"/>
            <w:vAlign w:val="bottom"/>
            <w:tcBorders>
              <w:bottom w:val="single" w:sz="8" w:color="E8EAEB"/>
              <w:right w:val="single" w:sz="8" w:color="E8EAEB"/>
            </w:tcBorders>
          </w:tcPr>
          <w:p>
            <w:pPr>
              <w:jc w:val="right"/>
              <w:ind w:right="30"/>
              <w:spacing w:after="0"/>
              <w:rPr>
                <w:sz w:val="20"/>
                <w:szCs w:val="20"/>
                <w:color w:val="auto"/>
              </w:rPr>
            </w:pPr>
            <w:r>
              <w:rPr>
                <w:rFonts w:ascii="Arial" w:cs="Arial" w:eastAsia="Arial" w:hAnsi="Arial"/>
                <w:sz w:val="14"/>
                <w:szCs w:val="14"/>
                <w:color w:val="202E39"/>
              </w:rPr>
              <w:t>50,000</w:t>
            </w:r>
          </w:p>
        </w:tc>
        <w:tc>
          <w:tcPr>
            <w:tcW w:w="14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125,000</w:t>
            </w:r>
          </w:p>
        </w:tc>
        <w:tc>
          <w:tcPr>
            <w:tcW w:w="10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Borders>
              <w:bottom w:val="single" w:sz="8" w:color="E8EAEB"/>
            </w:tcBorders>
          </w:tcPr>
          <w:p>
            <w:pPr>
              <w:spacing w:after="0"/>
              <w:rPr>
                <w:sz w:val="16"/>
                <w:szCs w:val="16"/>
                <w:color w:val="auto"/>
              </w:rPr>
            </w:pPr>
          </w:p>
        </w:tc>
        <w:tc>
          <w:tcPr>
            <w:tcW w:w="940" w:type="dxa"/>
            <w:vAlign w:val="bottom"/>
            <w:tcBorders>
              <w:bottom w:val="single" w:sz="8" w:color="E8EAEB"/>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15.96</w:t>
            </w:r>
          </w:p>
        </w:tc>
        <w:tc>
          <w:tcPr>
            <w:tcW w:w="80" w:type="dxa"/>
            <w:vAlign w:val="bottom"/>
            <w:tcBorders>
              <w:bottom w:val="single" w:sz="8" w:color="E8EAEB"/>
            </w:tcBorders>
          </w:tcPr>
          <w:p>
            <w:pPr>
              <w:spacing w:after="0"/>
              <w:rPr>
                <w:sz w:val="16"/>
                <w:szCs w:val="16"/>
                <w:color w:val="auto"/>
              </w:rPr>
            </w:pPr>
          </w:p>
        </w:tc>
        <w:tc>
          <w:tcPr>
            <w:tcW w:w="76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667,50</w:t>
            </w:r>
          </w:p>
        </w:tc>
        <w:tc>
          <w:tcPr>
            <w:tcW w:w="0" w:type="dxa"/>
            <w:vAlign w:val="bottom"/>
          </w:tcPr>
          <w:p>
            <w:pPr>
              <w:spacing w:after="0"/>
              <w:rPr>
                <w:sz w:val="1"/>
                <w:szCs w:val="1"/>
                <w:color w:val="auto"/>
              </w:rPr>
            </w:pPr>
          </w:p>
        </w:tc>
      </w:tr>
      <w:tr>
        <w:trPr>
          <w:trHeight w:val="225"/>
        </w:trPr>
        <w:tc>
          <w:tcPr>
            <w:tcW w:w="122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David Ryan</w:t>
            </w:r>
          </w:p>
        </w:tc>
        <w:tc>
          <w:tcPr>
            <w:tcW w:w="80" w:type="dxa"/>
            <w:vAlign w:val="bottom"/>
          </w:tcPr>
          <w:p>
            <w:pPr>
              <w:spacing w:after="0"/>
              <w:rPr>
                <w:sz w:val="19"/>
                <w:szCs w:val="19"/>
                <w:color w:val="auto"/>
              </w:rPr>
            </w:pPr>
          </w:p>
        </w:tc>
        <w:tc>
          <w:tcPr>
            <w:tcW w:w="600" w:type="dxa"/>
            <w:vAlign w:val="bottom"/>
            <w:tcBorders>
              <w:right w:val="single" w:sz="8" w:color="E8EAEB"/>
            </w:tcBorders>
          </w:tcPr>
          <w:p>
            <w:pPr>
              <w:jc w:val="right"/>
              <w:ind w:right="50"/>
              <w:spacing w:after="0"/>
              <w:rPr>
                <w:sz w:val="20"/>
                <w:szCs w:val="20"/>
                <w:color w:val="auto"/>
              </w:rPr>
            </w:pPr>
            <w:r>
              <w:rPr>
                <w:rFonts w:ascii="Arial" w:cs="Arial" w:eastAsia="Arial" w:hAnsi="Arial"/>
                <w:sz w:val="14"/>
                <w:szCs w:val="14"/>
                <w:color w:val="202E39"/>
              </w:rPr>
              <w:t>— </w:t>
            </w:r>
          </w:p>
        </w:tc>
        <w:tc>
          <w:tcPr>
            <w:tcW w:w="840" w:type="dxa"/>
            <w:vAlign w:val="bottom"/>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right w:val="single" w:sz="8" w:color="E8EAEB"/>
            </w:tcBorders>
          </w:tcPr>
          <w:p>
            <w:pPr>
              <w:spacing w:after="0"/>
              <w:rPr>
                <w:sz w:val="19"/>
                <w:szCs w:val="19"/>
                <w:color w:val="auto"/>
              </w:rPr>
            </w:pPr>
          </w:p>
        </w:tc>
        <w:tc>
          <w:tcPr>
            <w:tcW w:w="840" w:type="dxa"/>
            <w:vAlign w:val="bottom"/>
            <w:tcBorders>
              <w:right w:val="single" w:sz="8" w:color="E8EAEB"/>
            </w:tcBorders>
          </w:tcPr>
          <w:p>
            <w:pPr>
              <w:jc w:val="right"/>
              <w:ind w:right="30"/>
              <w:spacing w:after="0"/>
              <w:rPr>
                <w:sz w:val="20"/>
                <w:szCs w:val="20"/>
                <w:color w:val="auto"/>
              </w:rPr>
            </w:pPr>
            <w:r>
              <w:rPr>
                <w:rFonts w:ascii="Arial" w:cs="Arial" w:eastAsia="Arial" w:hAnsi="Arial"/>
                <w:sz w:val="14"/>
                <w:szCs w:val="14"/>
                <w:color w:val="202E39"/>
              </w:rPr>
              <w:t>562,500</w:t>
            </w:r>
          </w:p>
        </w:tc>
        <w:tc>
          <w:tcPr>
            <w:tcW w:w="100" w:type="dxa"/>
            <w:vAlign w:val="bottom"/>
          </w:tcPr>
          <w:p>
            <w:pPr>
              <w:spacing w:after="0"/>
              <w:rPr>
                <w:sz w:val="19"/>
                <w:szCs w:val="19"/>
                <w:color w:val="auto"/>
              </w:rPr>
            </w:pPr>
          </w:p>
        </w:tc>
        <w:tc>
          <w:tcPr>
            <w:tcW w:w="840" w:type="dxa"/>
            <w:vAlign w:val="bottom"/>
            <w:tcBorders>
              <w:right w:val="single" w:sz="8" w:color="E8EAEB"/>
            </w:tcBorders>
          </w:tcPr>
          <w:p>
            <w:pPr>
              <w:ind w:left="120"/>
              <w:spacing w:after="0"/>
              <w:rPr>
                <w:sz w:val="20"/>
                <w:szCs w:val="20"/>
                <w:color w:val="auto"/>
              </w:rPr>
            </w:pPr>
            <w:r>
              <w:rPr>
                <w:rFonts w:ascii="Arial" w:cs="Arial" w:eastAsia="Arial" w:hAnsi="Arial"/>
                <w:sz w:val="14"/>
                <w:szCs w:val="14"/>
                <w:color w:val="202E39"/>
              </w:rPr>
              <w:t>1,406,250</w:t>
            </w:r>
          </w:p>
        </w:tc>
        <w:tc>
          <w:tcPr>
            <w:tcW w:w="98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Pr>
          <w:p>
            <w:pPr>
              <w:spacing w:after="0"/>
              <w:rPr>
                <w:sz w:val="19"/>
                <w:szCs w:val="19"/>
                <w:color w:val="auto"/>
              </w:rPr>
            </w:pPr>
          </w:p>
        </w:tc>
        <w:tc>
          <w:tcPr>
            <w:tcW w:w="80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Pr>
          <w:p>
            <w:pPr>
              <w:spacing w:after="0"/>
              <w:rPr>
                <w:sz w:val="19"/>
                <w:szCs w:val="19"/>
                <w:color w:val="auto"/>
              </w:rPr>
            </w:pPr>
          </w:p>
        </w:tc>
        <w:tc>
          <w:tcPr>
            <w:tcW w:w="760" w:type="dxa"/>
            <w:vAlign w:val="bottom"/>
            <w:tcBorders>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940" w:type="dxa"/>
            <w:vAlign w:val="bottom"/>
            <w:tcBorders>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215"/>
        </w:trPr>
        <w:tc>
          <w:tcPr>
            <w:tcW w:w="1220" w:type="dxa"/>
            <w:vAlign w:val="bottom"/>
            <w:tcBorders>
              <w:bottom w:val="single" w:sz="8" w:color="009FE3"/>
              <w:right w:val="single" w:sz="8" w:color="E8EAEB"/>
            </w:tcBorders>
          </w:tcPr>
          <w:p>
            <w:pPr>
              <w:spacing w:after="0"/>
              <w:rPr>
                <w:sz w:val="18"/>
                <w:szCs w:val="18"/>
                <w:color w:val="auto"/>
              </w:rPr>
            </w:pPr>
          </w:p>
        </w:tc>
        <w:tc>
          <w:tcPr>
            <w:tcW w:w="80" w:type="dxa"/>
            <w:vAlign w:val="bottom"/>
            <w:tcBorders>
              <w:bottom w:val="single" w:sz="8" w:color="009FE3"/>
            </w:tcBorders>
          </w:tcPr>
          <w:p>
            <w:pPr>
              <w:spacing w:after="0"/>
              <w:rPr>
                <w:sz w:val="18"/>
                <w:szCs w:val="18"/>
                <w:color w:val="auto"/>
              </w:rPr>
            </w:pPr>
          </w:p>
        </w:tc>
        <w:tc>
          <w:tcPr>
            <w:tcW w:w="600" w:type="dxa"/>
            <w:vAlign w:val="bottom"/>
            <w:tcBorders>
              <w:bottom w:val="single" w:sz="8" w:color="009FE3"/>
              <w:right w:val="single" w:sz="8" w:color="E8EAEB"/>
            </w:tcBorders>
          </w:tcPr>
          <w:p>
            <w:pPr>
              <w:jc w:val="right"/>
              <w:ind w:right="30"/>
              <w:spacing w:after="0"/>
              <w:rPr>
                <w:sz w:val="20"/>
                <w:szCs w:val="20"/>
                <w:color w:val="auto"/>
              </w:rPr>
            </w:pPr>
            <w:r>
              <w:rPr>
                <w:rFonts w:ascii="Arial" w:cs="Arial" w:eastAsia="Arial" w:hAnsi="Arial"/>
                <w:sz w:val="14"/>
                <w:szCs w:val="14"/>
                <w:color w:val="202E39"/>
              </w:rPr>
              <w:t>6/7/23</w:t>
            </w:r>
          </w:p>
        </w:tc>
        <w:tc>
          <w:tcPr>
            <w:tcW w:w="840" w:type="dxa"/>
            <w:vAlign w:val="bottom"/>
            <w:tcBorders>
              <w:bottom w:val="single" w:sz="8" w:color="009FE3"/>
            </w:tcBorders>
          </w:tcPr>
          <w:p>
            <w:pPr>
              <w:ind w:left="600"/>
              <w:spacing w:after="0"/>
              <w:rPr>
                <w:sz w:val="20"/>
                <w:szCs w:val="20"/>
                <w:color w:val="auto"/>
              </w:rPr>
            </w:pPr>
            <w:r>
              <w:rPr>
                <w:rFonts w:ascii="Arial" w:cs="Arial" w:eastAsia="Arial" w:hAnsi="Arial"/>
                <w:sz w:val="14"/>
                <w:szCs w:val="14"/>
                <w:color w:val="202E39"/>
              </w:rPr>
              <w:t xml:space="preserve">—   </w:t>
            </w:r>
          </w:p>
        </w:tc>
        <w:tc>
          <w:tcPr>
            <w:tcW w:w="140" w:type="dxa"/>
            <w:vAlign w:val="bottom"/>
            <w:tcBorders>
              <w:bottom w:val="single" w:sz="8" w:color="009FE3"/>
              <w:right w:val="single" w:sz="8" w:color="E8EAEB"/>
            </w:tcBorders>
          </w:tcPr>
          <w:p>
            <w:pPr>
              <w:spacing w:after="0"/>
              <w:rPr>
                <w:sz w:val="18"/>
                <w:szCs w:val="18"/>
                <w:color w:val="auto"/>
              </w:rPr>
            </w:pPr>
          </w:p>
        </w:tc>
        <w:tc>
          <w:tcPr>
            <w:tcW w:w="84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009FE3"/>
            </w:tcBorders>
          </w:tcPr>
          <w:p>
            <w:pPr>
              <w:spacing w:after="0"/>
              <w:rPr>
                <w:sz w:val="18"/>
                <w:szCs w:val="18"/>
                <w:color w:val="auto"/>
              </w:rPr>
            </w:pPr>
          </w:p>
        </w:tc>
        <w:tc>
          <w:tcPr>
            <w:tcW w:w="840" w:type="dxa"/>
            <w:vAlign w:val="bottom"/>
            <w:tcBorders>
              <w:bottom w:val="single" w:sz="8" w:color="009FE3"/>
              <w:right w:val="single" w:sz="8" w:color="E8EAEB"/>
            </w:tcBorders>
          </w:tcPr>
          <w:p>
            <w:pPr>
              <w:ind w:left="5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72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c>
          <w:tcPr>
            <w:tcW w:w="140" w:type="dxa"/>
            <w:vAlign w:val="bottom"/>
            <w:tcBorders>
              <w:bottom w:val="single" w:sz="8" w:color="009FE3"/>
            </w:tcBorders>
          </w:tcPr>
          <w:p>
            <w:pPr>
              <w:spacing w:after="0"/>
              <w:rPr>
                <w:sz w:val="18"/>
                <w:szCs w:val="18"/>
                <w:color w:val="auto"/>
              </w:rPr>
            </w:pPr>
          </w:p>
        </w:tc>
        <w:tc>
          <w:tcPr>
            <w:tcW w:w="800" w:type="dxa"/>
            <w:vAlign w:val="bottom"/>
            <w:tcBorders>
              <w:bottom w:val="single" w:sz="8" w:color="009FE3"/>
              <w:right w:val="single" w:sz="8" w:color="E8EAEB"/>
            </w:tcBorders>
          </w:tcPr>
          <w:p>
            <w:pPr>
              <w:ind w:left="500"/>
              <w:spacing w:after="0"/>
              <w:rPr>
                <w:sz w:val="20"/>
                <w:szCs w:val="20"/>
                <w:color w:val="auto"/>
              </w:rPr>
            </w:pPr>
            <w:r>
              <w:rPr>
                <w:rFonts w:ascii="Arial" w:cs="Arial" w:eastAsia="Arial" w:hAnsi="Arial"/>
                <w:sz w:val="14"/>
                <w:szCs w:val="14"/>
                <w:color w:val="202E39"/>
              </w:rPr>
              <w:t>— </w:t>
            </w:r>
          </w:p>
        </w:tc>
        <w:tc>
          <w:tcPr>
            <w:tcW w:w="100" w:type="dxa"/>
            <w:vAlign w:val="bottom"/>
            <w:tcBorders>
              <w:bottom w:val="single" w:sz="8" w:color="009FE3"/>
            </w:tcBorders>
          </w:tcPr>
          <w:p>
            <w:pPr>
              <w:spacing w:after="0"/>
              <w:rPr>
                <w:sz w:val="18"/>
                <w:szCs w:val="18"/>
                <w:color w:val="auto"/>
              </w:rPr>
            </w:pPr>
          </w:p>
        </w:tc>
        <w:tc>
          <w:tcPr>
            <w:tcW w:w="760" w:type="dxa"/>
            <w:vAlign w:val="bottom"/>
            <w:tcBorders>
              <w:bottom w:val="single" w:sz="8" w:color="009FE3"/>
              <w:right w:val="single" w:sz="8" w:color="E8EAEB"/>
            </w:tcBorders>
          </w:tcPr>
          <w:p>
            <w:pPr>
              <w:jc w:val="right"/>
              <w:ind w:right="30"/>
              <w:spacing w:after="0"/>
              <w:rPr>
                <w:sz w:val="20"/>
                <w:szCs w:val="20"/>
                <w:color w:val="auto"/>
              </w:rPr>
            </w:pPr>
            <w:r>
              <w:rPr>
                <w:rFonts w:ascii="Arial" w:cs="Arial" w:eastAsia="Arial" w:hAnsi="Arial"/>
                <w:sz w:val="14"/>
                <w:szCs w:val="14"/>
                <w:color w:val="202E39"/>
              </w:rPr>
              <w:t>14,725</w:t>
            </w:r>
          </w:p>
        </w:tc>
        <w:tc>
          <w:tcPr>
            <w:tcW w:w="80" w:type="dxa"/>
            <w:vAlign w:val="bottom"/>
            <w:tcBorders>
              <w:bottom w:val="single" w:sz="8" w:color="009FE3"/>
            </w:tcBorders>
          </w:tcPr>
          <w:p>
            <w:pPr>
              <w:spacing w:after="0"/>
              <w:rPr>
                <w:sz w:val="18"/>
                <w:szCs w:val="18"/>
                <w:color w:val="auto"/>
              </w:rPr>
            </w:pPr>
          </w:p>
        </w:tc>
        <w:tc>
          <w:tcPr>
            <w:tcW w:w="940" w:type="dxa"/>
            <w:vAlign w:val="bottom"/>
            <w:tcBorders>
              <w:bottom w:val="single" w:sz="8" w:color="009FE3"/>
              <w:right w:val="single" w:sz="8" w:color="E8EAEB"/>
            </w:tcBorders>
          </w:tcPr>
          <w:p>
            <w:pPr>
              <w:ind w:left="640"/>
              <w:spacing w:after="0"/>
              <w:rPr>
                <w:sz w:val="20"/>
                <w:szCs w:val="20"/>
                <w:color w:val="auto"/>
              </w:rPr>
            </w:pPr>
            <w:r>
              <w:rPr>
                <w:rFonts w:ascii="Arial" w:cs="Arial" w:eastAsia="Arial" w:hAnsi="Arial"/>
                <w:sz w:val="14"/>
                <w:szCs w:val="14"/>
                <w:color w:val="202E39"/>
              </w:rPr>
              <w:t>— </w:t>
            </w:r>
          </w:p>
        </w:tc>
        <w:tc>
          <w:tcPr>
            <w:tcW w:w="1060" w:type="dxa"/>
            <w:vAlign w:val="bottom"/>
            <w:tcBorders>
              <w:bottom w:val="single" w:sz="8" w:color="009FE3"/>
              <w:right w:val="single" w:sz="8" w:color="E8EAEB"/>
            </w:tcBorders>
          </w:tcPr>
          <w:p>
            <w:pPr>
              <w:ind w:left="740"/>
              <w:spacing w:after="0"/>
              <w:rPr>
                <w:sz w:val="20"/>
                <w:szCs w:val="20"/>
                <w:color w:val="auto"/>
              </w:rPr>
            </w:pPr>
            <w:r>
              <w:rPr>
                <w:rFonts w:ascii="Arial" w:cs="Arial" w:eastAsia="Arial" w:hAnsi="Arial"/>
                <w:sz w:val="14"/>
                <w:szCs w:val="14"/>
                <w:color w:val="202E39"/>
              </w:rPr>
              <w:t>— </w:t>
            </w:r>
          </w:p>
        </w:tc>
        <w:tc>
          <w:tcPr>
            <w:tcW w:w="80" w:type="dxa"/>
            <w:vAlign w:val="bottom"/>
            <w:tcBorders>
              <w:bottom w:val="single" w:sz="8" w:color="009FE3"/>
            </w:tcBorders>
          </w:tcPr>
          <w:p>
            <w:pPr>
              <w:spacing w:after="0"/>
              <w:rPr>
                <w:sz w:val="18"/>
                <w:szCs w:val="18"/>
                <w:color w:val="auto"/>
              </w:rPr>
            </w:pPr>
          </w:p>
        </w:tc>
        <w:tc>
          <w:tcPr>
            <w:tcW w:w="760" w:type="dxa"/>
            <w:vAlign w:val="bottom"/>
            <w:tcBorders>
              <w:bottom w:val="single" w:sz="8" w:color="009FE3"/>
            </w:tcBorders>
          </w:tcPr>
          <w:p>
            <w:pPr>
              <w:jc w:val="right"/>
              <w:spacing w:after="0"/>
              <w:rPr>
                <w:sz w:val="20"/>
                <w:szCs w:val="20"/>
                <w:color w:val="auto"/>
              </w:rPr>
            </w:pPr>
            <w:r>
              <w:rPr>
                <w:rFonts w:ascii="Arial" w:cs="Arial" w:eastAsia="Arial" w:hAnsi="Arial"/>
                <w:sz w:val="14"/>
                <w:szCs w:val="14"/>
                <w:color w:val="202E39"/>
              </w:rPr>
              <w:t>667,33</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680" w:right="780" w:hanging="419"/>
        <w:spacing w:after="0" w:line="252" w:lineRule="auto"/>
        <w:tabs>
          <w:tab w:leader="none" w:pos="68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Represents target and maximum amounts payable under our annual bonus program for fiscal year 2024.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 of this proxy statement.</w:t>
      </w:r>
    </w:p>
    <w:p>
      <w:pPr>
        <w:spacing w:after="0" w:line="31" w:lineRule="exact"/>
        <w:rPr>
          <w:rFonts w:ascii="Arial" w:cs="Arial" w:eastAsia="Arial" w:hAnsi="Arial"/>
          <w:sz w:val="14"/>
          <w:szCs w:val="14"/>
          <w:color w:val="202E39"/>
        </w:rPr>
      </w:pPr>
    </w:p>
    <w:p>
      <w:pPr>
        <w:ind w:left="680" w:right="480" w:hanging="419"/>
        <w:spacing w:after="0" w:line="243" w:lineRule="auto"/>
        <w:tabs>
          <w:tab w:leader="none" w:pos="68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With the exception of the performance-based stock options granted to Mr. Gowrappan on April 13, 2023, represents performance-based stock options that will become eligible to vest in part dependent on continued service over a three-year time-based vesting schedule, and (b) in part dependent on the company’s achievement of stock price hurdles over the same three-year performance period ending October 9, 2026. The number of options that will ultimately become vested and exercisable at the end of the four-year vesting schedule will range from 0% to 250% of the target number of options. The performance-based stock options must be vested under both the time-based vesting schedule and the performance-based vesting conditions to become exercisable by the Named Executive Officer.</w:t>
      </w:r>
    </w:p>
    <w:p>
      <w:pPr>
        <w:spacing w:after="0" w:line="39" w:lineRule="exact"/>
        <w:rPr>
          <w:sz w:val="20"/>
          <w:szCs w:val="20"/>
          <w:color w:val="auto"/>
        </w:rPr>
      </w:pPr>
    </w:p>
    <w:p>
      <w:pPr>
        <w:ind w:left="680" w:right="380" w:hanging="419"/>
        <w:spacing w:after="0" w:line="242" w:lineRule="auto"/>
        <w:tabs>
          <w:tab w:leader="none" w:pos="68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The performance-based stock options granted to Mr. Gowrappan on April 13, 2023 will become eligible to vest (a) in part dependent on his continued service over a four-year time-based vesting schedule, with him vesting in 25% of the performance-based options on each of the first four anniversaries of the date of grant, and (b) in part dependent on a comparison over the four-year performance period ending March 31, 2027 of our TSR to the TSR of the companies included in the S&amp;P Mid Cap 400 Index. The number of options that will ultimately become vested and exercisable at the end of the four-year vesting schedule will range from 0% to 175% of the target number of options based on our relative TSR ranking for the four-year performance period ending March 31, 2027. The performance-based stock options must be vested under both the time-based vesting schedule and the performance-based vesting conditions to become exercisable by him.</w:t>
      </w:r>
    </w:p>
    <w:p>
      <w:pPr>
        <w:spacing w:after="0" w:line="38" w:lineRule="exact"/>
        <w:rPr>
          <w:sz w:val="20"/>
          <w:szCs w:val="20"/>
          <w:color w:val="auto"/>
        </w:rPr>
      </w:pPr>
    </w:p>
    <w:p>
      <w:pPr>
        <w:ind w:left="680" w:hanging="419"/>
        <w:spacing w:after="0"/>
        <w:tabs>
          <w:tab w:leader="none" w:pos="68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2" w:lineRule="exact"/>
        <w:rPr>
          <w:rFonts w:ascii="Arial" w:cs="Arial" w:eastAsia="Arial" w:hAnsi="Arial"/>
          <w:sz w:val="14"/>
          <w:szCs w:val="14"/>
          <w:color w:val="202E39"/>
        </w:rPr>
      </w:pPr>
    </w:p>
    <w:p>
      <w:pPr>
        <w:ind w:left="680" w:right="760" w:hanging="419"/>
        <w:spacing w:after="0" w:line="270" w:lineRule="auto"/>
        <w:tabs>
          <w:tab w:leader="none" w:pos="68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The exercise price for option awards is the fair market value per share of Viasat common stock, which is defined under our 1996 Equity Participation Plan as the closing price per share on the grant date.</w:t>
      </w:r>
    </w:p>
    <w:p>
      <w:pPr>
        <w:spacing w:after="0" w:line="18" w:lineRule="exact"/>
        <w:rPr>
          <w:rFonts w:ascii="Arial" w:cs="Arial" w:eastAsia="Arial" w:hAnsi="Arial"/>
          <w:sz w:val="14"/>
          <w:szCs w:val="14"/>
          <w:color w:val="202E39"/>
        </w:rPr>
      </w:pPr>
    </w:p>
    <w:p>
      <w:pPr>
        <w:ind w:left="680" w:right="380" w:hanging="419"/>
        <w:spacing w:after="0" w:line="243" w:lineRule="auto"/>
        <w:tabs>
          <w:tab w:leader="none" w:pos="68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performance-based stock options was calculated using a Monte Carlo simulation which considered the likelihood of achieving the vesting conditions. For additional information on the valuation assumptions used in the calculation of these amounts, refer to note 9 to the financial statements included in our annual report on Form 10-K for the fiscal year ended March 31, 2024,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80645</wp:posOffset>
            </wp:positionV>
            <wp:extent cx="425450" cy="150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50       </w:t>
      </w:r>
    </w:p>
    <w:p>
      <w:pPr>
        <w:sectPr>
          <w:pgSz w:w="11900" w:h="16838" w:orient="portrait"/>
          <w:cols w:equalWidth="0" w:num="1">
            <w:col w:w="11340"/>
          </w:cols>
          <w:pgMar w:left="320" w:top="474"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564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Outstanding Equity Awards at 2024 Fiscal Year End</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202E39"/>
        </w:rPr>
        <w:t>Outstanding Equity Awards at 2024 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following table lists all outstanding equity awards held by each of the Named Executive Officers as of March 31, 2024:</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05"/>
        </w:trPr>
        <w:tc>
          <w:tcPr>
            <w:tcW w:w="3940" w:type="dxa"/>
            <w:vAlign w:val="bottom"/>
            <w:tcBorders>
              <w:top w:val="single" w:sz="8" w:color="E8EAEB"/>
              <w:right w:val="single" w:sz="8" w:color="E8EAEB"/>
            </w:tcBorders>
          </w:tcPr>
          <w:p>
            <w:pPr>
              <w:spacing w:after="0"/>
              <w:rPr>
                <w:sz w:val="17"/>
                <w:szCs w:val="17"/>
                <w:color w:val="auto"/>
              </w:rPr>
            </w:pPr>
          </w:p>
        </w:tc>
        <w:tc>
          <w:tcPr>
            <w:tcW w:w="680" w:type="dxa"/>
            <w:vAlign w:val="bottom"/>
            <w:tcBorders>
              <w:top w:val="single" w:sz="8" w:color="E8EAEB"/>
              <w:right w:val="single" w:sz="8" w:color="E8EAEB"/>
            </w:tcBorders>
          </w:tcPr>
          <w:p>
            <w:pPr>
              <w:spacing w:after="0"/>
              <w:rPr>
                <w:sz w:val="17"/>
                <w:szCs w:val="17"/>
                <w:color w:val="auto"/>
              </w:rPr>
            </w:pPr>
          </w:p>
        </w:tc>
        <w:tc>
          <w:tcPr>
            <w:tcW w:w="180" w:type="dxa"/>
            <w:vAlign w:val="bottom"/>
            <w:tcBorders>
              <w:top w:val="single" w:sz="8" w:color="E8EAEB"/>
              <w:bottom w:val="single" w:sz="8" w:color="009FE3"/>
            </w:tcBorders>
          </w:tcPr>
          <w:p>
            <w:pPr>
              <w:spacing w:after="0"/>
              <w:rPr>
                <w:sz w:val="17"/>
                <w:szCs w:val="17"/>
                <w:color w:val="auto"/>
              </w:rPr>
            </w:pPr>
          </w:p>
        </w:tc>
        <w:tc>
          <w:tcPr>
            <w:tcW w:w="740" w:type="dxa"/>
            <w:vAlign w:val="bottom"/>
            <w:tcBorders>
              <w:top w:val="single" w:sz="8" w:color="E8EAEB"/>
              <w:bottom w:val="single" w:sz="8" w:color="009FE3"/>
            </w:tcBorders>
          </w:tcPr>
          <w:p>
            <w:pPr>
              <w:spacing w:after="0"/>
              <w:rPr>
                <w:sz w:val="17"/>
                <w:szCs w:val="17"/>
                <w:color w:val="auto"/>
              </w:rPr>
            </w:pPr>
          </w:p>
        </w:tc>
        <w:tc>
          <w:tcPr>
            <w:tcW w:w="200" w:type="dxa"/>
            <w:vAlign w:val="bottom"/>
            <w:tcBorders>
              <w:top w:val="single" w:sz="8" w:color="E8EAEB"/>
              <w:bottom w:val="single" w:sz="8" w:color="009FE3"/>
            </w:tcBorders>
          </w:tcPr>
          <w:p>
            <w:pPr>
              <w:spacing w:after="0"/>
              <w:rPr>
                <w:sz w:val="17"/>
                <w:szCs w:val="17"/>
                <w:color w:val="auto"/>
              </w:rPr>
            </w:pPr>
          </w:p>
        </w:tc>
        <w:tc>
          <w:tcPr>
            <w:tcW w:w="2080" w:type="dxa"/>
            <w:vAlign w:val="bottom"/>
            <w:tcBorders>
              <w:top w:val="single" w:sz="8" w:color="E8EAEB"/>
              <w:bottom w:val="single" w:sz="8" w:color="009FE3"/>
            </w:tcBorders>
            <w:gridSpan w:val="2"/>
          </w:tcPr>
          <w:p>
            <w:pPr>
              <w:jc w:val="right"/>
              <w:ind w:right="440"/>
              <w:spacing w:after="0"/>
              <w:rPr>
                <w:sz w:val="20"/>
                <w:szCs w:val="20"/>
                <w:color w:val="auto"/>
              </w:rPr>
            </w:pPr>
            <w:r>
              <w:rPr>
                <w:rFonts w:ascii="Arial" w:cs="Arial" w:eastAsia="Arial" w:hAnsi="Arial"/>
                <w:sz w:val="11"/>
                <w:szCs w:val="11"/>
                <w:b w:val="1"/>
                <w:bCs w:val="1"/>
                <w:color w:val="009FE3"/>
              </w:rPr>
              <w:t>Option Awards</w:t>
            </w:r>
          </w:p>
        </w:tc>
        <w:tc>
          <w:tcPr>
            <w:tcW w:w="720" w:type="dxa"/>
            <w:vAlign w:val="bottom"/>
            <w:tcBorders>
              <w:top w:val="single" w:sz="8" w:color="E8EAEB"/>
              <w:bottom w:val="single" w:sz="8" w:color="009FE3"/>
            </w:tcBorders>
          </w:tcPr>
          <w:p>
            <w:pPr>
              <w:spacing w:after="0"/>
              <w:rPr>
                <w:sz w:val="17"/>
                <w:szCs w:val="17"/>
                <w:color w:val="auto"/>
              </w:rPr>
            </w:pPr>
          </w:p>
        </w:tc>
        <w:tc>
          <w:tcPr>
            <w:tcW w:w="680" w:type="dxa"/>
            <w:vAlign w:val="bottom"/>
            <w:tcBorders>
              <w:top w:val="single" w:sz="8" w:color="E8EAEB"/>
              <w:bottom w:val="single" w:sz="8" w:color="009FE3"/>
              <w:right w:val="single" w:sz="8" w:color="E8EAEB"/>
            </w:tcBorders>
          </w:tcPr>
          <w:p>
            <w:pPr>
              <w:spacing w:after="0"/>
              <w:rPr>
                <w:sz w:val="17"/>
                <w:szCs w:val="17"/>
                <w:color w:val="auto"/>
              </w:rPr>
            </w:pPr>
          </w:p>
        </w:tc>
        <w:tc>
          <w:tcPr>
            <w:tcW w:w="60" w:type="dxa"/>
            <w:vAlign w:val="bottom"/>
            <w:tcBorders>
              <w:top w:val="single" w:sz="8" w:color="E8EAEB"/>
              <w:right w:val="single" w:sz="8" w:color="E8EAEB"/>
            </w:tcBorders>
          </w:tcPr>
          <w:p>
            <w:pPr>
              <w:spacing w:after="0"/>
              <w:rPr>
                <w:sz w:val="17"/>
                <w:szCs w:val="17"/>
                <w:color w:val="auto"/>
              </w:rPr>
            </w:pPr>
          </w:p>
        </w:tc>
        <w:tc>
          <w:tcPr>
            <w:tcW w:w="1460" w:type="dxa"/>
            <w:vAlign w:val="bottom"/>
            <w:tcBorders>
              <w:top w:val="single" w:sz="8" w:color="E8EAEB"/>
              <w:bottom w:val="single" w:sz="8" w:color="009FE3"/>
            </w:tcBorders>
            <w:gridSpan w:val="2"/>
          </w:tcPr>
          <w:p>
            <w:pPr>
              <w:jc w:val="right"/>
              <w:ind w:right="300"/>
              <w:spacing w:after="0"/>
              <w:rPr>
                <w:sz w:val="20"/>
                <w:szCs w:val="20"/>
                <w:color w:val="auto"/>
              </w:rPr>
            </w:pPr>
            <w:r>
              <w:rPr>
                <w:rFonts w:ascii="Arial" w:cs="Arial" w:eastAsia="Arial" w:hAnsi="Arial"/>
                <w:sz w:val="11"/>
                <w:szCs w:val="11"/>
                <w:b w:val="1"/>
                <w:bCs w:val="1"/>
                <w:color w:val="009FE3"/>
              </w:rPr>
              <w:t>Stock Awards</w:t>
            </w:r>
          </w:p>
        </w:tc>
      </w:tr>
      <w:tr>
        <w:trPr>
          <w:trHeight w:val="161"/>
        </w:trPr>
        <w:tc>
          <w:tcPr>
            <w:tcW w:w="3940" w:type="dxa"/>
            <w:vAlign w:val="bottom"/>
            <w:tcBorders>
              <w:right w:val="single" w:sz="8" w:color="E8EAEB"/>
            </w:tcBorders>
          </w:tcPr>
          <w:p>
            <w:pPr>
              <w:spacing w:after="0"/>
              <w:rPr>
                <w:sz w:val="14"/>
                <w:szCs w:val="14"/>
                <w:color w:val="auto"/>
              </w:rPr>
            </w:pPr>
          </w:p>
        </w:tc>
        <w:tc>
          <w:tcPr>
            <w:tcW w:w="680" w:type="dxa"/>
            <w:vAlign w:val="bottom"/>
            <w:tcBorders>
              <w:right w:val="single" w:sz="8" w:color="E8EAEB"/>
            </w:tcBorders>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right w:val="single" w:sz="8" w:color="E8EAEB"/>
            </w:tcBorders>
            <w:gridSpan w:val="3"/>
          </w:tcPr>
          <w:p>
            <w:pPr>
              <w:jc w:val="center"/>
              <w:ind w:right="139"/>
              <w:spacing w:after="0"/>
              <w:rPr>
                <w:sz w:val="20"/>
                <w:szCs w:val="20"/>
                <w:color w:val="auto"/>
              </w:rPr>
            </w:pPr>
            <w:r>
              <w:rPr>
                <w:rFonts w:ascii="Arial" w:cs="Arial" w:eastAsia="Arial" w:hAnsi="Arial"/>
                <w:sz w:val="11"/>
                <w:szCs w:val="11"/>
                <w:b w:val="1"/>
                <w:bCs w:val="1"/>
                <w:color w:val="009FE3"/>
              </w:rPr>
              <w:t>Number of Securities</w:t>
            </w:r>
          </w:p>
        </w:tc>
        <w:tc>
          <w:tcPr>
            <w:tcW w:w="84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680" w:type="dxa"/>
            <w:vAlign w:val="bottom"/>
            <w:tcBorders>
              <w:right w:val="single" w:sz="8" w:color="E8EAEB"/>
            </w:tcBorders>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620" w:type="dxa"/>
            <w:vAlign w:val="bottom"/>
          </w:tcPr>
          <w:p>
            <w:pPr>
              <w:spacing w:after="0"/>
              <w:rPr>
                <w:sz w:val="14"/>
                <w:szCs w:val="14"/>
                <w:color w:val="auto"/>
              </w:rPr>
            </w:pP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tcBorders>
              <w:right w:val="single" w:sz="8" w:color="E8EAEB"/>
            </w:tcBorders>
            <w:gridSpan w:val="3"/>
          </w:tcPr>
          <w:p>
            <w:pPr>
              <w:jc w:val="center"/>
              <w:ind w:right="139"/>
              <w:spacing w:after="0"/>
              <w:rPr>
                <w:sz w:val="20"/>
                <w:szCs w:val="20"/>
                <w:color w:val="auto"/>
              </w:rPr>
            </w:pPr>
            <w:r>
              <w:rPr>
                <w:rFonts w:ascii="Arial" w:cs="Arial" w:eastAsia="Arial" w:hAnsi="Arial"/>
                <w:sz w:val="11"/>
                <w:szCs w:val="11"/>
                <w:b w:val="1"/>
                <w:bCs w:val="1"/>
                <w:color w:val="009FE3"/>
              </w:rPr>
              <w:t>Underlying Unexercised</w:t>
            </w:r>
          </w:p>
        </w:tc>
        <w:tc>
          <w:tcPr>
            <w:tcW w:w="840" w:type="dxa"/>
            <w:vAlign w:val="bottom"/>
            <w:tcBorders>
              <w:right w:val="single" w:sz="8" w:color="E8EAEB"/>
            </w:tcBorders>
          </w:tcPr>
          <w:p>
            <w:pPr>
              <w:spacing w:after="0"/>
              <w:rPr>
                <w:sz w:val="11"/>
                <w:szCs w:val="11"/>
                <w:color w:val="auto"/>
              </w:rPr>
            </w:pP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spacing w:after="0"/>
              <w:rPr>
                <w:sz w:val="11"/>
                <w:szCs w:val="11"/>
                <w:color w:val="auto"/>
              </w:rPr>
            </w:pPr>
          </w:p>
        </w:tc>
        <w:tc>
          <w:tcPr>
            <w:tcW w:w="620" w:type="dxa"/>
            <w:vAlign w:val="bottom"/>
          </w:tcPr>
          <w:p>
            <w:pPr>
              <w:spacing w:after="0"/>
              <w:rPr>
                <w:sz w:val="11"/>
                <w:szCs w:val="11"/>
                <w:color w:val="auto"/>
              </w:rPr>
            </w:pP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tcBorders>
              <w:right w:val="single" w:sz="8" w:color="E8EAEB"/>
            </w:tcBorders>
            <w:gridSpan w:val="2"/>
          </w:tcPr>
          <w:p>
            <w:pPr>
              <w:jc w:val="center"/>
              <w:ind w:right="899"/>
              <w:spacing w:after="0"/>
              <w:rPr>
                <w:sz w:val="20"/>
                <w:szCs w:val="20"/>
                <w:color w:val="auto"/>
              </w:rPr>
            </w:pPr>
            <w:r>
              <w:rPr>
                <w:rFonts w:ascii="Arial" w:cs="Arial" w:eastAsia="Arial" w:hAnsi="Arial"/>
                <w:sz w:val="11"/>
                <w:szCs w:val="11"/>
                <w:b w:val="1"/>
                <w:bCs w:val="1"/>
                <w:color w:val="009FE3"/>
              </w:rPr>
              <w:t>Options</w:t>
            </w:r>
          </w:p>
        </w:tc>
        <w:tc>
          <w:tcPr>
            <w:tcW w:w="840" w:type="dxa"/>
            <w:vAlign w:val="bottom"/>
            <w:tcBorders>
              <w:right w:val="single" w:sz="8" w:color="E8EAEB"/>
            </w:tcBorders>
          </w:tcPr>
          <w:p>
            <w:pPr>
              <w:spacing w:after="0"/>
              <w:rPr>
                <w:sz w:val="11"/>
                <w:szCs w:val="11"/>
                <w:color w:val="auto"/>
              </w:rPr>
            </w:pP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spacing w:after="0"/>
              <w:rPr>
                <w:sz w:val="11"/>
                <w:szCs w:val="11"/>
                <w:color w:val="auto"/>
              </w:rPr>
            </w:pPr>
          </w:p>
        </w:tc>
        <w:tc>
          <w:tcPr>
            <w:tcW w:w="620" w:type="dxa"/>
            <w:vAlign w:val="bottom"/>
          </w:tcPr>
          <w:p>
            <w:pPr>
              <w:spacing w:after="0"/>
              <w:rPr>
                <w:sz w:val="11"/>
                <w:szCs w:val="11"/>
                <w:color w:val="auto"/>
              </w:rPr>
            </w:pPr>
          </w:p>
        </w:tc>
      </w:tr>
      <w:tr>
        <w:trPr>
          <w:trHeight w:val="159"/>
        </w:trPr>
        <w:tc>
          <w:tcPr>
            <w:tcW w:w="3940" w:type="dxa"/>
            <w:vAlign w:val="bottom"/>
            <w:tcBorders>
              <w:right w:val="single" w:sz="8" w:color="E8EAEB"/>
            </w:tcBorders>
          </w:tcPr>
          <w:p>
            <w:pPr>
              <w:spacing w:after="0"/>
              <w:rPr>
                <w:sz w:val="13"/>
                <w:szCs w:val="13"/>
                <w:color w:val="auto"/>
              </w:rPr>
            </w:pPr>
          </w:p>
        </w:tc>
        <w:tc>
          <w:tcPr>
            <w:tcW w:w="680" w:type="dxa"/>
            <w:vAlign w:val="bottom"/>
            <w:tcBorders>
              <w:right w:val="single" w:sz="8" w:color="E8EAEB"/>
            </w:tcBorders>
          </w:tcPr>
          <w:p>
            <w:pPr>
              <w:spacing w:after="0"/>
              <w:rPr>
                <w:sz w:val="13"/>
                <w:szCs w:val="13"/>
                <w:color w:val="auto"/>
              </w:rPr>
            </w:pPr>
          </w:p>
        </w:tc>
        <w:tc>
          <w:tcPr>
            <w:tcW w:w="180" w:type="dxa"/>
            <w:vAlign w:val="bottom"/>
            <w:tcBorders>
              <w:bottom w:val="single" w:sz="8" w:color="009FE3"/>
            </w:tcBorders>
          </w:tcPr>
          <w:p>
            <w:pPr>
              <w:spacing w:after="0"/>
              <w:rPr>
                <w:sz w:val="13"/>
                <w:szCs w:val="13"/>
                <w:color w:val="auto"/>
              </w:rPr>
            </w:pPr>
          </w:p>
        </w:tc>
        <w:tc>
          <w:tcPr>
            <w:tcW w:w="740" w:type="dxa"/>
            <w:vAlign w:val="bottom"/>
            <w:tcBorders>
              <w:bottom w:val="single" w:sz="8" w:color="009FE3"/>
            </w:tcBorders>
          </w:tcPr>
          <w:p>
            <w:pPr>
              <w:spacing w:after="0"/>
              <w:rPr>
                <w:sz w:val="13"/>
                <w:szCs w:val="13"/>
                <w:color w:val="auto"/>
              </w:rPr>
            </w:pPr>
          </w:p>
        </w:tc>
        <w:tc>
          <w:tcPr>
            <w:tcW w:w="1440" w:type="dxa"/>
            <w:vAlign w:val="bottom"/>
            <w:tcBorders>
              <w:bottom w:val="single" w:sz="8" w:color="009FE3"/>
              <w:right w:val="single" w:sz="8" w:color="E8EAEB"/>
            </w:tcBorders>
            <w:gridSpan w:val="2"/>
          </w:tcPr>
          <w:p>
            <w:pPr>
              <w:jc w:val="center"/>
              <w:ind w:right="879"/>
              <w:spacing w:after="0"/>
              <w:rPr>
                <w:sz w:val="20"/>
                <w:szCs w:val="20"/>
                <w:color w:val="auto"/>
              </w:rPr>
            </w:pPr>
            <w:r>
              <w:rPr>
                <w:rFonts w:ascii="Arial" w:cs="Arial" w:eastAsia="Arial" w:hAnsi="Arial"/>
                <w:sz w:val="11"/>
                <w:szCs w:val="11"/>
                <w:b w:val="1"/>
                <w:bCs w:val="1"/>
                <w:color w:val="009FE3"/>
              </w:rPr>
              <w:t>(#)</w:t>
            </w:r>
          </w:p>
        </w:tc>
        <w:tc>
          <w:tcPr>
            <w:tcW w:w="840" w:type="dxa"/>
            <w:vAlign w:val="bottom"/>
            <w:tcBorders>
              <w:right w:val="single" w:sz="8" w:color="E8EAEB"/>
            </w:tcBorders>
          </w:tcPr>
          <w:p>
            <w:pPr>
              <w:spacing w:after="0"/>
              <w:rPr>
                <w:sz w:val="13"/>
                <w:szCs w:val="13"/>
                <w:color w:val="auto"/>
              </w:rPr>
            </w:pPr>
          </w:p>
        </w:tc>
        <w:tc>
          <w:tcPr>
            <w:tcW w:w="720" w:type="dxa"/>
            <w:vAlign w:val="bottom"/>
            <w:tcBorders>
              <w:right w:val="single" w:sz="8" w:color="E8EAEB"/>
            </w:tcBorders>
          </w:tcPr>
          <w:p>
            <w:pPr>
              <w:spacing w:after="0"/>
              <w:rPr>
                <w:sz w:val="13"/>
                <w:szCs w:val="13"/>
                <w:color w:val="auto"/>
              </w:rPr>
            </w:pPr>
          </w:p>
        </w:tc>
        <w:tc>
          <w:tcPr>
            <w:tcW w:w="680" w:type="dxa"/>
            <w:vAlign w:val="bottom"/>
            <w:tcBorders>
              <w:right w:val="single" w:sz="8" w:color="E8EAEB"/>
            </w:tcBorders>
          </w:tcPr>
          <w:p>
            <w:pPr>
              <w:spacing w:after="0"/>
              <w:rPr>
                <w:sz w:val="13"/>
                <w:szCs w:val="13"/>
                <w:color w:val="auto"/>
              </w:rPr>
            </w:pPr>
          </w:p>
        </w:tc>
        <w:tc>
          <w:tcPr>
            <w:tcW w:w="60" w:type="dxa"/>
            <w:vAlign w:val="bottom"/>
            <w:tcBorders>
              <w:right w:val="single" w:sz="8" w:color="E8EAEB"/>
            </w:tcBorders>
          </w:tcPr>
          <w:p>
            <w:pPr>
              <w:spacing w:after="0"/>
              <w:rPr>
                <w:sz w:val="13"/>
                <w:szCs w:val="13"/>
                <w:color w:val="auto"/>
              </w:rPr>
            </w:pPr>
          </w:p>
        </w:tc>
        <w:tc>
          <w:tcPr>
            <w:tcW w:w="840" w:type="dxa"/>
            <w:vAlign w:val="bottom"/>
            <w:tcBorders>
              <w:right w:val="single" w:sz="8" w:color="E8EAEB"/>
            </w:tcBorders>
          </w:tcPr>
          <w:p>
            <w:pPr>
              <w:spacing w:after="0"/>
              <w:rPr>
                <w:sz w:val="13"/>
                <w:szCs w:val="13"/>
                <w:color w:val="auto"/>
              </w:rPr>
            </w:pPr>
          </w:p>
        </w:tc>
        <w:tc>
          <w:tcPr>
            <w:tcW w:w="620" w:type="dxa"/>
            <w:vAlign w:val="bottom"/>
          </w:tcPr>
          <w:p>
            <w:pPr>
              <w:spacing w:after="0"/>
              <w:rPr>
                <w:sz w:val="13"/>
                <w:szCs w:val="13"/>
                <w:color w:val="auto"/>
              </w:rPr>
            </w:pPr>
          </w:p>
        </w:tc>
      </w:tr>
      <w:tr>
        <w:trPr>
          <w:trHeight w:val="110"/>
        </w:trPr>
        <w:tc>
          <w:tcPr>
            <w:tcW w:w="3940" w:type="dxa"/>
            <w:vAlign w:val="bottom"/>
            <w:tcBorders>
              <w:right w:val="single" w:sz="8" w:color="E8EAEB"/>
            </w:tcBorders>
          </w:tcPr>
          <w:p>
            <w:pPr>
              <w:spacing w:after="0"/>
              <w:rPr>
                <w:sz w:val="9"/>
                <w:szCs w:val="9"/>
                <w:color w:val="auto"/>
              </w:rPr>
            </w:pPr>
          </w:p>
        </w:tc>
        <w:tc>
          <w:tcPr>
            <w:tcW w:w="680" w:type="dxa"/>
            <w:vAlign w:val="bottom"/>
            <w:tcBorders>
              <w:right w:val="single" w:sz="8" w:color="E8EAEB"/>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Borders>
              <w:right w:val="single" w:sz="8" w:color="E8EAEB"/>
            </w:tcBorders>
          </w:tcPr>
          <w:p>
            <w:pPr>
              <w:spacing w:after="0"/>
              <w:rPr>
                <w:sz w:val="9"/>
                <w:szCs w:val="9"/>
                <w:color w:val="auto"/>
              </w:rPr>
            </w:pPr>
          </w:p>
        </w:tc>
        <w:tc>
          <w:tcPr>
            <w:tcW w:w="1240" w:type="dxa"/>
            <w:vAlign w:val="bottom"/>
            <w:tcBorders>
              <w:right w:val="single" w:sz="8" w:color="E8EAEB"/>
            </w:tcBorders>
          </w:tcPr>
          <w:p>
            <w:pPr>
              <w:spacing w:after="0"/>
              <w:rPr>
                <w:sz w:val="9"/>
                <w:szCs w:val="9"/>
                <w:color w:val="auto"/>
              </w:rPr>
            </w:pPr>
          </w:p>
        </w:tc>
        <w:tc>
          <w:tcPr>
            <w:tcW w:w="840" w:type="dxa"/>
            <w:vAlign w:val="bottom"/>
            <w:tcBorders>
              <w:right w:val="single" w:sz="8" w:color="E8EAEB"/>
            </w:tcBorders>
          </w:tcPr>
          <w:p>
            <w:pPr>
              <w:jc w:val="center"/>
              <w:spacing w:after="0" w:line="111" w:lineRule="exact"/>
              <w:rPr>
                <w:sz w:val="20"/>
                <w:szCs w:val="20"/>
                <w:color w:val="auto"/>
              </w:rPr>
            </w:pPr>
            <w:r>
              <w:rPr>
                <w:rFonts w:ascii="Arial" w:cs="Arial" w:eastAsia="Arial" w:hAnsi="Arial"/>
                <w:sz w:val="11"/>
                <w:szCs w:val="11"/>
                <w:b w:val="1"/>
                <w:bCs w:val="1"/>
                <w:color w:val="009FE3"/>
              </w:rPr>
              <w:t>Equity</w:t>
            </w:r>
          </w:p>
        </w:tc>
        <w:tc>
          <w:tcPr>
            <w:tcW w:w="720" w:type="dxa"/>
            <w:vAlign w:val="bottom"/>
            <w:tcBorders>
              <w:right w:val="single" w:sz="8" w:color="E8EAEB"/>
            </w:tcBorders>
          </w:tcPr>
          <w:p>
            <w:pPr>
              <w:spacing w:after="0"/>
              <w:rPr>
                <w:sz w:val="9"/>
                <w:szCs w:val="9"/>
                <w:color w:val="auto"/>
              </w:rPr>
            </w:pPr>
          </w:p>
        </w:tc>
        <w:tc>
          <w:tcPr>
            <w:tcW w:w="680" w:type="dxa"/>
            <w:vAlign w:val="bottom"/>
            <w:tcBorders>
              <w:right w:val="single" w:sz="8" w:color="E8EAEB"/>
            </w:tcBorders>
          </w:tcPr>
          <w:p>
            <w:pPr>
              <w:spacing w:after="0"/>
              <w:rPr>
                <w:sz w:val="9"/>
                <w:szCs w:val="9"/>
                <w:color w:val="auto"/>
              </w:rPr>
            </w:pPr>
          </w:p>
        </w:tc>
        <w:tc>
          <w:tcPr>
            <w:tcW w:w="60" w:type="dxa"/>
            <w:vAlign w:val="bottom"/>
            <w:tcBorders>
              <w:right w:val="single" w:sz="8" w:color="E8EAEB"/>
            </w:tcBorders>
          </w:tcPr>
          <w:p>
            <w:pPr>
              <w:spacing w:after="0"/>
              <w:rPr>
                <w:sz w:val="9"/>
                <w:szCs w:val="9"/>
                <w:color w:val="auto"/>
              </w:rPr>
            </w:pPr>
          </w:p>
        </w:tc>
        <w:tc>
          <w:tcPr>
            <w:tcW w:w="840" w:type="dxa"/>
            <w:vAlign w:val="bottom"/>
            <w:tcBorders>
              <w:right w:val="single" w:sz="8" w:color="E8EAEB"/>
            </w:tcBorders>
          </w:tcPr>
          <w:p>
            <w:pPr>
              <w:spacing w:after="0"/>
              <w:rPr>
                <w:sz w:val="9"/>
                <w:szCs w:val="9"/>
                <w:color w:val="auto"/>
              </w:rPr>
            </w:pPr>
          </w:p>
        </w:tc>
        <w:tc>
          <w:tcPr>
            <w:tcW w:w="620" w:type="dxa"/>
            <w:vAlign w:val="bottom"/>
          </w:tcPr>
          <w:p>
            <w:pPr>
              <w:spacing w:after="0"/>
              <w:rPr>
                <w:sz w:val="9"/>
                <w:szCs w:val="9"/>
                <w:color w:val="auto"/>
              </w:rPr>
            </w:pP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Incentive</w:t>
            </w: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spacing w:after="0"/>
              <w:rPr>
                <w:sz w:val="11"/>
                <w:szCs w:val="11"/>
                <w:color w:val="auto"/>
              </w:rPr>
            </w:pPr>
          </w:p>
        </w:tc>
        <w:tc>
          <w:tcPr>
            <w:tcW w:w="620" w:type="dxa"/>
            <w:vAlign w:val="bottom"/>
          </w:tcPr>
          <w:p>
            <w:pPr>
              <w:spacing w:after="0"/>
              <w:rPr>
                <w:sz w:val="11"/>
                <w:szCs w:val="11"/>
                <w:color w:val="auto"/>
              </w:rPr>
            </w:pP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Plan</w:t>
            </w: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9FE3"/>
              </w:rPr>
              <w:t>Market</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Awards:</w:t>
            </w: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1"/>
                <w:szCs w:val="11"/>
                <w:b w:val="1"/>
                <w:bCs w:val="1"/>
                <w:color w:val="009FE3"/>
              </w:rPr>
              <w:t>Number</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9FE3"/>
              </w:rPr>
              <w:t>Value of</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Number of</w:t>
            </w: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of Shares</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009FE3"/>
              </w:rPr>
              <w:t>Shares or</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Securities</w:t>
            </w:r>
          </w:p>
        </w:tc>
        <w:tc>
          <w:tcPr>
            <w:tcW w:w="72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1"/>
                <w:szCs w:val="11"/>
                <w:b w:val="1"/>
                <w:bCs w:val="1"/>
                <w:color w:val="009FE3"/>
              </w:rPr>
              <w:t>or Units</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9FE3"/>
              </w:rPr>
              <w:t>Units of</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Underlying</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1"/>
                <w:szCs w:val="11"/>
                <w:b w:val="1"/>
                <w:bCs w:val="1"/>
                <w:color w:val="009FE3"/>
              </w:rPr>
              <w:t>Option</w:t>
            </w: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1"/>
                <w:szCs w:val="11"/>
                <w:b w:val="1"/>
                <w:bCs w:val="1"/>
                <w:color w:val="009FE3"/>
              </w:rPr>
              <w:t>of Stock</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9FE3"/>
              </w:rPr>
              <w:t>Stock</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Unexercised</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Exercise</w:t>
            </w:r>
          </w:p>
        </w:tc>
        <w:tc>
          <w:tcPr>
            <w:tcW w:w="68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That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009FE3"/>
              </w:rPr>
              <w:t>That Have</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Unearned</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Price</w:t>
            </w:r>
          </w:p>
        </w:tc>
        <w:tc>
          <w:tcPr>
            <w:tcW w:w="68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Option</w:t>
            </w: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Have Not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9FE3"/>
              </w:rPr>
              <w:t>Not</w:t>
            </w:r>
          </w:p>
        </w:tc>
      </w:tr>
      <w:tr>
        <w:trPr>
          <w:trHeight w:val="131"/>
        </w:trPr>
        <w:tc>
          <w:tcPr>
            <w:tcW w:w="3940" w:type="dxa"/>
            <w:vAlign w:val="bottom"/>
            <w:tcBorders>
              <w:right w:val="single" w:sz="8" w:color="E8EAEB"/>
            </w:tcBorders>
          </w:tcPr>
          <w:p>
            <w:pPr>
              <w:spacing w:after="0"/>
              <w:rPr>
                <w:sz w:val="11"/>
                <w:szCs w:val="11"/>
                <w:color w:val="auto"/>
              </w:rPr>
            </w:pPr>
          </w:p>
        </w:tc>
        <w:tc>
          <w:tcPr>
            <w:tcW w:w="680" w:type="dxa"/>
            <w:vAlign w:val="bottom"/>
            <w:tcBorders>
              <w:right w:val="single" w:sz="8" w:color="E8EAEB"/>
            </w:tcBorders>
          </w:tcPr>
          <w:p>
            <w:pPr>
              <w:jc w:val="right"/>
              <w:ind w:right="139"/>
              <w:spacing w:after="0"/>
              <w:rPr>
                <w:sz w:val="20"/>
                <w:szCs w:val="20"/>
                <w:color w:val="auto"/>
              </w:rPr>
            </w:pPr>
            <w:r>
              <w:rPr>
                <w:rFonts w:ascii="Arial" w:cs="Arial" w:eastAsia="Arial" w:hAnsi="Arial"/>
                <w:sz w:val="11"/>
                <w:szCs w:val="11"/>
                <w:b w:val="1"/>
                <w:bCs w:val="1"/>
                <w:color w:val="009FE3"/>
              </w:rPr>
              <w:t>Grant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right w:val="single" w:sz="8" w:color="E8EAEB"/>
            </w:tcBorders>
          </w:tcPr>
          <w:p>
            <w:pPr>
              <w:spacing w:after="0"/>
              <w:rPr>
                <w:sz w:val="11"/>
                <w:szCs w:val="11"/>
                <w:color w:val="auto"/>
              </w:rPr>
            </w:pPr>
          </w:p>
        </w:tc>
        <w:tc>
          <w:tcPr>
            <w:tcW w:w="124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1"/>
                <w:szCs w:val="11"/>
                <w:b w:val="1"/>
                <w:bCs w:val="1"/>
                <w:color w:val="009FE3"/>
              </w:rPr>
              <w:t>Options</w:t>
            </w:r>
          </w:p>
        </w:tc>
        <w:tc>
          <w:tcPr>
            <w:tcW w:w="720" w:type="dxa"/>
            <w:vAlign w:val="bottom"/>
            <w:tcBorders>
              <w:right w:val="single" w:sz="8" w:color="E8EAEB"/>
            </w:tcBorders>
          </w:tcPr>
          <w:p>
            <w:pPr>
              <w:jc w:val="right"/>
              <w:ind w:right="339"/>
              <w:spacing w:after="0"/>
              <w:rPr>
                <w:sz w:val="20"/>
                <w:szCs w:val="20"/>
                <w:color w:val="auto"/>
              </w:rPr>
            </w:pPr>
            <w:r>
              <w:rPr>
                <w:rFonts w:ascii="Arial" w:cs="Arial" w:eastAsia="Arial" w:hAnsi="Arial"/>
                <w:sz w:val="11"/>
                <w:szCs w:val="11"/>
                <w:b w:val="1"/>
                <w:bCs w:val="1"/>
                <w:color w:val="009FE3"/>
              </w:rPr>
              <w:t> </w:t>
            </w:r>
          </w:p>
        </w:tc>
        <w:tc>
          <w:tcPr>
            <w:tcW w:w="68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Expiration</w:t>
            </w:r>
          </w:p>
        </w:tc>
        <w:tc>
          <w:tcPr>
            <w:tcW w:w="60" w:type="dxa"/>
            <w:vAlign w:val="bottom"/>
            <w:tcBorders>
              <w:right w:val="single" w:sz="8" w:color="E8EAEB"/>
            </w:tcBorders>
          </w:tcPr>
          <w:p>
            <w:pPr>
              <w:spacing w:after="0"/>
              <w:rPr>
                <w:sz w:val="11"/>
                <w:szCs w:val="11"/>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1"/>
                <w:szCs w:val="11"/>
                <w:b w:val="1"/>
                <w:bCs w:val="1"/>
                <w:color w:val="009FE3"/>
                <w:w w:val="99"/>
              </w:rPr>
              <w:t>Vested</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9FE3"/>
                <w:w w:val="99"/>
              </w:rPr>
              <w:t>Vested</w:t>
            </w:r>
          </w:p>
        </w:tc>
      </w:tr>
      <w:tr>
        <w:trPr>
          <w:trHeight w:val="160"/>
        </w:trPr>
        <w:tc>
          <w:tcPr>
            <w:tcW w:w="39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1"/>
                <w:szCs w:val="11"/>
                <w:b w:val="1"/>
                <w:bCs w:val="1"/>
                <w:color w:val="009FE3"/>
              </w:rPr>
              <w:t>Name</w:t>
            </w:r>
          </w:p>
        </w:tc>
        <w:tc>
          <w:tcPr>
            <w:tcW w:w="680" w:type="dxa"/>
            <w:vAlign w:val="bottom"/>
            <w:tcBorders>
              <w:bottom w:val="single" w:sz="8" w:color="009FE3"/>
              <w:right w:val="single" w:sz="8" w:color="E8EAEB"/>
            </w:tcBorders>
          </w:tcPr>
          <w:p>
            <w:pPr>
              <w:jc w:val="right"/>
              <w:ind w:right="179"/>
              <w:spacing w:after="0"/>
              <w:rPr>
                <w:sz w:val="20"/>
                <w:szCs w:val="20"/>
                <w:color w:val="auto"/>
              </w:rPr>
            </w:pPr>
            <w:r>
              <w:rPr>
                <w:rFonts w:ascii="Arial" w:cs="Arial" w:eastAsia="Arial" w:hAnsi="Arial"/>
                <w:sz w:val="11"/>
                <w:szCs w:val="11"/>
                <w:b w:val="1"/>
                <w:bCs w:val="1"/>
                <w:color w:val="009FE3"/>
              </w:rPr>
              <w:t>Date</w:t>
            </w:r>
          </w:p>
        </w:tc>
        <w:tc>
          <w:tcPr>
            <w:tcW w:w="180" w:type="dxa"/>
            <w:vAlign w:val="bottom"/>
            <w:tcBorders>
              <w:bottom w:val="single" w:sz="8" w:color="009FE3"/>
            </w:tcBorders>
          </w:tcPr>
          <w:p>
            <w:pPr>
              <w:spacing w:after="0"/>
              <w:rPr>
                <w:sz w:val="20"/>
                <w:szCs w:val="20"/>
                <w:color w:val="auto"/>
              </w:rPr>
            </w:pPr>
            <w:r>
              <w:rPr>
                <w:rFonts w:ascii="Arial" w:cs="Arial" w:eastAsia="Arial" w:hAnsi="Arial"/>
                <w:sz w:val="11"/>
                <w:szCs w:val="11"/>
                <w:b w:val="1"/>
                <w:bCs w:val="1"/>
                <w:color w:val="009FE3"/>
              </w:rPr>
              <w:t xml:space="preserve">    </w:t>
            </w:r>
          </w:p>
        </w:tc>
        <w:tc>
          <w:tcPr>
            <w:tcW w:w="740" w:type="dxa"/>
            <w:vAlign w:val="bottom"/>
            <w:tcBorders>
              <w:bottom w:val="single" w:sz="8" w:color="009FE3"/>
            </w:tcBorders>
          </w:tcPr>
          <w:p>
            <w:pPr>
              <w:jc w:val="right"/>
              <w:spacing w:after="0"/>
              <w:rPr>
                <w:sz w:val="20"/>
                <w:szCs w:val="20"/>
                <w:color w:val="auto"/>
              </w:rPr>
            </w:pPr>
            <w:r>
              <w:rPr>
                <w:rFonts w:ascii="Arial" w:cs="Arial" w:eastAsia="Arial" w:hAnsi="Arial"/>
                <w:sz w:val="11"/>
                <w:szCs w:val="11"/>
                <w:b w:val="1"/>
                <w:bCs w:val="1"/>
                <w:color w:val="009FE3"/>
                <w:w w:val="94"/>
              </w:rPr>
              <w:t>Exercisable </w:t>
            </w:r>
          </w:p>
        </w:tc>
        <w:tc>
          <w:tcPr>
            <w:tcW w:w="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1"/>
                <w:szCs w:val="11"/>
                <w:b w:val="1"/>
                <w:bCs w:val="1"/>
                <w:color w:val="009FE3"/>
                <w:w w:val="90"/>
              </w:rPr>
              <w:t> </w:t>
            </w:r>
          </w:p>
        </w:tc>
        <w:tc>
          <w:tcPr>
            <w:tcW w:w="1240" w:type="dxa"/>
            <w:vAlign w:val="bottom"/>
            <w:tcBorders>
              <w:bottom w:val="single" w:sz="8" w:color="009FE3"/>
              <w:right w:val="single" w:sz="8" w:color="E8EAEB"/>
            </w:tcBorders>
          </w:tcPr>
          <w:p>
            <w:pPr>
              <w:spacing w:after="0"/>
              <w:rPr>
                <w:sz w:val="20"/>
                <w:szCs w:val="20"/>
                <w:color w:val="auto"/>
              </w:rPr>
            </w:pPr>
            <w:r>
              <w:rPr>
                <w:rFonts w:ascii="Arial" w:cs="Arial" w:eastAsia="Arial" w:hAnsi="Arial"/>
                <w:sz w:val="11"/>
                <w:szCs w:val="11"/>
                <w:b w:val="1"/>
                <w:bCs w:val="1"/>
                <w:color w:val="009FE3"/>
              </w:rPr>
              <w:t xml:space="preserve">      Unexercisable    </w:t>
            </w:r>
          </w:p>
        </w:tc>
        <w:tc>
          <w:tcPr>
            <w:tcW w:w="8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w:t>
            </w:r>
          </w:p>
        </w:tc>
        <w:tc>
          <w:tcPr>
            <w:tcW w:w="7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w:t>
            </w:r>
          </w:p>
        </w:tc>
        <w:tc>
          <w:tcPr>
            <w:tcW w:w="6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Date</w:t>
            </w:r>
          </w:p>
        </w:tc>
        <w:tc>
          <w:tcPr>
            <w:tcW w:w="60" w:type="dxa"/>
            <w:vAlign w:val="bottom"/>
            <w:tcBorders>
              <w:bottom w:val="single" w:sz="8" w:color="009FE3"/>
              <w:right w:val="single" w:sz="8" w:color="E8EAEB"/>
            </w:tcBorders>
          </w:tcPr>
          <w:p>
            <w:pPr>
              <w:spacing w:after="0"/>
              <w:rPr>
                <w:sz w:val="13"/>
                <w:szCs w:val="13"/>
                <w:color w:val="auto"/>
              </w:rPr>
            </w:pPr>
          </w:p>
        </w:tc>
        <w:tc>
          <w:tcPr>
            <w:tcW w:w="8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 (1)</w:t>
            </w:r>
          </w:p>
        </w:tc>
        <w:tc>
          <w:tcPr>
            <w:tcW w:w="620" w:type="dxa"/>
            <w:vAlign w:val="bottom"/>
            <w:tcBorders>
              <w:bottom w:val="single" w:sz="8" w:color="009FE3"/>
            </w:tcBorders>
          </w:tcPr>
          <w:p>
            <w:pPr>
              <w:jc w:val="center"/>
              <w:spacing w:after="0"/>
              <w:rPr>
                <w:sz w:val="20"/>
                <w:szCs w:val="20"/>
                <w:color w:val="auto"/>
              </w:rPr>
            </w:pPr>
            <w:r>
              <w:rPr>
                <w:rFonts w:ascii="Arial" w:cs="Arial" w:eastAsia="Arial" w:hAnsi="Arial"/>
                <w:sz w:val="11"/>
                <w:szCs w:val="11"/>
                <w:b w:val="1"/>
                <w:bCs w:val="1"/>
                <w:color w:val="009FE3"/>
              </w:rPr>
              <w:t>($) (2)</w:t>
            </w:r>
          </w:p>
        </w:tc>
      </w:tr>
      <w:tr>
        <w:trPr>
          <w:trHeight w:val="194"/>
        </w:trPr>
        <w:tc>
          <w:tcPr>
            <w:tcW w:w="3940" w:type="dxa"/>
            <w:vAlign w:val="bottom"/>
            <w:tcBorders>
              <w:right w:val="single" w:sz="8" w:color="E8EAEB"/>
            </w:tcBorders>
          </w:tcPr>
          <w:p>
            <w:pPr>
              <w:ind w:left="80"/>
              <w:spacing w:after="0"/>
              <w:rPr>
                <w:sz w:val="20"/>
                <w:szCs w:val="20"/>
                <w:color w:val="auto"/>
              </w:rPr>
            </w:pPr>
            <w:r>
              <w:rPr>
                <w:rFonts w:ascii="Arial" w:cs="Arial" w:eastAsia="Arial" w:hAnsi="Arial"/>
                <w:sz w:val="12"/>
                <w:szCs w:val="12"/>
                <w:color w:val="202E39"/>
              </w:rPr>
              <w:t>Mark Dankberg</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174,365(3)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35.66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11/17/2026</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142,687(3)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53.43</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11/17/2027</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142,687(3)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34.00</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11/17/2028</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150,000(4)</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15.96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10/09/2029</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20,052</w:t>
            </w:r>
          </w:p>
        </w:tc>
        <w:tc>
          <w:tcPr>
            <w:tcW w:w="620" w:type="dxa"/>
            <w:vAlign w:val="bottom"/>
          </w:tcPr>
          <w:p>
            <w:pPr>
              <w:jc w:val="right"/>
              <w:spacing w:after="0"/>
              <w:rPr>
                <w:sz w:val="20"/>
                <w:szCs w:val="20"/>
                <w:color w:val="auto"/>
              </w:rPr>
            </w:pPr>
            <w:r>
              <w:rPr>
                <w:rFonts w:ascii="Arial" w:cs="Arial" w:eastAsia="Arial" w:hAnsi="Arial"/>
                <w:sz w:val="12"/>
                <w:szCs w:val="12"/>
                <w:color w:val="202E39"/>
              </w:rPr>
              <w:t>362,741</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42,035</w:t>
            </w:r>
          </w:p>
        </w:tc>
        <w:tc>
          <w:tcPr>
            <w:tcW w:w="620" w:type="dxa"/>
            <w:vAlign w:val="bottom"/>
          </w:tcPr>
          <w:p>
            <w:pPr>
              <w:jc w:val="right"/>
              <w:spacing w:after="0"/>
              <w:rPr>
                <w:sz w:val="20"/>
                <w:szCs w:val="20"/>
                <w:color w:val="auto"/>
              </w:rPr>
            </w:pPr>
            <w:r>
              <w:rPr>
                <w:rFonts w:ascii="Arial" w:cs="Arial" w:eastAsia="Arial" w:hAnsi="Arial"/>
                <w:sz w:val="12"/>
                <w:szCs w:val="12"/>
                <w:color w:val="202E39"/>
              </w:rPr>
              <w:t>760,413</w:t>
            </w:r>
          </w:p>
        </w:tc>
      </w:tr>
      <w:tr>
        <w:trPr>
          <w:trHeight w:val="192"/>
        </w:trPr>
        <w:tc>
          <w:tcPr>
            <w:tcW w:w="3940" w:type="dxa"/>
            <w:vAlign w:val="bottom"/>
            <w:tcBorders>
              <w:bottom w:val="single" w:sz="8" w:color="E8EAEB"/>
              <w:right w:val="single" w:sz="8" w:color="E8EAEB"/>
            </w:tcBorders>
          </w:tcPr>
          <w:p>
            <w:pPr>
              <w:spacing w:after="0"/>
              <w:rPr>
                <w:sz w:val="16"/>
                <w:szCs w:val="16"/>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06/07/2023</w:t>
            </w:r>
          </w:p>
        </w:tc>
        <w:tc>
          <w:tcPr>
            <w:tcW w:w="180" w:type="dxa"/>
            <w:vAlign w:val="bottom"/>
            <w:tcBorders>
              <w:bottom w:val="single" w:sz="8" w:color="E8EAEB"/>
            </w:tcBorders>
          </w:tcPr>
          <w:p>
            <w:pPr>
              <w:spacing w:after="0"/>
              <w:rPr>
                <w:sz w:val="16"/>
                <w:szCs w:val="16"/>
                <w:color w:val="auto"/>
              </w:rPr>
            </w:pPr>
          </w:p>
        </w:tc>
        <w:tc>
          <w:tcPr>
            <w:tcW w:w="74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bottom w:val="single" w:sz="8" w:color="E8EAEB"/>
              <w:right w:val="single" w:sz="8" w:color="E8EAEB"/>
            </w:tcBorders>
          </w:tcPr>
          <w:p>
            <w:pPr>
              <w:spacing w:after="0"/>
              <w:rPr>
                <w:sz w:val="16"/>
                <w:szCs w:val="16"/>
                <w:color w:val="auto"/>
              </w:rPr>
            </w:pPr>
          </w:p>
        </w:tc>
        <w:tc>
          <w:tcPr>
            <w:tcW w:w="1240" w:type="dxa"/>
            <w:vAlign w:val="bottom"/>
            <w:tcBorders>
              <w:bottom w:val="single" w:sz="8" w:color="E8EAEB"/>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bottom w:val="single" w:sz="8" w:color="E8EAEB"/>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bottom w:val="single" w:sz="8" w:color="E8EAEB"/>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140"/>
              <w:spacing w:after="0"/>
              <w:rPr>
                <w:sz w:val="20"/>
                <w:szCs w:val="20"/>
                <w:color w:val="auto"/>
              </w:rPr>
            </w:pPr>
            <w:r>
              <w:rPr>
                <w:rFonts w:ascii="Arial" w:cs="Arial" w:eastAsia="Arial" w:hAnsi="Arial"/>
                <w:sz w:val="12"/>
                <w:szCs w:val="12"/>
                <w:color w:val="202E39"/>
              </w:rPr>
              <w:t>84,043</w:t>
            </w:r>
          </w:p>
        </w:tc>
        <w:tc>
          <w:tcPr>
            <w:tcW w:w="62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1,520,338</w:t>
            </w:r>
          </w:p>
        </w:tc>
      </w:tr>
      <w:tr>
        <w:trPr>
          <w:trHeight w:val="196"/>
        </w:trPr>
        <w:tc>
          <w:tcPr>
            <w:tcW w:w="3940" w:type="dxa"/>
            <w:vAlign w:val="bottom"/>
            <w:tcBorders>
              <w:right w:val="single" w:sz="8" w:color="E8EAEB"/>
            </w:tcBorders>
          </w:tcPr>
          <w:p>
            <w:pPr>
              <w:ind w:left="80"/>
              <w:spacing w:after="0"/>
              <w:rPr>
                <w:sz w:val="20"/>
                <w:szCs w:val="20"/>
                <w:color w:val="auto"/>
              </w:rPr>
            </w:pPr>
            <w:r>
              <w:rPr>
                <w:rFonts w:ascii="Arial" w:cs="Arial" w:eastAsia="Arial" w:hAnsi="Arial"/>
                <w:sz w:val="12"/>
                <w:szCs w:val="12"/>
                <w:color w:val="202E39"/>
              </w:rPr>
              <w:t>K. Guru Gowrappan</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04/13/2023</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7"/>
                <w:szCs w:val="17"/>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307,923(3)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34.43</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04/13/2029</w:t>
            </w:r>
          </w:p>
        </w:tc>
        <w:tc>
          <w:tcPr>
            <w:tcW w:w="60" w:type="dxa"/>
            <w:vAlign w:val="bottom"/>
            <w:tcBorders>
              <w:right w:val="single" w:sz="8" w:color="E8EAEB"/>
            </w:tcBorders>
          </w:tcPr>
          <w:p>
            <w:pPr>
              <w:spacing w:after="0"/>
              <w:rPr>
                <w:sz w:val="17"/>
                <w:szCs w:val="17"/>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150,000(4)</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15.96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10/09/2029</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92"/>
        </w:trPr>
        <w:tc>
          <w:tcPr>
            <w:tcW w:w="3940" w:type="dxa"/>
            <w:vAlign w:val="bottom"/>
            <w:tcBorders>
              <w:bottom w:val="single" w:sz="8" w:color="E8EAEB"/>
              <w:right w:val="single" w:sz="8" w:color="E8EAEB"/>
            </w:tcBorders>
          </w:tcPr>
          <w:p>
            <w:pPr>
              <w:spacing w:after="0"/>
              <w:rPr>
                <w:sz w:val="16"/>
                <w:szCs w:val="16"/>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04/13/2023</w:t>
            </w:r>
          </w:p>
        </w:tc>
        <w:tc>
          <w:tcPr>
            <w:tcW w:w="180" w:type="dxa"/>
            <w:vAlign w:val="bottom"/>
            <w:tcBorders>
              <w:bottom w:val="single" w:sz="8" w:color="E8EAEB"/>
            </w:tcBorders>
          </w:tcPr>
          <w:p>
            <w:pPr>
              <w:spacing w:after="0"/>
              <w:rPr>
                <w:sz w:val="16"/>
                <w:szCs w:val="16"/>
                <w:color w:val="auto"/>
              </w:rPr>
            </w:pPr>
          </w:p>
        </w:tc>
        <w:tc>
          <w:tcPr>
            <w:tcW w:w="74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bottom w:val="single" w:sz="8" w:color="E8EAEB"/>
              <w:right w:val="single" w:sz="8" w:color="E8EAEB"/>
            </w:tcBorders>
          </w:tcPr>
          <w:p>
            <w:pPr>
              <w:spacing w:after="0"/>
              <w:rPr>
                <w:sz w:val="16"/>
                <w:szCs w:val="16"/>
                <w:color w:val="auto"/>
              </w:rPr>
            </w:pPr>
          </w:p>
        </w:tc>
        <w:tc>
          <w:tcPr>
            <w:tcW w:w="1240" w:type="dxa"/>
            <w:vAlign w:val="bottom"/>
            <w:tcBorders>
              <w:bottom w:val="single" w:sz="8" w:color="E8EAEB"/>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bottom w:val="single" w:sz="8" w:color="E8EAEB"/>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bottom w:val="single" w:sz="8" w:color="E8EAEB"/>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140"/>
              <w:spacing w:after="0"/>
              <w:rPr>
                <w:sz w:val="20"/>
                <w:szCs w:val="20"/>
                <w:color w:val="auto"/>
              </w:rPr>
            </w:pPr>
            <w:r>
              <w:rPr>
                <w:rFonts w:ascii="Arial" w:cs="Arial" w:eastAsia="Arial" w:hAnsi="Arial"/>
                <w:sz w:val="12"/>
                <w:szCs w:val="12"/>
                <w:color w:val="202E39"/>
              </w:rPr>
              <w:t>212,298</w:t>
            </w:r>
          </w:p>
        </w:tc>
        <w:tc>
          <w:tcPr>
            <w:tcW w:w="62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3,840,471</w:t>
            </w:r>
          </w:p>
        </w:tc>
      </w:tr>
      <w:tr>
        <w:trPr>
          <w:trHeight w:val="196"/>
        </w:trPr>
        <w:tc>
          <w:tcPr>
            <w:tcW w:w="3940" w:type="dxa"/>
            <w:vAlign w:val="bottom"/>
            <w:tcBorders>
              <w:right w:val="single" w:sz="8" w:color="E8EAEB"/>
            </w:tcBorders>
          </w:tcPr>
          <w:p>
            <w:pPr>
              <w:ind w:left="80"/>
              <w:spacing w:after="0"/>
              <w:rPr>
                <w:sz w:val="20"/>
                <w:szCs w:val="20"/>
                <w:color w:val="auto"/>
              </w:rPr>
            </w:pPr>
            <w:r>
              <w:rPr>
                <w:rFonts w:ascii="Arial" w:cs="Arial" w:eastAsia="Arial" w:hAnsi="Arial"/>
                <w:sz w:val="12"/>
                <w:szCs w:val="12"/>
                <w:color w:val="202E39"/>
              </w:rPr>
              <w:t>Shawn Duffy</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7"/>
                <w:szCs w:val="17"/>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53,279(3)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35.66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11/17/2026</w:t>
            </w:r>
          </w:p>
        </w:tc>
        <w:tc>
          <w:tcPr>
            <w:tcW w:w="60" w:type="dxa"/>
            <w:vAlign w:val="bottom"/>
            <w:tcBorders>
              <w:right w:val="single" w:sz="8" w:color="E8EAEB"/>
            </w:tcBorders>
          </w:tcPr>
          <w:p>
            <w:pPr>
              <w:spacing w:after="0"/>
              <w:rPr>
                <w:sz w:val="17"/>
                <w:szCs w:val="17"/>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30,040(3)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53.43</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11/17/2027</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35,000(3)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34.00</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11/17/2028</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43,500(4)</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15.96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10/09/2029</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6,127</w:t>
            </w:r>
          </w:p>
        </w:tc>
        <w:tc>
          <w:tcPr>
            <w:tcW w:w="620" w:type="dxa"/>
            <w:vAlign w:val="bottom"/>
          </w:tcPr>
          <w:p>
            <w:pPr>
              <w:jc w:val="right"/>
              <w:spacing w:after="0"/>
              <w:rPr>
                <w:sz w:val="20"/>
                <w:szCs w:val="20"/>
                <w:color w:val="auto"/>
              </w:rPr>
            </w:pPr>
            <w:r>
              <w:rPr>
                <w:rFonts w:ascii="Arial" w:cs="Arial" w:eastAsia="Arial" w:hAnsi="Arial"/>
                <w:sz w:val="12"/>
                <w:szCs w:val="12"/>
                <w:color w:val="202E39"/>
              </w:rPr>
              <w:t>110,837</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8,850</w:t>
            </w:r>
          </w:p>
        </w:tc>
        <w:tc>
          <w:tcPr>
            <w:tcW w:w="620" w:type="dxa"/>
            <w:vAlign w:val="bottom"/>
          </w:tcPr>
          <w:p>
            <w:pPr>
              <w:jc w:val="right"/>
              <w:spacing w:after="0"/>
              <w:rPr>
                <w:sz w:val="20"/>
                <w:szCs w:val="20"/>
                <w:color w:val="auto"/>
              </w:rPr>
            </w:pPr>
            <w:r>
              <w:rPr>
                <w:rFonts w:ascii="Arial" w:cs="Arial" w:eastAsia="Arial" w:hAnsi="Arial"/>
                <w:sz w:val="12"/>
                <w:szCs w:val="12"/>
                <w:color w:val="202E39"/>
              </w:rPr>
              <w:t>160,097</w:t>
            </w:r>
          </w:p>
        </w:tc>
      </w:tr>
      <w:tr>
        <w:trPr>
          <w:trHeight w:val="192"/>
        </w:trPr>
        <w:tc>
          <w:tcPr>
            <w:tcW w:w="3940" w:type="dxa"/>
            <w:vAlign w:val="bottom"/>
            <w:tcBorders>
              <w:bottom w:val="single" w:sz="8" w:color="E8EAEB"/>
              <w:right w:val="single" w:sz="8" w:color="E8EAEB"/>
            </w:tcBorders>
          </w:tcPr>
          <w:p>
            <w:pPr>
              <w:spacing w:after="0"/>
              <w:rPr>
                <w:sz w:val="16"/>
                <w:szCs w:val="16"/>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06/07/2023</w:t>
            </w:r>
          </w:p>
        </w:tc>
        <w:tc>
          <w:tcPr>
            <w:tcW w:w="180" w:type="dxa"/>
            <w:vAlign w:val="bottom"/>
            <w:tcBorders>
              <w:bottom w:val="single" w:sz="8" w:color="E8EAEB"/>
            </w:tcBorders>
          </w:tcPr>
          <w:p>
            <w:pPr>
              <w:spacing w:after="0"/>
              <w:rPr>
                <w:sz w:val="16"/>
                <w:szCs w:val="16"/>
                <w:color w:val="auto"/>
              </w:rPr>
            </w:pPr>
          </w:p>
        </w:tc>
        <w:tc>
          <w:tcPr>
            <w:tcW w:w="74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bottom w:val="single" w:sz="8" w:color="E8EAEB"/>
              <w:right w:val="single" w:sz="8" w:color="E8EAEB"/>
            </w:tcBorders>
          </w:tcPr>
          <w:p>
            <w:pPr>
              <w:spacing w:after="0"/>
              <w:rPr>
                <w:sz w:val="16"/>
                <w:szCs w:val="16"/>
                <w:color w:val="auto"/>
              </w:rPr>
            </w:pPr>
          </w:p>
        </w:tc>
        <w:tc>
          <w:tcPr>
            <w:tcW w:w="1240" w:type="dxa"/>
            <w:vAlign w:val="bottom"/>
            <w:tcBorders>
              <w:bottom w:val="single" w:sz="8" w:color="E8EAEB"/>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bottom w:val="single" w:sz="8" w:color="E8EAEB"/>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bottom w:val="single" w:sz="8" w:color="E8EAEB"/>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140"/>
              <w:spacing w:after="0"/>
              <w:rPr>
                <w:sz w:val="20"/>
                <w:szCs w:val="20"/>
                <w:color w:val="auto"/>
              </w:rPr>
            </w:pPr>
            <w:r>
              <w:rPr>
                <w:rFonts w:ascii="Arial" w:cs="Arial" w:eastAsia="Arial" w:hAnsi="Arial"/>
                <w:sz w:val="12"/>
                <w:szCs w:val="12"/>
                <w:color w:val="202E39"/>
              </w:rPr>
              <w:t>20,615</w:t>
            </w:r>
          </w:p>
        </w:tc>
        <w:tc>
          <w:tcPr>
            <w:tcW w:w="62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372,925</w:t>
            </w:r>
          </w:p>
        </w:tc>
      </w:tr>
      <w:tr>
        <w:trPr>
          <w:trHeight w:val="196"/>
        </w:trPr>
        <w:tc>
          <w:tcPr>
            <w:tcW w:w="3940" w:type="dxa"/>
            <w:vAlign w:val="bottom"/>
            <w:tcBorders>
              <w:right w:val="single" w:sz="8" w:color="E8EAEB"/>
            </w:tcBorders>
          </w:tcPr>
          <w:p>
            <w:pPr>
              <w:ind w:left="80"/>
              <w:spacing w:after="0"/>
              <w:rPr>
                <w:sz w:val="20"/>
                <w:szCs w:val="20"/>
                <w:color w:val="auto"/>
              </w:rPr>
            </w:pPr>
            <w:r>
              <w:rPr>
                <w:rFonts w:ascii="Arial" w:cs="Arial" w:eastAsia="Arial" w:hAnsi="Arial"/>
                <w:sz w:val="12"/>
                <w:szCs w:val="12"/>
                <w:color w:val="202E39"/>
              </w:rPr>
              <w:t>Kevin Harkenrider</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7"/>
                <w:szCs w:val="17"/>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38,749(3)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35.66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11/17/2026</w:t>
            </w:r>
          </w:p>
        </w:tc>
        <w:tc>
          <w:tcPr>
            <w:tcW w:w="60" w:type="dxa"/>
            <w:vAlign w:val="bottom"/>
            <w:tcBorders>
              <w:right w:val="single" w:sz="8" w:color="E8EAEB"/>
            </w:tcBorders>
          </w:tcPr>
          <w:p>
            <w:pPr>
              <w:spacing w:after="0"/>
              <w:rPr>
                <w:sz w:val="17"/>
                <w:szCs w:val="17"/>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34,546(3)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53.43</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11/17/2027</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50,000(3)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34.00</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11/17/2028</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43,500(4)</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15.96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10/09/2029</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4,456</w:t>
            </w:r>
          </w:p>
        </w:tc>
        <w:tc>
          <w:tcPr>
            <w:tcW w:w="620" w:type="dxa"/>
            <w:vAlign w:val="bottom"/>
          </w:tcPr>
          <w:p>
            <w:pPr>
              <w:jc w:val="right"/>
              <w:spacing w:after="0"/>
              <w:rPr>
                <w:sz w:val="20"/>
                <w:szCs w:val="20"/>
                <w:color w:val="auto"/>
              </w:rPr>
            </w:pPr>
            <w:r>
              <w:rPr>
                <w:rFonts w:ascii="Arial" w:cs="Arial" w:eastAsia="Arial" w:hAnsi="Arial"/>
                <w:sz w:val="12"/>
                <w:szCs w:val="12"/>
                <w:color w:val="202E39"/>
              </w:rPr>
              <w:t>80,609</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10,176</w:t>
            </w:r>
          </w:p>
        </w:tc>
        <w:tc>
          <w:tcPr>
            <w:tcW w:w="620" w:type="dxa"/>
            <w:vAlign w:val="bottom"/>
          </w:tcPr>
          <w:p>
            <w:pPr>
              <w:jc w:val="right"/>
              <w:spacing w:after="0"/>
              <w:rPr>
                <w:sz w:val="20"/>
                <w:szCs w:val="20"/>
                <w:color w:val="auto"/>
              </w:rPr>
            </w:pPr>
            <w:r>
              <w:rPr>
                <w:rFonts w:ascii="Arial" w:cs="Arial" w:eastAsia="Arial" w:hAnsi="Arial"/>
                <w:sz w:val="12"/>
                <w:szCs w:val="12"/>
                <w:color w:val="202E39"/>
              </w:rPr>
              <w:t>184,084</w:t>
            </w:r>
          </w:p>
        </w:tc>
      </w:tr>
      <w:tr>
        <w:trPr>
          <w:trHeight w:val="192"/>
        </w:trPr>
        <w:tc>
          <w:tcPr>
            <w:tcW w:w="3940" w:type="dxa"/>
            <w:vAlign w:val="bottom"/>
            <w:tcBorders>
              <w:bottom w:val="single" w:sz="8" w:color="E8EAEB"/>
              <w:right w:val="single" w:sz="8" w:color="E8EAEB"/>
            </w:tcBorders>
          </w:tcPr>
          <w:p>
            <w:pPr>
              <w:spacing w:after="0"/>
              <w:rPr>
                <w:sz w:val="16"/>
                <w:szCs w:val="16"/>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06/07/2023</w:t>
            </w:r>
          </w:p>
        </w:tc>
        <w:tc>
          <w:tcPr>
            <w:tcW w:w="180" w:type="dxa"/>
            <w:vAlign w:val="bottom"/>
            <w:tcBorders>
              <w:bottom w:val="single" w:sz="8" w:color="E8EAEB"/>
            </w:tcBorders>
          </w:tcPr>
          <w:p>
            <w:pPr>
              <w:spacing w:after="0"/>
              <w:rPr>
                <w:sz w:val="16"/>
                <w:szCs w:val="16"/>
                <w:color w:val="auto"/>
              </w:rPr>
            </w:pPr>
          </w:p>
        </w:tc>
        <w:tc>
          <w:tcPr>
            <w:tcW w:w="74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bottom w:val="single" w:sz="8" w:color="E8EAEB"/>
              <w:right w:val="single" w:sz="8" w:color="E8EAEB"/>
            </w:tcBorders>
          </w:tcPr>
          <w:p>
            <w:pPr>
              <w:spacing w:after="0"/>
              <w:rPr>
                <w:sz w:val="16"/>
                <w:szCs w:val="16"/>
                <w:color w:val="auto"/>
              </w:rPr>
            </w:pPr>
          </w:p>
        </w:tc>
        <w:tc>
          <w:tcPr>
            <w:tcW w:w="1240" w:type="dxa"/>
            <w:vAlign w:val="bottom"/>
            <w:tcBorders>
              <w:bottom w:val="single" w:sz="8" w:color="E8EAEB"/>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bottom w:val="single" w:sz="8" w:color="E8EAEB"/>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bottom w:val="single" w:sz="8" w:color="E8EAEB"/>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140"/>
              <w:spacing w:after="0"/>
              <w:rPr>
                <w:sz w:val="20"/>
                <w:szCs w:val="20"/>
                <w:color w:val="auto"/>
              </w:rPr>
            </w:pPr>
            <w:r>
              <w:rPr>
                <w:rFonts w:ascii="Arial" w:cs="Arial" w:eastAsia="Arial" w:hAnsi="Arial"/>
                <w:sz w:val="12"/>
                <w:szCs w:val="12"/>
                <w:color w:val="202E39"/>
              </w:rPr>
              <w:t>29,450</w:t>
            </w:r>
          </w:p>
        </w:tc>
        <w:tc>
          <w:tcPr>
            <w:tcW w:w="62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532,751</w:t>
            </w:r>
          </w:p>
        </w:tc>
      </w:tr>
      <w:tr>
        <w:trPr>
          <w:trHeight w:val="196"/>
        </w:trPr>
        <w:tc>
          <w:tcPr>
            <w:tcW w:w="3940" w:type="dxa"/>
            <w:vAlign w:val="bottom"/>
            <w:tcBorders>
              <w:right w:val="single" w:sz="8" w:color="E8EAEB"/>
            </w:tcBorders>
          </w:tcPr>
          <w:p>
            <w:pPr>
              <w:ind w:left="80"/>
              <w:spacing w:after="0"/>
              <w:rPr>
                <w:sz w:val="20"/>
                <w:szCs w:val="20"/>
                <w:color w:val="auto"/>
              </w:rPr>
            </w:pPr>
            <w:r>
              <w:rPr>
                <w:rFonts w:ascii="Arial" w:cs="Arial" w:eastAsia="Arial" w:hAnsi="Arial"/>
                <w:sz w:val="12"/>
                <w:szCs w:val="12"/>
                <w:color w:val="202E39"/>
              </w:rPr>
              <w:t>Craig Miller</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7"/>
                <w:szCs w:val="17"/>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25,534(3)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53.43</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11/17/2027</w:t>
            </w:r>
          </w:p>
        </w:tc>
        <w:tc>
          <w:tcPr>
            <w:tcW w:w="60" w:type="dxa"/>
            <w:vAlign w:val="bottom"/>
            <w:tcBorders>
              <w:right w:val="single" w:sz="8" w:color="E8EAEB"/>
            </w:tcBorders>
          </w:tcPr>
          <w:p>
            <w:pPr>
              <w:spacing w:after="0"/>
              <w:rPr>
                <w:sz w:val="17"/>
                <w:szCs w:val="17"/>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30,000(3)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34.00</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11/17/2028</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50,000(4)</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15.96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10/09/2029</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1,814</w:t>
            </w:r>
          </w:p>
        </w:tc>
        <w:tc>
          <w:tcPr>
            <w:tcW w:w="620" w:type="dxa"/>
            <w:vAlign w:val="bottom"/>
          </w:tcPr>
          <w:p>
            <w:pPr>
              <w:jc w:val="right"/>
              <w:spacing w:after="0"/>
              <w:rPr>
                <w:sz w:val="20"/>
                <w:szCs w:val="20"/>
                <w:color w:val="auto"/>
              </w:rPr>
            </w:pPr>
            <w:r>
              <w:rPr>
                <w:rFonts w:ascii="Arial" w:cs="Arial" w:eastAsia="Arial" w:hAnsi="Arial"/>
                <w:sz w:val="12"/>
                <w:szCs w:val="12"/>
                <w:color w:val="202E39"/>
              </w:rPr>
              <w:t>32,815</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jc w:val="right"/>
              <w:ind w:right="140"/>
              <w:spacing w:after="0"/>
              <w:rPr>
                <w:sz w:val="20"/>
                <w:szCs w:val="20"/>
                <w:color w:val="auto"/>
              </w:rPr>
            </w:pPr>
            <w:r>
              <w:rPr>
                <w:rFonts w:ascii="Arial" w:cs="Arial" w:eastAsia="Arial" w:hAnsi="Arial"/>
                <w:sz w:val="12"/>
                <w:szCs w:val="12"/>
                <w:color w:val="202E39"/>
              </w:rPr>
              <w:t>7,522</w:t>
            </w:r>
          </w:p>
        </w:tc>
        <w:tc>
          <w:tcPr>
            <w:tcW w:w="620" w:type="dxa"/>
            <w:vAlign w:val="bottom"/>
          </w:tcPr>
          <w:p>
            <w:pPr>
              <w:jc w:val="right"/>
              <w:spacing w:after="0"/>
              <w:rPr>
                <w:sz w:val="20"/>
                <w:szCs w:val="20"/>
                <w:color w:val="auto"/>
              </w:rPr>
            </w:pPr>
            <w:r>
              <w:rPr>
                <w:rFonts w:ascii="Arial" w:cs="Arial" w:eastAsia="Arial" w:hAnsi="Arial"/>
                <w:sz w:val="12"/>
                <w:szCs w:val="12"/>
                <w:color w:val="202E39"/>
              </w:rPr>
              <w:t>136,073</w:t>
            </w:r>
          </w:p>
        </w:tc>
      </w:tr>
      <w:tr>
        <w:trPr>
          <w:trHeight w:val="192"/>
        </w:trPr>
        <w:tc>
          <w:tcPr>
            <w:tcW w:w="3940" w:type="dxa"/>
            <w:vAlign w:val="bottom"/>
            <w:tcBorders>
              <w:bottom w:val="single" w:sz="8" w:color="E8EAEB"/>
              <w:right w:val="single" w:sz="8" w:color="E8EAEB"/>
            </w:tcBorders>
          </w:tcPr>
          <w:p>
            <w:pPr>
              <w:spacing w:after="0"/>
              <w:rPr>
                <w:sz w:val="16"/>
                <w:szCs w:val="16"/>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06/07/2023</w:t>
            </w:r>
          </w:p>
        </w:tc>
        <w:tc>
          <w:tcPr>
            <w:tcW w:w="180" w:type="dxa"/>
            <w:vAlign w:val="bottom"/>
            <w:tcBorders>
              <w:bottom w:val="single" w:sz="8" w:color="E8EAEB"/>
            </w:tcBorders>
          </w:tcPr>
          <w:p>
            <w:pPr>
              <w:spacing w:after="0"/>
              <w:rPr>
                <w:sz w:val="16"/>
                <w:szCs w:val="16"/>
                <w:color w:val="auto"/>
              </w:rPr>
            </w:pPr>
          </w:p>
        </w:tc>
        <w:tc>
          <w:tcPr>
            <w:tcW w:w="74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bottom w:val="single" w:sz="8" w:color="E8EAEB"/>
              <w:right w:val="single" w:sz="8" w:color="E8EAEB"/>
            </w:tcBorders>
          </w:tcPr>
          <w:p>
            <w:pPr>
              <w:spacing w:after="0"/>
              <w:rPr>
                <w:sz w:val="16"/>
                <w:szCs w:val="16"/>
                <w:color w:val="auto"/>
              </w:rPr>
            </w:pPr>
          </w:p>
        </w:tc>
        <w:tc>
          <w:tcPr>
            <w:tcW w:w="1240" w:type="dxa"/>
            <w:vAlign w:val="bottom"/>
            <w:tcBorders>
              <w:bottom w:val="single" w:sz="8" w:color="E8EAEB"/>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bottom w:val="single" w:sz="8" w:color="E8EAEB"/>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720" w:type="dxa"/>
            <w:vAlign w:val="bottom"/>
            <w:tcBorders>
              <w:bottom w:val="single" w:sz="8" w:color="E8EAEB"/>
              <w:right w:val="single" w:sz="8" w:color="E8EAEB"/>
            </w:tcBorders>
          </w:tcPr>
          <w:p>
            <w:pPr>
              <w:jc w:val="right"/>
              <w:ind w:right="179"/>
              <w:spacing w:after="0"/>
              <w:rPr>
                <w:sz w:val="20"/>
                <w:szCs w:val="20"/>
                <w:color w:val="auto"/>
              </w:rPr>
            </w:pPr>
            <w:r>
              <w:rPr>
                <w:rFonts w:ascii="Arial" w:cs="Arial" w:eastAsia="Arial" w:hAnsi="Arial"/>
                <w:sz w:val="12"/>
                <w:szCs w:val="12"/>
                <w:color w:val="202E39"/>
              </w:rPr>
              <w:t>— </w:t>
            </w: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2"/>
                <w:szCs w:val="12"/>
                <w:color w:val="202E39"/>
              </w:rPr>
              <w:t>— </w:t>
            </w:r>
          </w:p>
        </w:tc>
        <w:tc>
          <w:tcPr>
            <w:tcW w:w="60" w:type="dxa"/>
            <w:vAlign w:val="bottom"/>
            <w:tcBorders>
              <w:bottom w:val="single" w:sz="8" w:color="E8EAEB"/>
              <w:right w:val="single" w:sz="8" w:color="E8EAEB"/>
            </w:tcBorders>
          </w:tcPr>
          <w:p>
            <w:pPr>
              <w:spacing w:after="0"/>
              <w:rPr>
                <w:sz w:val="16"/>
                <w:szCs w:val="16"/>
                <w:color w:val="auto"/>
              </w:rPr>
            </w:pPr>
          </w:p>
        </w:tc>
        <w:tc>
          <w:tcPr>
            <w:tcW w:w="840" w:type="dxa"/>
            <w:vAlign w:val="bottom"/>
            <w:tcBorders>
              <w:bottom w:val="single" w:sz="8" w:color="E8EAEB"/>
              <w:right w:val="single" w:sz="8" w:color="E8EAEB"/>
            </w:tcBorders>
          </w:tcPr>
          <w:p>
            <w:pPr>
              <w:jc w:val="right"/>
              <w:ind w:right="140"/>
              <w:spacing w:after="0"/>
              <w:rPr>
                <w:sz w:val="20"/>
                <w:szCs w:val="20"/>
                <w:color w:val="auto"/>
              </w:rPr>
            </w:pPr>
            <w:r>
              <w:rPr>
                <w:rFonts w:ascii="Arial" w:cs="Arial" w:eastAsia="Arial" w:hAnsi="Arial"/>
                <w:sz w:val="12"/>
                <w:szCs w:val="12"/>
                <w:color w:val="202E39"/>
              </w:rPr>
              <w:t>17,670</w:t>
            </w:r>
          </w:p>
        </w:tc>
        <w:tc>
          <w:tcPr>
            <w:tcW w:w="620" w:type="dxa"/>
            <w:vAlign w:val="bottom"/>
            <w:tcBorders>
              <w:bottom w:val="single" w:sz="8" w:color="E8EAEB"/>
            </w:tcBorders>
          </w:tcPr>
          <w:p>
            <w:pPr>
              <w:jc w:val="right"/>
              <w:spacing w:after="0"/>
              <w:rPr>
                <w:sz w:val="20"/>
                <w:szCs w:val="20"/>
                <w:color w:val="auto"/>
              </w:rPr>
            </w:pPr>
            <w:r>
              <w:rPr>
                <w:rFonts w:ascii="Arial" w:cs="Arial" w:eastAsia="Arial" w:hAnsi="Arial"/>
                <w:sz w:val="12"/>
                <w:szCs w:val="12"/>
                <w:color w:val="202E39"/>
              </w:rPr>
              <w:t>319,650</w:t>
            </w:r>
          </w:p>
        </w:tc>
      </w:tr>
      <w:tr>
        <w:trPr>
          <w:trHeight w:val="196"/>
        </w:trPr>
        <w:tc>
          <w:tcPr>
            <w:tcW w:w="3940" w:type="dxa"/>
            <w:vAlign w:val="bottom"/>
            <w:tcBorders>
              <w:right w:val="single" w:sz="8" w:color="E8EAEB"/>
            </w:tcBorders>
          </w:tcPr>
          <w:p>
            <w:pPr>
              <w:ind w:left="80"/>
              <w:spacing w:after="0"/>
              <w:rPr>
                <w:sz w:val="20"/>
                <w:szCs w:val="20"/>
                <w:color w:val="auto"/>
              </w:rPr>
            </w:pPr>
            <w:r>
              <w:rPr>
                <w:rFonts w:ascii="Arial" w:cs="Arial" w:eastAsia="Arial" w:hAnsi="Arial"/>
                <w:sz w:val="12"/>
                <w:szCs w:val="12"/>
                <w:color w:val="202E39"/>
              </w:rPr>
              <w:t>David Ryan</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7"/>
                <w:szCs w:val="17"/>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43,592(3)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35.66</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11/17/2026</w:t>
            </w:r>
          </w:p>
        </w:tc>
        <w:tc>
          <w:tcPr>
            <w:tcW w:w="60" w:type="dxa"/>
            <w:vAlign w:val="bottom"/>
            <w:tcBorders>
              <w:right w:val="single" w:sz="8" w:color="E8EAEB"/>
            </w:tcBorders>
          </w:tcPr>
          <w:p>
            <w:pPr>
              <w:spacing w:after="0"/>
              <w:rPr>
                <w:sz w:val="17"/>
                <w:szCs w:val="17"/>
                <w:color w:val="auto"/>
              </w:rPr>
            </w:pPr>
          </w:p>
        </w:tc>
        <w:tc>
          <w:tcPr>
            <w:tcW w:w="840" w:type="dxa"/>
            <w:vAlign w:val="bottom"/>
            <w:tcBorders>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Pr>
          <w:p>
            <w:pPr>
              <w:jc w:val="right"/>
              <w:spacing w:after="0"/>
              <w:rPr>
                <w:sz w:val="20"/>
                <w:szCs w:val="20"/>
                <w:color w:val="auto"/>
              </w:rPr>
            </w:pPr>
            <w:r>
              <w:rPr>
                <w:rFonts w:ascii="Arial" w:cs="Arial" w:eastAsia="Arial" w:hAnsi="Arial"/>
                <w:sz w:val="12"/>
                <w:szCs w:val="12"/>
                <w:color w:val="202E39"/>
              </w:rPr>
              <w:t>— </w:t>
            </w:r>
          </w:p>
        </w:tc>
      </w:tr>
      <w:tr>
        <w:trPr>
          <w:trHeight w:val="184"/>
        </w:trPr>
        <w:tc>
          <w:tcPr>
            <w:tcW w:w="3940" w:type="dxa"/>
            <w:vAlign w:val="bottom"/>
            <w:tcBorders>
              <w:right w:val="single" w:sz="8" w:color="E8EAEB"/>
            </w:tcBorders>
          </w:tcPr>
          <w:p>
            <w:pPr>
              <w:spacing w:after="0"/>
              <w:rPr>
                <w:sz w:val="16"/>
                <w:szCs w:val="16"/>
                <w:color w:val="auto"/>
              </w:rPr>
            </w:pP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right w:val="single" w:sz="8" w:color="E8EAEB"/>
            </w:tcBorders>
          </w:tcPr>
          <w:p>
            <w:pPr>
              <w:spacing w:after="0"/>
              <w:rPr>
                <w:sz w:val="16"/>
                <w:szCs w:val="16"/>
                <w:color w:val="auto"/>
              </w:rPr>
            </w:pPr>
          </w:p>
        </w:tc>
        <w:tc>
          <w:tcPr>
            <w:tcW w:w="1240" w:type="dxa"/>
            <w:vAlign w:val="bottom"/>
            <w:tcBorders>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25,534(3)</w:t>
            </w:r>
          </w:p>
        </w:tc>
        <w:tc>
          <w:tcPr>
            <w:tcW w:w="720" w:type="dxa"/>
            <w:vAlign w:val="bottom"/>
            <w:tcBorders>
              <w:right w:val="single" w:sz="8" w:color="E8EAEB"/>
            </w:tcBorders>
          </w:tcPr>
          <w:p>
            <w:pPr>
              <w:jc w:val="right"/>
              <w:ind w:right="139"/>
              <w:spacing w:after="0"/>
              <w:rPr>
                <w:sz w:val="20"/>
                <w:szCs w:val="20"/>
                <w:color w:val="auto"/>
              </w:rPr>
            </w:pPr>
            <w:r>
              <w:rPr>
                <w:rFonts w:ascii="Arial" w:cs="Arial" w:eastAsia="Arial" w:hAnsi="Arial"/>
                <w:sz w:val="12"/>
                <w:szCs w:val="12"/>
                <w:color w:val="202E39"/>
              </w:rPr>
              <w:t>53.43</w:t>
            </w:r>
          </w:p>
        </w:tc>
        <w:tc>
          <w:tcPr>
            <w:tcW w:w="680" w:type="dxa"/>
            <w:vAlign w:val="bottom"/>
            <w:tcBorders>
              <w:right w:val="single" w:sz="8" w:color="E8EAEB"/>
            </w:tcBorders>
          </w:tcPr>
          <w:p>
            <w:pPr>
              <w:jc w:val="right"/>
              <w:spacing w:after="0"/>
              <w:rPr>
                <w:sz w:val="20"/>
                <w:szCs w:val="20"/>
                <w:color w:val="auto"/>
              </w:rPr>
            </w:pPr>
            <w:r>
              <w:rPr>
                <w:rFonts w:ascii="Arial" w:cs="Arial" w:eastAsia="Arial" w:hAnsi="Arial"/>
                <w:sz w:val="12"/>
                <w:szCs w:val="12"/>
                <w:color w:val="202E39"/>
              </w:rPr>
              <w:t>11/17/2027</w:t>
            </w:r>
          </w:p>
        </w:tc>
        <w:tc>
          <w:tcPr>
            <w:tcW w:w="60" w:type="dxa"/>
            <w:vAlign w:val="bottom"/>
            <w:tcBorders>
              <w:right w:val="single" w:sz="8" w:color="E8EAEB"/>
            </w:tcBorders>
          </w:tcPr>
          <w:p>
            <w:pPr>
              <w:spacing w:after="0"/>
              <w:rPr>
                <w:sz w:val="16"/>
                <w:szCs w:val="16"/>
                <w:color w:val="auto"/>
              </w:rPr>
            </w:pPr>
          </w:p>
        </w:tc>
        <w:tc>
          <w:tcPr>
            <w:tcW w:w="840" w:type="dxa"/>
            <w:vAlign w:val="bottom"/>
            <w:tcBorders>
              <w:right w:val="single" w:sz="8" w:color="E8EAEB"/>
            </w:tcBorders>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3940" w:type="dxa"/>
            <w:vAlign w:val="bottom"/>
            <w:tcBorders>
              <w:bottom w:val="single" w:sz="8" w:color="009FE3"/>
              <w:right w:val="single" w:sz="8" w:color="E8EAEB"/>
            </w:tcBorders>
          </w:tcPr>
          <w:p>
            <w:pPr>
              <w:spacing w:after="0"/>
              <w:rPr>
                <w:sz w:val="16"/>
                <w:szCs w:val="16"/>
                <w:color w:val="auto"/>
              </w:rPr>
            </w:pPr>
          </w:p>
        </w:tc>
        <w:tc>
          <w:tcPr>
            <w:tcW w:w="6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2"/>
                <w:szCs w:val="12"/>
                <w:color w:val="202E39"/>
              </w:rPr>
              <w:t>11/17/2022</w:t>
            </w:r>
          </w:p>
        </w:tc>
        <w:tc>
          <w:tcPr>
            <w:tcW w:w="180" w:type="dxa"/>
            <w:vAlign w:val="bottom"/>
            <w:tcBorders>
              <w:bottom w:val="single" w:sz="8" w:color="009FE3"/>
            </w:tcBorders>
          </w:tcPr>
          <w:p>
            <w:pPr>
              <w:spacing w:after="0"/>
              <w:rPr>
                <w:sz w:val="16"/>
                <w:szCs w:val="16"/>
                <w:color w:val="auto"/>
              </w:rPr>
            </w:pPr>
          </w:p>
        </w:tc>
        <w:tc>
          <w:tcPr>
            <w:tcW w:w="740" w:type="dxa"/>
            <w:vAlign w:val="bottom"/>
            <w:tcBorders>
              <w:bottom w:val="single" w:sz="8" w:color="009FE3"/>
            </w:tcBorders>
          </w:tcPr>
          <w:p>
            <w:pPr>
              <w:jc w:val="right"/>
              <w:spacing w:after="0"/>
              <w:rPr>
                <w:sz w:val="20"/>
                <w:szCs w:val="20"/>
                <w:color w:val="auto"/>
              </w:rPr>
            </w:pPr>
            <w:r>
              <w:rPr>
                <w:rFonts w:ascii="Arial" w:cs="Arial" w:eastAsia="Arial" w:hAnsi="Arial"/>
                <w:sz w:val="12"/>
                <w:szCs w:val="12"/>
                <w:color w:val="202E39"/>
              </w:rPr>
              <w:t>— </w:t>
            </w:r>
          </w:p>
        </w:tc>
        <w:tc>
          <w:tcPr>
            <w:tcW w:w="200" w:type="dxa"/>
            <w:vAlign w:val="bottom"/>
            <w:tcBorders>
              <w:bottom w:val="single" w:sz="8" w:color="009FE3"/>
              <w:right w:val="single" w:sz="8" w:color="E8EAEB"/>
            </w:tcBorders>
          </w:tcPr>
          <w:p>
            <w:pPr>
              <w:spacing w:after="0"/>
              <w:rPr>
                <w:sz w:val="16"/>
                <w:szCs w:val="16"/>
                <w:color w:val="auto"/>
              </w:rPr>
            </w:pPr>
          </w:p>
        </w:tc>
        <w:tc>
          <w:tcPr>
            <w:tcW w:w="1240" w:type="dxa"/>
            <w:vAlign w:val="bottom"/>
            <w:tcBorders>
              <w:bottom w:val="single" w:sz="8" w:color="009FE3"/>
              <w:right w:val="single" w:sz="8" w:color="E8EAEB"/>
            </w:tcBorders>
          </w:tcPr>
          <w:p>
            <w:pPr>
              <w:ind w:left="860"/>
              <w:spacing w:after="0"/>
              <w:rPr>
                <w:sz w:val="20"/>
                <w:szCs w:val="20"/>
                <w:color w:val="auto"/>
              </w:rPr>
            </w:pPr>
            <w:r>
              <w:rPr>
                <w:rFonts w:ascii="Arial" w:cs="Arial" w:eastAsia="Arial" w:hAnsi="Arial"/>
                <w:sz w:val="12"/>
                <w:szCs w:val="12"/>
                <w:color w:val="202E39"/>
              </w:rPr>
              <w:t>— </w:t>
            </w:r>
          </w:p>
        </w:tc>
        <w:tc>
          <w:tcPr>
            <w:tcW w:w="84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2"/>
                <w:szCs w:val="12"/>
                <w:color w:val="202E39"/>
              </w:rPr>
              <w:t>25,000(3)</w:t>
            </w:r>
          </w:p>
        </w:tc>
        <w:tc>
          <w:tcPr>
            <w:tcW w:w="720" w:type="dxa"/>
            <w:vAlign w:val="bottom"/>
            <w:tcBorders>
              <w:bottom w:val="single" w:sz="8" w:color="009FE3"/>
              <w:right w:val="single" w:sz="8" w:color="E8EAEB"/>
            </w:tcBorders>
          </w:tcPr>
          <w:p>
            <w:pPr>
              <w:jc w:val="right"/>
              <w:ind w:right="139"/>
              <w:spacing w:after="0"/>
              <w:rPr>
                <w:sz w:val="20"/>
                <w:szCs w:val="20"/>
                <w:color w:val="auto"/>
              </w:rPr>
            </w:pPr>
            <w:r>
              <w:rPr>
                <w:rFonts w:ascii="Arial" w:cs="Arial" w:eastAsia="Arial" w:hAnsi="Arial"/>
                <w:sz w:val="12"/>
                <w:szCs w:val="12"/>
                <w:color w:val="202E39"/>
              </w:rPr>
              <w:t>34.00</w:t>
            </w:r>
          </w:p>
        </w:tc>
        <w:tc>
          <w:tcPr>
            <w:tcW w:w="6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2"/>
                <w:szCs w:val="12"/>
                <w:color w:val="202E39"/>
              </w:rPr>
              <w:t>11/17/2028</w:t>
            </w:r>
          </w:p>
        </w:tc>
        <w:tc>
          <w:tcPr>
            <w:tcW w:w="60" w:type="dxa"/>
            <w:vAlign w:val="bottom"/>
            <w:tcBorders>
              <w:bottom w:val="single" w:sz="8" w:color="009FE3"/>
              <w:right w:val="single" w:sz="8" w:color="E8EAEB"/>
            </w:tcBorders>
          </w:tcPr>
          <w:p>
            <w:pPr>
              <w:spacing w:after="0"/>
              <w:rPr>
                <w:sz w:val="16"/>
                <w:szCs w:val="16"/>
                <w:color w:val="auto"/>
              </w:rPr>
            </w:pPr>
          </w:p>
        </w:tc>
        <w:tc>
          <w:tcPr>
            <w:tcW w:w="840" w:type="dxa"/>
            <w:vAlign w:val="bottom"/>
            <w:tcBorders>
              <w:bottom w:val="single" w:sz="8" w:color="009FE3"/>
              <w:right w:val="single" w:sz="8" w:color="E8EAEB"/>
            </w:tcBorders>
          </w:tcPr>
          <w:p>
            <w:pPr>
              <w:jc w:val="right"/>
              <w:ind w:right="160"/>
              <w:spacing w:after="0"/>
              <w:rPr>
                <w:sz w:val="20"/>
                <w:szCs w:val="20"/>
                <w:color w:val="auto"/>
              </w:rPr>
            </w:pPr>
            <w:r>
              <w:rPr>
                <w:rFonts w:ascii="Arial" w:cs="Arial" w:eastAsia="Arial" w:hAnsi="Arial"/>
                <w:sz w:val="12"/>
                <w:szCs w:val="12"/>
                <w:color w:val="202E39"/>
              </w:rPr>
              <w:t>— </w:t>
            </w:r>
          </w:p>
        </w:tc>
        <w:tc>
          <w:tcPr>
            <w:tcW w:w="620" w:type="dxa"/>
            <w:vAlign w:val="bottom"/>
            <w:tcBorders>
              <w:bottom w:val="single" w:sz="8" w:color="009FE3"/>
            </w:tcBorders>
          </w:tcPr>
          <w:p>
            <w:pPr>
              <w:jc w:val="right"/>
              <w:spacing w:after="0"/>
              <w:rPr>
                <w:sz w:val="20"/>
                <w:szCs w:val="20"/>
                <w:color w:val="auto"/>
              </w:rPr>
            </w:pPr>
            <w:r>
              <w:rPr>
                <w:rFonts w:ascii="Arial" w:cs="Arial" w:eastAsia="Arial" w:hAnsi="Arial"/>
                <w:sz w:val="12"/>
                <w:szCs w:val="12"/>
                <w:color w:val="202E39"/>
              </w:rPr>
              <w:t>— </w:t>
            </w:r>
          </w:p>
        </w:tc>
      </w:tr>
    </w:tbl>
    <w:p>
      <w:pPr>
        <w:spacing w:after="0" w:line="109" w:lineRule="exact"/>
        <w:rPr>
          <w:sz w:val="20"/>
          <w:szCs w:val="20"/>
          <w:color w:val="auto"/>
        </w:rPr>
      </w:pPr>
    </w:p>
    <w:p>
      <w:pPr>
        <w:ind w:left="680" w:hanging="419"/>
        <w:spacing w:after="0"/>
        <w:tabs>
          <w:tab w:leader="none" w:pos="68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2" w:lineRule="exact"/>
        <w:rPr>
          <w:rFonts w:ascii="Arial" w:cs="Arial" w:eastAsia="Arial" w:hAnsi="Arial"/>
          <w:sz w:val="14"/>
          <w:szCs w:val="14"/>
          <w:color w:val="202E39"/>
        </w:rPr>
      </w:pPr>
    </w:p>
    <w:p>
      <w:pPr>
        <w:ind w:left="680" w:right="440" w:hanging="419"/>
        <w:spacing w:after="0" w:line="270" w:lineRule="auto"/>
        <w:tabs>
          <w:tab w:leader="none" w:pos="68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Computed by multiplying the closing price of our common stock on March 28, 2024 ($18.09 per share), the last trading day of fiscal year 2024, by the number of shares subject to such stock award.</w:t>
      </w:r>
    </w:p>
    <w:p>
      <w:pPr>
        <w:spacing w:after="0" w:line="18" w:lineRule="exact"/>
        <w:rPr>
          <w:rFonts w:ascii="Arial" w:cs="Arial" w:eastAsia="Arial" w:hAnsi="Arial"/>
          <w:sz w:val="14"/>
          <w:szCs w:val="14"/>
          <w:color w:val="202E39"/>
        </w:rPr>
      </w:pPr>
    </w:p>
    <w:p>
      <w:pPr>
        <w:ind w:left="680" w:right="60" w:hanging="419"/>
        <w:spacing w:after="0" w:line="239" w:lineRule="auto"/>
        <w:tabs>
          <w:tab w:leader="none" w:pos="68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of the fourth year after the date of grant (or, with respect to the award granted to Mr. Gowrappan, March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(or, with respect to the award granted to Mr. Gowrappan, March 31 of the fourth year after the date of grant). The performance-based stock options must be vested under both the time-based vesting schedule and the performance-based vesting conditions to become exercisable by the Named Executive Officer. The performance-based stock options are reflected in the table above at “target” performance levels.</w:t>
      </w:r>
    </w:p>
    <w:p>
      <w:pPr>
        <w:spacing w:after="0" w:line="121"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51</w:t>
      </w:r>
    </w:p>
    <w:p>
      <w:pPr>
        <w:sectPr>
          <w:pgSz w:w="11900" w:h="16838" w:orient="portrait"/>
          <w:cols w:equalWidth="0" w:num="1">
            <w:col w:w="11000"/>
          </w:cols>
          <w:pgMar w:left="320" w:top="474" w:right="5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Outstanding Equity Awards at 2024 Fiscal Year End</w:t>
      </w:r>
    </w:p>
    <w:p>
      <w:pPr>
        <w:spacing w:after="0" w:line="141" w:lineRule="exact"/>
        <w:rPr>
          <w:sz w:val="20"/>
          <w:szCs w:val="20"/>
          <w:color w:val="auto"/>
        </w:rPr>
      </w:pPr>
    </w:p>
    <w:p>
      <w:pPr>
        <w:ind w:left="680" w:hanging="419"/>
        <w:spacing w:after="0"/>
        <w:tabs>
          <w:tab w:leader="none" w:pos="680" w:val="left"/>
        </w:tabs>
        <w:numPr>
          <w:ilvl w:val="0"/>
          <w:numId w:val="52"/>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continued service over a three-year time-based vesting schedule, and</w:t>
      </w:r>
    </w:p>
    <w:p>
      <w:pPr>
        <w:spacing w:after="0" w:line="10" w:lineRule="exact"/>
        <w:rPr>
          <w:rFonts w:ascii="Arial" w:cs="Arial" w:eastAsia="Arial" w:hAnsi="Arial"/>
          <w:sz w:val="14"/>
          <w:szCs w:val="14"/>
          <w:color w:val="202E39"/>
        </w:rPr>
      </w:pPr>
    </w:p>
    <w:p>
      <w:pPr>
        <w:ind w:left="680"/>
        <w:spacing w:after="0" w:line="239" w:lineRule="auto"/>
        <w:rPr>
          <w:rFonts w:ascii="Arial" w:cs="Arial" w:eastAsia="Arial" w:hAnsi="Arial"/>
          <w:sz w:val="14"/>
          <w:szCs w:val="14"/>
          <w:color w:val="202E39"/>
        </w:rPr>
      </w:pPr>
      <w:r>
        <w:rPr>
          <w:rFonts w:ascii="Arial" w:cs="Arial" w:eastAsia="Arial" w:hAnsi="Arial"/>
          <w:sz w:val="14"/>
          <w:szCs w:val="14"/>
          <w:color w:val="202E39"/>
        </w:rPr>
        <w:t>(b) in part dependent on the company’s achievement of stock price hurdles over the same three-year performance period ending October 9, 2026. The number of options that will ultimately become vested and exercisable at the end of the four-year vesting schedule will range from 0% to 250% of the target number of options. The performance-based stock options must be vested under both the time-based vesting schedule and the performance-based vesting conditions to become exercisable by the Named Executive Officer. The performance-based stock options are reflected in the table above at “target”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82550</wp:posOffset>
            </wp:positionV>
            <wp:extent cx="425450" cy="150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52       </w:t>
      </w:r>
    </w:p>
    <w:p>
      <w:pPr>
        <w:sectPr>
          <w:pgSz w:w="11900" w:h="16838" w:orient="portrait"/>
          <w:cols w:equalWidth="0" w:num="1">
            <w:col w:w="10740"/>
          </w:cols>
          <w:pgMar w:left="320" w:top="474" w:right="8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542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Option Exercises and Stock Vested in Fiscal Year 2024</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Option Exercises and Stock Vested in Fiscal Year 2024</w:t>
      </w:r>
    </w:p>
    <w:p>
      <w:pPr>
        <w:spacing w:after="0" w:line="124" w:lineRule="exact"/>
        <w:rPr>
          <w:sz w:val="20"/>
          <w:szCs w:val="20"/>
          <w:color w:val="auto"/>
        </w:rPr>
      </w:pPr>
    </w:p>
    <w:p>
      <w:pPr>
        <w:ind w:left="260" w:right="380"/>
        <w:spacing w:after="0" w:line="269" w:lineRule="auto"/>
        <w:rPr>
          <w:sz w:val="20"/>
          <w:szCs w:val="20"/>
          <w:color w:val="auto"/>
        </w:rPr>
      </w:pPr>
      <w:r>
        <w:rPr>
          <w:rFonts w:ascii="Arial" w:cs="Arial" w:eastAsia="Arial" w:hAnsi="Arial"/>
          <w:sz w:val="16"/>
          <w:szCs w:val="16"/>
          <w:color w:val="202E39"/>
        </w:rPr>
        <w:t>The following table provides information concerning exercises of stock options by and stock awards vested for each of the Named Executive Officers during fiscal year 2024:</w:t>
      </w:r>
    </w:p>
    <w:p>
      <w:pPr>
        <w:spacing w:after="0" w:line="184" w:lineRule="exact"/>
        <w:rPr>
          <w:sz w:val="20"/>
          <w:szCs w:val="20"/>
          <w:color w:val="auto"/>
        </w:rPr>
      </w:pPr>
    </w:p>
    <w:tbl>
      <w:tblPr>
        <w:tblLayout w:type="fixed"/>
        <w:tblInd w:w="260" w:type="dxa"/>
        <w:tblCellMar>
          <w:top w:w="0" w:type="dxa"/>
          <w:left w:w="0" w:type="dxa"/>
          <w:bottom w:w="0" w:type="dxa"/>
          <w:right w:w="0" w:type="dxa"/>
        </w:tblCellMar>
      </w:tblPr>
      <w:tr>
        <w:trPr>
          <w:trHeight w:val="236"/>
        </w:trPr>
        <w:tc>
          <w:tcPr>
            <w:tcW w:w="3240" w:type="dxa"/>
            <w:vAlign w:val="bottom"/>
            <w:tcBorders>
              <w:top w:val="single" w:sz="8" w:color="E8EAEB"/>
              <w:right w:val="single" w:sz="8" w:color="E8EAEB"/>
            </w:tcBorders>
          </w:tcPr>
          <w:p>
            <w:pPr>
              <w:spacing w:after="0"/>
              <w:rPr>
                <w:sz w:val="20"/>
                <w:szCs w:val="20"/>
                <w:color w:val="auto"/>
              </w:rPr>
            </w:pPr>
          </w:p>
        </w:tc>
        <w:tc>
          <w:tcPr>
            <w:tcW w:w="3020" w:type="dxa"/>
            <w:vAlign w:val="bottom"/>
            <w:tcBorders>
              <w:top w:val="single" w:sz="8" w:color="E8EAEB"/>
              <w:bottom w:val="single" w:sz="8" w:color="009FE3"/>
              <w:right w:val="single" w:sz="8" w:color="E8EAEB"/>
            </w:tcBorders>
            <w:gridSpan w:val="2"/>
          </w:tcPr>
          <w:p>
            <w:pPr>
              <w:ind w:left="1000"/>
              <w:spacing w:after="0"/>
              <w:rPr>
                <w:sz w:val="20"/>
                <w:szCs w:val="20"/>
                <w:color w:val="auto"/>
              </w:rPr>
            </w:pPr>
            <w:r>
              <w:rPr>
                <w:rFonts w:ascii="Arial" w:cs="Arial" w:eastAsia="Arial" w:hAnsi="Arial"/>
                <w:sz w:val="14"/>
                <w:szCs w:val="14"/>
                <w:b w:val="1"/>
                <w:bCs w:val="1"/>
                <w:color w:val="009FE3"/>
              </w:rPr>
              <w:t>Option Awards</w:t>
            </w:r>
          </w:p>
        </w:tc>
        <w:tc>
          <w:tcPr>
            <w:tcW w:w="240" w:type="dxa"/>
            <w:vAlign w:val="bottom"/>
            <w:tcBorders>
              <w:top w:val="single" w:sz="8" w:color="E8EAEB"/>
              <w:right w:val="single" w:sz="8" w:color="E8EAEB"/>
            </w:tcBorders>
          </w:tcPr>
          <w:p>
            <w:pPr>
              <w:spacing w:after="0"/>
              <w:rPr>
                <w:sz w:val="20"/>
                <w:szCs w:val="20"/>
                <w:color w:val="auto"/>
              </w:rPr>
            </w:pPr>
          </w:p>
        </w:tc>
        <w:tc>
          <w:tcPr>
            <w:tcW w:w="2580" w:type="dxa"/>
            <w:vAlign w:val="bottom"/>
            <w:tcBorders>
              <w:top w:val="single" w:sz="8" w:color="E8EAEB"/>
              <w:bottom w:val="single" w:sz="8" w:color="009FE3"/>
            </w:tcBorders>
            <w:gridSpan w:val="2"/>
          </w:tcPr>
          <w:p>
            <w:pPr>
              <w:ind w:left="1660"/>
              <w:spacing w:after="0"/>
              <w:rPr>
                <w:sz w:val="20"/>
                <w:szCs w:val="20"/>
                <w:color w:val="auto"/>
              </w:rPr>
            </w:pPr>
            <w:r>
              <w:rPr>
                <w:rFonts w:ascii="Arial" w:cs="Arial" w:eastAsia="Arial" w:hAnsi="Arial"/>
                <w:sz w:val="14"/>
                <w:szCs w:val="14"/>
                <w:b w:val="1"/>
                <w:bCs w:val="1"/>
                <w:color w:val="009FE3"/>
                <w:w w:val="97"/>
              </w:rPr>
              <w:t>Stock Awards</w:t>
            </w:r>
          </w:p>
        </w:tc>
        <w:tc>
          <w:tcPr>
            <w:tcW w:w="1660" w:type="dxa"/>
            <w:vAlign w:val="bottom"/>
            <w:tcBorders>
              <w:top w:val="single" w:sz="8" w:color="E8EAEB"/>
              <w:bottom w:val="single" w:sz="8" w:color="009FE3"/>
            </w:tcBorders>
          </w:tcPr>
          <w:p>
            <w:pPr>
              <w:spacing w:after="0"/>
              <w:rPr>
                <w:sz w:val="20"/>
                <w:szCs w:val="20"/>
                <w:color w:val="auto"/>
              </w:rPr>
            </w:pPr>
          </w:p>
        </w:tc>
      </w:tr>
      <w:tr>
        <w:trPr>
          <w:trHeight w:val="181"/>
        </w:trPr>
        <w:tc>
          <w:tcPr>
            <w:tcW w:w="3240" w:type="dxa"/>
            <w:vAlign w:val="bottom"/>
            <w:tcBorders>
              <w:right w:val="single" w:sz="8" w:color="E8EAEB"/>
            </w:tcBorders>
          </w:tcPr>
          <w:p>
            <w:pPr>
              <w:spacing w:after="0"/>
              <w:rPr>
                <w:sz w:val="15"/>
                <w:szCs w:val="15"/>
                <w:color w:val="auto"/>
              </w:rPr>
            </w:pPr>
          </w:p>
        </w:tc>
        <w:tc>
          <w:tcPr>
            <w:tcW w:w="17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Number of Shares</w:t>
            </w:r>
          </w:p>
        </w:tc>
        <w:tc>
          <w:tcPr>
            <w:tcW w:w="13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Value Realized</w:t>
            </w:r>
          </w:p>
        </w:tc>
        <w:tc>
          <w:tcPr>
            <w:tcW w:w="240" w:type="dxa"/>
            <w:vAlign w:val="bottom"/>
            <w:tcBorders>
              <w:right w:val="single" w:sz="8" w:color="E8EAEB"/>
            </w:tcBorders>
          </w:tcPr>
          <w:p>
            <w:pPr>
              <w:spacing w:after="0"/>
              <w:rPr>
                <w:sz w:val="15"/>
                <w:szCs w:val="15"/>
                <w:color w:val="auto"/>
              </w:rPr>
            </w:pPr>
          </w:p>
        </w:tc>
        <w:tc>
          <w:tcPr>
            <w:tcW w:w="2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Number of Shares</w:t>
            </w:r>
          </w:p>
        </w:tc>
        <w:tc>
          <w:tcPr>
            <w:tcW w:w="460" w:type="dxa"/>
            <w:vAlign w:val="bottom"/>
          </w:tcPr>
          <w:p>
            <w:pPr>
              <w:spacing w:after="0"/>
              <w:rPr>
                <w:sz w:val="15"/>
                <w:szCs w:val="15"/>
                <w:color w:val="auto"/>
              </w:rPr>
            </w:pPr>
          </w:p>
        </w:tc>
        <w:tc>
          <w:tcPr>
            <w:tcW w:w="1660" w:type="dxa"/>
            <w:vAlign w:val="bottom"/>
          </w:tcPr>
          <w:p>
            <w:pPr>
              <w:jc w:val="center"/>
              <w:ind w:right="404"/>
              <w:spacing w:after="0"/>
              <w:rPr>
                <w:sz w:val="20"/>
                <w:szCs w:val="20"/>
                <w:color w:val="auto"/>
              </w:rPr>
            </w:pPr>
            <w:r>
              <w:rPr>
                <w:rFonts w:ascii="Arial" w:cs="Arial" w:eastAsia="Arial" w:hAnsi="Arial"/>
                <w:sz w:val="14"/>
                <w:szCs w:val="14"/>
                <w:b w:val="1"/>
                <w:bCs w:val="1"/>
                <w:color w:val="009FE3"/>
                <w:w w:val="99"/>
              </w:rPr>
              <w:t>Value Realized on</w:t>
            </w:r>
          </w:p>
        </w:tc>
      </w:tr>
      <w:tr>
        <w:trPr>
          <w:trHeight w:val="158"/>
        </w:trPr>
        <w:tc>
          <w:tcPr>
            <w:tcW w:w="3240" w:type="dxa"/>
            <w:vAlign w:val="bottom"/>
            <w:tcBorders>
              <w:right w:val="single" w:sz="8" w:color="E8EAEB"/>
            </w:tcBorders>
          </w:tcPr>
          <w:p>
            <w:pPr>
              <w:spacing w:after="0"/>
              <w:rPr>
                <w:sz w:val="13"/>
                <w:szCs w:val="13"/>
                <w:color w:val="auto"/>
              </w:rPr>
            </w:pPr>
          </w:p>
        </w:tc>
        <w:tc>
          <w:tcPr>
            <w:tcW w:w="17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Acquired on Exercise</w:t>
            </w:r>
          </w:p>
        </w:tc>
        <w:tc>
          <w:tcPr>
            <w:tcW w:w="13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on Exercise</w:t>
            </w:r>
          </w:p>
        </w:tc>
        <w:tc>
          <w:tcPr>
            <w:tcW w:w="240" w:type="dxa"/>
            <w:vAlign w:val="bottom"/>
            <w:tcBorders>
              <w:right w:val="single" w:sz="8" w:color="E8EAEB"/>
            </w:tcBorders>
          </w:tcPr>
          <w:p>
            <w:pPr>
              <w:spacing w:after="0"/>
              <w:rPr>
                <w:sz w:val="13"/>
                <w:szCs w:val="13"/>
                <w:color w:val="auto"/>
              </w:rPr>
            </w:pPr>
          </w:p>
        </w:tc>
        <w:tc>
          <w:tcPr>
            <w:tcW w:w="21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Acquired on Vesting</w:t>
            </w:r>
          </w:p>
        </w:tc>
        <w:tc>
          <w:tcPr>
            <w:tcW w:w="460" w:type="dxa"/>
            <w:vAlign w:val="bottom"/>
          </w:tcPr>
          <w:p>
            <w:pPr>
              <w:spacing w:after="0"/>
              <w:rPr>
                <w:sz w:val="13"/>
                <w:szCs w:val="13"/>
                <w:color w:val="auto"/>
              </w:rPr>
            </w:pPr>
          </w:p>
        </w:tc>
        <w:tc>
          <w:tcPr>
            <w:tcW w:w="1660" w:type="dxa"/>
            <w:vAlign w:val="bottom"/>
          </w:tcPr>
          <w:p>
            <w:pPr>
              <w:jc w:val="center"/>
              <w:ind w:right="404"/>
              <w:spacing w:after="0" w:line="158" w:lineRule="exact"/>
              <w:rPr>
                <w:sz w:val="20"/>
                <w:szCs w:val="20"/>
                <w:color w:val="auto"/>
              </w:rPr>
            </w:pPr>
            <w:r>
              <w:rPr>
                <w:rFonts w:ascii="Arial" w:cs="Arial" w:eastAsia="Arial" w:hAnsi="Arial"/>
                <w:sz w:val="14"/>
                <w:szCs w:val="14"/>
                <w:b w:val="1"/>
                <w:bCs w:val="1"/>
                <w:color w:val="009FE3"/>
                <w:w w:val="98"/>
              </w:rPr>
              <w:t>Vesting</w:t>
            </w:r>
          </w:p>
        </w:tc>
      </w:tr>
      <w:tr>
        <w:trPr>
          <w:trHeight w:val="193"/>
        </w:trPr>
        <w:tc>
          <w:tcPr>
            <w:tcW w:w="32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w:t>
            </w:r>
          </w:p>
        </w:tc>
        <w:tc>
          <w:tcPr>
            <w:tcW w:w="17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3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240" w:type="dxa"/>
            <w:vAlign w:val="bottom"/>
            <w:tcBorders>
              <w:bottom w:val="single" w:sz="8" w:color="009FE3"/>
              <w:right w:val="single" w:sz="8" w:color="E8EAEB"/>
            </w:tcBorders>
          </w:tcPr>
          <w:p>
            <w:pPr>
              <w:ind w:left="40"/>
              <w:spacing w:after="0"/>
              <w:rPr>
                <w:sz w:val="20"/>
                <w:szCs w:val="20"/>
                <w:color w:val="auto"/>
              </w:rPr>
            </w:pPr>
            <w:r>
              <w:rPr>
                <w:rFonts w:ascii="Arial" w:cs="Arial" w:eastAsia="Arial" w:hAnsi="Arial"/>
                <w:sz w:val="14"/>
                <w:szCs w:val="14"/>
                <w:b w:val="1"/>
                <w:bCs w:val="1"/>
                <w:color w:val="009FE3"/>
              </w:rPr>
              <w:t> </w:t>
            </w:r>
          </w:p>
        </w:tc>
        <w:tc>
          <w:tcPr>
            <w:tcW w:w="2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460" w:type="dxa"/>
            <w:vAlign w:val="bottom"/>
            <w:tcBorders>
              <w:bottom w:val="single" w:sz="8" w:color="009FE3"/>
            </w:tcBorders>
          </w:tcPr>
          <w:p>
            <w:pPr>
              <w:spacing w:after="0"/>
              <w:rPr>
                <w:sz w:val="16"/>
                <w:szCs w:val="16"/>
                <w:color w:val="auto"/>
              </w:rPr>
            </w:pPr>
          </w:p>
        </w:tc>
        <w:tc>
          <w:tcPr>
            <w:tcW w:w="1660" w:type="dxa"/>
            <w:vAlign w:val="bottom"/>
            <w:tcBorders>
              <w:bottom w:val="single" w:sz="8" w:color="009FE3"/>
            </w:tcBorders>
          </w:tcPr>
          <w:p>
            <w:pPr>
              <w:jc w:val="center"/>
              <w:ind w:right="404"/>
              <w:spacing w:after="0"/>
              <w:rPr>
                <w:sz w:val="20"/>
                <w:szCs w:val="20"/>
                <w:color w:val="auto"/>
              </w:rPr>
            </w:pPr>
            <w:r>
              <w:rPr>
                <w:rFonts w:ascii="Arial" w:cs="Arial" w:eastAsia="Arial" w:hAnsi="Arial"/>
                <w:sz w:val="14"/>
                <w:szCs w:val="14"/>
                <w:b w:val="1"/>
                <w:bCs w:val="1"/>
                <w:color w:val="009FE3"/>
                <w:w w:val="99"/>
              </w:rPr>
              <w:t>($) (1)</w:t>
            </w:r>
          </w:p>
        </w:tc>
      </w:tr>
      <w:tr>
        <w:trPr>
          <w:trHeight w:val="236"/>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1700" w:type="dxa"/>
            <w:vAlign w:val="bottom"/>
            <w:tcBorders>
              <w:bottom w:val="single" w:sz="8" w:color="E8EAEB"/>
              <w:right w:val="single" w:sz="8" w:color="E8EAEB"/>
            </w:tcBorders>
          </w:tcPr>
          <w:p>
            <w:pPr>
              <w:ind w:left="1260"/>
              <w:spacing w:after="0"/>
              <w:rPr>
                <w:sz w:val="20"/>
                <w:szCs w:val="20"/>
                <w:color w:val="auto"/>
              </w:rPr>
            </w:pPr>
            <w:r>
              <w:rPr>
                <w:rFonts w:ascii="Arial" w:cs="Arial" w:eastAsia="Arial" w:hAnsi="Arial"/>
                <w:sz w:val="16"/>
                <w:szCs w:val="16"/>
                <w:color w:val="202E39"/>
              </w:rPr>
              <w:t>— </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— </w:t>
            </w:r>
          </w:p>
        </w:tc>
        <w:tc>
          <w:tcPr>
            <w:tcW w:w="240" w:type="dxa"/>
            <w:vAlign w:val="bottom"/>
            <w:tcBorders>
              <w:bottom w:val="single" w:sz="8" w:color="E8EAEB"/>
              <w:right w:val="single" w:sz="8" w:color="E8EAEB"/>
            </w:tcBorders>
          </w:tcPr>
          <w:p>
            <w:pPr>
              <w:spacing w:after="0"/>
              <w:rPr>
                <w:sz w:val="20"/>
                <w:szCs w:val="20"/>
                <w:color w:val="auto"/>
              </w:rPr>
            </w:pPr>
          </w:p>
        </w:tc>
        <w:tc>
          <w:tcPr>
            <w:tcW w:w="212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56,297</w:t>
            </w:r>
          </w:p>
        </w:tc>
        <w:tc>
          <w:tcPr>
            <w:tcW w:w="460" w:type="dxa"/>
            <w:vAlign w:val="bottom"/>
            <w:tcBorders>
              <w:bottom w:val="single" w:sz="8" w:color="E8EAEB"/>
            </w:tcBorders>
          </w:tcPr>
          <w:p>
            <w:pPr>
              <w:spacing w:after="0"/>
              <w:rPr>
                <w:sz w:val="20"/>
                <w:szCs w:val="20"/>
                <w:color w:val="auto"/>
              </w:rPr>
            </w:pPr>
          </w:p>
        </w:tc>
        <w:tc>
          <w:tcPr>
            <w:tcW w:w="1660" w:type="dxa"/>
            <w:vAlign w:val="bottom"/>
            <w:tcBorders>
              <w:bottom w:val="single" w:sz="8" w:color="E8EAEB"/>
            </w:tcBorders>
          </w:tcPr>
          <w:p>
            <w:pPr>
              <w:jc w:val="right"/>
              <w:ind w:right="104"/>
              <w:spacing w:after="0"/>
              <w:rPr>
                <w:sz w:val="20"/>
                <w:szCs w:val="20"/>
                <w:color w:val="auto"/>
              </w:rPr>
            </w:pPr>
            <w:r>
              <w:rPr>
                <w:rFonts w:ascii="Arial" w:cs="Arial" w:eastAsia="Arial" w:hAnsi="Arial"/>
                <w:sz w:val="16"/>
                <w:szCs w:val="16"/>
                <w:color w:val="202E39"/>
              </w:rPr>
              <w:t>1,098,917</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 Guru Gowrappan</w:t>
            </w:r>
          </w:p>
        </w:tc>
        <w:tc>
          <w:tcPr>
            <w:tcW w:w="1700" w:type="dxa"/>
            <w:vAlign w:val="bottom"/>
            <w:tcBorders>
              <w:bottom w:val="single" w:sz="8" w:color="E8EAEB"/>
              <w:right w:val="single" w:sz="8" w:color="E8EAEB"/>
            </w:tcBorders>
          </w:tcPr>
          <w:p>
            <w:pPr>
              <w:ind w:left="1260"/>
              <w:spacing w:after="0"/>
              <w:rPr>
                <w:sz w:val="20"/>
                <w:szCs w:val="20"/>
                <w:color w:val="auto"/>
              </w:rPr>
            </w:pPr>
            <w:r>
              <w:rPr>
                <w:rFonts w:ascii="Arial" w:cs="Arial" w:eastAsia="Arial" w:hAnsi="Arial"/>
                <w:sz w:val="16"/>
                <w:szCs w:val="16"/>
                <w:color w:val="202E39"/>
              </w:rPr>
              <w:t>— </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— </w:t>
            </w:r>
          </w:p>
        </w:tc>
        <w:tc>
          <w:tcPr>
            <w:tcW w:w="24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jc w:val="right"/>
              <w:ind w:right="165"/>
              <w:spacing w:after="0"/>
              <w:rPr>
                <w:sz w:val="20"/>
                <w:szCs w:val="20"/>
                <w:color w:val="auto"/>
              </w:rPr>
            </w:pPr>
            <w:r>
              <w:rPr>
                <w:rFonts w:ascii="Arial" w:cs="Arial" w:eastAsia="Arial" w:hAnsi="Arial"/>
                <w:sz w:val="16"/>
                <w:szCs w:val="16"/>
                <w:color w:val="202E39"/>
              </w:rPr>
              <w:t>— </w:t>
            </w:r>
          </w:p>
        </w:tc>
        <w:tc>
          <w:tcPr>
            <w:tcW w:w="460" w:type="dxa"/>
            <w:vAlign w:val="bottom"/>
            <w:tcBorders>
              <w:bottom w:val="single" w:sz="8" w:color="E8EAEB"/>
            </w:tcBorders>
          </w:tcPr>
          <w:p>
            <w:pPr>
              <w:spacing w:after="0"/>
              <w:rPr>
                <w:sz w:val="21"/>
                <w:szCs w:val="21"/>
                <w:color w:val="auto"/>
              </w:rPr>
            </w:pPr>
          </w:p>
        </w:tc>
        <w:tc>
          <w:tcPr>
            <w:tcW w:w="1660" w:type="dxa"/>
            <w:vAlign w:val="bottom"/>
            <w:tcBorders>
              <w:bottom w:val="single" w:sz="8" w:color="E8EAEB"/>
            </w:tcBorders>
          </w:tcPr>
          <w:p>
            <w:pPr>
              <w:jc w:val="right"/>
              <w:ind w:right="144"/>
              <w:spacing w:after="0"/>
              <w:rPr>
                <w:sz w:val="20"/>
                <w:szCs w:val="20"/>
                <w:color w:val="auto"/>
              </w:rPr>
            </w:pPr>
            <w:r>
              <w:rPr>
                <w:rFonts w:ascii="Arial" w:cs="Arial" w:eastAsia="Arial" w:hAnsi="Arial"/>
                <w:sz w:val="16"/>
                <w:szCs w:val="16"/>
                <w:color w:val="202E39"/>
              </w:rPr>
              <w:t>— </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1700" w:type="dxa"/>
            <w:vAlign w:val="bottom"/>
            <w:tcBorders>
              <w:bottom w:val="single" w:sz="8" w:color="E8EAEB"/>
              <w:right w:val="single" w:sz="8" w:color="E8EAEB"/>
            </w:tcBorders>
          </w:tcPr>
          <w:p>
            <w:pPr>
              <w:ind w:left="1260"/>
              <w:spacing w:after="0"/>
              <w:rPr>
                <w:sz w:val="20"/>
                <w:szCs w:val="20"/>
                <w:color w:val="auto"/>
              </w:rPr>
            </w:pPr>
            <w:r>
              <w:rPr>
                <w:rFonts w:ascii="Arial" w:cs="Arial" w:eastAsia="Arial" w:hAnsi="Arial"/>
                <w:sz w:val="16"/>
                <w:szCs w:val="16"/>
                <w:color w:val="202E39"/>
              </w:rPr>
              <w:t>— </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— </w:t>
            </w:r>
          </w:p>
        </w:tc>
        <w:tc>
          <w:tcPr>
            <w:tcW w:w="24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14,902</w:t>
            </w:r>
          </w:p>
        </w:tc>
        <w:tc>
          <w:tcPr>
            <w:tcW w:w="460" w:type="dxa"/>
            <w:vAlign w:val="bottom"/>
            <w:tcBorders>
              <w:bottom w:val="single" w:sz="8" w:color="E8EAEB"/>
            </w:tcBorders>
          </w:tcPr>
          <w:p>
            <w:pPr>
              <w:spacing w:after="0"/>
              <w:rPr>
                <w:sz w:val="21"/>
                <w:szCs w:val="21"/>
                <w:color w:val="auto"/>
              </w:rPr>
            </w:pPr>
          </w:p>
        </w:tc>
        <w:tc>
          <w:tcPr>
            <w:tcW w:w="1660" w:type="dxa"/>
            <w:vAlign w:val="bottom"/>
            <w:tcBorders>
              <w:bottom w:val="single" w:sz="8" w:color="E8EAEB"/>
            </w:tcBorders>
          </w:tcPr>
          <w:p>
            <w:pPr>
              <w:jc w:val="right"/>
              <w:ind w:right="104"/>
              <w:spacing w:after="0"/>
              <w:rPr>
                <w:sz w:val="20"/>
                <w:szCs w:val="20"/>
                <w:color w:val="auto"/>
              </w:rPr>
            </w:pPr>
            <w:r>
              <w:rPr>
                <w:rFonts w:ascii="Arial" w:cs="Arial" w:eastAsia="Arial" w:hAnsi="Arial"/>
                <w:sz w:val="16"/>
                <w:szCs w:val="16"/>
                <w:color w:val="202E39"/>
              </w:rPr>
              <w:t>290,887</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Kevin Harkenrider (2)</w:t>
            </w:r>
          </w:p>
        </w:tc>
        <w:tc>
          <w:tcPr>
            <w:tcW w:w="1700" w:type="dxa"/>
            <w:vAlign w:val="bottom"/>
            <w:tcBorders>
              <w:bottom w:val="single" w:sz="8" w:color="E8EAEB"/>
              <w:right w:val="single" w:sz="8" w:color="E8EAEB"/>
            </w:tcBorders>
          </w:tcPr>
          <w:p>
            <w:pPr>
              <w:ind w:left="1260"/>
              <w:spacing w:after="0"/>
              <w:rPr>
                <w:sz w:val="20"/>
                <w:szCs w:val="20"/>
                <w:color w:val="auto"/>
              </w:rPr>
            </w:pPr>
            <w:r>
              <w:rPr>
                <w:rFonts w:ascii="Arial" w:cs="Arial" w:eastAsia="Arial" w:hAnsi="Arial"/>
                <w:sz w:val="16"/>
                <w:szCs w:val="16"/>
                <w:color w:val="202E39"/>
              </w:rPr>
              <w:t>— </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— </w:t>
            </w:r>
          </w:p>
        </w:tc>
        <w:tc>
          <w:tcPr>
            <w:tcW w:w="24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13,025</w:t>
            </w:r>
          </w:p>
        </w:tc>
        <w:tc>
          <w:tcPr>
            <w:tcW w:w="460" w:type="dxa"/>
            <w:vAlign w:val="bottom"/>
            <w:tcBorders>
              <w:bottom w:val="single" w:sz="8" w:color="E8EAEB"/>
            </w:tcBorders>
          </w:tcPr>
          <w:p>
            <w:pPr>
              <w:spacing w:after="0"/>
              <w:rPr>
                <w:sz w:val="21"/>
                <w:szCs w:val="21"/>
                <w:color w:val="auto"/>
              </w:rPr>
            </w:pPr>
          </w:p>
        </w:tc>
        <w:tc>
          <w:tcPr>
            <w:tcW w:w="1660" w:type="dxa"/>
            <w:vAlign w:val="bottom"/>
            <w:tcBorders>
              <w:bottom w:val="single" w:sz="8" w:color="E8EAEB"/>
            </w:tcBorders>
          </w:tcPr>
          <w:p>
            <w:pPr>
              <w:jc w:val="right"/>
              <w:ind w:right="104"/>
              <w:spacing w:after="0"/>
              <w:rPr>
                <w:sz w:val="20"/>
                <w:szCs w:val="20"/>
                <w:color w:val="auto"/>
              </w:rPr>
            </w:pPr>
            <w:r>
              <w:rPr>
                <w:rFonts w:ascii="Arial" w:cs="Arial" w:eastAsia="Arial" w:hAnsi="Arial"/>
                <w:sz w:val="16"/>
                <w:szCs w:val="16"/>
                <w:color w:val="202E39"/>
              </w:rPr>
              <w:t>254,248</w:t>
            </w:r>
          </w:p>
        </w:tc>
      </w:tr>
      <w:tr>
        <w:trPr>
          <w:trHeight w:val="243"/>
        </w:trPr>
        <w:tc>
          <w:tcPr>
            <w:tcW w:w="32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Craig Miller</w:t>
            </w:r>
          </w:p>
        </w:tc>
        <w:tc>
          <w:tcPr>
            <w:tcW w:w="1700" w:type="dxa"/>
            <w:vAlign w:val="bottom"/>
            <w:tcBorders>
              <w:bottom w:val="single" w:sz="8" w:color="E8EAEB"/>
              <w:right w:val="single" w:sz="8" w:color="E8EAEB"/>
            </w:tcBorders>
          </w:tcPr>
          <w:p>
            <w:pPr>
              <w:ind w:left="1260"/>
              <w:spacing w:after="0"/>
              <w:rPr>
                <w:sz w:val="20"/>
                <w:szCs w:val="20"/>
                <w:color w:val="auto"/>
              </w:rPr>
            </w:pPr>
            <w:r>
              <w:rPr>
                <w:rFonts w:ascii="Arial" w:cs="Arial" w:eastAsia="Arial" w:hAnsi="Arial"/>
                <w:sz w:val="16"/>
                <w:szCs w:val="16"/>
                <w:color w:val="202E39"/>
              </w:rPr>
              <w:t>— </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— </w:t>
            </w:r>
          </w:p>
        </w:tc>
        <w:tc>
          <w:tcPr>
            <w:tcW w:w="24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6,619</w:t>
            </w:r>
          </w:p>
        </w:tc>
        <w:tc>
          <w:tcPr>
            <w:tcW w:w="460" w:type="dxa"/>
            <w:vAlign w:val="bottom"/>
            <w:tcBorders>
              <w:bottom w:val="single" w:sz="8" w:color="E8EAEB"/>
            </w:tcBorders>
          </w:tcPr>
          <w:p>
            <w:pPr>
              <w:spacing w:after="0"/>
              <w:rPr>
                <w:sz w:val="21"/>
                <w:szCs w:val="21"/>
                <w:color w:val="auto"/>
              </w:rPr>
            </w:pPr>
          </w:p>
        </w:tc>
        <w:tc>
          <w:tcPr>
            <w:tcW w:w="1660" w:type="dxa"/>
            <w:vAlign w:val="bottom"/>
            <w:tcBorders>
              <w:bottom w:val="single" w:sz="8" w:color="E8EAEB"/>
            </w:tcBorders>
          </w:tcPr>
          <w:p>
            <w:pPr>
              <w:jc w:val="right"/>
              <w:ind w:right="104"/>
              <w:spacing w:after="0"/>
              <w:rPr>
                <w:sz w:val="20"/>
                <w:szCs w:val="20"/>
                <w:color w:val="auto"/>
              </w:rPr>
            </w:pPr>
            <w:r>
              <w:rPr>
                <w:rFonts w:ascii="Arial" w:cs="Arial" w:eastAsia="Arial" w:hAnsi="Arial"/>
                <w:sz w:val="16"/>
                <w:szCs w:val="16"/>
                <w:color w:val="202E39"/>
              </w:rPr>
              <w:t>129,203</w:t>
            </w:r>
          </w:p>
        </w:tc>
      </w:tr>
      <w:tr>
        <w:trPr>
          <w:trHeight w:val="243"/>
        </w:trPr>
        <w:tc>
          <w:tcPr>
            <w:tcW w:w="32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David Ryan (3)</w:t>
            </w:r>
          </w:p>
        </w:tc>
        <w:tc>
          <w:tcPr>
            <w:tcW w:w="1700" w:type="dxa"/>
            <w:vAlign w:val="bottom"/>
            <w:tcBorders>
              <w:bottom w:val="single" w:sz="8" w:color="009FE3"/>
              <w:right w:val="single" w:sz="8" w:color="E8EAEB"/>
            </w:tcBorders>
          </w:tcPr>
          <w:p>
            <w:pPr>
              <w:ind w:left="1260"/>
              <w:spacing w:after="0"/>
              <w:rPr>
                <w:sz w:val="20"/>
                <w:szCs w:val="20"/>
                <w:color w:val="auto"/>
              </w:rPr>
            </w:pPr>
            <w:r>
              <w:rPr>
                <w:rFonts w:ascii="Arial" w:cs="Arial" w:eastAsia="Arial" w:hAnsi="Arial"/>
                <w:sz w:val="16"/>
                <w:szCs w:val="16"/>
                <w:color w:val="202E39"/>
              </w:rPr>
              <w:t>— </w:t>
            </w:r>
          </w:p>
        </w:tc>
        <w:tc>
          <w:tcPr>
            <w:tcW w:w="1320" w:type="dxa"/>
            <w:vAlign w:val="bottom"/>
            <w:tcBorders>
              <w:bottom w:val="single" w:sz="8" w:color="009FE3"/>
              <w:right w:val="single" w:sz="8" w:color="E8EAEB"/>
            </w:tcBorders>
          </w:tcPr>
          <w:p>
            <w:pPr>
              <w:ind w:left="880"/>
              <w:spacing w:after="0"/>
              <w:rPr>
                <w:sz w:val="20"/>
                <w:szCs w:val="20"/>
                <w:color w:val="auto"/>
              </w:rPr>
            </w:pPr>
            <w:r>
              <w:rPr>
                <w:rFonts w:ascii="Arial" w:cs="Arial" w:eastAsia="Arial" w:hAnsi="Arial"/>
                <w:sz w:val="16"/>
                <w:szCs w:val="16"/>
                <w:color w:val="202E39"/>
              </w:rPr>
              <w:t>— </w:t>
            </w:r>
          </w:p>
        </w:tc>
        <w:tc>
          <w:tcPr>
            <w:tcW w:w="240" w:type="dxa"/>
            <w:vAlign w:val="bottom"/>
            <w:tcBorders>
              <w:bottom w:val="single" w:sz="8" w:color="009FE3"/>
              <w:right w:val="single" w:sz="8" w:color="E8EAEB"/>
            </w:tcBorders>
          </w:tcPr>
          <w:p>
            <w:pPr>
              <w:spacing w:after="0"/>
              <w:rPr>
                <w:sz w:val="21"/>
                <w:szCs w:val="21"/>
                <w:color w:val="auto"/>
              </w:rPr>
            </w:pPr>
          </w:p>
        </w:tc>
        <w:tc>
          <w:tcPr>
            <w:tcW w:w="2120" w:type="dxa"/>
            <w:vAlign w:val="bottom"/>
            <w:tcBorders>
              <w:bottom w:val="single" w:sz="8" w:color="009FE3"/>
              <w:right w:val="single" w:sz="8" w:color="E8EAEB"/>
            </w:tcBorders>
          </w:tcPr>
          <w:p>
            <w:pPr>
              <w:jc w:val="right"/>
              <w:ind w:right="125"/>
              <w:spacing w:after="0"/>
              <w:rPr>
                <w:sz w:val="20"/>
                <w:szCs w:val="20"/>
                <w:color w:val="auto"/>
              </w:rPr>
            </w:pPr>
            <w:r>
              <w:rPr>
                <w:rFonts w:ascii="Arial" w:cs="Arial" w:eastAsia="Arial" w:hAnsi="Arial"/>
                <w:sz w:val="16"/>
                <w:szCs w:val="16"/>
                <w:color w:val="202E39"/>
              </w:rPr>
              <w:t>39,514</w:t>
            </w:r>
          </w:p>
        </w:tc>
        <w:tc>
          <w:tcPr>
            <w:tcW w:w="460" w:type="dxa"/>
            <w:vAlign w:val="bottom"/>
            <w:tcBorders>
              <w:bottom w:val="single" w:sz="8" w:color="009FE3"/>
            </w:tcBorders>
          </w:tcPr>
          <w:p>
            <w:pPr>
              <w:spacing w:after="0"/>
              <w:rPr>
                <w:sz w:val="21"/>
                <w:szCs w:val="21"/>
                <w:color w:val="auto"/>
              </w:rPr>
            </w:pPr>
          </w:p>
        </w:tc>
        <w:tc>
          <w:tcPr>
            <w:tcW w:w="1660" w:type="dxa"/>
            <w:vAlign w:val="bottom"/>
            <w:tcBorders>
              <w:bottom w:val="single" w:sz="8" w:color="009FE3"/>
            </w:tcBorders>
          </w:tcPr>
          <w:p>
            <w:pPr>
              <w:jc w:val="right"/>
              <w:ind w:right="104"/>
              <w:spacing w:after="0"/>
              <w:rPr>
                <w:sz w:val="20"/>
                <w:szCs w:val="20"/>
                <w:color w:val="auto"/>
              </w:rPr>
            </w:pPr>
            <w:r>
              <w:rPr>
                <w:rFonts w:ascii="Arial" w:cs="Arial" w:eastAsia="Arial" w:hAnsi="Arial"/>
                <w:sz w:val="16"/>
                <w:szCs w:val="16"/>
                <w:color w:val="202E39"/>
              </w:rPr>
              <w:t>666,601</w:t>
            </w:r>
          </w:p>
        </w:tc>
      </w:tr>
    </w:tbl>
    <w:p>
      <w:pPr>
        <w:spacing w:after="0" w:line="109" w:lineRule="exact"/>
        <w:rPr>
          <w:sz w:val="20"/>
          <w:szCs w:val="20"/>
          <w:color w:val="auto"/>
        </w:rPr>
      </w:pPr>
    </w:p>
    <w:p>
      <w:pPr>
        <w:ind w:left="680" w:hanging="419"/>
        <w:spacing w:after="0"/>
        <w:tabs>
          <w:tab w:leader="none" w:pos="68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The value realized equals the closing price of our common stock on the date of vesting multiplied by the number of shares subject to the award vesting on such date.</w:t>
      </w:r>
    </w:p>
    <w:p>
      <w:pPr>
        <w:spacing w:after="0" w:line="62" w:lineRule="exact"/>
        <w:rPr>
          <w:rFonts w:ascii="Arial" w:cs="Arial" w:eastAsia="Arial" w:hAnsi="Arial"/>
          <w:sz w:val="14"/>
          <w:szCs w:val="14"/>
          <w:color w:val="202E39"/>
        </w:rPr>
      </w:pPr>
    </w:p>
    <w:p>
      <w:pPr>
        <w:ind w:left="680" w:right="160" w:hanging="419"/>
        <w:spacing w:after="0" w:line="252" w:lineRule="auto"/>
        <w:tabs>
          <w:tab w:leader="none" w:pos="68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Mr. Harkenrider deferred 13,025 shares subject to his restricted stock unit awards that vested in fiscal year 2024. All shares subject to restricted stock unit awards noted in the table above for Mr. Harkenrider vested during fiscal year 2024, but the underlying shares subject to the deferred restricted stock unit awards had not yet been delivered to or acquired by the executive as of the end of fiscal year 2024.</w:t>
      </w:r>
    </w:p>
    <w:p>
      <w:pPr>
        <w:spacing w:after="0" w:line="31" w:lineRule="exact"/>
        <w:rPr>
          <w:rFonts w:ascii="Arial" w:cs="Arial" w:eastAsia="Arial" w:hAnsi="Arial"/>
          <w:sz w:val="14"/>
          <w:szCs w:val="14"/>
          <w:color w:val="202E39"/>
        </w:rPr>
      </w:pPr>
    </w:p>
    <w:p>
      <w:pPr>
        <w:ind w:left="680" w:hanging="419"/>
        <w:spacing w:after="0"/>
        <w:tabs>
          <w:tab w:leader="none" w:pos="68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Mr. Ryan departed Viasat during fiscal year 2024.</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Pension Benefits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None of our Named Executive Officers participates in or has account balances in qualified or non-qualified defined benefit plans sponsored by us.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Non-Qualified Deferred Compensation</w:t>
      </w:r>
    </w:p>
    <w:p>
      <w:pPr>
        <w:spacing w:after="0" w:line="124"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In accordance with Section 409A of the Code, we allow our executive officers to elect to defer the timing of receipt of the shares issuable pursuant to their restricted stock unit awards. The following table sets forth information for our Named Executive Officers with respect to restricted stock units that vested but for which the underlying shares had not yet been delivered to the executive due to deferral elections made by the executives: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3340" w:type="dxa"/>
            <w:vAlign w:val="bottom"/>
            <w:tcBorders>
              <w:top w:val="single" w:sz="8" w:color="E8EAEB"/>
              <w:right w:val="single" w:sz="8" w:color="E8EAEB"/>
            </w:tcBorders>
          </w:tcPr>
          <w:p>
            <w:pPr>
              <w:spacing w:after="0"/>
              <w:rPr>
                <w:sz w:val="17"/>
                <w:szCs w:val="17"/>
                <w:color w:val="auto"/>
              </w:rPr>
            </w:pPr>
          </w:p>
        </w:tc>
        <w:tc>
          <w:tcPr>
            <w:tcW w:w="14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Executive</w:t>
            </w:r>
          </w:p>
        </w:tc>
        <w:tc>
          <w:tcPr>
            <w:tcW w:w="10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Registrant</w:t>
            </w:r>
          </w:p>
        </w:tc>
        <w:tc>
          <w:tcPr>
            <w:tcW w:w="180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1460" w:type="dxa"/>
            <w:vAlign w:val="bottom"/>
            <w:tcBorders>
              <w:top w:val="single" w:sz="8" w:color="E8EAEB"/>
              <w:right w:val="single" w:sz="8" w:color="E8EAEB"/>
            </w:tcBorders>
          </w:tcPr>
          <w:p>
            <w:pPr>
              <w:spacing w:after="0"/>
              <w:rPr>
                <w:sz w:val="17"/>
                <w:szCs w:val="17"/>
                <w:color w:val="auto"/>
              </w:rPr>
            </w:pPr>
          </w:p>
        </w:tc>
        <w:tc>
          <w:tcPr>
            <w:tcW w:w="170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Aggregate</w:t>
            </w:r>
          </w:p>
        </w:tc>
      </w:tr>
      <w:tr>
        <w:trPr>
          <w:trHeight w:val="158"/>
        </w:trPr>
        <w:tc>
          <w:tcPr>
            <w:tcW w:w="3340" w:type="dxa"/>
            <w:vAlign w:val="bottom"/>
            <w:tcBorders>
              <w:right w:val="single" w:sz="8" w:color="E8EAEB"/>
            </w:tcBorders>
          </w:tcPr>
          <w:p>
            <w:pPr>
              <w:spacing w:after="0"/>
              <w:rPr>
                <w:sz w:val="13"/>
                <w:szCs w:val="13"/>
                <w:color w:val="auto"/>
              </w:rPr>
            </w:pPr>
          </w:p>
        </w:tc>
        <w:tc>
          <w:tcPr>
            <w:tcW w:w="14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Contributions</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Contributions</w:t>
            </w:r>
          </w:p>
        </w:tc>
        <w:tc>
          <w:tcPr>
            <w:tcW w:w="18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Earnings (Losses)</w:t>
            </w:r>
          </w:p>
        </w:tc>
        <w:tc>
          <w:tcPr>
            <w:tcW w:w="14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Aggregate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9"/>
              </w:rPr>
              <w:t>Balance at</w:t>
            </w:r>
          </w:p>
        </w:tc>
      </w:tr>
      <w:tr>
        <w:trPr>
          <w:trHeight w:val="158"/>
        </w:trPr>
        <w:tc>
          <w:tcPr>
            <w:tcW w:w="3340" w:type="dxa"/>
            <w:vAlign w:val="bottom"/>
            <w:tcBorders>
              <w:right w:val="single" w:sz="8" w:color="E8EAEB"/>
            </w:tcBorders>
          </w:tcPr>
          <w:p>
            <w:pPr>
              <w:spacing w:after="0"/>
              <w:rPr>
                <w:sz w:val="13"/>
                <w:szCs w:val="13"/>
                <w:color w:val="auto"/>
              </w:rPr>
            </w:pPr>
          </w:p>
        </w:tc>
        <w:tc>
          <w:tcPr>
            <w:tcW w:w="14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in Fiscal Year</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in Fiscal Year</w:t>
            </w:r>
          </w:p>
        </w:tc>
        <w:tc>
          <w:tcPr>
            <w:tcW w:w="18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in Fiscal Year</w:t>
            </w:r>
          </w:p>
        </w:tc>
        <w:tc>
          <w:tcPr>
            <w:tcW w:w="14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Withdrawals /</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2024 Fiscal</w:t>
            </w:r>
          </w:p>
        </w:tc>
      </w:tr>
      <w:tr>
        <w:trPr>
          <w:trHeight w:val="158"/>
        </w:trPr>
        <w:tc>
          <w:tcPr>
            <w:tcW w:w="3340" w:type="dxa"/>
            <w:vAlign w:val="bottom"/>
            <w:tcBorders>
              <w:right w:val="single" w:sz="8" w:color="E8EAEB"/>
            </w:tcBorders>
          </w:tcPr>
          <w:p>
            <w:pPr>
              <w:spacing w:after="0"/>
              <w:rPr>
                <w:sz w:val="13"/>
                <w:szCs w:val="13"/>
                <w:color w:val="auto"/>
              </w:rPr>
            </w:pPr>
          </w:p>
        </w:tc>
        <w:tc>
          <w:tcPr>
            <w:tcW w:w="1420" w:type="dxa"/>
            <w:vAlign w:val="bottom"/>
            <w:tcBorders>
              <w:right w:val="single" w:sz="8" w:color="E8EAEB"/>
            </w:tcBorders>
          </w:tcPr>
          <w:p>
            <w:pPr>
              <w:jc w:val="right"/>
              <w:ind w:right="505"/>
              <w:spacing w:after="0" w:line="158" w:lineRule="exact"/>
              <w:rPr>
                <w:sz w:val="20"/>
                <w:szCs w:val="20"/>
                <w:color w:val="auto"/>
              </w:rPr>
            </w:pPr>
            <w:r>
              <w:rPr>
                <w:rFonts w:ascii="Arial" w:cs="Arial" w:eastAsia="Arial" w:hAnsi="Arial"/>
                <w:sz w:val="14"/>
                <w:szCs w:val="14"/>
                <w:b w:val="1"/>
                <w:bCs w:val="1"/>
                <w:color w:val="009FE3"/>
              </w:rPr>
              <w:t>2024</w:t>
            </w:r>
          </w:p>
        </w:tc>
        <w:tc>
          <w:tcPr>
            <w:tcW w:w="1020" w:type="dxa"/>
            <w:vAlign w:val="bottom"/>
            <w:tcBorders>
              <w:right w:val="single" w:sz="8" w:color="E8EAEB"/>
            </w:tcBorders>
          </w:tcPr>
          <w:p>
            <w:pPr>
              <w:jc w:val="right"/>
              <w:ind w:right="305"/>
              <w:spacing w:after="0" w:line="158" w:lineRule="exact"/>
              <w:rPr>
                <w:sz w:val="20"/>
                <w:szCs w:val="20"/>
                <w:color w:val="auto"/>
              </w:rPr>
            </w:pPr>
            <w:r>
              <w:rPr>
                <w:rFonts w:ascii="Arial" w:cs="Arial" w:eastAsia="Arial" w:hAnsi="Arial"/>
                <w:sz w:val="14"/>
                <w:szCs w:val="14"/>
                <w:b w:val="1"/>
                <w:bCs w:val="1"/>
                <w:color w:val="009FE3"/>
              </w:rPr>
              <w:t>2024</w:t>
            </w:r>
          </w:p>
        </w:tc>
        <w:tc>
          <w:tcPr>
            <w:tcW w:w="1800" w:type="dxa"/>
            <w:vAlign w:val="bottom"/>
            <w:tcBorders>
              <w:right w:val="single" w:sz="8" w:color="E8EAEB"/>
            </w:tcBorders>
          </w:tcPr>
          <w:p>
            <w:pPr>
              <w:jc w:val="right"/>
              <w:ind w:right="685"/>
              <w:spacing w:after="0" w:line="158" w:lineRule="exact"/>
              <w:rPr>
                <w:sz w:val="20"/>
                <w:szCs w:val="20"/>
                <w:color w:val="auto"/>
              </w:rPr>
            </w:pPr>
            <w:r>
              <w:rPr>
                <w:rFonts w:ascii="Arial" w:cs="Arial" w:eastAsia="Arial" w:hAnsi="Arial"/>
                <w:sz w:val="14"/>
                <w:szCs w:val="14"/>
                <w:b w:val="1"/>
                <w:bCs w:val="1"/>
                <w:color w:val="009FE3"/>
              </w:rPr>
              <w:t>2024</w:t>
            </w:r>
          </w:p>
        </w:tc>
        <w:tc>
          <w:tcPr>
            <w:tcW w:w="14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Distributions</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8"/>
              </w:rPr>
              <w:t>Year End</w:t>
            </w:r>
          </w:p>
        </w:tc>
      </w:tr>
      <w:tr>
        <w:trPr>
          <w:trHeight w:val="193"/>
        </w:trPr>
        <w:tc>
          <w:tcPr>
            <w:tcW w:w="33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w:t>
            </w:r>
          </w:p>
        </w:tc>
        <w:tc>
          <w:tcPr>
            <w:tcW w:w="1420" w:type="dxa"/>
            <w:vAlign w:val="bottom"/>
            <w:tcBorders>
              <w:bottom w:val="single" w:sz="8" w:color="009FE3"/>
              <w:right w:val="single" w:sz="8" w:color="E8EAEB"/>
            </w:tcBorders>
          </w:tcPr>
          <w:p>
            <w:pPr>
              <w:jc w:val="right"/>
              <w:ind w:right="485"/>
              <w:spacing w:after="0"/>
              <w:rPr>
                <w:sz w:val="20"/>
                <w:szCs w:val="20"/>
                <w:color w:val="auto"/>
              </w:rPr>
            </w:pPr>
            <w:r>
              <w:rPr>
                <w:rFonts w:ascii="Arial" w:cs="Arial" w:eastAsia="Arial" w:hAnsi="Arial"/>
                <w:sz w:val="14"/>
                <w:szCs w:val="14"/>
                <w:b w:val="1"/>
                <w:bCs w:val="1"/>
                <w:color w:val="009FE3"/>
              </w:rPr>
              <w:t>($)(1)</w:t>
            </w:r>
          </w:p>
        </w:tc>
        <w:tc>
          <w:tcPr>
            <w:tcW w:w="1020" w:type="dxa"/>
            <w:vAlign w:val="bottom"/>
            <w:tcBorders>
              <w:bottom w:val="single" w:sz="8" w:color="009FE3"/>
              <w:right w:val="single" w:sz="8" w:color="E8EAEB"/>
            </w:tcBorders>
          </w:tcPr>
          <w:p>
            <w:pPr>
              <w:jc w:val="right"/>
              <w:ind w:right="365"/>
              <w:spacing w:after="0"/>
              <w:rPr>
                <w:sz w:val="20"/>
                <w:szCs w:val="20"/>
                <w:color w:val="auto"/>
              </w:rPr>
            </w:pPr>
            <w:r>
              <w:rPr>
                <w:rFonts w:ascii="Arial" w:cs="Arial" w:eastAsia="Arial" w:hAnsi="Arial"/>
                <w:sz w:val="14"/>
                <w:szCs w:val="14"/>
                <w:b w:val="1"/>
                <w:bCs w:val="1"/>
                <w:color w:val="009FE3"/>
              </w:rPr>
              <w:t>($)</w:t>
            </w:r>
          </w:p>
        </w:tc>
        <w:tc>
          <w:tcPr>
            <w:tcW w:w="1800" w:type="dxa"/>
            <w:vAlign w:val="bottom"/>
            <w:tcBorders>
              <w:bottom w:val="single" w:sz="8" w:color="009FE3"/>
              <w:right w:val="single" w:sz="8" w:color="E8EAEB"/>
            </w:tcBorders>
          </w:tcPr>
          <w:p>
            <w:pPr>
              <w:jc w:val="right"/>
              <w:ind w:right="665"/>
              <w:spacing w:after="0"/>
              <w:rPr>
                <w:sz w:val="20"/>
                <w:szCs w:val="20"/>
                <w:color w:val="auto"/>
              </w:rPr>
            </w:pPr>
            <w:r>
              <w:rPr>
                <w:rFonts w:ascii="Arial" w:cs="Arial" w:eastAsia="Arial" w:hAnsi="Arial"/>
                <w:sz w:val="14"/>
                <w:szCs w:val="14"/>
                <w:b w:val="1"/>
                <w:bCs w:val="1"/>
                <w:color w:val="009FE3"/>
              </w:rPr>
              <w:t>($)(2)</w:t>
            </w:r>
          </w:p>
        </w:tc>
        <w:tc>
          <w:tcPr>
            <w:tcW w:w="14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70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w w:val="99"/>
              </w:rPr>
              <w:t>($)(3)</w:t>
            </w:r>
          </w:p>
        </w:tc>
      </w:tr>
      <w:tr>
        <w:trPr>
          <w:trHeight w:val="236"/>
        </w:trPr>
        <w:tc>
          <w:tcPr>
            <w:tcW w:w="33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1420" w:type="dxa"/>
            <w:vAlign w:val="bottom"/>
            <w:tcBorders>
              <w:bottom w:val="single" w:sz="8" w:color="E8EAEB"/>
              <w:right w:val="single" w:sz="8" w:color="E8EAEB"/>
            </w:tcBorders>
          </w:tcPr>
          <w:p>
            <w:pPr>
              <w:ind w:left="980"/>
              <w:spacing w:after="0"/>
              <w:rPr>
                <w:sz w:val="20"/>
                <w:szCs w:val="20"/>
                <w:color w:val="auto"/>
              </w:rPr>
            </w:pPr>
            <w:r>
              <w:rPr>
                <w:rFonts w:ascii="Arial" w:cs="Arial" w:eastAsia="Arial" w:hAnsi="Arial"/>
                <w:sz w:val="16"/>
                <w:szCs w:val="16"/>
                <w:color w:val="202E39"/>
              </w:rPr>
              <w:t>— </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— </w:t>
            </w:r>
          </w:p>
        </w:tc>
        <w:tc>
          <w:tcPr>
            <w:tcW w:w="1800" w:type="dxa"/>
            <w:vAlign w:val="bottom"/>
            <w:tcBorders>
              <w:bottom w:val="single" w:sz="8" w:color="E8EAEB"/>
              <w:right w:val="single" w:sz="8" w:color="E8EAEB"/>
            </w:tcBorders>
          </w:tcPr>
          <w:p>
            <w:pPr>
              <w:ind w:left="1380"/>
              <w:spacing w:after="0"/>
              <w:rPr>
                <w:sz w:val="20"/>
                <w:szCs w:val="20"/>
                <w:color w:val="auto"/>
              </w:rPr>
            </w:pPr>
            <w:r>
              <w:rPr>
                <w:rFonts w:ascii="Arial" w:cs="Arial" w:eastAsia="Arial" w:hAnsi="Arial"/>
                <w:sz w:val="16"/>
                <w:szCs w:val="16"/>
                <w:color w:val="202E39"/>
              </w:rPr>
              <w:t>— </w:t>
            </w:r>
          </w:p>
        </w:tc>
        <w:tc>
          <w:tcPr>
            <w:tcW w:w="1460" w:type="dxa"/>
            <w:vAlign w:val="bottom"/>
            <w:tcBorders>
              <w:bottom w:val="single" w:sz="8" w:color="E8EAEB"/>
              <w:right w:val="single" w:sz="8" w:color="E8EAEB"/>
            </w:tcBorders>
          </w:tcPr>
          <w:p>
            <w:pPr>
              <w:ind w:left="1040"/>
              <w:spacing w:after="0"/>
              <w:rPr>
                <w:sz w:val="20"/>
                <w:szCs w:val="20"/>
                <w:color w:val="auto"/>
              </w:rPr>
            </w:pPr>
            <w:r>
              <w:rPr>
                <w:rFonts w:ascii="Arial" w:cs="Arial" w:eastAsia="Arial" w:hAnsi="Arial"/>
                <w:sz w:val="16"/>
                <w:szCs w:val="16"/>
                <w:color w:val="202E39"/>
              </w:rPr>
              <w:t>— </w:t>
            </w:r>
          </w:p>
        </w:tc>
        <w:tc>
          <w:tcPr>
            <w:tcW w:w="1700" w:type="dxa"/>
            <w:vAlign w:val="bottom"/>
            <w:tcBorders>
              <w:bottom w:val="single" w:sz="8" w:color="E8EAEB"/>
            </w:tcBorders>
          </w:tcPr>
          <w:p>
            <w:pPr>
              <w:ind w:left="1280"/>
              <w:spacing w:after="0"/>
              <w:rPr>
                <w:sz w:val="20"/>
                <w:szCs w:val="20"/>
                <w:color w:val="auto"/>
              </w:rPr>
            </w:pPr>
            <w:r>
              <w:rPr>
                <w:rFonts w:ascii="Arial" w:cs="Arial" w:eastAsia="Arial" w:hAnsi="Arial"/>
                <w:sz w:val="16"/>
                <w:szCs w:val="16"/>
                <w:color w:val="202E39"/>
              </w:rPr>
              <w:t>— </w:t>
            </w:r>
          </w:p>
        </w:tc>
      </w:tr>
      <w:tr>
        <w:trPr>
          <w:trHeight w:val="243"/>
        </w:trPr>
        <w:tc>
          <w:tcPr>
            <w:tcW w:w="33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 Guru Gowrappan</w:t>
            </w:r>
          </w:p>
        </w:tc>
        <w:tc>
          <w:tcPr>
            <w:tcW w:w="1420" w:type="dxa"/>
            <w:vAlign w:val="bottom"/>
            <w:tcBorders>
              <w:bottom w:val="single" w:sz="8" w:color="E8EAEB"/>
              <w:right w:val="single" w:sz="8" w:color="E8EAEB"/>
            </w:tcBorders>
          </w:tcPr>
          <w:p>
            <w:pPr>
              <w:ind w:left="980"/>
              <w:spacing w:after="0"/>
              <w:rPr>
                <w:sz w:val="20"/>
                <w:szCs w:val="20"/>
                <w:color w:val="auto"/>
              </w:rPr>
            </w:pPr>
            <w:r>
              <w:rPr>
                <w:rFonts w:ascii="Arial" w:cs="Arial" w:eastAsia="Arial" w:hAnsi="Arial"/>
                <w:sz w:val="16"/>
                <w:szCs w:val="16"/>
                <w:color w:val="202E39"/>
              </w:rPr>
              <w:t>— </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— </w:t>
            </w:r>
          </w:p>
        </w:tc>
        <w:tc>
          <w:tcPr>
            <w:tcW w:w="1800" w:type="dxa"/>
            <w:vAlign w:val="bottom"/>
            <w:tcBorders>
              <w:bottom w:val="single" w:sz="8" w:color="E8EAEB"/>
              <w:right w:val="single" w:sz="8" w:color="E8EAEB"/>
            </w:tcBorders>
          </w:tcPr>
          <w:p>
            <w:pPr>
              <w:ind w:left="1380"/>
              <w:spacing w:after="0"/>
              <w:rPr>
                <w:sz w:val="20"/>
                <w:szCs w:val="20"/>
                <w:color w:val="auto"/>
              </w:rPr>
            </w:pPr>
            <w:r>
              <w:rPr>
                <w:rFonts w:ascii="Arial" w:cs="Arial" w:eastAsia="Arial" w:hAnsi="Arial"/>
                <w:sz w:val="16"/>
                <w:szCs w:val="16"/>
                <w:color w:val="202E39"/>
              </w:rPr>
              <w:t>— </w:t>
            </w:r>
          </w:p>
        </w:tc>
        <w:tc>
          <w:tcPr>
            <w:tcW w:w="1460" w:type="dxa"/>
            <w:vAlign w:val="bottom"/>
            <w:tcBorders>
              <w:bottom w:val="single" w:sz="8" w:color="E8EAEB"/>
              <w:right w:val="single" w:sz="8" w:color="E8EAEB"/>
            </w:tcBorders>
          </w:tcPr>
          <w:p>
            <w:pPr>
              <w:ind w:left="1040"/>
              <w:spacing w:after="0"/>
              <w:rPr>
                <w:sz w:val="20"/>
                <w:szCs w:val="20"/>
                <w:color w:val="auto"/>
              </w:rPr>
            </w:pPr>
            <w:r>
              <w:rPr>
                <w:rFonts w:ascii="Arial" w:cs="Arial" w:eastAsia="Arial" w:hAnsi="Arial"/>
                <w:sz w:val="16"/>
                <w:szCs w:val="16"/>
                <w:color w:val="202E39"/>
              </w:rPr>
              <w:t>— </w:t>
            </w:r>
          </w:p>
        </w:tc>
        <w:tc>
          <w:tcPr>
            <w:tcW w:w="1700" w:type="dxa"/>
            <w:vAlign w:val="bottom"/>
            <w:tcBorders>
              <w:bottom w:val="single" w:sz="8" w:color="E8EAEB"/>
            </w:tcBorders>
          </w:tcPr>
          <w:p>
            <w:pPr>
              <w:ind w:left="1280"/>
              <w:spacing w:after="0"/>
              <w:rPr>
                <w:sz w:val="20"/>
                <w:szCs w:val="20"/>
                <w:color w:val="auto"/>
              </w:rPr>
            </w:pPr>
            <w:r>
              <w:rPr>
                <w:rFonts w:ascii="Arial" w:cs="Arial" w:eastAsia="Arial" w:hAnsi="Arial"/>
                <w:sz w:val="16"/>
                <w:szCs w:val="16"/>
                <w:color w:val="202E39"/>
              </w:rPr>
              <w:t>— </w:t>
            </w:r>
          </w:p>
        </w:tc>
      </w:tr>
      <w:tr>
        <w:trPr>
          <w:trHeight w:val="243"/>
        </w:trPr>
        <w:tc>
          <w:tcPr>
            <w:tcW w:w="33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1420" w:type="dxa"/>
            <w:vAlign w:val="bottom"/>
            <w:tcBorders>
              <w:bottom w:val="single" w:sz="8" w:color="E8EAEB"/>
              <w:right w:val="single" w:sz="8" w:color="E8EAEB"/>
            </w:tcBorders>
          </w:tcPr>
          <w:p>
            <w:pPr>
              <w:ind w:left="980"/>
              <w:spacing w:after="0"/>
              <w:rPr>
                <w:sz w:val="20"/>
                <w:szCs w:val="20"/>
                <w:color w:val="auto"/>
              </w:rPr>
            </w:pPr>
            <w:r>
              <w:rPr>
                <w:rFonts w:ascii="Arial" w:cs="Arial" w:eastAsia="Arial" w:hAnsi="Arial"/>
                <w:sz w:val="16"/>
                <w:szCs w:val="16"/>
                <w:color w:val="202E39"/>
              </w:rPr>
              <w:t>— </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— </w:t>
            </w:r>
          </w:p>
        </w:tc>
        <w:tc>
          <w:tcPr>
            <w:tcW w:w="1800" w:type="dxa"/>
            <w:vAlign w:val="bottom"/>
            <w:tcBorders>
              <w:bottom w:val="single" w:sz="8" w:color="E8EAEB"/>
              <w:right w:val="single" w:sz="8" w:color="E8EAEB"/>
            </w:tcBorders>
          </w:tcPr>
          <w:p>
            <w:pPr>
              <w:ind w:left="1380"/>
              <w:spacing w:after="0"/>
              <w:rPr>
                <w:sz w:val="20"/>
                <w:szCs w:val="20"/>
                <w:color w:val="auto"/>
              </w:rPr>
            </w:pPr>
            <w:r>
              <w:rPr>
                <w:rFonts w:ascii="Arial" w:cs="Arial" w:eastAsia="Arial" w:hAnsi="Arial"/>
                <w:sz w:val="16"/>
                <w:szCs w:val="16"/>
                <w:color w:val="202E39"/>
              </w:rPr>
              <w:t>— </w:t>
            </w:r>
          </w:p>
        </w:tc>
        <w:tc>
          <w:tcPr>
            <w:tcW w:w="1460" w:type="dxa"/>
            <w:vAlign w:val="bottom"/>
            <w:tcBorders>
              <w:bottom w:val="single" w:sz="8" w:color="E8EAEB"/>
              <w:right w:val="single" w:sz="8" w:color="E8EAEB"/>
            </w:tcBorders>
          </w:tcPr>
          <w:p>
            <w:pPr>
              <w:ind w:left="1040"/>
              <w:spacing w:after="0"/>
              <w:rPr>
                <w:sz w:val="20"/>
                <w:szCs w:val="20"/>
                <w:color w:val="auto"/>
              </w:rPr>
            </w:pPr>
            <w:r>
              <w:rPr>
                <w:rFonts w:ascii="Arial" w:cs="Arial" w:eastAsia="Arial" w:hAnsi="Arial"/>
                <w:sz w:val="16"/>
                <w:szCs w:val="16"/>
                <w:color w:val="202E39"/>
              </w:rPr>
              <w:t>— </w:t>
            </w:r>
          </w:p>
        </w:tc>
        <w:tc>
          <w:tcPr>
            <w:tcW w:w="1700" w:type="dxa"/>
            <w:vAlign w:val="bottom"/>
            <w:tcBorders>
              <w:bottom w:val="single" w:sz="8" w:color="E8EAEB"/>
            </w:tcBorders>
          </w:tcPr>
          <w:p>
            <w:pPr>
              <w:ind w:left="1280"/>
              <w:spacing w:after="0"/>
              <w:rPr>
                <w:sz w:val="20"/>
                <w:szCs w:val="20"/>
                <w:color w:val="auto"/>
              </w:rPr>
            </w:pPr>
            <w:r>
              <w:rPr>
                <w:rFonts w:ascii="Arial" w:cs="Arial" w:eastAsia="Arial" w:hAnsi="Arial"/>
                <w:sz w:val="16"/>
                <w:szCs w:val="16"/>
                <w:color w:val="202E39"/>
              </w:rPr>
              <w:t>— </w:t>
            </w:r>
          </w:p>
        </w:tc>
      </w:tr>
      <w:tr>
        <w:trPr>
          <w:trHeight w:val="243"/>
        </w:trPr>
        <w:tc>
          <w:tcPr>
            <w:tcW w:w="33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Kevin Harkenrider (4)</w:t>
            </w:r>
          </w:p>
        </w:tc>
        <w:tc>
          <w:tcPr>
            <w:tcW w:w="1420" w:type="dxa"/>
            <w:vAlign w:val="bottom"/>
            <w:tcBorders>
              <w:bottom w:val="single" w:sz="8" w:color="E8EAEB"/>
              <w:right w:val="single" w:sz="8" w:color="E8EAEB"/>
            </w:tcBorders>
          </w:tcPr>
          <w:p>
            <w:pPr>
              <w:ind w:left="660"/>
              <w:spacing w:after="0"/>
              <w:rPr>
                <w:sz w:val="20"/>
                <w:szCs w:val="20"/>
                <w:color w:val="auto"/>
              </w:rPr>
            </w:pPr>
            <w:r>
              <w:rPr>
                <w:rFonts w:ascii="Arial" w:cs="Arial" w:eastAsia="Arial" w:hAnsi="Arial"/>
                <w:sz w:val="16"/>
                <w:szCs w:val="16"/>
                <w:color w:val="202E39"/>
              </w:rPr>
              <w:t>254,248</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— </w:t>
            </w:r>
          </w:p>
        </w:tc>
        <w:tc>
          <w:tcPr>
            <w:tcW w:w="1800" w:type="dxa"/>
            <w:vAlign w:val="bottom"/>
            <w:tcBorders>
              <w:bottom w:val="single" w:sz="8" w:color="E8EAEB"/>
              <w:right w:val="single" w:sz="8" w:color="E8EAEB"/>
            </w:tcBorders>
          </w:tcPr>
          <w:p>
            <w:pPr>
              <w:ind w:left="860"/>
              <w:spacing w:after="0"/>
              <w:rPr>
                <w:sz w:val="20"/>
                <w:szCs w:val="20"/>
                <w:color w:val="auto"/>
              </w:rPr>
            </w:pPr>
            <w:r>
              <w:rPr>
                <w:rFonts w:ascii="Arial" w:cs="Arial" w:eastAsia="Arial" w:hAnsi="Arial"/>
                <w:sz w:val="16"/>
                <w:szCs w:val="16"/>
                <w:color w:val="202E39"/>
              </w:rPr>
              <w:t>(1,361,021)</w:t>
            </w:r>
          </w:p>
        </w:tc>
        <w:tc>
          <w:tcPr>
            <w:tcW w:w="1460" w:type="dxa"/>
            <w:vAlign w:val="bottom"/>
            <w:tcBorders>
              <w:bottom w:val="single" w:sz="8" w:color="E8EAEB"/>
              <w:right w:val="single" w:sz="8" w:color="E8EAEB"/>
            </w:tcBorders>
          </w:tcPr>
          <w:p>
            <w:pPr>
              <w:ind w:left="700"/>
              <w:spacing w:after="0"/>
              <w:rPr>
                <w:sz w:val="20"/>
                <w:szCs w:val="20"/>
                <w:color w:val="auto"/>
              </w:rPr>
            </w:pPr>
            <w:r>
              <w:rPr>
                <w:rFonts w:ascii="Arial" w:cs="Arial" w:eastAsia="Arial" w:hAnsi="Arial"/>
                <w:sz w:val="16"/>
                <w:szCs w:val="16"/>
                <w:color w:val="202E39"/>
              </w:rPr>
              <w:t>188,524</w:t>
            </w:r>
          </w:p>
        </w:tc>
        <w:tc>
          <w:tcPr>
            <w:tcW w:w="1700" w:type="dxa"/>
            <w:vAlign w:val="bottom"/>
            <w:tcBorders>
              <w:bottom w:val="single" w:sz="8" w:color="E8EAEB"/>
            </w:tcBorders>
          </w:tcPr>
          <w:p>
            <w:pPr>
              <w:ind w:left="820"/>
              <w:spacing w:after="0"/>
              <w:rPr>
                <w:sz w:val="20"/>
                <w:szCs w:val="20"/>
                <w:color w:val="auto"/>
              </w:rPr>
            </w:pPr>
            <w:r>
              <w:rPr>
                <w:rFonts w:ascii="Arial" w:cs="Arial" w:eastAsia="Arial" w:hAnsi="Arial"/>
                <w:sz w:val="16"/>
                <w:szCs w:val="16"/>
                <w:color w:val="202E39"/>
              </w:rPr>
              <w:t>1,738,340</w:t>
            </w:r>
          </w:p>
        </w:tc>
      </w:tr>
      <w:tr>
        <w:trPr>
          <w:trHeight w:val="243"/>
        </w:trPr>
        <w:tc>
          <w:tcPr>
            <w:tcW w:w="33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Craig Miller</w:t>
            </w:r>
          </w:p>
        </w:tc>
        <w:tc>
          <w:tcPr>
            <w:tcW w:w="1420" w:type="dxa"/>
            <w:vAlign w:val="bottom"/>
            <w:tcBorders>
              <w:bottom w:val="single" w:sz="8" w:color="E8EAEB"/>
              <w:right w:val="single" w:sz="8" w:color="E8EAEB"/>
            </w:tcBorders>
          </w:tcPr>
          <w:p>
            <w:pPr>
              <w:ind w:left="980"/>
              <w:spacing w:after="0"/>
              <w:rPr>
                <w:sz w:val="20"/>
                <w:szCs w:val="20"/>
                <w:color w:val="auto"/>
              </w:rPr>
            </w:pPr>
            <w:r>
              <w:rPr>
                <w:rFonts w:ascii="Arial" w:cs="Arial" w:eastAsia="Arial" w:hAnsi="Arial"/>
                <w:sz w:val="16"/>
                <w:szCs w:val="16"/>
                <w:color w:val="202E39"/>
              </w:rPr>
              <w:t>— </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— </w:t>
            </w:r>
          </w:p>
        </w:tc>
        <w:tc>
          <w:tcPr>
            <w:tcW w:w="1800" w:type="dxa"/>
            <w:vAlign w:val="bottom"/>
            <w:tcBorders>
              <w:bottom w:val="single" w:sz="8" w:color="E8EAEB"/>
              <w:right w:val="single" w:sz="8" w:color="E8EAEB"/>
            </w:tcBorders>
          </w:tcPr>
          <w:p>
            <w:pPr>
              <w:ind w:left="1380"/>
              <w:spacing w:after="0"/>
              <w:rPr>
                <w:sz w:val="20"/>
                <w:szCs w:val="20"/>
                <w:color w:val="auto"/>
              </w:rPr>
            </w:pPr>
            <w:r>
              <w:rPr>
                <w:rFonts w:ascii="Arial" w:cs="Arial" w:eastAsia="Arial" w:hAnsi="Arial"/>
                <w:sz w:val="16"/>
                <w:szCs w:val="16"/>
                <w:color w:val="202E39"/>
              </w:rPr>
              <w:t>— </w:t>
            </w:r>
          </w:p>
        </w:tc>
        <w:tc>
          <w:tcPr>
            <w:tcW w:w="1460" w:type="dxa"/>
            <w:vAlign w:val="bottom"/>
            <w:tcBorders>
              <w:bottom w:val="single" w:sz="8" w:color="E8EAEB"/>
              <w:right w:val="single" w:sz="8" w:color="E8EAEB"/>
            </w:tcBorders>
          </w:tcPr>
          <w:p>
            <w:pPr>
              <w:ind w:left="1040"/>
              <w:spacing w:after="0"/>
              <w:rPr>
                <w:sz w:val="20"/>
                <w:szCs w:val="20"/>
                <w:color w:val="auto"/>
              </w:rPr>
            </w:pPr>
            <w:r>
              <w:rPr>
                <w:rFonts w:ascii="Arial" w:cs="Arial" w:eastAsia="Arial" w:hAnsi="Arial"/>
                <w:sz w:val="16"/>
                <w:szCs w:val="16"/>
                <w:color w:val="202E39"/>
              </w:rPr>
              <w:t>— </w:t>
            </w:r>
          </w:p>
        </w:tc>
        <w:tc>
          <w:tcPr>
            <w:tcW w:w="1700" w:type="dxa"/>
            <w:vAlign w:val="bottom"/>
            <w:tcBorders>
              <w:bottom w:val="single" w:sz="8" w:color="E8EAEB"/>
            </w:tcBorders>
          </w:tcPr>
          <w:p>
            <w:pPr>
              <w:ind w:left="1280"/>
              <w:spacing w:after="0"/>
              <w:rPr>
                <w:sz w:val="20"/>
                <w:szCs w:val="20"/>
                <w:color w:val="auto"/>
              </w:rPr>
            </w:pPr>
            <w:r>
              <w:rPr>
                <w:rFonts w:ascii="Arial" w:cs="Arial" w:eastAsia="Arial" w:hAnsi="Arial"/>
                <w:sz w:val="16"/>
                <w:szCs w:val="16"/>
                <w:color w:val="202E39"/>
              </w:rPr>
              <w:t>— </w:t>
            </w:r>
          </w:p>
        </w:tc>
      </w:tr>
      <w:tr>
        <w:trPr>
          <w:trHeight w:val="243"/>
        </w:trPr>
        <w:tc>
          <w:tcPr>
            <w:tcW w:w="33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David Ryan (5)</w:t>
            </w:r>
          </w:p>
        </w:tc>
        <w:tc>
          <w:tcPr>
            <w:tcW w:w="1420" w:type="dxa"/>
            <w:vAlign w:val="bottom"/>
            <w:tcBorders>
              <w:bottom w:val="single" w:sz="8" w:color="009FE3"/>
              <w:right w:val="single" w:sz="8" w:color="E8EAEB"/>
            </w:tcBorders>
          </w:tcPr>
          <w:p>
            <w:pPr>
              <w:ind w:left="980"/>
              <w:spacing w:after="0"/>
              <w:rPr>
                <w:sz w:val="20"/>
                <w:szCs w:val="20"/>
                <w:color w:val="auto"/>
              </w:rPr>
            </w:pPr>
            <w:r>
              <w:rPr>
                <w:rFonts w:ascii="Arial" w:cs="Arial" w:eastAsia="Arial" w:hAnsi="Arial"/>
                <w:sz w:val="16"/>
                <w:szCs w:val="16"/>
                <w:color w:val="202E39"/>
              </w:rPr>
              <w:t>— </w:t>
            </w:r>
          </w:p>
        </w:tc>
        <w:tc>
          <w:tcPr>
            <w:tcW w:w="1020" w:type="dxa"/>
            <w:vAlign w:val="bottom"/>
            <w:tcBorders>
              <w:bottom w:val="single" w:sz="8" w:color="009FE3"/>
              <w:right w:val="single" w:sz="8" w:color="E8EAEB"/>
            </w:tcBorders>
          </w:tcPr>
          <w:p>
            <w:pPr>
              <w:ind w:left="600"/>
              <w:spacing w:after="0"/>
              <w:rPr>
                <w:sz w:val="20"/>
                <w:szCs w:val="20"/>
                <w:color w:val="auto"/>
              </w:rPr>
            </w:pPr>
            <w:r>
              <w:rPr>
                <w:rFonts w:ascii="Arial" w:cs="Arial" w:eastAsia="Arial" w:hAnsi="Arial"/>
                <w:sz w:val="16"/>
                <w:szCs w:val="16"/>
                <w:color w:val="202E39"/>
              </w:rPr>
              <w:t>— </w:t>
            </w:r>
          </w:p>
        </w:tc>
        <w:tc>
          <w:tcPr>
            <w:tcW w:w="1800" w:type="dxa"/>
            <w:vAlign w:val="bottom"/>
            <w:tcBorders>
              <w:bottom w:val="single" w:sz="8" w:color="009FE3"/>
              <w:right w:val="single" w:sz="8" w:color="E8EAEB"/>
            </w:tcBorders>
          </w:tcPr>
          <w:p>
            <w:pPr>
              <w:ind w:left="1380"/>
              <w:spacing w:after="0"/>
              <w:rPr>
                <w:sz w:val="20"/>
                <w:szCs w:val="20"/>
                <w:color w:val="auto"/>
              </w:rPr>
            </w:pPr>
            <w:r>
              <w:rPr>
                <w:rFonts w:ascii="Arial" w:cs="Arial" w:eastAsia="Arial" w:hAnsi="Arial"/>
                <w:sz w:val="16"/>
                <w:szCs w:val="16"/>
                <w:color w:val="202E39"/>
              </w:rPr>
              <w:t>— </w:t>
            </w:r>
          </w:p>
        </w:tc>
        <w:tc>
          <w:tcPr>
            <w:tcW w:w="1460" w:type="dxa"/>
            <w:vAlign w:val="bottom"/>
            <w:tcBorders>
              <w:bottom w:val="single" w:sz="8" w:color="009FE3"/>
              <w:right w:val="single" w:sz="8" w:color="E8EAEB"/>
            </w:tcBorders>
          </w:tcPr>
          <w:p>
            <w:pPr>
              <w:ind w:left="1040"/>
              <w:spacing w:after="0"/>
              <w:rPr>
                <w:sz w:val="20"/>
                <w:szCs w:val="20"/>
                <w:color w:val="auto"/>
              </w:rPr>
            </w:pPr>
            <w:r>
              <w:rPr>
                <w:rFonts w:ascii="Arial" w:cs="Arial" w:eastAsia="Arial" w:hAnsi="Arial"/>
                <w:sz w:val="16"/>
                <w:szCs w:val="16"/>
                <w:color w:val="202E39"/>
              </w:rPr>
              <w:t>— </w:t>
            </w:r>
          </w:p>
        </w:tc>
        <w:tc>
          <w:tcPr>
            <w:tcW w:w="1700" w:type="dxa"/>
            <w:vAlign w:val="bottom"/>
            <w:tcBorders>
              <w:bottom w:val="single" w:sz="8" w:color="009FE3"/>
            </w:tcBorders>
          </w:tcPr>
          <w:p>
            <w:pPr>
              <w:ind w:left="1280"/>
              <w:spacing w:after="0"/>
              <w:rPr>
                <w:sz w:val="20"/>
                <w:szCs w:val="20"/>
                <w:color w:val="auto"/>
              </w:rPr>
            </w:pPr>
            <w:r>
              <w:rPr>
                <w:rFonts w:ascii="Arial" w:cs="Arial" w:eastAsia="Arial" w:hAnsi="Arial"/>
                <w:sz w:val="16"/>
                <w:szCs w:val="16"/>
                <w:color w:val="202E39"/>
              </w:rPr>
              <w:t>— </w:t>
            </w:r>
          </w:p>
        </w:tc>
      </w:tr>
    </w:tbl>
    <w:p>
      <w:pPr>
        <w:spacing w:after="0" w:line="109" w:lineRule="exact"/>
        <w:rPr>
          <w:sz w:val="20"/>
          <w:szCs w:val="20"/>
          <w:color w:val="auto"/>
        </w:rPr>
      </w:pPr>
    </w:p>
    <w:p>
      <w:pPr>
        <w:ind w:left="680" w:right="80" w:hanging="419"/>
        <w:spacing w:after="0" w:line="252" w:lineRule="auto"/>
        <w:tabs>
          <w:tab w:leader="none" w:pos="680" w:val="left"/>
        </w:tabs>
        <w:numPr>
          <w:ilvl w:val="0"/>
          <w:numId w:val="54"/>
        </w:numPr>
        <w:rPr>
          <w:rFonts w:ascii="Arial" w:cs="Arial" w:eastAsia="Arial" w:hAnsi="Arial"/>
          <w:sz w:val="14"/>
          <w:szCs w:val="14"/>
          <w:color w:val="202E39"/>
        </w:rPr>
      </w:pPr>
      <w:r>
        <w:rPr>
          <w:rFonts w:ascii="Arial" w:cs="Arial" w:eastAsia="Arial" w:hAnsi="Arial"/>
          <w:sz w:val="14"/>
          <w:szCs w:val="14"/>
          <w:color w:val="202E39"/>
        </w:rPr>
        <w:t>The amount reported in this column represents the value of the shares underlying the deferred restricted stock units that vested during fiscal year 2024, calculated based on the market price on the applicable vesting date. The grant date fair value attributable to these restricted stock units was previously reported in the Summary Compensation Table for the fiscal year in which they were granted.</w:t>
      </w:r>
    </w:p>
    <w:p>
      <w:pPr>
        <w:spacing w:after="0" w:line="31" w:lineRule="exact"/>
        <w:rPr>
          <w:rFonts w:ascii="Arial" w:cs="Arial" w:eastAsia="Arial" w:hAnsi="Arial"/>
          <w:sz w:val="14"/>
          <w:szCs w:val="14"/>
          <w:color w:val="202E39"/>
        </w:rPr>
      </w:pPr>
    </w:p>
    <w:p>
      <w:pPr>
        <w:ind w:left="680" w:right="20" w:hanging="419"/>
        <w:spacing w:after="0" w:line="243" w:lineRule="auto"/>
        <w:tabs>
          <w:tab w:leader="none" w:pos="680" w:val="left"/>
        </w:tabs>
        <w:numPr>
          <w:ilvl w:val="0"/>
          <w:numId w:val="54"/>
        </w:numPr>
        <w:rPr>
          <w:rFonts w:ascii="Arial" w:cs="Arial" w:eastAsia="Arial" w:hAnsi="Arial"/>
          <w:sz w:val="14"/>
          <w:szCs w:val="14"/>
          <w:color w:val="202E39"/>
        </w:rPr>
      </w:pPr>
      <w:r>
        <w:rPr>
          <w:rFonts w:ascii="Arial" w:cs="Arial" w:eastAsia="Arial" w:hAnsi="Arial"/>
          <w:sz w:val="14"/>
          <w:szCs w:val="14"/>
          <w:color w:val="202E39"/>
        </w:rPr>
        <w:t>Represents the change in market value of the shares of our common stock underlying the deferred restricted stock units held by the Named Executive Officer as of the last day of fiscal year 2024, calculated as the difference between (a) the closing price of our common stock on the applicable vesting date (for restricted stock units vesting during fiscal year 2024) or the first day of fiscal year 2024 (for restricted stock units that vested during prior fiscal years) and (b) the closing price on March 31, 2024, the last day of fiscal year 2024. No additional earnings (either in the form of accrued dividends or dividend equivalents) are paid on deferred restricted stock units.</w:t>
      </w:r>
    </w:p>
    <w:p>
      <w:pPr>
        <w:spacing w:after="0" w:line="39" w:lineRule="exact"/>
        <w:rPr>
          <w:rFonts w:ascii="Arial" w:cs="Arial" w:eastAsia="Arial" w:hAnsi="Arial"/>
          <w:sz w:val="14"/>
          <w:szCs w:val="14"/>
          <w:color w:val="202E39"/>
        </w:rPr>
      </w:pPr>
    </w:p>
    <w:p>
      <w:pPr>
        <w:ind w:left="680" w:right="120" w:hanging="419"/>
        <w:spacing w:after="0" w:line="270" w:lineRule="auto"/>
        <w:tabs>
          <w:tab w:leader="none" w:pos="680" w:val="left"/>
        </w:tabs>
        <w:numPr>
          <w:ilvl w:val="0"/>
          <w:numId w:val="54"/>
        </w:numPr>
        <w:rPr>
          <w:rFonts w:ascii="Arial" w:cs="Arial" w:eastAsia="Arial" w:hAnsi="Arial"/>
          <w:sz w:val="14"/>
          <w:szCs w:val="14"/>
          <w:color w:val="202E39"/>
        </w:rPr>
      </w:pPr>
      <w:r>
        <w:rPr>
          <w:rFonts w:ascii="Arial" w:cs="Arial" w:eastAsia="Arial" w:hAnsi="Arial"/>
          <w:sz w:val="14"/>
          <w:szCs w:val="14"/>
          <w:color w:val="202E39"/>
        </w:rPr>
        <w:t>The amount represents the value of shares of our common stock underlying the deferred restricted stock units based on the closing price on March 31, 2024 ($18.09 per share), the last trading day of fiscal year 2024.</w:t>
      </w:r>
    </w:p>
    <w:p>
      <w:pPr>
        <w:spacing w:after="0" w:line="18" w:lineRule="exact"/>
        <w:rPr>
          <w:rFonts w:ascii="Arial" w:cs="Arial" w:eastAsia="Arial" w:hAnsi="Arial"/>
          <w:sz w:val="14"/>
          <w:szCs w:val="14"/>
          <w:color w:val="202E39"/>
        </w:rPr>
      </w:pPr>
    </w:p>
    <w:p>
      <w:pPr>
        <w:ind w:left="680" w:right="180" w:hanging="419"/>
        <w:spacing w:after="0" w:line="270" w:lineRule="auto"/>
        <w:tabs>
          <w:tab w:leader="none" w:pos="680" w:val="left"/>
        </w:tabs>
        <w:numPr>
          <w:ilvl w:val="0"/>
          <w:numId w:val="54"/>
        </w:numPr>
        <w:rPr>
          <w:rFonts w:ascii="Arial" w:cs="Arial" w:eastAsia="Arial" w:hAnsi="Arial"/>
          <w:sz w:val="14"/>
          <w:szCs w:val="14"/>
          <w:color w:val="202E39"/>
        </w:rPr>
      </w:pPr>
      <w:r>
        <w:rPr>
          <w:rFonts w:ascii="Arial" w:cs="Arial" w:eastAsia="Arial" w:hAnsi="Arial"/>
          <w:sz w:val="14"/>
          <w:szCs w:val="14"/>
          <w:color w:val="202E39"/>
        </w:rPr>
        <w:t>Mr. Harkenrider’s deferred restricted stock units will be distributed to him on fixed distribution dates elected by him at the time of grant or, if earlier, upon a change in control of Viasat or his death.</w:t>
      </w:r>
    </w:p>
    <w:p>
      <w:pPr>
        <w:spacing w:after="0" w:line="18" w:lineRule="exact"/>
        <w:rPr>
          <w:rFonts w:ascii="Arial" w:cs="Arial" w:eastAsia="Arial" w:hAnsi="Arial"/>
          <w:sz w:val="14"/>
          <w:szCs w:val="14"/>
          <w:color w:val="202E39"/>
        </w:rPr>
      </w:pPr>
    </w:p>
    <w:p>
      <w:pPr>
        <w:ind w:left="680" w:hanging="419"/>
        <w:spacing w:after="0"/>
        <w:tabs>
          <w:tab w:leader="none" w:pos="680" w:val="left"/>
        </w:tabs>
        <w:numPr>
          <w:ilvl w:val="0"/>
          <w:numId w:val="54"/>
        </w:numPr>
        <w:rPr>
          <w:rFonts w:ascii="Arial" w:cs="Arial" w:eastAsia="Arial" w:hAnsi="Arial"/>
          <w:sz w:val="14"/>
          <w:szCs w:val="14"/>
          <w:color w:val="202E39"/>
        </w:rPr>
      </w:pPr>
      <w:r>
        <w:rPr>
          <w:rFonts w:ascii="Arial" w:cs="Arial" w:eastAsia="Arial" w:hAnsi="Arial"/>
          <w:sz w:val="14"/>
          <w:szCs w:val="14"/>
          <w:color w:val="202E39"/>
        </w:rPr>
        <w:t>Mr. Ryan departed Viasat during fiscal year 2024.</w:t>
      </w:r>
    </w:p>
    <w:p>
      <w:pPr>
        <w:spacing w:after="0" w:line="14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53</w:t>
      </w:r>
    </w:p>
    <w:p>
      <w:pPr>
        <w:sectPr>
          <w:pgSz w:w="11900" w:h="16838" w:orient="portrait"/>
          <w:cols w:equalWidth="0" w:num="1">
            <w:col w:w="11000"/>
          </w:cols>
          <w:pgMar w:left="320" w:top="474" w:right="5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Potential Payments Upon Termination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Potential Payments Upon Termination</w:t>
      </w:r>
    </w:p>
    <w:p>
      <w:pPr>
        <w:spacing w:after="0" w:line="124" w:lineRule="exact"/>
        <w:rPr>
          <w:sz w:val="20"/>
          <w:szCs w:val="20"/>
          <w:color w:val="auto"/>
        </w:rPr>
      </w:pPr>
    </w:p>
    <w:p>
      <w:pPr>
        <w:ind w:left="260" w:right="80"/>
        <w:spacing w:after="0" w:line="247" w:lineRule="auto"/>
        <w:rPr>
          <w:sz w:val="20"/>
          <w:szCs w:val="20"/>
          <w:color w:val="auto"/>
        </w:rPr>
      </w:pPr>
      <w:r>
        <w:rPr>
          <w:rFonts w:ascii="Arial" w:cs="Arial" w:eastAsia="Arial" w:hAnsi="Arial"/>
          <w:sz w:val="16"/>
          <w:szCs w:val="16"/>
          <w:color w:val="202E39"/>
        </w:rPr>
        <w:t>Viasat provides for certain severance payments and benefits if a Named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Named Executive Officers to their duties of employment without personal distraction or conflict of interest in circumstances which could arise from the occurrence of a change in control.</w:t>
      </w:r>
    </w:p>
    <w:p>
      <w:pPr>
        <w:spacing w:after="0" w:line="78" w:lineRule="exact"/>
        <w:rPr>
          <w:sz w:val="20"/>
          <w:szCs w:val="20"/>
          <w:color w:val="auto"/>
        </w:rPr>
      </w:pPr>
    </w:p>
    <w:p>
      <w:pPr>
        <w:ind w:left="260" w:right="380"/>
        <w:spacing w:after="0" w:line="269" w:lineRule="auto"/>
        <w:rPr>
          <w:sz w:val="20"/>
          <w:szCs w:val="20"/>
          <w:color w:val="auto"/>
        </w:rPr>
      </w:pPr>
      <w:r>
        <w:rPr>
          <w:rFonts w:ascii="Arial" w:cs="Arial" w:eastAsia="Arial" w:hAnsi="Arial"/>
          <w:sz w:val="16"/>
          <w:szCs w:val="16"/>
          <w:color w:val="202E39"/>
        </w:rPr>
        <w:t>We have entered in a severance agreement, or Severance Agreement, with Mr. Gowrappan. We have also entered into change in control severance agreements, or Change in Control Agreements, with each of the Named Executive Officers.</w:t>
      </w:r>
    </w:p>
    <w:p>
      <w:pPr>
        <w:spacing w:after="0" w:line="61" w:lineRule="exact"/>
        <w:rPr>
          <w:sz w:val="20"/>
          <w:szCs w:val="20"/>
          <w:color w:val="auto"/>
        </w:rPr>
      </w:pPr>
    </w:p>
    <w:p>
      <w:pPr>
        <w:ind w:left="260" w:right="20"/>
        <w:spacing w:after="0" w:line="265" w:lineRule="auto"/>
        <w:rPr>
          <w:sz w:val="20"/>
          <w:szCs w:val="20"/>
          <w:color w:val="auto"/>
        </w:rPr>
      </w:pPr>
      <w:r>
        <w:rPr>
          <w:rFonts w:ascii="Arial" w:cs="Arial" w:eastAsia="Arial" w:hAnsi="Arial"/>
          <w:sz w:val="15"/>
          <w:szCs w:val="15"/>
          <w:color w:val="202E39"/>
        </w:rPr>
        <w:t>Under the Severance Agreement, in the event that Mr. Gowrappan’s employment is terminated by Viasat without “cause” or by Mr. Gowrappan with “good reason” (as each term is defined in the Severance Agreement), in either case, outside of the Change of Control Period (as defined below), he will receive</w:t>
      </w:r>
    </w:p>
    <w:p>
      <w:pPr>
        <w:spacing w:after="0" w:line="1" w:lineRule="exact"/>
        <w:rPr>
          <w:sz w:val="20"/>
          <w:szCs w:val="20"/>
          <w:color w:val="auto"/>
        </w:rPr>
      </w:pPr>
    </w:p>
    <w:p>
      <w:pPr>
        <w:jc w:val="both"/>
        <w:ind w:left="260" w:right="60" w:firstLine="1"/>
        <w:spacing w:after="0" w:line="245" w:lineRule="auto"/>
        <w:tabs>
          <w:tab w:leader="none" w:pos="444"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a lump sum cash payment equal to his annual base salary plus his target annual bonus, (ii) continuation of health and other benefits for a period of 18 months following the date of his termination, and (iii) accelerated vesting of any outstanding equity awards that would have vested in accordance with the terms of the applicable award agreements during the 12 months following the date of his termination.</w:t>
      </w:r>
    </w:p>
    <w:p>
      <w:pPr>
        <w:spacing w:after="0" w:line="80" w:lineRule="exact"/>
        <w:rPr>
          <w:sz w:val="20"/>
          <w:szCs w:val="20"/>
          <w:color w:val="auto"/>
        </w:rPr>
      </w:pPr>
    </w:p>
    <w:p>
      <w:pPr>
        <w:ind w:left="260" w:right="80"/>
        <w:spacing w:after="0" w:line="249" w:lineRule="auto"/>
        <w:rPr>
          <w:sz w:val="20"/>
          <w:szCs w:val="20"/>
          <w:color w:val="auto"/>
        </w:rPr>
      </w:pPr>
      <w:r>
        <w:rPr>
          <w:rFonts w:ascii="Arial" w:cs="Arial" w:eastAsia="Arial" w:hAnsi="Arial"/>
          <w:sz w:val="16"/>
          <w:szCs w:val="16"/>
          <w:color w:val="202E39"/>
        </w:rPr>
        <w:t>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officer may otherwise be entitled under any severance plan or program:</w:t>
      </w:r>
    </w:p>
    <w:p>
      <w:pPr>
        <w:spacing w:after="0" w:line="38" w:lineRule="exact"/>
        <w:rPr>
          <w:sz w:val="20"/>
          <w:szCs w:val="20"/>
          <w:color w:val="auto"/>
        </w:rPr>
      </w:pPr>
    </w:p>
    <w:p>
      <w:pPr>
        <w:ind w:left="780" w:right="20" w:hanging="203"/>
        <w:spacing w:after="0" w:line="269" w:lineRule="auto"/>
        <w:tabs>
          <w:tab w:leader="none" w:pos="780" w:val="left"/>
        </w:tabs>
        <w:numPr>
          <w:ilvl w:val="0"/>
          <w:numId w:val="56"/>
        </w:numPr>
        <w:rPr>
          <w:rFonts w:ascii="Arial" w:cs="Arial" w:eastAsia="Arial" w:hAnsi="Arial"/>
          <w:sz w:val="16"/>
          <w:szCs w:val="16"/>
          <w:color w:val="009FE3"/>
        </w:rPr>
      </w:pPr>
      <w:r>
        <w:rPr>
          <w:rFonts w:ascii="Arial" w:cs="Arial" w:eastAsia="Arial" w:hAnsi="Arial"/>
          <w:sz w:val="16"/>
          <w:szCs w:val="16"/>
          <w:color w:val="202E39"/>
        </w:rPr>
        <w:t>the executive officer’s fully earned but unpaid base salary, when due, through the date of termination, plus all other benefits to which the executive officer may be entitled for such period,</w:t>
      </w:r>
    </w:p>
    <w:p>
      <w:pPr>
        <w:spacing w:after="0" w:line="21" w:lineRule="exact"/>
        <w:rPr>
          <w:rFonts w:ascii="Arial" w:cs="Arial" w:eastAsia="Arial" w:hAnsi="Arial"/>
          <w:sz w:val="16"/>
          <w:szCs w:val="16"/>
          <w:color w:val="009FE3"/>
        </w:rPr>
      </w:pPr>
    </w:p>
    <w:p>
      <w:pPr>
        <w:ind w:left="780" w:right="20" w:hanging="203"/>
        <w:spacing w:after="0" w:line="269" w:lineRule="auto"/>
        <w:tabs>
          <w:tab w:leader="none" w:pos="780" w:val="left"/>
        </w:tabs>
        <w:numPr>
          <w:ilvl w:val="0"/>
          <w:numId w:val="56"/>
        </w:numPr>
        <w:rPr>
          <w:rFonts w:ascii="Arial" w:cs="Arial" w:eastAsia="Arial" w:hAnsi="Arial"/>
          <w:sz w:val="16"/>
          <w:szCs w:val="16"/>
          <w:color w:val="009FE3"/>
        </w:rPr>
      </w:pPr>
      <w:r>
        <w:rPr>
          <w:rFonts w:ascii="Arial" w:cs="Arial" w:eastAsia="Arial" w:hAnsi="Arial"/>
          <w:sz w:val="16"/>
          <w:szCs w:val="16"/>
          <w:color w:val="202E39"/>
        </w:rPr>
        <w:t>a lump sum cash payment based on a multiplier of the sum of the executive officer’s then current annual base salary and target annual bonus (the multiplier used is 3.0 for our Chief Executive Officer, and 2.0 for the remaining Named Executive Officers),</w:t>
      </w:r>
    </w:p>
    <w:p>
      <w:pPr>
        <w:spacing w:after="0" w:line="21" w:lineRule="exact"/>
        <w:rPr>
          <w:rFonts w:ascii="Arial" w:cs="Arial" w:eastAsia="Arial" w:hAnsi="Arial"/>
          <w:sz w:val="16"/>
          <w:szCs w:val="16"/>
          <w:color w:val="009FE3"/>
        </w:rPr>
      </w:pPr>
    </w:p>
    <w:p>
      <w:pPr>
        <w:ind w:left="780" w:hanging="203"/>
        <w:spacing w:after="0"/>
        <w:tabs>
          <w:tab w:leader="none" w:pos="780" w:val="left"/>
        </w:tabs>
        <w:numPr>
          <w:ilvl w:val="0"/>
          <w:numId w:val="56"/>
        </w:numPr>
        <w:rPr>
          <w:rFonts w:ascii="Arial" w:cs="Arial" w:eastAsia="Arial" w:hAnsi="Arial"/>
          <w:sz w:val="16"/>
          <w:szCs w:val="16"/>
          <w:color w:val="009FE3"/>
        </w:rPr>
      </w:pPr>
      <w:r>
        <w:rPr>
          <w:rFonts w:ascii="Arial" w:cs="Arial" w:eastAsia="Arial" w:hAnsi="Arial"/>
          <w:sz w:val="16"/>
          <w:szCs w:val="16"/>
          <w:color w:val="202E39"/>
        </w:rPr>
        <w:t>continuation of health and other benefits for a period of 18 months following the date of termination,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56"/>
        </w:numPr>
        <w:rPr>
          <w:rFonts w:ascii="Arial" w:cs="Arial" w:eastAsia="Arial" w:hAnsi="Arial"/>
          <w:sz w:val="16"/>
          <w:szCs w:val="16"/>
          <w:color w:val="009FE3"/>
        </w:rPr>
      </w:pPr>
      <w:r>
        <w:rPr>
          <w:rFonts w:ascii="Arial" w:cs="Arial" w:eastAsia="Arial" w:hAnsi="Arial"/>
          <w:sz w:val="16"/>
          <w:szCs w:val="16"/>
          <w:color w:val="202E39"/>
        </w:rPr>
        <w:t>full vesting of any outstanding equity awards.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5"/>
          <w:szCs w:val="15"/>
          <w:color w:val="202E39"/>
        </w:rPr>
        <w:t>As a condition to the executive officer’s receipt of any of the post-termination payments and benefits described above, the Named Executive Officer must</w:t>
      </w:r>
    </w:p>
    <w:p>
      <w:pPr>
        <w:spacing w:after="0" w:line="26" w:lineRule="exact"/>
        <w:rPr>
          <w:sz w:val="20"/>
          <w:szCs w:val="20"/>
          <w:color w:val="auto"/>
        </w:rPr>
      </w:pPr>
    </w:p>
    <w:p>
      <w:pPr>
        <w:ind w:left="260" w:right="280" w:firstLine="1"/>
        <w:spacing w:after="0" w:line="243" w:lineRule="auto"/>
        <w:tabs>
          <w:tab w:leader="none" w:pos="497"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execute a written general release of all claims in favor of the company, and (2) execute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The Change in Control Agreements continue for successive one-year terms unless Viasat or the Named Executive Officer provides notice of non-renewal.</w:t>
      </w:r>
    </w:p>
    <w:p>
      <w:pPr>
        <w:spacing w:after="0" w:line="82"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For a discussion of the effect of a termination of employment and/or a change in control on the performance-based stock options granted to our Named Executive Officers during fiscal year 2024, see the discussion above in “Compensation Discussion and Analysis — Components of our Compensation Program — Equity-Based Compensation.” A Named Executive Officer’s time-based restricted stock units and time-based stock options will also vest upon his or her death or termination of employment due to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81915</wp:posOffset>
            </wp:positionV>
            <wp:extent cx="425450" cy="150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54       </w:t>
      </w:r>
    </w:p>
    <w:p>
      <w:pPr>
        <w:sectPr>
          <w:pgSz w:w="11900" w:h="16838" w:orient="portrait"/>
          <w:cols w:equalWidth="0" w:num="1">
            <w:col w:w="10980"/>
          </w:cols>
          <w:pgMar w:left="320" w:top="474" w:right="5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65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Potential Payments Upon Termination</w:t>
      </w:r>
    </w:p>
    <w:p>
      <w:pPr>
        <w:spacing w:after="0" w:line="242" w:lineRule="exact"/>
        <w:rPr>
          <w:sz w:val="20"/>
          <w:szCs w:val="20"/>
          <w:color w:val="auto"/>
        </w:rPr>
      </w:pPr>
    </w:p>
    <w:p>
      <w:pPr>
        <w:ind w:left="260" w:right="40"/>
        <w:spacing w:after="0" w:line="247" w:lineRule="auto"/>
        <w:rPr>
          <w:sz w:val="20"/>
          <w:szCs w:val="20"/>
          <w:color w:val="auto"/>
        </w:rPr>
      </w:pPr>
      <w:r>
        <w:rPr>
          <w:rFonts w:ascii="Arial" w:cs="Arial" w:eastAsia="Arial" w:hAnsi="Arial"/>
          <w:sz w:val="16"/>
          <w:szCs w:val="16"/>
          <w:color w:val="202E39"/>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(or, with respect to equity awards held by our Named Executive Officers, in the event of their death or termination due to disability). The table assumes that the termination of employment hypothetically occurred on March 31, 2024, the last day of fiscal year 2024, and that the Change in Control Agreements were in effect as of such date.</w:t>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3980" w:type="dxa"/>
            <w:vAlign w:val="bottom"/>
            <w:tcBorders>
              <w:top w:val="single" w:sz="8" w:color="E8EAEB"/>
              <w:right w:val="single" w:sz="8" w:color="E8EAEB"/>
            </w:tcBorders>
          </w:tcPr>
          <w:p>
            <w:pPr>
              <w:spacing w:after="0"/>
              <w:rPr>
                <w:sz w:val="17"/>
                <w:szCs w:val="17"/>
                <w:color w:val="auto"/>
              </w:rPr>
            </w:pPr>
          </w:p>
        </w:tc>
        <w:tc>
          <w:tcPr>
            <w:tcW w:w="1100" w:type="dxa"/>
            <w:vAlign w:val="bottom"/>
            <w:tcBorders>
              <w:top w:val="single" w:sz="8" w:color="E8EAEB"/>
              <w:right w:val="single" w:sz="8" w:color="E8EAEB"/>
            </w:tcBorders>
          </w:tcPr>
          <w:p>
            <w:pPr>
              <w:spacing w:after="0"/>
              <w:rPr>
                <w:sz w:val="17"/>
                <w:szCs w:val="17"/>
                <w:color w:val="auto"/>
              </w:rPr>
            </w:pPr>
          </w:p>
        </w:tc>
        <w:tc>
          <w:tcPr>
            <w:tcW w:w="1240" w:type="dxa"/>
            <w:vAlign w:val="bottom"/>
            <w:tcBorders>
              <w:top w:val="single" w:sz="8" w:color="E8EAEB"/>
              <w:right w:val="single" w:sz="8" w:color="E8EAEB"/>
            </w:tcBorders>
          </w:tcPr>
          <w:p>
            <w:pPr>
              <w:spacing w:after="0"/>
              <w:rPr>
                <w:sz w:val="17"/>
                <w:szCs w:val="17"/>
                <w:color w:val="auto"/>
              </w:rPr>
            </w:pPr>
          </w:p>
        </w:tc>
        <w:tc>
          <w:tcPr>
            <w:tcW w:w="980" w:type="dxa"/>
            <w:vAlign w:val="bottom"/>
            <w:tcBorders>
              <w:top w:val="single" w:sz="8" w:color="E8EAEB"/>
              <w:right w:val="single" w:sz="8" w:color="E8EAEB"/>
            </w:tcBorders>
          </w:tcPr>
          <w:p>
            <w:pPr>
              <w:spacing w:after="0"/>
              <w:rPr>
                <w:sz w:val="17"/>
                <w:szCs w:val="17"/>
                <w:color w:val="auto"/>
              </w:rPr>
            </w:pPr>
          </w:p>
        </w:tc>
        <w:tc>
          <w:tcPr>
            <w:tcW w:w="8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Intrinsic</w:t>
            </w:r>
          </w:p>
        </w:tc>
        <w:tc>
          <w:tcPr>
            <w:tcW w:w="12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Intrinsic</w:t>
            </w:r>
          </w:p>
        </w:tc>
        <w:tc>
          <w:tcPr>
            <w:tcW w:w="136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980" w:type="dxa"/>
            <w:vAlign w:val="bottom"/>
            <w:tcBorders>
              <w:right w:val="single" w:sz="8" w:color="E8EAEB"/>
            </w:tcBorders>
          </w:tcPr>
          <w:p>
            <w:pPr>
              <w:spacing w:after="0"/>
              <w:rPr>
                <w:sz w:val="13"/>
                <w:szCs w:val="13"/>
                <w:color w:val="auto"/>
              </w:rPr>
            </w:pPr>
          </w:p>
        </w:tc>
        <w:tc>
          <w:tcPr>
            <w:tcW w:w="1100" w:type="dxa"/>
            <w:vAlign w:val="bottom"/>
            <w:tcBorders>
              <w:right w:val="single" w:sz="8" w:color="E8EAEB"/>
            </w:tcBorders>
          </w:tcPr>
          <w:p>
            <w:pPr>
              <w:spacing w:after="0"/>
              <w:rPr>
                <w:sz w:val="13"/>
                <w:szCs w:val="13"/>
                <w:color w:val="auto"/>
              </w:rPr>
            </w:pPr>
          </w:p>
        </w:tc>
        <w:tc>
          <w:tcPr>
            <w:tcW w:w="1240" w:type="dxa"/>
            <w:vAlign w:val="bottom"/>
            <w:tcBorders>
              <w:right w:val="single" w:sz="8" w:color="E8EAEB"/>
            </w:tcBorders>
          </w:tcPr>
          <w:p>
            <w:pPr>
              <w:spacing w:after="0"/>
              <w:rPr>
                <w:sz w:val="13"/>
                <w:szCs w:val="13"/>
                <w:color w:val="auto"/>
              </w:rPr>
            </w:pPr>
          </w:p>
        </w:tc>
        <w:tc>
          <w:tcPr>
            <w:tcW w:w="980" w:type="dxa"/>
            <w:vAlign w:val="bottom"/>
            <w:tcBorders>
              <w:right w:val="single" w:sz="8" w:color="E8EAEB"/>
            </w:tcBorders>
          </w:tcPr>
          <w:p>
            <w:pPr>
              <w:spacing w:after="0"/>
              <w:rPr>
                <w:sz w:val="13"/>
                <w:szCs w:val="13"/>
                <w:color w:val="auto"/>
              </w:rPr>
            </w:pPr>
          </w:p>
        </w:tc>
        <w:tc>
          <w:tcPr>
            <w:tcW w:w="8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Value of</w:t>
            </w:r>
          </w:p>
        </w:tc>
        <w:tc>
          <w:tcPr>
            <w:tcW w:w="12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Value of</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80" w:type="dxa"/>
            <w:vAlign w:val="bottom"/>
            <w:tcBorders>
              <w:right w:val="single" w:sz="8" w:color="E8EAEB"/>
            </w:tcBorders>
          </w:tcPr>
          <w:p>
            <w:pPr>
              <w:spacing w:after="0"/>
              <w:rPr>
                <w:sz w:val="13"/>
                <w:szCs w:val="13"/>
                <w:color w:val="auto"/>
              </w:rPr>
            </w:pPr>
          </w:p>
        </w:tc>
        <w:tc>
          <w:tcPr>
            <w:tcW w:w="1100" w:type="dxa"/>
            <w:vAlign w:val="bottom"/>
            <w:tcBorders>
              <w:right w:val="single" w:sz="8" w:color="E8EAEB"/>
            </w:tcBorders>
          </w:tcPr>
          <w:p>
            <w:pPr>
              <w:spacing w:after="0"/>
              <w:rPr>
                <w:sz w:val="13"/>
                <w:szCs w:val="13"/>
                <w:color w:val="auto"/>
              </w:rPr>
            </w:pPr>
          </w:p>
        </w:tc>
        <w:tc>
          <w:tcPr>
            <w:tcW w:w="1240" w:type="dxa"/>
            <w:vAlign w:val="bottom"/>
            <w:tcBorders>
              <w:right w:val="single" w:sz="8" w:color="E8EAEB"/>
            </w:tcBorders>
          </w:tcPr>
          <w:p>
            <w:pPr>
              <w:spacing w:after="0"/>
              <w:rPr>
                <w:sz w:val="13"/>
                <w:szCs w:val="13"/>
                <w:color w:val="auto"/>
              </w:rPr>
            </w:pPr>
          </w:p>
        </w:tc>
        <w:tc>
          <w:tcPr>
            <w:tcW w:w="980" w:type="dxa"/>
            <w:vAlign w:val="bottom"/>
            <w:tcBorders>
              <w:right w:val="single" w:sz="8" w:color="E8EAEB"/>
            </w:tcBorders>
          </w:tcPr>
          <w:p>
            <w:pPr>
              <w:spacing w:after="0"/>
              <w:rPr>
                <w:sz w:val="13"/>
                <w:szCs w:val="13"/>
                <w:color w:val="auto"/>
              </w:rPr>
            </w:pPr>
          </w:p>
        </w:tc>
        <w:tc>
          <w:tcPr>
            <w:tcW w:w="8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Accelerated</w:t>
            </w:r>
          </w:p>
        </w:tc>
        <w:tc>
          <w:tcPr>
            <w:tcW w:w="12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Accelerated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80" w:type="dxa"/>
            <w:vAlign w:val="bottom"/>
            <w:tcBorders>
              <w:right w:val="single" w:sz="8" w:color="E8EAEB"/>
            </w:tcBorders>
          </w:tcPr>
          <w:p>
            <w:pPr>
              <w:spacing w:after="0"/>
              <w:rPr>
                <w:sz w:val="13"/>
                <w:szCs w:val="13"/>
                <w:color w:val="auto"/>
              </w:rPr>
            </w:pPr>
          </w:p>
        </w:tc>
        <w:tc>
          <w:tcPr>
            <w:tcW w:w="11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Accrued</w:t>
            </w:r>
          </w:p>
        </w:tc>
        <w:tc>
          <w:tcPr>
            <w:tcW w:w="124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Severance</w:t>
            </w:r>
          </w:p>
        </w:tc>
        <w:tc>
          <w:tcPr>
            <w:tcW w:w="98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COBRA</w:t>
            </w:r>
          </w:p>
        </w:tc>
        <w:tc>
          <w:tcPr>
            <w:tcW w:w="8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Stock</w:t>
            </w:r>
          </w:p>
        </w:tc>
        <w:tc>
          <w:tcPr>
            <w:tcW w:w="12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Restricted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80" w:type="dxa"/>
            <w:vAlign w:val="bottom"/>
            <w:tcBorders>
              <w:right w:val="single" w:sz="8" w:color="E8EAEB"/>
            </w:tcBorders>
          </w:tcPr>
          <w:p>
            <w:pPr>
              <w:spacing w:after="0"/>
              <w:rPr>
                <w:sz w:val="13"/>
                <w:szCs w:val="13"/>
                <w:color w:val="auto"/>
              </w:rPr>
            </w:pPr>
          </w:p>
        </w:tc>
        <w:tc>
          <w:tcPr>
            <w:tcW w:w="11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Vacation</w:t>
            </w:r>
          </w:p>
        </w:tc>
        <w:tc>
          <w:tcPr>
            <w:tcW w:w="124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Payment</w:t>
            </w:r>
          </w:p>
        </w:tc>
        <w:tc>
          <w:tcPr>
            <w:tcW w:w="98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Payments</w:t>
            </w:r>
          </w:p>
        </w:tc>
        <w:tc>
          <w:tcPr>
            <w:tcW w:w="8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Options</w:t>
            </w:r>
          </w:p>
        </w:tc>
        <w:tc>
          <w:tcPr>
            <w:tcW w:w="12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Stock Units</w:t>
            </w:r>
          </w:p>
        </w:tc>
        <w:tc>
          <w:tcPr>
            <w:tcW w:w="1360" w:type="dxa"/>
            <w:vAlign w:val="bottom"/>
          </w:tcPr>
          <w:p>
            <w:pPr>
              <w:jc w:val="right"/>
              <w:ind w:right="470"/>
              <w:spacing w:after="0" w:line="158" w:lineRule="exact"/>
              <w:rPr>
                <w:sz w:val="20"/>
                <w:szCs w:val="20"/>
                <w:color w:val="auto"/>
              </w:rPr>
            </w:pPr>
            <w:r>
              <w:rPr>
                <w:rFonts w:ascii="Arial" w:cs="Arial" w:eastAsia="Arial" w:hAnsi="Arial"/>
                <w:sz w:val="14"/>
                <w:szCs w:val="14"/>
                <w:b w:val="1"/>
                <w:bCs w:val="1"/>
                <w:color w:val="009FE3"/>
              </w:rPr>
              <w:t>Total</w:t>
            </w:r>
          </w:p>
        </w:tc>
        <w:tc>
          <w:tcPr>
            <w:tcW w:w="0" w:type="dxa"/>
            <w:vAlign w:val="bottom"/>
          </w:tcPr>
          <w:p>
            <w:pPr>
              <w:spacing w:after="0"/>
              <w:rPr>
                <w:sz w:val="1"/>
                <w:szCs w:val="1"/>
                <w:color w:val="auto"/>
              </w:rPr>
            </w:pPr>
          </w:p>
        </w:tc>
      </w:tr>
      <w:tr>
        <w:trPr>
          <w:trHeight w:val="193"/>
        </w:trPr>
        <w:tc>
          <w:tcPr>
            <w:tcW w:w="398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w:t>
            </w:r>
          </w:p>
        </w:tc>
        <w:tc>
          <w:tcPr>
            <w:tcW w:w="11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2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9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(2)</w:t>
            </w:r>
          </w:p>
        </w:tc>
        <w:tc>
          <w:tcPr>
            <w:tcW w:w="820" w:type="dxa"/>
            <w:vAlign w:val="bottom"/>
            <w:tcBorders>
              <w:bottom w:val="single" w:sz="8" w:color="009FE3"/>
              <w:right w:val="single" w:sz="8" w:color="E8EAEB"/>
            </w:tcBorders>
          </w:tcPr>
          <w:p>
            <w:pPr>
              <w:jc w:val="right"/>
              <w:ind w:right="170"/>
              <w:spacing w:after="0"/>
              <w:rPr>
                <w:sz w:val="20"/>
                <w:szCs w:val="20"/>
                <w:color w:val="auto"/>
              </w:rPr>
            </w:pPr>
            <w:r>
              <w:rPr>
                <w:rFonts w:ascii="Arial" w:cs="Arial" w:eastAsia="Arial" w:hAnsi="Arial"/>
                <w:sz w:val="14"/>
                <w:szCs w:val="14"/>
                <w:b w:val="1"/>
                <w:bCs w:val="1"/>
                <w:color w:val="009FE3"/>
              </w:rPr>
              <w:t>($) (3)</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(4)</w:t>
            </w:r>
          </w:p>
        </w:tc>
        <w:tc>
          <w:tcPr>
            <w:tcW w:w="1360" w:type="dxa"/>
            <w:vAlign w:val="bottom"/>
            <w:tcBorders>
              <w:bottom w:val="single" w:sz="8" w:color="009FE3"/>
            </w:tcBorders>
          </w:tcPr>
          <w:p>
            <w:pPr>
              <w:jc w:val="right"/>
              <w:ind w:right="550"/>
              <w:spacing w:after="0"/>
              <w:rPr>
                <w:sz w:val="20"/>
                <w:szCs w:val="20"/>
                <w:color w:val="auto"/>
              </w:rPr>
            </w:pPr>
            <w:r>
              <w:rPr>
                <w:rFonts w:ascii="Arial" w:cs="Arial" w:eastAsia="Arial" w:hAnsi="Arial"/>
                <w:sz w:val="14"/>
                <w:szCs w:val="14"/>
                <w:b w:val="1"/>
                <w:bCs w:val="1"/>
                <w:color w:val="009FE3"/>
              </w:rPr>
              <w:t>($)</w:t>
            </w:r>
          </w:p>
        </w:tc>
        <w:tc>
          <w:tcPr>
            <w:tcW w:w="0" w:type="dxa"/>
            <w:vAlign w:val="bottom"/>
          </w:tcPr>
          <w:p>
            <w:pPr>
              <w:spacing w:after="0"/>
              <w:rPr>
                <w:sz w:val="1"/>
                <w:szCs w:val="1"/>
                <w:color w:val="auto"/>
              </w:rPr>
            </w:pPr>
          </w:p>
        </w:tc>
      </w:tr>
      <w:tr>
        <w:trPr>
          <w:trHeight w:val="208"/>
        </w:trPr>
        <w:tc>
          <w:tcPr>
            <w:tcW w:w="39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Mark Dankberg</w:t>
            </w:r>
          </w:p>
        </w:tc>
        <w:tc>
          <w:tcPr>
            <w:tcW w:w="1100" w:type="dxa"/>
            <w:vAlign w:val="bottom"/>
            <w:tcBorders>
              <w:right w:val="single" w:sz="8" w:color="E8EAEB"/>
            </w:tcBorders>
          </w:tcPr>
          <w:p>
            <w:pPr>
              <w:spacing w:after="0"/>
              <w:rPr>
                <w:sz w:val="18"/>
                <w:szCs w:val="18"/>
                <w:color w:val="auto"/>
              </w:rPr>
            </w:pPr>
          </w:p>
        </w:tc>
        <w:tc>
          <w:tcPr>
            <w:tcW w:w="1240" w:type="dxa"/>
            <w:vAlign w:val="bottom"/>
            <w:tcBorders>
              <w:right w:val="single" w:sz="8" w:color="E8EAEB"/>
            </w:tcBorders>
          </w:tcPr>
          <w:p>
            <w:pPr>
              <w:spacing w:after="0"/>
              <w:rPr>
                <w:sz w:val="18"/>
                <w:szCs w:val="18"/>
                <w:color w:val="auto"/>
              </w:rPr>
            </w:pPr>
          </w:p>
        </w:tc>
        <w:tc>
          <w:tcPr>
            <w:tcW w:w="980" w:type="dxa"/>
            <w:vAlign w:val="bottom"/>
            <w:tcBorders>
              <w:right w:val="single" w:sz="8" w:color="E8EAEB"/>
            </w:tcBorders>
          </w:tcPr>
          <w:p>
            <w:pPr>
              <w:spacing w:after="0"/>
              <w:rPr>
                <w:sz w:val="18"/>
                <w:szCs w:val="18"/>
                <w:color w:val="auto"/>
              </w:rPr>
            </w:pPr>
          </w:p>
        </w:tc>
        <w:tc>
          <w:tcPr>
            <w:tcW w:w="820" w:type="dxa"/>
            <w:vAlign w:val="bottom"/>
            <w:tcBorders>
              <w:right w:val="single" w:sz="8" w:color="E8EAEB"/>
            </w:tcBorders>
          </w:tcPr>
          <w:p>
            <w:pPr>
              <w:spacing w:after="0"/>
              <w:rPr>
                <w:sz w:val="18"/>
                <w:szCs w:val="18"/>
                <w:color w:val="auto"/>
              </w:rPr>
            </w:pPr>
          </w:p>
        </w:tc>
        <w:tc>
          <w:tcPr>
            <w:tcW w:w="1260" w:type="dxa"/>
            <w:vAlign w:val="bottom"/>
            <w:tcBorders>
              <w:right w:val="single" w:sz="8" w:color="E8EAEB"/>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252,000</w:t>
            </w:r>
          </w:p>
        </w:tc>
        <w:tc>
          <w:tcPr>
            <w:tcW w:w="1240" w:type="dxa"/>
            <w:vAlign w:val="bottom"/>
            <w:tcBorders>
              <w:right w:val="single" w:sz="8" w:color="E8EAEB"/>
            </w:tcBorders>
            <w:vMerge w:val="restart"/>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vMerge w:val="restart"/>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70"/>
              <w:spacing w:after="0"/>
              <w:rPr>
                <w:sz w:val="20"/>
                <w:szCs w:val="20"/>
                <w:color w:val="auto"/>
              </w:rPr>
            </w:pPr>
            <w:r>
              <w:rPr>
                <w:rFonts w:ascii="Arial" w:cs="Arial" w:eastAsia="Arial" w:hAnsi="Arial"/>
                <w:sz w:val="14"/>
                <w:szCs w:val="14"/>
                <w:color w:val="202E39"/>
              </w:rPr>
              <w:t>— </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252,000</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Apart from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 in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252,000</w:t>
            </w:r>
          </w:p>
        </w:tc>
        <w:tc>
          <w:tcPr>
            <w:tcW w:w="1240" w:type="dxa"/>
            <w:vAlign w:val="bottom"/>
            <w:tcBorders>
              <w:right w:val="single" w:sz="8" w:color="E8EAEB"/>
            </w:tcBorders>
            <w:vMerge w:val="restart"/>
          </w:tcPr>
          <w:p>
            <w:pPr>
              <w:ind w:left="420"/>
              <w:spacing w:after="0"/>
              <w:rPr>
                <w:sz w:val="20"/>
                <w:szCs w:val="20"/>
                <w:color w:val="auto"/>
              </w:rPr>
            </w:pPr>
            <w:r>
              <w:rPr>
                <w:rFonts w:ascii="Arial" w:cs="Arial" w:eastAsia="Arial" w:hAnsi="Arial"/>
                <w:sz w:val="14"/>
                <w:szCs w:val="14"/>
                <w:color w:val="202E39"/>
              </w:rPr>
              <w:t>9,828,000</w:t>
            </w:r>
          </w:p>
        </w:tc>
        <w:tc>
          <w:tcPr>
            <w:tcW w:w="980" w:type="dxa"/>
            <w:vAlign w:val="bottom"/>
            <w:tcBorders>
              <w:right w:val="single" w:sz="8" w:color="E8EAEB"/>
            </w:tcBorders>
            <w:vMerge w:val="restart"/>
          </w:tcPr>
          <w:p>
            <w:pPr>
              <w:ind w:left="360"/>
              <w:spacing w:after="0"/>
              <w:rPr>
                <w:sz w:val="20"/>
                <w:szCs w:val="20"/>
                <w:color w:val="auto"/>
              </w:rPr>
            </w:pPr>
            <w:r>
              <w:rPr>
                <w:rFonts w:ascii="Arial" w:cs="Arial" w:eastAsia="Arial" w:hAnsi="Arial"/>
                <w:sz w:val="14"/>
                <w:szCs w:val="14"/>
                <w:color w:val="202E39"/>
              </w:rPr>
              <w:t>32,290</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2,643,492</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12,755,782</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Connection with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E8EAEB"/>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Death or Disability</w:t>
            </w:r>
          </w:p>
        </w:tc>
        <w:tc>
          <w:tcPr>
            <w:tcW w:w="110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252,000</w:t>
            </w:r>
          </w:p>
        </w:tc>
        <w:tc>
          <w:tcPr>
            <w:tcW w:w="1240" w:type="dxa"/>
            <w:vAlign w:val="bottom"/>
            <w:tcBorders>
              <w:bottom w:val="single" w:sz="8" w:color="E8EAEB"/>
              <w:right w:val="single" w:sz="8" w:color="E8EAEB"/>
            </w:tcBorders>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bottom w:val="single" w:sz="8" w:color="E8EAEB"/>
              <w:right w:val="single" w:sz="8" w:color="E8EAEB"/>
            </w:tcBorders>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2,643,492</w:t>
            </w:r>
          </w:p>
        </w:tc>
        <w:tc>
          <w:tcPr>
            <w:tcW w:w="1360" w:type="dxa"/>
            <w:vAlign w:val="bottom"/>
            <w:tcBorders>
              <w:bottom w:val="single" w:sz="8" w:color="E8EAEB"/>
            </w:tcBorders>
          </w:tcPr>
          <w:p>
            <w:pPr>
              <w:jc w:val="right"/>
              <w:ind w:right="110"/>
              <w:spacing w:after="0"/>
              <w:rPr>
                <w:sz w:val="20"/>
                <w:szCs w:val="20"/>
                <w:color w:val="auto"/>
              </w:rPr>
            </w:pPr>
            <w:r>
              <w:rPr>
                <w:rFonts w:ascii="Arial" w:cs="Arial" w:eastAsia="Arial" w:hAnsi="Arial"/>
                <w:sz w:val="14"/>
                <w:szCs w:val="14"/>
                <w:color w:val="202E39"/>
              </w:rPr>
              <w:t>2,895,492</w:t>
            </w:r>
          </w:p>
        </w:tc>
        <w:tc>
          <w:tcPr>
            <w:tcW w:w="0" w:type="dxa"/>
            <w:vAlign w:val="bottom"/>
          </w:tcPr>
          <w:p>
            <w:pPr>
              <w:spacing w:after="0"/>
              <w:rPr>
                <w:sz w:val="1"/>
                <w:szCs w:val="1"/>
                <w:color w:val="auto"/>
              </w:rPr>
            </w:pPr>
          </w:p>
        </w:tc>
      </w:tr>
      <w:tr>
        <w:trPr>
          <w:trHeight w:val="212"/>
        </w:trPr>
        <w:tc>
          <w:tcPr>
            <w:tcW w:w="39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 Guru Gowrappan</w:t>
            </w:r>
          </w:p>
        </w:tc>
        <w:tc>
          <w:tcPr>
            <w:tcW w:w="1100" w:type="dxa"/>
            <w:vAlign w:val="bottom"/>
            <w:tcBorders>
              <w:right w:val="single" w:sz="8" w:color="E8EAEB"/>
            </w:tcBorders>
          </w:tcPr>
          <w:p>
            <w:pPr>
              <w:spacing w:after="0"/>
              <w:rPr>
                <w:sz w:val="18"/>
                <w:szCs w:val="18"/>
                <w:color w:val="auto"/>
              </w:rPr>
            </w:pPr>
          </w:p>
        </w:tc>
        <w:tc>
          <w:tcPr>
            <w:tcW w:w="1240" w:type="dxa"/>
            <w:vAlign w:val="bottom"/>
            <w:tcBorders>
              <w:right w:val="single" w:sz="8" w:color="E8EAEB"/>
            </w:tcBorders>
          </w:tcPr>
          <w:p>
            <w:pPr>
              <w:spacing w:after="0"/>
              <w:rPr>
                <w:sz w:val="18"/>
                <w:szCs w:val="18"/>
                <w:color w:val="auto"/>
              </w:rPr>
            </w:pPr>
          </w:p>
        </w:tc>
        <w:tc>
          <w:tcPr>
            <w:tcW w:w="980" w:type="dxa"/>
            <w:vAlign w:val="bottom"/>
            <w:tcBorders>
              <w:right w:val="single" w:sz="8" w:color="E8EAEB"/>
            </w:tcBorders>
          </w:tcPr>
          <w:p>
            <w:pPr>
              <w:spacing w:after="0"/>
              <w:rPr>
                <w:sz w:val="18"/>
                <w:szCs w:val="18"/>
                <w:color w:val="auto"/>
              </w:rPr>
            </w:pPr>
          </w:p>
        </w:tc>
        <w:tc>
          <w:tcPr>
            <w:tcW w:w="820" w:type="dxa"/>
            <w:vAlign w:val="bottom"/>
            <w:tcBorders>
              <w:right w:val="single" w:sz="8" w:color="E8EAEB"/>
            </w:tcBorders>
          </w:tcPr>
          <w:p>
            <w:pPr>
              <w:spacing w:after="0"/>
              <w:rPr>
                <w:sz w:val="18"/>
                <w:szCs w:val="18"/>
                <w:color w:val="auto"/>
              </w:rPr>
            </w:pPr>
          </w:p>
        </w:tc>
        <w:tc>
          <w:tcPr>
            <w:tcW w:w="1260" w:type="dxa"/>
            <w:vAlign w:val="bottom"/>
            <w:tcBorders>
              <w:right w:val="single" w:sz="8" w:color="E8EAEB"/>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w:t>
            </w:r>
          </w:p>
        </w:tc>
        <w:tc>
          <w:tcPr>
            <w:tcW w:w="1100" w:type="dxa"/>
            <w:vAlign w:val="bottom"/>
            <w:tcBorders>
              <w:right w:val="single" w:sz="8" w:color="E8EAEB"/>
            </w:tcBorders>
            <w:vMerge w:val="restart"/>
          </w:tcPr>
          <w:p>
            <w:pPr>
              <w:jc w:val="right"/>
              <w:ind w:right="170"/>
              <w:spacing w:after="0"/>
              <w:rPr>
                <w:sz w:val="20"/>
                <w:szCs w:val="20"/>
                <w:color w:val="auto"/>
              </w:rPr>
            </w:pPr>
            <w:r>
              <w:rPr>
                <w:rFonts w:ascii="Arial" w:cs="Arial" w:eastAsia="Arial" w:hAnsi="Arial"/>
                <w:sz w:val="14"/>
                <w:szCs w:val="14"/>
                <w:color w:val="202E39"/>
              </w:rPr>
              <w:t>— </w:t>
            </w:r>
          </w:p>
        </w:tc>
        <w:tc>
          <w:tcPr>
            <w:tcW w:w="1240" w:type="dxa"/>
            <w:vAlign w:val="bottom"/>
            <w:tcBorders>
              <w:right w:val="single" w:sz="8" w:color="E8EAEB"/>
            </w:tcBorders>
            <w:vMerge w:val="restart"/>
          </w:tcPr>
          <w:p>
            <w:pPr>
              <w:ind w:left="420"/>
              <w:spacing w:after="0"/>
              <w:rPr>
                <w:sz w:val="20"/>
                <w:szCs w:val="20"/>
                <w:color w:val="auto"/>
              </w:rPr>
            </w:pPr>
            <w:r>
              <w:rPr>
                <w:rFonts w:ascii="Arial" w:cs="Arial" w:eastAsia="Arial" w:hAnsi="Arial"/>
                <w:sz w:val="14"/>
                <w:szCs w:val="14"/>
                <w:color w:val="202E39"/>
              </w:rPr>
              <w:t>2,400,000</w:t>
            </w:r>
          </w:p>
        </w:tc>
        <w:tc>
          <w:tcPr>
            <w:tcW w:w="980" w:type="dxa"/>
            <w:vAlign w:val="bottom"/>
            <w:tcBorders>
              <w:right w:val="single" w:sz="8" w:color="E8EAEB"/>
            </w:tcBorders>
            <w:vMerge w:val="restart"/>
          </w:tcPr>
          <w:p>
            <w:pPr>
              <w:ind w:left="360"/>
              <w:spacing w:after="0"/>
              <w:rPr>
                <w:sz w:val="20"/>
                <w:szCs w:val="20"/>
                <w:color w:val="auto"/>
              </w:rPr>
            </w:pPr>
            <w:r>
              <w:rPr>
                <w:rFonts w:ascii="Arial" w:cs="Arial" w:eastAsia="Arial" w:hAnsi="Arial"/>
                <w:sz w:val="14"/>
                <w:szCs w:val="14"/>
                <w:color w:val="202E39"/>
              </w:rPr>
              <w:t>14,872</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3,840,471</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6,255,343</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Apart from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 in</w:t>
            </w:r>
          </w:p>
        </w:tc>
        <w:tc>
          <w:tcPr>
            <w:tcW w:w="1100" w:type="dxa"/>
            <w:vAlign w:val="bottom"/>
            <w:tcBorders>
              <w:right w:val="single" w:sz="8" w:color="E8EAEB"/>
            </w:tcBorders>
            <w:vMerge w:val="restart"/>
          </w:tcPr>
          <w:p>
            <w:pPr>
              <w:jc w:val="right"/>
              <w:ind w:right="170"/>
              <w:spacing w:after="0"/>
              <w:rPr>
                <w:sz w:val="20"/>
                <w:szCs w:val="20"/>
                <w:color w:val="auto"/>
              </w:rPr>
            </w:pPr>
            <w:r>
              <w:rPr>
                <w:rFonts w:ascii="Arial" w:cs="Arial" w:eastAsia="Arial" w:hAnsi="Arial"/>
                <w:sz w:val="14"/>
                <w:szCs w:val="14"/>
                <w:color w:val="202E39"/>
              </w:rPr>
              <w:t>— </w:t>
            </w:r>
          </w:p>
        </w:tc>
        <w:tc>
          <w:tcPr>
            <w:tcW w:w="1240" w:type="dxa"/>
            <w:vAlign w:val="bottom"/>
            <w:tcBorders>
              <w:right w:val="single" w:sz="8" w:color="E8EAEB"/>
            </w:tcBorders>
            <w:vMerge w:val="restart"/>
          </w:tcPr>
          <w:p>
            <w:pPr>
              <w:ind w:left="420"/>
              <w:spacing w:after="0"/>
              <w:rPr>
                <w:sz w:val="20"/>
                <w:szCs w:val="20"/>
                <w:color w:val="auto"/>
              </w:rPr>
            </w:pPr>
            <w:r>
              <w:rPr>
                <w:rFonts w:ascii="Arial" w:cs="Arial" w:eastAsia="Arial" w:hAnsi="Arial"/>
                <w:sz w:val="14"/>
                <w:szCs w:val="14"/>
                <w:color w:val="202E39"/>
              </w:rPr>
              <w:t>4,800,000</w:t>
            </w:r>
          </w:p>
        </w:tc>
        <w:tc>
          <w:tcPr>
            <w:tcW w:w="980" w:type="dxa"/>
            <w:vAlign w:val="bottom"/>
            <w:tcBorders>
              <w:right w:val="single" w:sz="8" w:color="E8EAEB"/>
            </w:tcBorders>
            <w:vMerge w:val="restart"/>
          </w:tcPr>
          <w:p>
            <w:pPr>
              <w:ind w:left="360"/>
              <w:spacing w:after="0"/>
              <w:rPr>
                <w:sz w:val="20"/>
                <w:szCs w:val="20"/>
                <w:color w:val="auto"/>
              </w:rPr>
            </w:pPr>
            <w:r>
              <w:rPr>
                <w:rFonts w:ascii="Arial" w:cs="Arial" w:eastAsia="Arial" w:hAnsi="Arial"/>
                <w:sz w:val="14"/>
                <w:szCs w:val="14"/>
                <w:color w:val="202E39"/>
              </w:rPr>
              <w:t>14,872</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3,840,471</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8,655,343</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Connection with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E8EAEB"/>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Death or Disability</w:t>
            </w:r>
          </w:p>
        </w:tc>
        <w:tc>
          <w:tcPr>
            <w:tcW w:w="1100" w:type="dxa"/>
            <w:vAlign w:val="bottom"/>
            <w:tcBorders>
              <w:bottom w:val="single" w:sz="8" w:color="E8EAEB"/>
              <w:right w:val="single" w:sz="8" w:color="E8EAEB"/>
            </w:tcBorders>
          </w:tcPr>
          <w:p>
            <w:pPr>
              <w:jc w:val="right"/>
              <w:ind w:right="170"/>
              <w:spacing w:after="0"/>
              <w:rPr>
                <w:sz w:val="20"/>
                <w:szCs w:val="20"/>
                <w:color w:val="auto"/>
              </w:rPr>
            </w:pPr>
            <w:r>
              <w:rPr>
                <w:rFonts w:ascii="Arial" w:cs="Arial" w:eastAsia="Arial" w:hAnsi="Arial"/>
                <w:sz w:val="14"/>
                <w:szCs w:val="14"/>
                <w:color w:val="202E39"/>
              </w:rPr>
              <w:t>— </w:t>
            </w:r>
          </w:p>
        </w:tc>
        <w:tc>
          <w:tcPr>
            <w:tcW w:w="1240" w:type="dxa"/>
            <w:vAlign w:val="bottom"/>
            <w:tcBorders>
              <w:bottom w:val="single" w:sz="8" w:color="E8EAEB"/>
              <w:right w:val="single" w:sz="8" w:color="E8EAEB"/>
            </w:tcBorders>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bottom w:val="single" w:sz="8" w:color="E8EAEB"/>
              <w:right w:val="single" w:sz="8" w:color="E8EAEB"/>
            </w:tcBorders>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3,840,471</w:t>
            </w:r>
          </w:p>
        </w:tc>
        <w:tc>
          <w:tcPr>
            <w:tcW w:w="1360" w:type="dxa"/>
            <w:vAlign w:val="bottom"/>
            <w:tcBorders>
              <w:bottom w:val="single" w:sz="8" w:color="E8EAEB"/>
            </w:tcBorders>
          </w:tcPr>
          <w:p>
            <w:pPr>
              <w:jc w:val="right"/>
              <w:ind w:right="110"/>
              <w:spacing w:after="0"/>
              <w:rPr>
                <w:sz w:val="20"/>
                <w:szCs w:val="20"/>
                <w:color w:val="auto"/>
              </w:rPr>
            </w:pPr>
            <w:r>
              <w:rPr>
                <w:rFonts w:ascii="Arial" w:cs="Arial" w:eastAsia="Arial" w:hAnsi="Arial"/>
                <w:sz w:val="14"/>
                <w:szCs w:val="14"/>
                <w:color w:val="202E39"/>
              </w:rPr>
              <w:t>3,840,471</w:t>
            </w:r>
          </w:p>
        </w:tc>
        <w:tc>
          <w:tcPr>
            <w:tcW w:w="0" w:type="dxa"/>
            <w:vAlign w:val="bottom"/>
          </w:tcPr>
          <w:p>
            <w:pPr>
              <w:spacing w:after="0"/>
              <w:rPr>
                <w:sz w:val="1"/>
                <w:szCs w:val="1"/>
                <w:color w:val="auto"/>
              </w:rPr>
            </w:pPr>
          </w:p>
        </w:tc>
      </w:tr>
      <w:tr>
        <w:trPr>
          <w:trHeight w:val="212"/>
        </w:trPr>
        <w:tc>
          <w:tcPr>
            <w:tcW w:w="39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Shawn Duffy</w:t>
            </w:r>
          </w:p>
        </w:tc>
        <w:tc>
          <w:tcPr>
            <w:tcW w:w="1100" w:type="dxa"/>
            <w:vAlign w:val="bottom"/>
            <w:tcBorders>
              <w:right w:val="single" w:sz="8" w:color="E8EAEB"/>
            </w:tcBorders>
          </w:tcPr>
          <w:p>
            <w:pPr>
              <w:spacing w:after="0"/>
              <w:rPr>
                <w:sz w:val="18"/>
                <w:szCs w:val="18"/>
                <w:color w:val="auto"/>
              </w:rPr>
            </w:pPr>
          </w:p>
        </w:tc>
        <w:tc>
          <w:tcPr>
            <w:tcW w:w="1240" w:type="dxa"/>
            <w:vAlign w:val="bottom"/>
            <w:tcBorders>
              <w:right w:val="single" w:sz="8" w:color="E8EAEB"/>
            </w:tcBorders>
          </w:tcPr>
          <w:p>
            <w:pPr>
              <w:spacing w:after="0"/>
              <w:rPr>
                <w:sz w:val="18"/>
                <w:szCs w:val="18"/>
                <w:color w:val="auto"/>
              </w:rPr>
            </w:pPr>
          </w:p>
        </w:tc>
        <w:tc>
          <w:tcPr>
            <w:tcW w:w="980" w:type="dxa"/>
            <w:vAlign w:val="bottom"/>
            <w:tcBorders>
              <w:right w:val="single" w:sz="8" w:color="E8EAEB"/>
            </w:tcBorders>
          </w:tcPr>
          <w:p>
            <w:pPr>
              <w:spacing w:after="0"/>
              <w:rPr>
                <w:sz w:val="18"/>
                <w:szCs w:val="18"/>
                <w:color w:val="auto"/>
              </w:rPr>
            </w:pPr>
          </w:p>
        </w:tc>
        <w:tc>
          <w:tcPr>
            <w:tcW w:w="820" w:type="dxa"/>
            <w:vAlign w:val="bottom"/>
            <w:tcBorders>
              <w:right w:val="single" w:sz="8" w:color="E8EAEB"/>
            </w:tcBorders>
          </w:tcPr>
          <w:p>
            <w:pPr>
              <w:spacing w:after="0"/>
              <w:rPr>
                <w:sz w:val="18"/>
                <w:szCs w:val="18"/>
                <w:color w:val="auto"/>
              </w:rPr>
            </w:pPr>
          </w:p>
        </w:tc>
        <w:tc>
          <w:tcPr>
            <w:tcW w:w="1260" w:type="dxa"/>
            <w:vAlign w:val="bottom"/>
            <w:tcBorders>
              <w:right w:val="single" w:sz="8" w:color="E8EAEB"/>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68,170</w:t>
            </w:r>
          </w:p>
        </w:tc>
        <w:tc>
          <w:tcPr>
            <w:tcW w:w="1240" w:type="dxa"/>
            <w:vAlign w:val="bottom"/>
            <w:tcBorders>
              <w:right w:val="single" w:sz="8" w:color="E8EAEB"/>
            </w:tcBorders>
            <w:vMerge w:val="restart"/>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vMerge w:val="restart"/>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70"/>
              <w:spacing w:after="0"/>
              <w:rPr>
                <w:sz w:val="20"/>
                <w:szCs w:val="20"/>
                <w:color w:val="auto"/>
              </w:rPr>
            </w:pPr>
            <w:r>
              <w:rPr>
                <w:rFonts w:ascii="Arial" w:cs="Arial" w:eastAsia="Arial" w:hAnsi="Arial"/>
                <w:sz w:val="14"/>
                <w:szCs w:val="14"/>
                <w:color w:val="202E39"/>
              </w:rPr>
              <w:t>— </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68,170</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Apart from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 in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68,170</w:t>
            </w:r>
          </w:p>
        </w:tc>
        <w:tc>
          <w:tcPr>
            <w:tcW w:w="1240" w:type="dxa"/>
            <w:vAlign w:val="bottom"/>
            <w:tcBorders>
              <w:right w:val="single" w:sz="8" w:color="E8EAEB"/>
            </w:tcBorders>
            <w:vMerge w:val="restart"/>
          </w:tcPr>
          <w:p>
            <w:pPr>
              <w:ind w:left="420"/>
              <w:spacing w:after="0"/>
              <w:rPr>
                <w:sz w:val="20"/>
                <w:szCs w:val="20"/>
                <w:color w:val="auto"/>
              </w:rPr>
            </w:pPr>
            <w:r>
              <w:rPr>
                <w:rFonts w:ascii="Arial" w:cs="Arial" w:eastAsia="Arial" w:hAnsi="Arial"/>
                <w:sz w:val="14"/>
                <w:szCs w:val="14"/>
                <w:color w:val="202E39"/>
              </w:rPr>
              <w:t>2,508,000</w:t>
            </w:r>
          </w:p>
        </w:tc>
        <w:tc>
          <w:tcPr>
            <w:tcW w:w="980" w:type="dxa"/>
            <w:vAlign w:val="bottom"/>
            <w:tcBorders>
              <w:right w:val="single" w:sz="8" w:color="E8EAEB"/>
            </w:tcBorders>
            <w:vMerge w:val="restart"/>
          </w:tcPr>
          <w:p>
            <w:pPr>
              <w:ind w:left="360"/>
              <w:spacing w:after="0"/>
              <w:rPr>
                <w:sz w:val="20"/>
                <w:szCs w:val="20"/>
                <w:color w:val="auto"/>
              </w:rPr>
            </w:pPr>
            <w:r>
              <w:rPr>
                <w:rFonts w:ascii="Arial" w:cs="Arial" w:eastAsia="Arial" w:hAnsi="Arial"/>
                <w:sz w:val="14"/>
                <w:szCs w:val="14"/>
                <w:color w:val="202E39"/>
              </w:rPr>
              <w:t>26,958</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643,859</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3,246,987</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Connection with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E8EAEB"/>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Death or Disability</w:t>
            </w:r>
          </w:p>
        </w:tc>
        <w:tc>
          <w:tcPr>
            <w:tcW w:w="110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68,170</w:t>
            </w:r>
          </w:p>
        </w:tc>
        <w:tc>
          <w:tcPr>
            <w:tcW w:w="1240" w:type="dxa"/>
            <w:vAlign w:val="bottom"/>
            <w:tcBorders>
              <w:bottom w:val="single" w:sz="8" w:color="E8EAEB"/>
              <w:right w:val="single" w:sz="8" w:color="E8EAEB"/>
            </w:tcBorders>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bottom w:val="single" w:sz="8" w:color="E8EAEB"/>
              <w:right w:val="single" w:sz="8" w:color="E8EAEB"/>
            </w:tcBorders>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643,859</w:t>
            </w:r>
          </w:p>
        </w:tc>
        <w:tc>
          <w:tcPr>
            <w:tcW w:w="1360" w:type="dxa"/>
            <w:vAlign w:val="bottom"/>
            <w:tcBorders>
              <w:bottom w:val="single" w:sz="8" w:color="E8EAEB"/>
            </w:tcBorders>
          </w:tcPr>
          <w:p>
            <w:pPr>
              <w:jc w:val="right"/>
              <w:ind w:right="110"/>
              <w:spacing w:after="0"/>
              <w:rPr>
                <w:sz w:val="20"/>
                <w:szCs w:val="20"/>
                <w:color w:val="auto"/>
              </w:rPr>
            </w:pPr>
            <w:r>
              <w:rPr>
                <w:rFonts w:ascii="Arial" w:cs="Arial" w:eastAsia="Arial" w:hAnsi="Arial"/>
                <w:sz w:val="14"/>
                <w:szCs w:val="14"/>
                <w:color w:val="202E39"/>
              </w:rPr>
              <w:t>712,029</w:t>
            </w:r>
          </w:p>
        </w:tc>
        <w:tc>
          <w:tcPr>
            <w:tcW w:w="0" w:type="dxa"/>
            <w:vAlign w:val="bottom"/>
          </w:tcPr>
          <w:p>
            <w:pPr>
              <w:spacing w:after="0"/>
              <w:rPr>
                <w:sz w:val="1"/>
                <w:szCs w:val="1"/>
                <w:color w:val="auto"/>
              </w:rPr>
            </w:pPr>
          </w:p>
        </w:tc>
      </w:tr>
      <w:tr>
        <w:trPr>
          <w:trHeight w:val="212"/>
        </w:trPr>
        <w:tc>
          <w:tcPr>
            <w:tcW w:w="39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Kevin Harkenrider</w:t>
            </w:r>
          </w:p>
        </w:tc>
        <w:tc>
          <w:tcPr>
            <w:tcW w:w="1100" w:type="dxa"/>
            <w:vAlign w:val="bottom"/>
            <w:tcBorders>
              <w:right w:val="single" w:sz="8" w:color="E8EAEB"/>
            </w:tcBorders>
          </w:tcPr>
          <w:p>
            <w:pPr>
              <w:spacing w:after="0"/>
              <w:rPr>
                <w:sz w:val="18"/>
                <w:szCs w:val="18"/>
                <w:color w:val="auto"/>
              </w:rPr>
            </w:pPr>
          </w:p>
        </w:tc>
        <w:tc>
          <w:tcPr>
            <w:tcW w:w="1240" w:type="dxa"/>
            <w:vAlign w:val="bottom"/>
            <w:tcBorders>
              <w:right w:val="single" w:sz="8" w:color="E8EAEB"/>
            </w:tcBorders>
          </w:tcPr>
          <w:p>
            <w:pPr>
              <w:spacing w:after="0"/>
              <w:rPr>
                <w:sz w:val="18"/>
                <w:szCs w:val="18"/>
                <w:color w:val="auto"/>
              </w:rPr>
            </w:pPr>
          </w:p>
        </w:tc>
        <w:tc>
          <w:tcPr>
            <w:tcW w:w="980" w:type="dxa"/>
            <w:vAlign w:val="bottom"/>
            <w:tcBorders>
              <w:right w:val="single" w:sz="8" w:color="E8EAEB"/>
            </w:tcBorders>
          </w:tcPr>
          <w:p>
            <w:pPr>
              <w:spacing w:after="0"/>
              <w:rPr>
                <w:sz w:val="18"/>
                <w:szCs w:val="18"/>
                <w:color w:val="auto"/>
              </w:rPr>
            </w:pPr>
          </w:p>
        </w:tc>
        <w:tc>
          <w:tcPr>
            <w:tcW w:w="820" w:type="dxa"/>
            <w:vAlign w:val="bottom"/>
            <w:tcBorders>
              <w:right w:val="single" w:sz="8" w:color="E8EAEB"/>
            </w:tcBorders>
          </w:tcPr>
          <w:p>
            <w:pPr>
              <w:spacing w:after="0"/>
              <w:rPr>
                <w:sz w:val="18"/>
                <w:szCs w:val="18"/>
                <w:color w:val="auto"/>
              </w:rPr>
            </w:pPr>
          </w:p>
        </w:tc>
        <w:tc>
          <w:tcPr>
            <w:tcW w:w="1260" w:type="dxa"/>
            <w:vAlign w:val="bottom"/>
            <w:tcBorders>
              <w:right w:val="single" w:sz="8" w:color="E8EAEB"/>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108,173</w:t>
            </w:r>
          </w:p>
        </w:tc>
        <w:tc>
          <w:tcPr>
            <w:tcW w:w="1240" w:type="dxa"/>
            <w:vAlign w:val="bottom"/>
            <w:tcBorders>
              <w:right w:val="single" w:sz="8" w:color="E8EAEB"/>
            </w:tcBorders>
            <w:vMerge w:val="restart"/>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vMerge w:val="restart"/>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70"/>
              <w:spacing w:after="0"/>
              <w:rPr>
                <w:sz w:val="20"/>
                <w:szCs w:val="20"/>
                <w:color w:val="auto"/>
              </w:rPr>
            </w:pPr>
            <w:r>
              <w:rPr>
                <w:rFonts w:ascii="Arial" w:cs="Arial" w:eastAsia="Arial" w:hAnsi="Arial"/>
                <w:sz w:val="14"/>
                <w:szCs w:val="14"/>
                <w:color w:val="202E39"/>
              </w:rPr>
              <w:t>— </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108,173</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Apart from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 in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108,173</w:t>
            </w:r>
          </w:p>
        </w:tc>
        <w:tc>
          <w:tcPr>
            <w:tcW w:w="1240" w:type="dxa"/>
            <w:vAlign w:val="bottom"/>
            <w:tcBorders>
              <w:right w:val="single" w:sz="8" w:color="E8EAEB"/>
            </w:tcBorders>
            <w:vMerge w:val="restart"/>
          </w:tcPr>
          <w:p>
            <w:pPr>
              <w:ind w:left="420"/>
              <w:spacing w:after="0"/>
              <w:rPr>
                <w:sz w:val="20"/>
                <w:szCs w:val="20"/>
                <w:color w:val="auto"/>
              </w:rPr>
            </w:pPr>
            <w:r>
              <w:rPr>
                <w:rFonts w:ascii="Arial" w:cs="Arial" w:eastAsia="Arial" w:hAnsi="Arial"/>
                <w:sz w:val="14"/>
                <w:szCs w:val="14"/>
                <w:color w:val="202E39"/>
              </w:rPr>
              <w:t>2,850,000</w:t>
            </w:r>
          </w:p>
        </w:tc>
        <w:tc>
          <w:tcPr>
            <w:tcW w:w="980" w:type="dxa"/>
            <w:vAlign w:val="bottom"/>
            <w:tcBorders>
              <w:right w:val="single" w:sz="8" w:color="E8EAEB"/>
            </w:tcBorders>
            <w:vMerge w:val="restart"/>
          </w:tcPr>
          <w:p>
            <w:pPr>
              <w:ind w:left="360"/>
              <w:spacing w:after="0"/>
              <w:rPr>
                <w:sz w:val="20"/>
                <w:szCs w:val="20"/>
                <w:color w:val="auto"/>
              </w:rPr>
            </w:pPr>
            <w:r>
              <w:rPr>
                <w:rFonts w:ascii="Arial" w:cs="Arial" w:eastAsia="Arial" w:hAnsi="Arial"/>
                <w:sz w:val="14"/>
                <w:szCs w:val="14"/>
                <w:color w:val="202E39"/>
              </w:rPr>
              <w:t>32,290</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797,444</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3,787,907</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Connection with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E8EAEB"/>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Death or Disability</w:t>
            </w:r>
          </w:p>
        </w:tc>
        <w:tc>
          <w:tcPr>
            <w:tcW w:w="110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108,173</w:t>
            </w:r>
          </w:p>
        </w:tc>
        <w:tc>
          <w:tcPr>
            <w:tcW w:w="1240" w:type="dxa"/>
            <w:vAlign w:val="bottom"/>
            <w:tcBorders>
              <w:bottom w:val="single" w:sz="8" w:color="E8EAEB"/>
              <w:right w:val="single" w:sz="8" w:color="E8EAEB"/>
            </w:tcBorders>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bottom w:val="single" w:sz="8" w:color="E8EAEB"/>
              <w:right w:val="single" w:sz="8" w:color="E8EAEB"/>
            </w:tcBorders>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797,444</w:t>
            </w:r>
          </w:p>
        </w:tc>
        <w:tc>
          <w:tcPr>
            <w:tcW w:w="1360" w:type="dxa"/>
            <w:vAlign w:val="bottom"/>
            <w:tcBorders>
              <w:bottom w:val="single" w:sz="8" w:color="E8EAEB"/>
            </w:tcBorders>
          </w:tcPr>
          <w:p>
            <w:pPr>
              <w:jc w:val="right"/>
              <w:ind w:right="110"/>
              <w:spacing w:after="0"/>
              <w:rPr>
                <w:sz w:val="20"/>
                <w:szCs w:val="20"/>
                <w:color w:val="auto"/>
              </w:rPr>
            </w:pPr>
            <w:r>
              <w:rPr>
                <w:rFonts w:ascii="Arial" w:cs="Arial" w:eastAsia="Arial" w:hAnsi="Arial"/>
                <w:sz w:val="14"/>
                <w:szCs w:val="14"/>
                <w:color w:val="202E39"/>
              </w:rPr>
              <w:t>905,617</w:t>
            </w:r>
          </w:p>
        </w:tc>
        <w:tc>
          <w:tcPr>
            <w:tcW w:w="0" w:type="dxa"/>
            <w:vAlign w:val="bottom"/>
          </w:tcPr>
          <w:p>
            <w:pPr>
              <w:spacing w:after="0"/>
              <w:rPr>
                <w:sz w:val="1"/>
                <w:szCs w:val="1"/>
                <w:color w:val="auto"/>
              </w:rPr>
            </w:pPr>
          </w:p>
        </w:tc>
      </w:tr>
      <w:tr>
        <w:trPr>
          <w:trHeight w:val="212"/>
        </w:trPr>
        <w:tc>
          <w:tcPr>
            <w:tcW w:w="39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Craig Miller</w:t>
            </w:r>
          </w:p>
        </w:tc>
        <w:tc>
          <w:tcPr>
            <w:tcW w:w="1100" w:type="dxa"/>
            <w:vAlign w:val="bottom"/>
            <w:tcBorders>
              <w:right w:val="single" w:sz="8" w:color="E8EAEB"/>
            </w:tcBorders>
          </w:tcPr>
          <w:p>
            <w:pPr>
              <w:spacing w:after="0"/>
              <w:rPr>
                <w:sz w:val="18"/>
                <w:szCs w:val="18"/>
                <w:color w:val="auto"/>
              </w:rPr>
            </w:pPr>
          </w:p>
        </w:tc>
        <w:tc>
          <w:tcPr>
            <w:tcW w:w="1240" w:type="dxa"/>
            <w:vAlign w:val="bottom"/>
            <w:tcBorders>
              <w:right w:val="single" w:sz="8" w:color="E8EAEB"/>
            </w:tcBorders>
          </w:tcPr>
          <w:p>
            <w:pPr>
              <w:spacing w:after="0"/>
              <w:rPr>
                <w:sz w:val="18"/>
                <w:szCs w:val="18"/>
                <w:color w:val="auto"/>
              </w:rPr>
            </w:pPr>
          </w:p>
        </w:tc>
        <w:tc>
          <w:tcPr>
            <w:tcW w:w="980" w:type="dxa"/>
            <w:vAlign w:val="bottom"/>
            <w:tcBorders>
              <w:right w:val="single" w:sz="8" w:color="E8EAEB"/>
            </w:tcBorders>
          </w:tcPr>
          <w:p>
            <w:pPr>
              <w:spacing w:after="0"/>
              <w:rPr>
                <w:sz w:val="18"/>
                <w:szCs w:val="18"/>
                <w:color w:val="auto"/>
              </w:rPr>
            </w:pPr>
          </w:p>
        </w:tc>
        <w:tc>
          <w:tcPr>
            <w:tcW w:w="820" w:type="dxa"/>
            <w:vAlign w:val="bottom"/>
            <w:tcBorders>
              <w:right w:val="single" w:sz="8" w:color="E8EAEB"/>
            </w:tcBorders>
          </w:tcPr>
          <w:p>
            <w:pPr>
              <w:spacing w:after="0"/>
              <w:rPr>
                <w:sz w:val="18"/>
                <w:szCs w:val="18"/>
                <w:color w:val="auto"/>
              </w:rPr>
            </w:pPr>
          </w:p>
        </w:tc>
        <w:tc>
          <w:tcPr>
            <w:tcW w:w="1260" w:type="dxa"/>
            <w:vAlign w:val="bottom"/>
            <w:tcBorders>
              <w:right w:val="single" w:sz="8" w:color="E8EAEB"/>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97,356</w:t>
            </w:r>
          </w:p>
        </w:tc>
        <w:tc>
          <w:tcPr>
            <w:tcW w:w="1240" w:type="dxa"/>
            <w:vAlign w:val="bottom"/>
            <w:tcBorders>
              <w:right w:val="single" w:sz="8" w:color="E8EAEB"/>
            </w:tcBorders>
            <w:vMerge w:val="restart"/>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right w:val="single" w:sz="8" w:color="E8EAEB"/>
            </w:tcBorders>
            <w:vMerge w:val="restart"/>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70"/>
              <w:spacing w:after="0"/>
              <w:rPr>
                <w:sz w:val="20"/>
                <w:szCs w:val="20"/>
                <w:color w:val="auto"/>
              </w:rPr>
            </w:pPr>
            <w:r>
              <w:rPr>
                <w:rFonts w:ascii="Arial" w:cs="Arial" w:eastAsia="Arial" w:hAnsi="Arial"/>
                <w:sz w:val="14"/>
                <w:szCs w:val="14"/>
                <w:color w:val="202E39"/>
              </w:rPr>
              <w:t>— </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97,356</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Apart from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Termination without Cause/Resignation for Good Reason in</w:t>
            </w:r>
          </w:p>
        </w:tc>
        <w:tc>
          <w:tcPr>
            <w:tcW w:w="110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97,356</w:t>
            </w:r>
          </w:p>
        </w:tc>
        <w:tc>
          <w:tcPr>
            <w:tcW w:w="1240" w:type="dxa"/>
            <w:vAlign w:val="bottom"/>
            <w:tcBorders>
              <w:right w:val="single" w:sz="8" w:color="E8EAEB"/>
            </w:tcBorders>
            <w:vMerge w:val="restart"/>
          </w:tcPr>
          <w:p>
            <w:pPr>
              <w:ind w:left="420"/>
              <w:spacing w:after="0"/>
              <w:rPr>
                <w:sz w:val="20"/>
                <w:szCs w:val="20"/>
                <w:color w:val="auto"/>
              </w:rPr>
            </w:pPr>
            <w:r>
              <w:rPr>
                <w:rFonts w:ascii="Arial" w:cs="Arial" w:eastAsia="Arial" w:hAnsi="Arial"/>
                <w:sz w:val="14"/>
                <w:szCs w:val="14"/>
                <w:color w:val="202E39"/>
              </w:rPr>
              <w:t>2,430,000</w:t>
            </w:r>
          </w:p>
        </w:tc>
        <w:tc>
          <w:tcPr>
            <w:tcW w:w="980" w:type="dxa"/>
            <w:vAlign w:val="bottom"/>
            <w:tcBorders>
              <w:right w:val="single" w:sz="8" w:color="E8EAEB"/>
            </w:tcBorders>
            <w:vMerge w:val="restart"/>
          </w:tcPr>
          <w:p>
            <w:pPr>
              <w:ind w:left="360"/>
              <w:spacing w:after="0"/>
              <w:rPr>
                <w:sz w:val="20"/>
                <w:szCs w:val="20"/>
                <w:color w:val="auto"/>
              </w:rPr>
            </w:pPr>
            <w:r>
              <w:rPr>
                <w:rFonts w:ascii="Arial" w:cs="Arial" w:eastAsia="Arial" w:hAnsi="Arial"/>
                <w:sz w:val="14"/>
                <w:szCs w:val="14"/>
                <w:color w:val="202E39"/>
              </w:rPr>
              <w:t>32,290</w:t>
            </w:r>
          </w:p>
        </w:tc>
        <w:tc>
          <w:tcPr>
            <w:tcW w:w="820" w:type="dxa"/>
            <w:vAlign w:val="bottom"/>
            <w:tcBorders>
              <w:right w:val="single" w:sz="8" w:color="E8EAEB"/>
            </w:tcBorders>
            <w:vMerge w:val="restart"/>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right w:val="single" w:sz="8" w:color="E8EAEB"/>
            </w:tcBorders>
            <w:vMerge w:val="restart"/>
          </w:tcPr>
          <w:p>
            <w:pPr>
              <w:jc w:val="right"/>
              <w:ind w:right="130"/>
              <w:spacing w:after="0"/>
              <w:rPr>
                <w:sz w:val="20"/>
                <w:szCs w:val="20"/>
                <w:color w:val="auto"/>
              </w:rPr>
            </w:pPr>
            <w:r>
              <w:rPr>
                <w:rFonts w:ascii="Arial" w:cs="Arial" w:eastAsia="Arial" w:hAnsi="Arial"/>
                <w:sz w:val="14"/>
                <w:szCs w:val="14"/>
                <w:color w:val="202E39"/>
              </w:rPr>
              <w:t>488,538</w:t>
            </w:r>
          </w:p>
        </w:tc>
        <w:tc>
          <w:tcPr>
            <w:tcW w:w="1360" w:type="dxa"/>
            <w:vAlign w:val="bottom"/>
            <w:vMerge w:val="restart"/>
          </w:tcPr>
          <w:p>
            <w:pPr>
              <w:jc w:val="right"/>
              <w:ind w:right="110"/>
              <w:spacing w:after="0"/>
              <w:rPr>
                <w:sz w:val="20"/>
                <w:szCs w:val="20"/>
                <w:color w:val="auto"/>
              </w:rPr>
            </w:pPr>
            <w:r>
              <w:rPr>
                <w:rFonts w:ascii="Arial" w:cs="Arial" w:eastAsia="Arial" w:hAnsi="Arial"/>
                <w:sz w:val="14"/>
                <w:szCs w:val="14"/>
                <w:color w:val="202E39"/>
              </w:rPr>
              <w:t>3,048,184</w:t>
            </w:r>
          </w:p>
        </w:tc>
        <w:tc>
          <w:tcPr>
            <w:tcW w:w="0" w:type="dxa"/>
            <w:vAlign w:val="bottom"/>
          </w:tcPr>
          <w:p>
            <w:pPr>
              <w:spacing w:after="0"/>
              <w:rPr>
                <w:sz w:val="1"/>
                <w:szCs w:val="1"/>
                <w:color w:val="auto"/>
              </w:rPr>
            </w:pPr>
          </w:p>
        </w:tc>
      </w:tr>
      <w:tr>
        <w:trPr>
          <w:trHeight w:val="183"/>
        </w:trPr>
        <w:tc>
          <w:tcPr>
            <w:tcW w:w="3980" w:type="dxa"/>
            <w:vAlign w:val="bottom"/>
            <w:tcBorders>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Connection with a Change in Control</w:t>
            </w:r>
          </w:p>
        </w:tc>
        <w:tc>
          <w:tcPr>
            <w:tcW w:w="1100" w:type="dxa"/>
            <w:vAlign w:val="bottom"/>
            <w:tcBorders>
              <w:right w:val="single" w:sz="8" w:color="E8EAEB"/>
            </w:tcBorders>
            <w:vMerge w:val="continue"/>
          </w:tcPr>
          <w:p>
            <w:pPr>
              <w:spacing w:after="0"/>
              <w:rPr>
                <w:sz w:val="15"/>
                <w:szCs w:val="15"/>
                <w:color w:val="auto"/>
              </w:rPr>
            </w:pPr>
          </w:p>
        </w:tc>
        <w:tc>
          <w:tcPr>
            <w:tcW w:w="1240" w:type="dxa"/>
            <w:vAlign w:val="bottom"/>
            <w:tcBorders>
              <w:right w:val="single" w:sz="8" w:color="E8EAEB"/>
            </w:tcBorders>
            <w:vMerge w:val="continue"/>
          </w:tcPr>
          <w:p>
            <w:pPr>
              <w:spacing w:after="0"/>
              <w:rPr>
                <w:sz w:val="15"/>
                <w:szCs w:val="15"/>
                <w:color w:val="auto"/>
              </w:rPr>
            </w:pPr>
          </w:p>
        </w:tc>
        <w:tc>
          <w:tcPr>
            <w:tcW w:w="980" w:type="dxa"/>
            <w:vAlign w:val="bottom"/>
            <w:tcBorders>
              <w:right w:val="single" w:sz="8" w:color="E8EAEB"/>
            </w:tcBorders>
            <w:vMerge w:val="continue"/>
          </w:tcPr>
          <w:p>
            <w:pPr>
              <w:spacing w:after="0"/>
              <w:rPr>
                <w:sz w:val="15"/>
                <w:szCs w:val="15"/>
                <w:color w:val="auto"/>
              </w:rPr>
            </w:pPr>
          </w:p>
        </w:tc>
        <w:tc>
          <w:tcPr>
            <w:tcW w:w="820" w:type="dxa"/>
            <w:vAlign w:val="bottom"/>
            <w:tcBorders>
              <w:right w:val="single" w:sz="8" w:color="E8EAEB"/>
            </w:tcBorders>
            <w:vMerge w:val="continue"/>
          </w:tcPr>
          <w:p>
            <w:pPr>
              <w:spacing w:after="0"/>
              <w:rPr>
                <w:sz w:val="15"/>
                <w:szCs w:val="15"/>
                <w:color w:val="auto"/>
              </w:rPr>
            </w:pPr>
          </w:p>
        </w:tc>
        <w:tc>
          <w:tcPr>
            <w:tcW w:w="1260" w:type="dxa"/>
            <w:vAlign w:val="bottom"/>
            <w:tcBorders>
              <w:right w:val="single" w:sz="8" w:color="E8EAEB"/>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E8EAEB"/>
              <w:right w:val="single" w:sz="8" w:color="E8EAEB"/>
            </w:tcBorders>
          </w:tcPr>
          <w:p>
            <w:pPr>
              <w:ind w:left="140"/>
              <w:spacing w:after="0"/>
              <w:rPr>
                <w:sz w:val="20"/>
                <w:szCs w:val="20"/>
                <w:color w:val="auto"/>
              </w:rPr>
            </w:pPr>
            <w:r>
              <w:rPr>
                <w:rFonts w:ascii="Arial" w:cs="Arial" w:eastAsia="Arial" w:hAnsi="Arial"/>
                <w:sz w:val="14"/>
                <w:szCs w:val="14"/>
                <w:i w:val="1"/>
                <w:iCs w:val="1"/>
                <w:color w:val="202E39"/>
              </w:rPr>
              <w:t>Death or Disability</w:t>
            </w:r>
          </w:p>
        </w:tc>
        <w:tc>
          <w:tcPr>
            <w:tcW w:w="110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97,356</w:t>
            </w:r>
          </w:p>
        </w:tc>
        <w:tc>
          <w:tcPr>
            <w:tcW w:w="1240" w:type="dxa"/>
            <w:vAlign w:val="bottom"/>
            <w:tcBorders>
              <w:bottom w:val="single" w:sz="8" w:color="E8EAEB"/>
              <w:right w:val="single" w:sz="8" w:color="E8EAEB"/>
            </w:tcBorders>
          </w:tcPr>
          <w:p>
            <w:pPr>
              <w:ind w:left="840"/>
              <w:spacing w:after="0"/>
              <w:rPr>
                <w:sz w:val="20"/>
                <w:szCs w:val="20"/>
                <w:color w:val="auto"/>
              </w:rPr>
            </w:pPr>
            <w:r>
              <w:rPr>
                <w:rFonts w:ascii="Arial" w:cs="Arial" w:eastAsia="Arial" w:hAnsi="Arial"/>
                <w:sz w:val="14"/>
                <w:szCs w:val="14"/>
                <w:color w:val="202E39"/>
              </w:rPr>
              <w:t>— </w:t>
            </w:r>
          </w:p>
        </w:tc>
        <w:tc>
          <w:tcPr>
            <w:tcW w:w="980" w:type="dxa"/>
            <w:vAlign w:val="bottom"/>
            <w:tcBorders>
              <w:bottom w:val="single" w:sz="8" w:color="E8EAEB"/>
              <w:right w:val="single" w:sz="8" w:color="E8EAEB"/>
            </w:tcBorders>
          </w:tcPr>
          <w:p>
            <w:pPr>
              <w:ind w:left="580"/>
              <w:spacing w:after="0"/>
              <w:rPr>
                <w:sz w:val="20"/>
                <w:szCs w:val="20"/>
                <w:color w:val="auto"/>
              </w:rPr>
            </w:pPr>
            <w:r>
              <w:rPr>
                <w:rFonts w:ascii="Arial" w:cs="Arial" w:eastAsia="Arial" w:hAnsi="Arial"/>
                <w:sz w:val="14"/>
                <w:szCs w:val="14"/>
                <w:color w:val="202E39"/>
              </w:rPr>
              <w:t>— </w:t>
            </w:r>
          </w:p>
        </w:tc>
        <w:tc>
          <w:tcPr>
            <w:tcW w:w="820" w:type="dxa"/>
            <w:vAlign w:val="bottom"/>
            <w:tcBorders>
              <w:bottom w:val="single" w:sz="8" w:color="E8EAEB"/>
              <w:right w:val="single" w:sz="8" w:color="E8EAEB"/>
            </w:tcBorders>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130"/>
              <w:spacing w:after="0"/>
              <w:rPr>
                <w:sz w:val="20"/>
                <w:szCs w:val="20"/>
                <w:color w:val="auto"/>
              </w:rPr>
            </w:pPr>
            <w:r>
              <w:rPr>
                <w:rFonts w:ascii="Arial" w:cs="Arial" w:eastAsia="Arial" w:hAnsi="Arial"/>
                <w:sz w:val="14"/>
                <w:szCs w:val="14"/>
                <w:color w:val="202E39"/>
              </w:rPr>
              <w:t>488,538</w:t>
            </w:r>
          </w:p>
        </w:tc>
        <w:tc>
          <w:tcPr>
            <w:tcW w:w="1360" w:type="dxa"/>
            <w:vAlign w:val="bottom"/>
            <w:tcBorders>
              <w:bottom w:val="single" w:sz="8" w:color="E8EAEB"/>
            </w:tcBorders>
          </w:tcPr>
          <w:p>
            <w:pPr>
              <w:jc w:val="right"/>
              <w:ind w:right="110"/>
              <w:spacing w:after="0"/>
              <w:rPr>
                <w:sz w:val="20"/>
                <w:szCs w:val="20"/>
                <w:color w:val="auto"/>
              </w:rPr>
            </w:pPr>
            <w:r>
              <w:rPr>
                <w:rFonts w:ascii="Arial" w:cs="Arial" w:eastAsia="Arial" w:hAnsi="Arial"/>
                <w:sz w:val="14"/>
                <w:szCs w:val="14"/>
                <w:color w:val="202E39"/>
              </w:rPr>
              <w:t>585,894</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David Ryan (5)</w:t>
            </w:r>
          </w:p>
        </w:tc>
        <w:tc>
          <w:tcPr>
            <w:tcW w:w="1100" w:type="dxa"/>
            <w:vAlign w:val="bottom"/>
            <w:tcBorders>
              <w:bottom w:val="single" w:sz="8" w:color="009FE3"/>
              <w:right w:val="single" w:sz="8" w:color="E8EAEB"/>
            </w:tcBorders>
          </w:tcPr>
          <w:p>
            <w:pPr>
              <w:jc w:val="right"/>
              <w:ind w:right="170"/>
              <w:spacing w:after="0"/>
              <w:rPr>
                <w:sz w:val="20"/>
                <w:szCs w:val="20"/>
                <w:color w:val="auto"/>
              </w:rPr>
            </w:pPr>
            <w:r>
              <w:rPr>
                <w:rFonts w:ascii="Arial" w:cs="Arial" w:eastAsia="Arial" w:hAnsi="Arial"/>
                <w:sz w:val="14"/>
                <w:szCs w:val="14"/>
                <w:color w:val="202E39"/>
              </w:rPr>
              <w:t>— </w:t>
            </w:r>
          </w:p>
        </w:tc>
        <w:tc>
          <w:tcPr>
            <w:tcW w:w="1240" w:type="dxa"/>
            <w:vAlign w:val="bottom"/>
            <w:tcBorders>
              <w:bottom w:val="single" w:sz="8" w:color="009FE3"/>
              <w:right w:val="single" w:sz="8" w:color="E8EAEB"/>
            </w:tcBorders>
          </w:tcPr>
          <w:p>
            <w:pPr>
              <w:ind w:left="420"/>
              <w:spacing w:after="0"/>
              <w:rPr>
                <w:sz w:val="20"/>
                <w:szCs w:val="20"/>
                <w:color w:val="auto"/>
              </w:rPr>
            </w:pPr>
            <w:r>
              <w:rPr>
                <w:rFonts w:ascii="Arial" w:cs="Arial" w:eastAsia="Arial" w:hAnsi="Arial"/>
                <w:sz w:val="14"/>
                <w:szCs w:val="14"/>
                <w:color w:val="202E39"/>
              </w:rPr>
              <w:t>2,375,000</w:t>
            </w:r>
          </w:p>
        </w:tc>
        <w:tc>
          <w:tcPr>
            <w:tcW w:w="98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4"/>
                <w:szCs w:val="14"/>
                <w:color w:val="202E39"/>
              </w:rPr>
              <w:t>32,290</w:t>
            </w:r>
          </w:p>
        </w:tc>
        <w:tc>
          <w:tcPr>
            <w:tcW w:w="820" w:type="dxa"/>
            <w:vAlign w:val="bottom"/>
            <w:tcBorders>
              <w:bottom w:val="single" w:sz="8" w:color="009FE3"/>
              <w:right w:val="single" w:sz="8" w:color="E8EAEB"/>
            </w:tcBorders>
          </w:tcPr>
          <w:p>
            <w:pPr>
              <w:jc w:val="right"/>
              <w:ind w:right="15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009FE3"/>
              <w:right w:val="single" w:sz="8" w:color="E8EAEB"/>
            </w:tcBorders>
          </w:tcPr>
          <w:p>
            <w:pPr>
              <w:jc w:val="right"/>
              <w:ind w:right="130"/>
              <w:spacing w:after="0"/>
              <w:rPr>
                <w:sz w:val="20"/>
                <w:szCs w:val="20"/>
                <w:color w:val="auto"/>
              </w:rPr>
            </w:pPr>
            <w:r>
              <w:rPr>
                <w:rFonts w:ascii="Arial" w:cs="Arial" w:eastAsia="Arial" w:hAnsi="Arial"/>
                <w:sz w:val="14"/>
                <w:szCs w:val="14"/>
                <w:color w:val="202E39"/>
              </w:rPr>
              <w:t>666,601</w:t>
            </w:r>
          </w:p>
        </w:tc>
        <w:tc>
          <w:tcPr>
            <w:tcW w:w="1360" w:type="dxa"/>
            <w:vAlign w:val="bottom"/>
            <w:tcBorders>
              <w:bottom w:val="single" w:sz="8" w:color="009FE3"/>
            </w:tcBorders>
          </w:tcPr>
          <w:p>
            <w:pPr>
              <w:jc w:val="right"/>
              <w:ind w:right="110"/>
              <w:spacing w:after="0"/>
              <w:rPr>
                <w:sz w:val="20"/>
                <w:szCs w:val="20"/>
                <w:color w:val="auto"/>
              </w:rPr>
            </w:pPr>
            <w:r>
              <w:rPr>
                <w:rFonts w:ascii="Arial" w:cs="Arial" w:eastAsia="Arial" w:hAnsi="Arial"/>
                <w:sz w:val="14"/>
                <w:szCs w:val="14"/>
                <w:color w:val="202E39"/>
              </w:rPr>
              <w:t>3,073,891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80" w:hanging="419"/>
        <w:spacing w:after="0"/>
        <w:tabs>
          <w:tab w:leader="none" w:pos="680" w:val="left"/>
        </w:tabs>
        <w:numPr>
          <w:ilvl w:val="0"/>
          <w:numId w:val="58"/>
        </w:numPr>
        <w:rPr>
          <w:rFonts w:ascii="Arial" w:cs="Arial" w:eastAsia="Arial" w:hAnsi="Arial"/>
          <w:sz w:val="14"/>
          <w:szCs w:val="14"/>
          <w:color w:val="202E39"/>
        </w:rPr>
      </w:pPr>
      <w:r>
        <w:rPr>
          <w:rFonts w:ascii="Arial" w:cs="Arial" w:eastAsia="Arial" w:hAnsi="Arial"/>
          <w:sz w:val="14"/>
          <w:szCs w:val="14"/>
          <w:color w:val="202E39"/>
        </w:rPr>
        <w:t>Represents accrual for vacation that had not been taken as of March 31, 2024.</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58"/>
        </w:numPr>
        <w:rPr>
          <w:rFonts w:ascii="Arial" w:cs="Arial" w:eastAsia="Arial" w:hAnsi="Arial"/>
          <w:sz w:val="14"/>
          <w:szCs w:val="14"/>
          <w:color w:val="202E39"/>
        </w:rPr>
      </w:pPr>
      <w:r>
        <w:rPr>
          <w:rFonts w:ascii="Arial" w:cs="Arial" w:eastAsia="Arial" w:hAnsi="Arial"/>
          <w:sz w:val="14"/>
          <w:szCs w:val="14"/>
          <w:color w:val="202E39"/>
        </w:rPr>
        <w:t>Amounts shown equal an aggregate of 18 months of COBRA payments for the Named Executive Officer.</w:t>
      </w:r>
    </w:p>
    <w:p>
      <w:pPr>
        <w:spacing w:after="0" w:line="141"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55</w:t>
      </w:r>
    </w:p>
    <w:p>
      <w:pPr>
        <w:sectPr>
          <w:pgSz w:w="11900" w:h="16838" w:orient="portrait"/>
          <w:cols w:equalWidth="0" w:num="1">
            <w:col w:w="11000"/>
          </w:cols>
          <w:pgMar w:left="320" w:top="474" w:right="5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Potential Payments Upon Termination</w:t>
      </w:r>
    </w:p>
    <w:p>
      <w:pPr>
        <w:spacing w:after="0" w:line="233" w:lineRule="exact"/>
        <w:rPr>
          <w:sz w:val="20"/>
          <w:szCs w:val="20"/>
          <w:color w:val="auto"/>
        </w:rPr>
      </w:pPr>
    </w:p>
    <w:p>
      <w:pPr>
        <w:ind w:left="680" w:right="40" w:hanging="419"/>
        <w:spacing w:after="0" w:line="238" w:lineRule="auto"/>
        <w:tabs>
          <w:tab w:leader="none" w:pos="680" w:val="left"/>
        </w:tabs>
        <w:numPr>
          <w:ilvl w:val="0"/>
          <w:numId w:val="59"/>
        </w:numPr>
        <w:rPr>
          <w:rFonts w:ascii="Arial" w:cs="Arial" w:eastAsia="Arial" w:hAnsi="Arial"/>
          <w:sz w:val="14"/>
          <w:szCs w:val="14"/>
          <w:color w:val="202E39"/>
        </w:rPr>
      </w:pPr>
      <w:r>
        <w:rPr>
          <w:rFonts w:ascii="Arial" w:cs="Arial" w:eastAsia="Arial" w:hAnsi="Arial"/>
          <w:sz w:val="14"/>
          <w:szCs w:val="14"/>
          <w:color w:val="202E39"/>
        </w:rPr>
        <w:t>The intrinsic value of accelerated stock options is based on the difference between the closing price of our common stock on March 28, 2024 ($18.09 per share), the last trading day of fiscal year 2024, and the option exercise price, multiplied by the number of shares for which the option was accelerated. In addition, with respect to the performance stock options granted prior to fiscal year 2024, in the event of a Named Executive Officer’s death or termination of employment due to disability prior to the completion of the applicable performance period for any outstanding performance-based stock options, he or she will remain eligible to vest in a pro-rated portion of those performance-based stock options that ultimately vest based on the portion of the performance period that has elapsed prior to the date of termination. With respect to the performance stock options granted in fiscal year 2024, in the event of a Named Executive Officer’s death or disability, he or she will fully vest on the date of termination in any of the options for which the Stock Price Hurdle was achieved as of the Annual Vesting Date preceding the date of termination (or, if such termination occurs following a change in control, as of the date of the change in control). Given that, as of March 31, 2024, the closing price of our common stock was lower than the option exercise price of all the outstanding stock options held by our Named Executive Officers and granted prior to fiscal year 2024, the intrinsic value of any accelerated options as of that date is zero as reflected in the table above. For the performance stock options granted in 2024, because none of the stock price hurdles had yet been achieved based on the closing price of our common stock on March 28, 2024 ($18.09 per share), the last trading day of fiscal year 2024, no portion of the awards would have vested upon a Named Executive Officer’s death or disability on such date.</w:t>
      </w:r>
    </w:p>
    <w:p>
      <w:pPr>
        <w:spacing w:after="0" w:line="42" w:lineRule="exact"/>
        <w:rPr>
          <w:rFonts w:ascii="Arial" w:cs="Arial" w:eastAsia="Arial" w:hAnsi="Arial"/>
          <w:sz w:val="14"/>
          <w:szCs w:val="14"/>
          <w:color w:val="202E39"/>
        </w:rPr>
      </w:pPr>
    </w:p>
    <w:p>
      <w:pPr>
        <w:ind w:left="680" w:hanging="419"/>
        <w:spacing w:after="0" w:line="246" w:lineRule="auto"/>
        <w:tabs>
          <w:tab w:leader="none" w:pos="680" w:val="left"/>
        </w:tabs>
        <w:numPr>
          <w:ilvl w:val="0"/>
          <w:numId w:val="59"/>
        </w:numPr>
        <w:rPr>
          <w:rFonts w:ascii="Arial" w:cs="Arial" w:eastAsia="Arial" w:hAnsi="Arial"/>
          <w:sz w:val="14"/>
          <w:szCs w:val="14"/>
          <w:color w:val="202E39"/>
        </w:rPr>
      </w:pPr>
      <w:r>
        <w:rPr>
          <w:rFonts w:ascii="Arial" w:cs="Arial" w:eastAsia="Arial" w:hAnsi="Arial"/>
          <w:sz w:val="14"/>
          <w:szCs w:val="14"/>
          <w:color w:val="202E39"/>
        </w:rPr>
        <w:t>The intrinsic value of accelerated restricted stock unit awards is computed by multiplying the closing price of our common stock on March 28, 2024 ($18.09 per share), the last trading day of fiscal year 2024, by the number of shares that were accelerated. In addition, upon a Named Executive Officer’s death or termination due to disability, all of his or her restricted stock units will fully vest (and the value of the restricted stock units that would vest if such a termination occurred on March 31, 2024 is the same as the value disclosed in the table above).</w:t>
      </w:r>
    </w:p>
    <w:p>
      <w:pPr>
        <w:spacing w:after="0" w:line="36" w:lineRule="exact"/>
        <w:rPr>
          <w:rFonts w:ascii="Arial" w:cs="Arial" w:eastAsia="Arial" w:hAnsi="Arial"/>
          <w:sz w:val="14"/>
          <w:szCs w:val="14"/>
          <w:color w:val="202E39"/>
        </w:rPr>
      </w:pPr>
    </w:p>
    <w:p>
      <w:pPr>
        <w:ind w:left="680" w:right="20" w:hanging="419"/>
        <w:spacing w:after="0" w:line="270" w:lineRule="auto"/>
        <w:tabs>
          <w:tab w:leader="none" w:pos="680" w:val="left"/>
        </w:tabs>
        <w:numPr>
          <w:ilvl w:val="0"/>
          <w:numId w:val="59"/>
        </w:numPr>
        <w:rPr>
          <w:rFonts w:ascii="Arial" w:cs="Arial" w:eastAsia="Arial" w:hAnsi="Arial"/>
          <w:sz w:val="14"/>
          <w:szCs w:val="14"/>
          <w:color w:val="202E39"/>
        </w:rPr>
      </w:pPr>
      <w:r>
        <w:rPr>
          <w:rFonts w:ascii="Arial" w:cs="Arial" w:eastAsia="Arial" w:hAnsi="Arial"/>
          <w:sz w:val="14"/>
          <w:szCs w:val="14"/>
          <w:color w:val="202E39"/>
        </w:rPr>
        <w:t>Represents severance paid to Mr. Ryan in connection with his termination other than for cause under his Change in Control Severance Agreement upon his departure in September 2023.</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CEO Pay Ratio</w:t>
      </w:r>
    </w:p>
    <w:p>
      <w:pPr>
        <w:spacing w:after="0" w:line="124" w:lineRule="exact"/>
        <w:rPr>
          <w:sz w:val="20"/>
          <w:szCs w:val="20"/>
          <w:color w:val="auto"/>
        </w:rPr>
      </w:pPr>
    </w:p>
    <w:p>
      <w:pPr>
        <w:ind w:left="260" w:right="80"/>
        <w:spacing w:after="0" w:line="249" w:lineRule="auto"/>
        <w:rPr>
          <w:sz w:val="20"/>
          <w:szCs w:val="20"/>
          <w:color w:val="auto"/>
        </w:rPr>
      </w:pPr>
      <w:r>
        <w:rPr>
          <w:rFonts w:ascii="Arial" w:cs="Arial" w:eastAsia="Arial" w:hAnsi="Arial"/>
          <w:sz w:val="16"/>
          <w:szCs w:val="16"/>
          <w:color w:val="202E39"/>
        </w:rPr>
        <w:t>In accordance with SEC rules, we are providing the ratio of the annual total compensation received during fiscal year 2024 by our CEO to the median of the annual total compensation received by all our employees (other than our CEO). Our median employee earned $156,402 in total compensation during the fiscal year ended March 31, 2024. Based upon the annual total compensation of Mr. Dankberg, our CEO, of $8,960,679 reported in the Summary Compensation Table for fiscal year 2024, our ratio of CEO pay to median employee pay for fiscal year 2024 was approximately 57 to 1.</w:t>
      </w:r>
    </w:p>
    <w:p>
      <w:pPr>
        <w:spacing w:after="0" w:line="78" w:lineRule="exact"/>
        <w:rPr>
          <w:sz w:val="20"/>
          <w:szCs w:val="20"/>
          <w:color w:val="auto"/>
        </w:rPr>
      </w:pPr>
    </w:p>
    <w:p>
      <w:pPr>
        <w:ind w:left="260" w:right="40"/>
        <w:spacing w:after="0" w:line="242" w:lineRule="auto"/>
        <w:rPr>
          <w:sz w:val="20"/>
          <w:szCs w:val="20"/>
          <w:color w:val="auto"/>
        </w:rPr>
      </w:pPr>
      <w:r>
        <w:rPr>
          <w:rFonts w:ascii="Arial" w:cs="Arial" w:eastAsia="Arial" w:hAnsi="Arial"/>
          <w:sz w:val="16"/>
          <w:szCs w:val="16"/>
          <w:color w:val="202E39"/>
        </w:rPr>
        <w:t>To identify our median employee in fiscal year 2024, we identified our total employee population (including all full-time, part-time, temporary and seasonal workers) as of March 31, 2024, and, in accordance with SEC rules, excluded employees from certain non-U.S. countries that in the aggregate represented less than 5% of our employee base. As of March 31, 2024, we had approximately 7,100 global employees, which consisted of approximately 4,400 U.S. employees and 2,700 non-U.S. employees. To determine our median employee, we excluded a total of 297 employees from the following countries (and all of our employees in each of the following countries were excluded from the calculation): Indonesia (55 employees), Mexico (41 employees), United Arab Emirates (32 employees), France (25 employees), Qatar (21 employees), Italy (20 employees), China (13 employees), Saudi Arabia (11 employees), Germany (10 employees), New Zealand (10 employees), Hong Kong (10 employees), Spain (8 employees), South Africa (8 employees), Greece (7 employees), Japan (7 employees), Israel (6 employees), Malaysia (4 employees), Angola (4 employees), Oman (3 employees), Sweden (1 employee) and Kazakhstan (1 employee). We then used base salary received during fiscal year 2024 for our employee population included in the calculation (other than Mr. Dankberg) (which consisted of approximately 6,800 global employees, including approximately 4,400 U.S. employees and 2,400 non-U.S. employees, after excluding the non-U.S. employees described above) to determine our median employee, and, once identified, we calculated such employee’s annual total compensation in the same manner used to calculate Mr. Dankberg’s total compensation in the Summary Compensation Table for fiscal year 2024. For all compensation paid in currencies other than the U.S. Dollar, all values were converted to the U.S. Dollar using foreign currency exchange rates on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86360</wp:posOffset>
            </wp:positionV>
            <wp:extent cx="425450" cy="150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56       </w:t>
      </w:r>
    </w:p>
    <w:p>
      <w:pPr>
        <w:sectPr>
          <w:pgSz w:w="11900" w:h="16838" w:orient="portrait"/>
          <w:cols w:equalWidth="0" w:num="1">
            <w:col w:w="10980"/>
          </w:cols>
          <w:pgMar w:left="320" w:top="474" w:right="5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73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Pay Versus Performance</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Pay Versus Performance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Pay Versus Performance Table</w:t>
      </w:r>
    </w:p>
    <w:p>
      <w:pPr>
        <w:spacing w:after="0" w:line="108" w:lineRule="exact"/>
        <w:rPr>
          <w:sz w:val="20"/>
          <w:szCs w:val="20"/>
          <w:color w:val="auto"/>
        </w:rPr>
      </w:pPr>
    </w:p>
    <w:p>
      <w:pPr>
        <w:ind w:left="260" w:right="220"/>
        <w:spacing w:after="0" w:line="249" w:lineRule="auto"/>
        <w:rPr>
          <w:sz w:val="20"/>
          <w:szCs w:val="20"/>
          <w:color w:val="auto"/>
        </w:rPr>
      </w:pPr>
      <w:r>
        <w:rPr>
          <w:rFonts w:ascii="Arial" w:cs="Arial" w:eastAsia="Arial" w:hAnsi="Arial"/>
          <w:sz w:val="16"/>
          <w:szCs w:val="16"/>
          <w:color w:val="202E39"/>
        </w:rPr>
        <w:t>The following table sets forth information concerning the compensation of our principal executive officer(s) (“PEO(s)”) and Named Executive Officers (“NEOs”), with certain adjustments to reflect “compensation actually paid” to such individuals, as defined under SEC rules, for each of the fiscal years ended March 31, 2024, 2023, 2022 and 2021, our cumulative total shareholder return (“TSR”), the cumulative TSR of our peer group, net income (loss) and Adjusted EBITDA for each such fiscal year in accordance with SEC rules: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860" w:type="dxa"/>
            <w:vAlign w:val="bottom"/>
            <w:tcBorders>
              <w:top w:val="single" w:sz="8" w:color="E8EAEB"/>
              <w:bottom w:val="single" w:sz="8" w:color="009FE3"/>
              <w:right w:val="single" w:sz="8" w:color="E8EAEB"/>
            </w:tcBorders>
          </w:tcPr>
          <w:p>
            <w:pPr>
              <w:ind w:left="380"/>
              <w:spacing w:after="0"/>
              <w:rPr>
                <w:sz w:val="20"/>
                <w:szCs w:val="20"/>
                <w:color w:val="auto"/>
              </w:rPr>
            </w:pPr>
            <w:r>
              <w:rPr>
                <w:rFonts w:ascii="Arial" w:cs="Arial" w:eastAsia="Arial" w:hAnsi="Arial"/>
                <w:sz w:val="11"/>
                <w:szCs w:val="11"/>
                <w:b w:val="1"/>
                <w:bCs w:val="1"/>
                <w:color w:val="009FE3"/>
              </w:rPr>
              <w:t>(a)</w:t>
            </w:r>
          </w:p>
        </w:tc>
        <w:tc>
          <w:tcPr>
            <w:tcW w:w="1020" w:type="dxa"/>
            <w:vAlign w:val="bottom"/>
            <w:tcBorders>
              <w:top w:val="single" w:sz="8" w:color="E8EAEB"/>
              <w:bottom w:val="single" w:sz="8" w:color="009FE3"/>
              <w:right w:val="single" w:sz="8" w:color="E8EAEB"/>
            </w:tcBorders>
          </w:tcPr>
          <w:p>
            <w:pPr>
              <w:jc w:val="right"/>
              <w:ind w:right="381"/>
              <w:spacing w:after="0"/>
              <w:rPr>
                <w:sz w:val="20"/>
                <w:szCs w:val="20"/>
                <w:color w:val="auto"/>
              </w:rPr>
            </w:pPr>
            <w:r>
              <w:rPr>
                <w:rFonts w:ascii="Arial" w:cs="Arial" w:eastAsia="Arial" w:hAnsi="Arial"/>
                <w:sz w:val="11"/>
                <w:szCs w:val="11"/>
                <w:b w:val="1"/>
                <w:bCs w:val="1"/>
                <w:color w:val="009FE3"/>
              </w:rPr>
              <w:t xml:space="preserve">(b) </w:t>
            </w:r>
          </w:p>
        </w:tc>
        <w:tc>
          <w:tcPr>
            <w:tcW w:w="1020" w:type="dxa"/>
            <w:vAlign w:val="bottom"/>
            <w:tcBorders>
              <w:top w:val="single" w:sz="8" w:color="E8EAEB"/>
              <w:bottom w:val="single" w:sz="8" w:color="009FE3"/>
              <w:right w:val="single" w:sz="8" w:color="E8EAEB"/>
            </w:tcBorders>
          </w:tcPr>
          <w:p>
            <w:pPr>
              <w:jc w:val="right"/>
              <w:ind w:right="381"/>
              <w:spacing w:after="0"/>
              <w:rPr>
                <w:sz w:val="20"/>
                <w:szCs w:val="20"/>
                <w:color w:val="auto"/>
              </w:rPr>
            </w:pPr>
            <w:r>
              <w:rPr>
                <w:rFonts w:ascii="Arial" w:cs="Arial" w:eastAsia="Arial" w:hAnsi="Arial"/>
                <w:sz w:val="11"/>
                <w:szCs w:val="11"/>
                <w:b w:val="1"/>
                <w:bCs w:val="1"/>
                <w:color w:val="009FE3"/>
              </w:rPr>
              <w:t xml:space="preserve">(c) </w:t>
            </w:r>
          </w:p>
        </w:tc>
        <w:tc>
          <w:tcPr>
            <w:tcW w:w="1040" w:type="dxa"/>
            <w:vAlign w:val="bottom"/>
            <w:tcBorders>
              <w:top w:val="single" w:sz="8" w:color="E8EAEB"/>
              <w:bottom w:val="single" w:sz="8" w:color="009FE3"/>
              <w:right w:val="single" w:sz="8" w:color="E8EAEB"/>
            </w:tcBorders>
          </w:tcPr>
          <w:p>
            <w:pPr>
              <w:jc w:val="right"/>
              <w:ind w:right="401"/>
              <w:spacing w:after="0"/>
              <w:rPr>
                <w:sz w:val="20"/>
                <w:szCs w:val="20"/>
                <w:color w:val="auto"/>
              </w:rPr>
            </w:pPr>
            <w:r>
              <w:rPr>
                <w:rFonts w:ascii="Arial" w:cs="Arial" w:eastAsia="Arial" w:hAnsi="Arial"/>
                <w:sz w:val="11"/>
                <w:szCs w:val="11"/>
                <w:b w:val="1"/>
                <w:bCs w:val="1"/>
                <w:color w:val="009FE3"/>
              </w:rPr>
              <w:t xml:space="preserve">(d) </w:t>
            </w:r>
          </w:p>
        </w:tc>
        <w:tc>
          <w:tcPr>
            <w:tcW w:w="1020" w:type="dxa"/>
            <w:vAlign w:val="bottom"/>
            <w:tcBorders>
              <w:top w:val="single" w:sz="8" w:color="E8EAEB"/>
              <w:bottom w:val="single" w:sz="8" w:color="009FE3"/>
              <w:right w:val="single" w:sz="8" w:color="E8EAEB"/>
            </w:tcBorders>
          </w:tcPr>
          <w:p>
            <w:pPr>
              <w:jc w:val="right"/>
              <w:ind w:right="381"/>
              <w:spacing w:after="0"/>
              <w:rPr>
                <w:sz w:val="20"/>
                <w:szCs w:val="20"/>
                <w:color w:val="auto"/>
              </w:rPr>
            </w:pPr>
            <w:r>
              <w:rPr>
                <w:rFonts w:ascii="Arial" w:cs="Arial" w:eastAsia="Arial" w:hAnsi="Arial"/>
                <w:sz w:val="11"/>
                <w:szCs w:val="11"/>
                <w:b w:val="1"/>
                <w:bCs w:val="1"/>
                <w:color w:val="009FE3"/>
              </w:rPr>
              <w:t xml:space="preserve">(e) </w:t>
            </w:r>
          </w:p>
        </w:tc>
        <w:tc>
          <w:tcPr>
            <w:tcW w:w="1040" w:type="dxa"/>
            <w:vAlign w:val="bottom"/>
            <w:tcBorders>
              <w:top w:val="single" w:sz="8" w:color="E8EAEB"/>
              <w:bottom w:val="single" w:sz="8" w:color="009FE3"/>
              <w:right w:val="single" w:sz="8" w:color="E8EAEB"/>
            </w:tcBorders>
          </w:tcPr>
          <w:p>
            <w:pPr>
              <w:jc w:val="right"/>
              <w:ind w:right="401"/>
              <w:spacing w:after="0"/>
              <w:rPr>
                <w:sz w:val="20"/>
                <w:szCs w:val="20"/>
                <w:color w:val="auto"/>
              </w:rPr>
            </w:pPr>
            <w:r>
              <w:rPr>
                <w:rFonts w:ascii="Arial" w:cs="Arial" w:eastAsia="Arial" w:hAnsi="Arial"/>
                <w:sz w:val="11"/>
                <w:szCs w:val="11"/>
                <w:b w:val="1"/>
                <w:bCs w:val="1"/>
                <w:color w:val="009FE3"/>
              </w:rPr>
              <w:t xml:space="preserve">(f) </w:t>
            </w:r>
          </w:p>
        </w:tc>
        <w:tc>
          <w:tcPr>
            <w:tcW w:w="1040" w:type="dxa"/>
            <w:vAlign w:val="bottom"/>
            <w:tcBorders>
              <w:top w:val="single" w:sz="8" w:color="E8EAEB"/>
              <w:bottom w:val="single" w:sz="8" w:color="009FE3"/>
              <w:right w:val="single" w:sz="8" w:color="E8EAEB"/>
            </w:tcBorders>
          </w:tcPr>
          <w:p>
            <w:pPr>
              <w:jc w:val="right"/>
              <w:ind w:right="381"/>
              <w:spacing w:after="0"/>
              <w:rPr>
                <w:sz w:val="20"/>
                <w:szCs w:val="20"/>
                <w:color w:val="auto"/>
              </w:rPr>
            </w:pPr>
            <w:r>
              <w:rPr>
                <w:rFonts w:ascii="Arial" w:cs="Arial" w:eastAsia="Arial" w:hAnsi="Arial"/>
                <w:sz w:val="11"/>
                <w:szCs w:val="11"/>
                <w:b w:val="1"/>
                <w:bCs w:val="1"/>
                <w:color w:val="009FE3"/>
              </w:rPr>
              <w:t xml:space="preserve">(g) </w:t>
            </w:r>
          </w:p>
        </w:tc>
        <w:tc>
          <w:tcPr>
            <w:tcW w:w="920" w:type="dxa"/>
            <w:vAlign w:val="bottom"/>
            <w:tcBorders>
              <w:top w:val="single" w:sz="8" w:color="E8EAEB"/>
              <w:bottom w:val="single" w:sz="8" w:color="009FE3"/>
              <w:right w:val="single" w:sz="8" w:color="E8EAEB"/>
            </w:tcBorders>
          </w:tcPr>
          <w:p>
            <w:pPr>
              <w:jc w:val="right"/>
              <w:ind w:right="321"/>
              <w:spacing w:after="0"/>
              <w:rPr>
                <w:sz w:val="20"/>
                <w:szCs w:val="20"/>
                <w:color w:val="auto"/>
              </w:rPr>
            </w:pPr>
            <w:r>
              <w:rPr>
                <w:rFonts w:ascii="Arial" w:cs="Arial" w:eastAsia="Arial" w:hAnsi="Arial"/>
                <w:sz w:val="11"/>
                <w:szCs w:val="11"/>
                <w:b w:val="1"/>
                <w:bCs w:val="1"/>
                <w:color w:val="009FE3"/>
              </w:rPr>
              <w:t xml:space="preserve">(h) </w:t>
            </w:r>
          </w:p>
        </w:tc>
        <w:tc>
          <w:tcPr>
            <w:tcW w:w="900" w:type="dxa"/>
            <w:vAlign w:val="bottom"/>
            <w:tcBorders>
              <w:top w:val="single" w:sz="8" w:color="E8EAEB"/>
              <w:bottom w:val="single" w:sz="8" w:color="009FE3"/>
              <w:right w:val="single" w:sz="8" w:color="E8EAEB"/>
            </w:tcBorders>
          </w:tcPr>
          <w:p>
            <w:pPr>
              <w:jc w:val="right"/>
              <w:ind w:right="341"/>
              <w:spacing w:after="0"/>
              <w:rPr>
                <w:sz w:val="20"/>
                <w:szCs w:val="20"/>
                <w:color w:val="auto"/>
              </w:rPr>
            </w:pPr>
            <w:r>
              <w:rPr>
                <w:rFonts w:ascii="Arial" w:cs="Arial" w:eastAsia="Arial" w:hAnsi="Arial"/>
                <w:sz w:val="11"/>
                <w:szCs w:val="11"/>
                <w:b w:val="1"/>
                <w:bCs w:val="1"/>
                <w:color w:val="009FE3"/>
              </w:rPr>
              <w:t xml:space="preserve">(i) </w:t>
            </w:r>
          </w:p>
        </w:tc>
        <w:tc>
          <w:tcPr>
            <w:tcW w:w="1020" w:type="dxa"/>
            <w:vAlign w:val="bottom"/>
            <w:tcBorders>
              <w:top w:val="single" w:sz="8" w:color="E8EAEB"/>
              <w:bottom w:val="single" w:sz="8" w:color="009FE3"/>
              <w:right w:val="single" w:sz="8" w:color="E8EAEB"/>
            </w:tcBorders>
          </w:tcPr>
          <w:p>
            <w:pPr>
              <w:jc w:val="right"/>
              <w:ind w:right="401"/>
              <w:spacing w:after="0"/>
              <w:rPr>
                <w:sz w:val="20"/>
                <w:szCs w:val="20"/>
                <w:color w:val="auto"/>
              </w:rPr>
            </w:pPr>
            <w:r>
              <w:rPr>
                <w:rFonts w:ascii="Arial" w:cs="Arial" w:eastAsia="Arial" w:hAnsi="Arial"/>
                <w:sz w:val="11"/>
                <w:szCs w:val="11"/>
                <w:b w:val="1"/>
                <w:bCs w:val="1"/>
                <w:color w:val="009FE3"/>
              </w:rPr>
              <w:t xml:space="preserve">(j) </w:t>
            </w:r>
          </w:p>
        </w:tc>
        <w:tc>
          <w:tcPr>
            <w:tcW w:w="860" w:type="dxa"/>
            <w:vAlign w:val="bottom"/>
            <w:tcBorders>
              <w:top w:val="single" w:sz="8" w:color="E8EAEB"/>
              <w:bottom w:val="single" w:sz="8" w:color="009FE3"/>
            </w:tcBorders>
          </w:tcPr>
          <w:p>
            <w:pPr>
              <w:jc w:val="center"/>
              <w:spacing w:after="0"/>
              <w:rPr>
                <w:sz w:val="20"/>
                <w:szCs w:val="20"/>
                <w:color w:val="auto"/>
              </w:rPr>
            </w:pPr>
            <w:r>
              <w:rPr>
                <w:rFonts w:ascii="Arial" w:cs="Arial" w:eastAsia="Arial" w:hAnsi="Arial"/>
                <w:sz w:val="11"/>
                <w:szCs w:val="11"/>
                <w:b w:val="1"/>
                <w:bCs w:val="1"/>
                <w:color w:val="009FE3"/>
              </w:rPr>
              <w:t>(k)</w:t>
            </w:r>
          </w:p>
        </w:tc>
      </w:tr>
      <w:tr>
        <w:trPr>
          <w:trHeight w:val="156"/>
        </w:trPr>
        <w:tc>
          <w:tcPr>
            <w:tcW w:w="86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820" w:type="dxa"/>
            <w:vAlign w:val="bottom"/>
            <w:tcBorders>
              <w:right w:val="single" w:sz="8" w:color="E8EAEB"/>
            </w:tcBorders>
            <w:gridSpan w:val="2"/>
          </w:tcPr>
          <w:p>
            <w:pPr>
              <w:jc w:val="right"/>
              <w:ind w:right="181"/>
              <w:spacing w:after="0"/>
              <w:rPr>
                <w:sz w:val="20"/>
                <w:szCs w:val="20"/>
                <w:color w:val="auto"/>
              </w:rPr>
            </w:pPr>
            <w:r>
              <w:rPr>
                <w:rFonts w:ascii="Arial" w:cs="Arial" w:eastAsia="Arial" w:hAnsi="Arial"/>
                <w:sz w:val="11"/>
                <w:szCs w:val="11"/>
                <w:b w:val="1"/>
                <w:bCs w:val="1"/>
                <w:color w:val="009FE3"/>
              </w:rPr>
              <w:t>Value of Initial Fixed $100</w:t>
            </w:r>
          </w:p>
        </w:tc>
        <w:tc>
          <w:tcPr>
            <w:tcW w:w="1020" w:type="dxa"/>
            <w:vAlign w:val="bottom"/>
            <w:tcBorders>
              <w:right w:val="single" w:sz="8" w:color="E8EAEB"/>
            </w:tcBorders>
          </w:tcPr>
          <w:p>
            <w:pPr>
              <w:spacing w:after="0"/>
              <w:rPr>
                <w:sz w:val="13"/>
                <w:szCs w:val="13"/>
                <w:color w:val="auto"/>
              </w:rPr>
            </w:pPr>
          </w:p>
        </w:tc>
        <w:tc>
          <w:tcPr>
            <w:tcW w:w="860" w:type="dxa"/>
            <w:vAlign w:val="bottom"/>
          </w:tcPr>
          <w:p>
            <w:pPr>
              <w:spacing w:after="0"/>
              <w:rPr>
                <w:sz w:val="13"/>
                <w:szCs w:val="13"/>
                <w:color w:val="auto"/>
              </w:rPr>
            </w:pPr>
          </w:p>
        </w:tc>
      </w:tr>
      <w:tr>
        <w:trPr>
          <w:trHeight w:val="152"/>
        </w:trPr>
        <w:tc>
          <w:tcPr>
            <w:tcW w:w="86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820" w:type="dxa"/>
            <w:vAlign w:val="bottom"/>
            <w:tcBorders>
              <w:bottom w:val="single" w:sz="8" w:color="009FE3"/>
              <w:right w:val="single" w:sz="8" w:color="E8EAEB"/>
            </w:tcBorders>
            <w:gridSpan w:val="2"/>
          </w:tcPr>
          <w:p>
            <w:pPr>
              <w:jc w:val="right"/>
              <w:ind w:right="261"/>
              <w:spacing w:after="0"/>
              <w:rPr>
                <w:sz w:val="20"/>
                <w:szCs w:val="20"/>
                <w:color w:val="auto"/>
              </w:rPr>
            </w:pPr>
            <w:r>
              <w:rPr>
                <w:rFonts w:ascii="Arial" w:cs="Arial" w:eastAsia="Arial" w:hAnsi="Arial"/>
                <w:sz w:val="11"/>
                <w:szCs w:val="11"/>
                <w:b w:val="1"/>
                <w:bCs w:val="1"/>
                <w:color w:val="009FE3"/>
              </w:rPr>
              <w:t>Investment Based on: </w:t>
            </w:r>
          </w:p>
        </w:tc>
        <w:tc>
          <w:tcPr>
            <w:tcW w:w="1020" w:type="dxa"/>
            <w:vAlign w:val="bottom"/>
            <w:tcBorders>
              <w:right w:val="single" w:sz="8" w:color="E8EAEB"/>
            </w:tcBorders>
          </w:tcPr>
          <w:p>
            <w:pPr>
              <w:spacing w:after="0"/>
              <w:rPr>
                <w:sz w:val="13"/>
                <w:szCs w:val="13"/>
                <w:color w:val="auto"/>
              </w:rPr>
            </w:pPr>
          </w:p>
        </w:tc>
        <w:tc>
          <w:tcPr>
            <w:tcW w:w="860" w:type="dxa"/>
            <w:vAlign w:val="bottom"/>
          </w:tcPr>
          <w:p>
            <w:pPr>
              <w:spacing w:after="0"/>
              <w:rPr>
                <w:sz w:val="13"/>
                <w:szCs w:val="13"/>
                <w:color w:val="auto"/>
              </w:rPr>
            </w:pPr>
          </w:p>
        </w:tc>
      </w:tr>
      <w:tr>
        <w:trPr>
          <w:trHeight w:val="143"/>
        </w:trPr>
        <w:tc>
          <w:tcPr>
            <w:tcW w:w="860" w:type="dxa"/>
            <w:vAlign w:val="bottom"/>
            <w:tcBorders>
              <w:right w:val="single" w:sz="8" w:color="E8EAEB"/>
            </w:tcBorders>
          </w:tcPr>
          <w:p>
            <w:pPr>
              <w:spacing w:after="0"/>
              <w:rPr>
                <w:sz w:val="12"/>
                <w:szCs w:val="12"/>
                <w:color w:val="auto"/>
              </w:rPr>
            </w:pPr>
          </w:p>
        </w:tc>
        <w:tc>
          <w:tcPr>
            <w:tcW w:w="102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Summary</w:t>
            </w:r>
          </w:p>
        </w:tc>
        <w:tc>
          <w:tcPr>
            <w:tcW w:w="1020" w:type="dxa"/>
            <w:vAlign w:val="bottom"/>
            <w:tcBorders>
              <w:right w:val="single" w:sz="8" w:color="E8EAEB"/>
            </w:tcBorders>
          </w:tcPr>
          <w:p>
            <w:pPr>
              <w:spacing w:after="0"/>
              <w:rPr>
                <w:sz w:val="12"/>
                <w:szCs w:val="12"/>
                <w:color w:val="auto"/>
              </w:rPr>
            </w:pPr>
          </w:p>
        </w:tc>
        <w:tc>
          <w:tcPr>
            <w:tcW w:w="104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Summary</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Compensation</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Average</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Average</w:t>
            </w:r>
          </w:p>
        </w:tc>
        <w:tc>
          <w:tcPr>
            <w:tcW w:w="92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spacing w:after="0"/>
              <w:rPr>
                <w:sz w:val="12"/>
                <w:szCs w:val="12"/>
                <w:color w:val="auto"/>
              </w:rPr>
            </w:pPr>
          </w:p>
        </w:tc>
        <w:tc>
          <w:tcPr>
            <w:tcW w:w="1020" w:type="dxa"/>
            <w:vAlign w:val="bottom"/>
            <w:tcBorders>
              <w:right w:val="single" w:sz="8" w:color="E8EAEB"/>
            </w:tcBorders>
          </w:tcPr>
          <w:p>
            <w:pPr>
              <w:spacing w:after="0"/>
              <w:rPr>
                <w:sz w:val="12"/>
                <w:szCs w:val="12"/>
                <w:color w:val="auto"/>
              </w:rPr>
            </w:pPr>
          </w:p>
        </w:tc>
        <w:tc>
          <w:tcPr>
            <w:tcW w:w="860" w:type="dxa"/>
            <w:vAlign w:val="bottom"/>
          </w:tcPr>
          <w:p>
            <w:pPr>
              <w:spacing w:after="0"/>
              <w:rPr>
                <w:sz w:val="12"/>
                <w:szCs w:val="12"/>
                <w:color w:val="auto"/>
              </w:rPr>
            </w:pPr>
          </w:p>
        </w:tc>
      </w:tr>
      <w:tr>
        <w:trPr>
          <w:trHeight w:val="131"/>
        </w:trPr>
        <w:tc>
          <w:tcPr>
            <w:tcW w:w="860" w:type="dxa"/>
            <w:vAlign w:val="bottom"/>
            <w:tcBorders>
              <w:right w:val="single" w:sz="8" w:color="E8EAEB"/>
            </w:tcBorders>
          </w:tcPr>
          <w:p>
            <w:pPr>
              <w:spacing w:after="0"/>
              <w:rPr>
                <w:sz w:val="11"/>
                <w:szCs w:val="11"/>
                <w:color w:val="auto"/>
              </w:rPr>
            </w:pPr>
          </w:p>
        </w:tc>
        <w:tc>
          <w:tcPr>
            <w:tcW w:w="102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Compensation</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Compensation</w:t>
            </w:r>
          </w:p>
        </w:tc>
        <w:tc>
          <w:tcPr>
            <w:tcW w:w="104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Compensation</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Actually Paid</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w w:val="99"/>
              </w:rPr>
              <w:t>Summary</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Compensation</w:t>
            </w:r>
          </w:p>
        </w:tc>
        <w:tc>
          <w:tcPr>
            <w:tcW w:w="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Peer Group</w:t>
            </w:r>
          </w:p>
        </w:tc>
        <w:tc>
          <w:tcPr>
            <w:tcW w:w="1020" w:type="dxa"/>
            <w:vAlign w:val="bottom"/>
            <w:tcBorders>
              <w:right w:val="single" w:sz="8" w:color="E8EAEB"/>
            </w:tcBorders>
          </w:tcPr>
          <w:p>
            <w:pPr>
              <w:spacing w:after="0"/>
              <w:rPr>
                <w:sz w:val="11"/>
                <w:szCs w:val="11"/>
                <w:color w:val="auto"/>
              </w:rPr>
            </w:pPr>
          </w:p>
        </w:tc>
        <w:tc>
          <w:tcPr>
            <w:tcW w:w="860" w:type="dxa"/>
            <w:vAlign w:val="bottom"/>
          </w:tcPr>
          <w:p>
            <w:pPr>
              <w:jc w:val="center"/>
              <w:ind w:right="1"/>
              <w:spacing w:after="0"/>
              <w:rPr>
                <w:sz w:val="20"/>
                <w:szCs w:val="20"/>
                <w:color w:val="auto"/>
              </w:rPr>
            </w:pPr>
            <w:r>
              <w:rPr>
                <w:rFonts w:ascii="Arial" w:cs="Arial" w:eastAsia="Arial" w:hAnsi="Arial"/>
                <w:sz w:val="11"/>
                <w:szCs w:val="11"/>
                <w:b w:val="1"/>
                <w:bCs w:val="1"/>
                <w:color w:val="009FE3"/>
              </w:rPr>
              <w:t>Adjusted</w:t>
            </w:r>
          </w:p>
        </w:tc>
      </w:tr>
      <w:tr>
        <w:trPr>
          <w:trHeight w:val="131"/>
        </w:trPr>
        <w:tc>
          <w:tcPr>
            <w:tcW w:w="860" w:type="dxa"/>
            <w:vAlign w:val="bottom"/>
            <w:tcBorders>
              <w:right w:val="single" w:sz="8" w:color="E8EAEB"/>
            </w:tcBorders>
          </w:tcPr>
          <w:p>
            <w:pPr>
              <w:spacing w:after="0"/>
              <w:rPr>
                <w:sz w:val="11"/>
                <w:szCs w:val="11"/>
                <w:color w:val="auto"/>
              </w:rPr>
            </w:pPr>
          </w:p>
        </w:tc>
        <w:tc>
          <w:tcPr>
            <w:tcW w:w="102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Table Total for</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Actually Paid</w:t>
            </w:r>
          </w:p>
        </w:tc>
        <w:tc>
          <w:tcPr>
            <w:tcW w:w="104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Table Total for</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to Second</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Compensation</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Actually Paid</w:t>
            </w:r>
          </w:p>
        </w:tc>
        <w:tc>
          <w:tcPr>
            <w:tcW w:w="9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Total</w:t>
            </w:r>
          </w:p>
        </w:tc>
        <w:tc>
          <w:tcPr>
            <w:tcW w:w="90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w w:val="98"/>
              </w:rPr>
              <w:t>Total</w:t>
            </w:r>
          </w:p>
        </w:tc>
        <w:tc>
          <w:tcPr>
            <w:tcW w:w="1020" w:type="dxa"/>
            <w:vAlign w:val="bottom"/>
            <w:tcBorders>
              <w:right w:val="single" w:sz="8" w:color="E8EAEB"/>
            </w:tcBorders>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009FE3"/>
              </w:rPr>
              <w:t>EBITDA</w:t>
            </w:r>
          </w:p>
        </w:tc>
      </w:tr>
      <w:tr>
        <w:trPr>
          <w:trHeight w:val="131"/>
        </w:trPr>
        <w:tc>
          <w:tcPr>
            <w:tcW w:w="860" w:type="dxa"/>
            <w:vAlign w:val="bottom"/>
            <w:tcBorders>
              <w:right w:val="single" w:sz="8" w:color="E8EAEB"/>
            </w:tcBorders>
          </w:tcPr>
          <w:p>
            <w:pPr>
              <w:spacing w:after="0"/>
              <w:rPr>
                <w:sz w:val="11"/>
                <w:szCs w:val="11"/>
                <w:color w:val="auto"/>
              </w:rPr>
            </w:pPr>
          </w:p>
        </w:tc>
        <w:tc>
          <w:tcPr>
            <w:tcW w:w="102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First PEO</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to First PEO</w:t>
            </w:r>
          </w:p>
        </w:tc>
        <w:tc>
          <w:tcPr>
            <w:tcW w:w="104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Second PEO</w:t>
            </w:r>
          </w:p>
        </w:tc>
        <w:tc>
          <w:tcPr>
            <w:tcW w:w="102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PEO</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w w:val="99"/>
              </w:rPr>
              <w:t>Table Total</w:t>
            </w:r>
          </w:p>
        </w:tc>
        <w:tc>
          <w:tcPr>
            <w:tcW w:w="104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to Non-PEO</w:t>
            </w:r>
          </w:p>
        </w:tc>
        <w:tc>
          <w:tcPr>
            <w:tcW w:w="9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Shareholder</w:t>
            </w:r>
          </w:p>
        </w:tc>
        <w:tc>
          <w:tcPr>
            <w:tcW w:w="90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Shareholder</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Net Income</w:t>
            </w:r>
          </w:p>
        </w:tc>
        <w:tc>
          <w:tcPr>
            <w:tcW w:w="860" w:type="dxa"/>
            <w:vAlign w:val="bottom"/>
          </w:tcPr>
          <w:p>
            <w:pPr>
              <w:jc w:val="center"/>
              <w:ind w:right="1"/>
              <w:spacing w:after="0"/>
              <w:rPr>
                <w:sz w:val="20"/>
                <w:szCs w:val="20"/>
                <w:color w:val="auto"/>
              </w:rPr>
            </w:pPr>
            <w:r>
              <w:rPr>
                <w:rFonts w:ascii="Arial" w:cs="Arial" w:eastAsia="Arial" w:hAnsi="Arial"/>
                <w:sz w:val="11"/>
                <w:szCs w:val="11"/>
                <w:b w:val="1"/>
                <w:bCs w:val="1"/>
                <w:color w:val="009FE3"/>
              </w:rPr>
              <w:t>($) (in</w:t>
            </w:r>
          </w:p>
        </w:tc>
      </w:tr>
      <w:tr>
        <w:trPr>
          <w:trHeight w:val="131"/>
        </w:trPr>
        <w:tc>
          <w:tcPr>
            <w:tcW w:w="860" w:type="dxa"/>
            <w:vAlign w:val="bottom"/>
            <w:tcBorders>
              <w:right w:val="single" w:sz="8" w:color="E8EAEB"/>
            </w:tcBorders>
          </w:tcPr>
          <w:p>
            <w:pPr>
              <w:jc w:val="center"/>
              <w:ind w:right="421"/>
              <w:spacing w:after="0"/>
              <w:rPr>
                <w:sz w:val="20"/>
                <w:szCs w:val="20"/>
                <w:color w:val="auto"/>
              </w:rPr>
            </w:pPr>
            <w:r>
              <w:rPr>
                <w:rFonts w:ascii="Arial" w:cs="Arial" w:eastAsia="Arial" w:hAnsi="Arial"/>
                <w:sz w:val="11"/>
                <w:szCs w:val="11"/>
                <w:b w:val="1"/>
                <w:bCs w:val="1"/>
                <w:color w:val="009FE3"/>
                <w:w w:val="93"/>
              </w:rPr>
              <w:t>   Fiscal</w:t>
            </w:r>
          </w:p>
        </w:tc>
        <w:tc>
          <w:tcPr>
            <w:tcW w:w="102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(Mr. Dankberg)</w:t>
            </w:r>
          </w:p>
        </w:tc>
        <w:tc>
          <w:tcPr>
            <w:tcW w:w="1020" w:type="dxa"/>
            <w:vAlign w:val="bottom"/>
            <w:tcBorders>
              <w:right w:val="single" w:sz="8" w:color="E8EAEB"/>
            </w:tcBorders>
          </w:tcPr>
          <w:p>
            <w:pPr>
              <w:jc w:val="center"/>
              <w:ind w:right="41"/>
              <w:spacing w:after="0"/>
              <w:rPr>
                <w:sz w:val="20"/>
                <w:szCs w:val="20"/>
                <w:color w:val="auto"/>
              </w:rPr>
            </w:pPr>
            <w:r>
              <w:rPr>
                <w:rFonts w:ascii="Arial" w:cs="Arial" w:eastAsia="Arial" w:hAnsi="Arial"/>
                <w:sz w:val="11"/>
                <w:szCs w:val="11"/>
                <w:b w:val="1"/>
                <w:bCs w:val="1"/>
                <w:color w:val="009FE3"/>
              </w:rPr>
              <w:t>(Mr. Dankberg)</w:t>
            </w:r>
          </w:p>
        </w:tc>
        <w:tc>
          <w:tcPr>
            <w:tcW w:w="104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(Mr. Baldridge)</w:t>
            </w:r>
          </w:p>
        </w:tc>
        <w:tc>
          <w:tcPr>
            <w:tcW w:w="10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(Mr. Baldridge)</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for Non-PEO</w:t>
            </w:r>
          </w:p>
        </w:tc>
        <w:tc>
          <w:tcPr>
            <w:tcW w:w="104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w w:val="99"/>
              </w:rPr>
              <w:t>NEOs</w:t>
            </w:r>
          </w:p>
        </w:tc>
        <w:tc>
          <w:tcPr>
            <w:tcW w:w="92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Return</w:t>
            </w:r>
          </w:p>
        </w:tc>
        <w:tc>
          <w:tcPr>
            <w:tcW w:w="900" w:type="dxa"/>
            <w:vAlign w:val="bottom"/>
            <w:tcBorders>
              <w:right w:val="single" w:sz="8" w:color="E8EAEB"/>
            </w:tcBorders>
          </w:tcPr>
          <w:p>
            <w:pPr>
              <w:jc w:val="center"/>
              <w:ind w:right="21"/>
              <w:spacing w:after="0"/>
              <w:rPr>
                <w:sz w:val="20"/>
                <w:szCs w:val="20"/>
                <w:color w:val="auto"/>
              </w:rPr>
            </w:pPr>
            <w:r>
              <w:rPr>
                <w:rFonts w:ascii="Arial" w:cs="Arial" w:eastAsia="Arial" w:hAnsi="Arial"/>
                <w:sz w:val="11"/>
                <w:szCs w:val="11"/>
                <w:b w:val="1"/>
                <w:bCs w:val="1"/>
                <w:color w:val="009FE3"/>
              </w:rPr>
              <w:t>Return</w:t>
            </w:r>
          </w:p>
        </w:tc>
        <w:tc>
          <w:tcPr>
            <w:tcW w:w="1020" w:type="dxa"/>
            <w:vAlign w:val="bottom"/>
            <w:tcBorders>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(Loss) ($) (in</w:t>
            </w:r>
          </w:p>
        </w:tc>
        <w:tc>
          <w:tcPr>
            <w:tcW w:w="860" w:type="dxa"/>
            <w:vAlign w:val="bottom"/>
          </w:tcPr>
          <w:p>
            <w:pPr>
              <w:jc w:val="center"/>
              <w:ind w:right="1"/>
              <w:spacing w:after="0"/>
              <w:rPr>
                <w:sz w:val="20"/>
                <w:szCs w:val="20"/>
                <w:color w:val="auto"/>
              </w:rPr>
            </w:pPr>
            <w:r>
              <w:rPr>
                <w:rFonts w:ascii="Arial" w:cs="Arial" w:eastAsia="Arial" w:hAnsi="Arial"/>
                <w:sz w:val="11"/>
                <w:szCs w:val="11"/>
                <w:b w:val="1"/>
                <w:bCs w:val="1"/>
                <w:color w:val="009FE3"/>
              </w:rPr>
              <w:t>thousands)</w:t>
            </w:r>
          </w:p>
        </w:tc>
      </w:tr>
      <w:tr>
        <w:trPr>
          <w:trHeight w:val="152"/>
        </w:trPr>
        <w:tc>
          <w:tcPr>
            <w:tcW w:w="860" w:type="dxa"/>
            <w:vAlign w:val="bottom"/>
            <w:tcBorders>
              <w:bottom w:val="single" w:sz="8" w:color="009FE3"/>
              <w:right w:val="single" w:sz="8" w:color="E8EAEB"/>
            </w:tcBorders>
          </w:tcPr>
          <w:p>
            <w:pPr>
              <w:spacing w:after="0"/>
              <w:rPr>
                <w:sz w:val="20"/>
                <w:szCs w:val="20"/>
                <w:color w:val="auto"/>
              </w:rPr>
            </w:pPr>
            <w:r>
              <w:rPr>
                <w:rFonts w:ascii="Arial" w:cs="Arial" w:eastAsia="Arial" w:hAnsi="Arial"/>
                <w:sz w:val="11"/>
                <w:szCs w:val="11"/>
                <w:b w:val="1"/>
                <w:bCs w:val="1"/>
                <w:color w:val="009FE3"/>
              </w:rPr>
              <w:t>   Year</w:t>
            </w:r>
          </w:p>
        </w:tc>
        <w:tc>
          <w:tcPr>
            <w:tcW w:w="1020" w:type="dxa"/>
            <w:vAlign w:val="bottom"/>
            <w:tcBorders>
              <w:bottom w:val="single" w:sz="8" w:color="009FE3"/>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 xml:space="preserve">($) </w:t>
            </w:r>
          </w:p>
        </w:tc>
        <w:tc>
          <w:tcPr>
            <w:tcW w:w="1020" w:type="dxa"/>
            <w:vAlign w:val="bottom"/>
            <w:tcBorders>
              <w:bottom w:val="single" w:sz="8" w:color="009FE3"/>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 xml:space="preserve">($) (1)(2) </w:t>
            </w:r>
          </w:p>
        </w:tc>
        <w:tc>
          <w:tcPr>
            <w:tcW w:w="1040" w:type="dxa"/>
            <w:vAlign w:val="bottom"/>
            <w:tcBorders>
              <w:bottom w:val="single" w:sz="8" w:color="009FE3"/>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 xml:space="preserve">($) </w:t>
            </w:r>
          </w:p>
        </w:tc>
        <w:tc>
          <w:tcPr>
            <w:tcW w:w="1020" w:type="dxa"/>
            <w:vAlign w:val="bottom"/>
            <w:tcBorders>
              <w:bottom w:val="single" w:sz="8" w:color="009FE3"/>
              <w:right w:val="single" w:sz="8" w:color="E8EAEB"/>
            </w:tcBorders>
          </w:tcPr>
          <w:p>
            <w:pPr>
              <w:jc w:val="center"/>
              <w:ind w:right="1"/>
              <w:spacing w:after="0"/>
              <w:rPr>
                <w:sz w:val="20"/>
                <w:szCs w:val="20"/>
                <w:color w:val="auto"/>
              </w:rPr>
            </w:pPr>
            <w:r>
              <w:rPr>
                <w:rFonts w:ascii="Arial" w:cs="Arial" w:eastAsia="Arial" w:hAnsi="Arial"/>
                <w:sz w:val="11"/>
                <w:szCs w:val="11"/>
                <w:b w:val="1"/>
                <w:bCs w:val="1"/>
                <w:color w:val="009FE3"/>
              </w:rPr>
              <w:t xml:space="preserve">($) (1)(2) </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 xml:space="preserve">NEOs ($) </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 xml:space="preserve">($) (1)(2) </w:t>
            </w:r>
          </w:p>
        </w:tc>
        <w:tc>
          <w:tcPr>
            <w:tcW w:w="9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 xml:space="preserve">($) </w:t>
            </w:r>
          </w:p>
        </w:tc>
        <w:tc>
          <w:tcPr>
            <w:tcW w:w="9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 xml:space="preserve">($) (3) </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 xml:space="preserve">thousands) (4) </w:t>
            </w:r>
          </w:p>
        </w:tc>
        <w:tc>
          <w:tcPr>
            <w:tcW w:w="860" w:type="dxa"/>
            <w:vAlign w:val="bottom"/>
            <w:tcBorders>
              <w:bottom w:val="single" w:sz="8" w:color="009FE3"/>
            </w:tcBorders>
          </w:tcPr>
          <w:p>
            <w:pPr>
              <w:jc w:val="center"/>
              <w:ind w:right="1"/>
              <w:spacing w:after="0"/>
              <w:rPr>
                <w:sz w:val="20"/>
                <w:szCs w:val="20"/>
                <w:color w:val="auto"/>
              </w:rPr>
            </w:pPr>
            <w:r>
              <w:rPr>
                <w:rFonts w:ascii="Arial" w:cs="Arial" w:eastAsia="Arial" w:hAnsi="Arial"/>
                <w:sz w:val="11"/>
                <w:szCs w:val="11"/>
                <w:b w:val="1"/>
                <w:bCs w:val="1"/>
                <w:color w:val="009FE3"/>
              </w:rPr>
              <w:t>(5)(6)</w:t>
            </w:r>
          </w:p>
        </w:tc>
      </w:tr>
      <w:tr>
        <w:trPr>
          <w:trHeight w:val="183"/>
        </w:trPr>
        <w:tc>
          <w:tcPr>
            <w:tcW w:w="860" w:type="dxa"/>
            <w:vAlign w:val="bottom"/>
            <w:tcBorders>
              <w:bottom w:val="single" w:sz="8" w:color="E8EAEB"/>
              <w:right w:val="single" w:sz="8" w:color="E8EAEB"/>
            </w:tcBorders>
          </w:tcPr>
          <w:p>
            <w:pPr>
              <w:jc w:val="center"/>
              <w:ind w:right="381"/>
              <w:spacing w:after="0"/>
              <w:rPr>
                <w:sz w:val="20"/>
                <w:szCs w:val="20"/>
                <w:color w:val="auto"/>
              </w:rPr>
            </w:pPr>
            <w:r>
              <w:rPr>
                <w:rFonts w:ascii="Arial" w:cs="Arial" w:eastAsia="Arial" w:hAnsi="Arial"/>
                <w:sz w:val="12"/>
                <w:szCs w:val="12"/>
                <w:color w:val="202E39"/>
                <w:w w:val="97"/>
              </w:rPr>
              <w:t>2024</w:t>
            </w:r>
          </w:p>
        </w:tc>
        <w:tc>
          <w:tcPr>
            <w:tcW w:w="102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8,960,679 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 xml:space="preserve">(1,818,672) </w:t>
            </w:r>
          </w:p>
        </w:tc>
        <w:tc>
          <w:tcPr>
            <w:tcW w:w="104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N/A 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N/A  </w:t>
            </w:r>
          </w:p>
        </w:tc>
        <w:tc>
          <w:tcPr>
            <w:tcW w:w="104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6,586,506 </w:t>
            </w:r>
          </w:p>
        </w:tc>
        <w:tc>
          <w:tcPr>
            <w:tcW w:w="104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2,940,276 </w:t>
            </w:r>
          </w:p>
        </w:tc>
        <w:tc>
          <w:tcPr>
            <w:tcW w:w="9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50.36 </w:t>
            </w:r>
          </w:p>
        </w:tc>
        <w:tc>
          <w:tcPr>
            <w:tcW w:w="90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116.91 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 xml:space="preserve">(1,068,904) </w:t>
            </w:r>
          </w:p>
        </w:tc>
        <w:tc>
          <w:tcPr>
            <w:tcW w:w="860" w:type="dxa"/>
            <w:vAlign w:val="bottom"/>
            <w:tcBorders>
              <w:bottom w:val="single" w:sz="8" w:color="E8EAEB"/>
            </w:tcBorders>
          </w:tcPr>
          <w:p>
            <w:pPr>
              <w:jc w:val="right"/>
              <w:ind w:right="81"/>
              <w:spacing w:after="0"/>
              <w:rPr>
                <w:sz w:val="20"/>
                <w:szCs w:val="20"/>
                <w:color w:val="auto"/>
              </w:rPr>
            </w:pPr>
            <w:r>
              <w:rPr>
                <w:rFonts w:ascii="Arial" w:cs="Arial" w:eastAsia="Arial" w:hAnsi="Arial"/>
                <w:sz w:val="12"/>
                <w:szCs w:val="12"/>
                <w:color w:val="202E39"/>
              </w:rPr>
              <w:t>1,410,414</w:t>
            </w:r>
          </w:p>
        </w:tc>
      </w:tr>
      <w:tr>
        <w:trPr>
          <w:trHeight w:val="190"/>
        </w:trPr>
        <w:tc>
          <w:tcPr>
            <w:tcW w:w="860" w:type="dxa"/>
            <w:vAlign w:val="bottom"/>
            <w:tcBorders>
              <w:bottom w:val="single" w:sz="8" w:color="E8EAEB"/>
              <w:right w:val="single" w:sz="8" w:color="E8EAEB"/>
            </w:tcBorders>
          </w:tcPr>
          <w:p>
            <w:pPr>
              <w:jc w:val="center"/>
              <w:ind w:right="381"/>
              <w:spacing w:after="0"/>
              <w:rPr>
                <w:sz w:val="20"/>
                <w:szCs w:val="20"/>
                <w:color w:val="auto"/>
              </w:rPr>
            </w:pPr>
            <w:r>
              <w:rPr>
                <w:rFonts w:ascii="Arial" w:cs="Arial" w:eastAsia="Arial" w:hAnsi="Arial"/>
                <w:sz w:val="12"/>
                <w:szCs w:val="12"/>
                <w:color w:val="202E39"/>
                <w:w w:val="97"/>
              </w:rPr>
              <w:t>2023</w:t>
            </w:r>
          </w:p>
        </w:tc>
        <w:tc>
          <w:tcPr>
            <w:tcW w:w="102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6,996,915 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 xml:space="preserve">(2,285,665) </w:t>
            </w:r>
          </w:p>
        </w:tc>
        <w:tc>
          <w:tcPr>
            <w:tcW w:w="104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4,854,625 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 xml:space="preserve">(4,154,098) </w:t>
            </w:r>
          </w:p>
        </w:tc>
        <w:tc>
          <w:tcPr>
            <w:tcW w:w="104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2,211,338 </w:t>
            </w:r>
          </w:p>
        </w:tc>
        <w:tc>
          <w:tcPr>
            <w:tcW w:w="104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312,927 </w:t>
            </w:r>
          </w:p>
        </w:tc>
        <w:tc>
          <w:tcPr>
            <w:tcW w:w="9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94.21 </w:t>
            </w:r>
          </w:p>
        </w:tc>
        <w:tc>
          <w:tcPr>
            <w:tcW w:w="90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115.70 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1,084,806  </w:t>
            </w:r>
          </w:p>
        </w:tc>
        <w:tc>
          <w:tcPr>
            <w:tcW w:w="860" w:type="dxa"/>
            <w:vAlign w:val="bottom"/>
            <w:tcBorders>
              <w:bottom w:val="single" w:sz="8" w:color="E8EAEB"/>
            </w:tcBorders>
          </w:tcPr>
          <w:p>
            <w:pPr>
              <w:jc w:val="right"/>
              <w:ind w:right="81"/>
              <w:spacing w:after="0"/>
              <w:rPr>
                <w:sz w:val="20"/>
                <w:szCs w:val="20"/>
                <w:color w:val="auto"/>
              </w:rPr>
            </w:pPr>
            <w:r>
              <w:rPr>
                <w:rFonts w:ascii="Arial" w:cs="Arial" w:eastAsia="Arial" w:hAnsi="Arial"/>
                <w:sz w:val="12"/>
                <w:szCs w:val="12"/>
                <w:color w:val="202E39"/>
              </w:rPr>
              <w:t>583,170</w:t>
            </w:r>
          </w:p>
        </w:tc>
      </w:tr>
      <w:tr>
        <w:trPr>
          <w:trHeight w:val="190"/>
        </w:trPr>
        <w:tc>
          <w:tcPr>
            <w:tcW w:w="860" w:type="dxa"/>
            <w:vAlign w:val="bottom"/>
            <w:tcBorders>
              <w:bottom w:val="single" w:sz="8" w:color="E8EAEB"/>
              <w:right w:val="single" w:sz="8" w:color="E8EAEB"/>
            </w:tcBorders>
          </w:tcPr>
          <w:p>
            <w:pPr>
              <w:jc w:val="center"/>
              <w:ind w:right="381"/>
              <w:spacing w:after="0"/>
              <w:rPr>
                <w:sz w:val="20"/>
                <w:szCs w:val="20"/>
                <w:color w:val="auto"/>
              </w:rPr>
            </w:pPr>
            <w:r>
              <w:rPr>
                <w:rFonts w:ascii="Arial" w:cs="Arial" w:eastAsia="Arial" w:hAnsi="Arial"/>
                <w:sz w:val="12"/>
                <w:szCs w:val="12"/>
                <w:color w:val="202E39"/>
                <w:w w:val="97"/>
              </w:rPr>
              <w:t>2022</w:t>
            </w:r>
          </w:p>
        </w:tc>
        <w:tc>
          <w:tcPr>
            <w:tcW w:w="102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N/A 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N/A  </w:t>
            </w:r>
          </w:p>
        </w:tc>
        <w:tc>
          <w:tcPr>
            <w:tcW w:w="104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12,236,750 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9,561,302  </w:t>
            </w:r>
          </w:p>
        </w:tc>
        <w:tc>
          <w:tcPr>
            <w:tcW w:w="104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5,514,686 </w:t>
            </w:r>
          </w:p>
        </w:tc>
        <w:tc>
          <w:tcPr>
            <w:tcW w:w="104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4,238,353 </w:t>
            </w:r>
          </w:p>
        </w:tc>
        <w:tc>
          <w:tcPr>
            <w:tcW w:w="9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135.86 </w:t>
            </w:r>
          </w:p>
        </w:tc>
        <w:tc>
          <w:tcPr>
            <w:tcW w:w="900" w:type="dxa"/>
            <w:vAlign w:val="bottom"/>
            <w:tcBorders>
              <w:bottom w:val="single" w:sz="8" w:color="E8EAEB"/>
              <w:right w:val="single" w:sz="8" w:color="E8EAEB"/>
            </w:tcBorders>
          </w:tcPr>
          <w:p>
            <w:pPr>
              <w:jc w:val="right"/>
              <w:ind w:right="61"/>
              <w:spacing w:after="0"/>
              <w:rPr>
                <w:sz w:val="20"/>
                <w:szCs w:val="20"/>
                <w:color w:val="auto"/>
              </w:rPr>
            </w:pPr>
            <w:r>
              <w:rPr>
                <w:rFonts w:ascii="Arial" w:cs="Arial" w:eastAsia="Arial" w:hAnsi="Arial"/>
                <w:sz w:val="12"/>
                <w:szCs w:val="12"/>
                <w:color w:val="202E39"/>
              </w:rPr>
              <w:t>131.72 </w:t>
            </w:r>
          </w:p>
        </w:tc>
        <w:tc>
          <w:tcPr>
            <w:tcW w:w="1020" w:type="dxa"/>
            <w:vAlign w:val="bottom"/>
            <w:tcBorders>
              <w:bottom w:val="single" w:sz="8" w:color="E8EAEB"/>
              <w:right w:val="single" w:sz="8" w:color="E8EAEB"/>
            </w:tcBorders>
          </w:tcPr>
          <w:p>
            <w:pPr>
              <w:jc w:val="right"/>
              <w:ind w:right="81"/>
              <w:spacing w:after="0"/>
              <w:rPr>
                <w:sz w:val="20"/>
                <w:szCs w:val="20"/>
                <w:color w:val="auto"/>
              </w:rPr>
            </w:pPr>
            <w:r>
              <w:rPr>
                <w:rFonts w:ascii="Arial" w:cs="Arial" w:eastAsia="Arial" w:hAnsi="Arial"/>
                <w:sz w:val="12"/>
                <w:szCs w:val="12"/>
                <w:color w:val="202E39"/>
              </w:rPr>
              <w:t xml:space="preserve">(15,534) </w:t>
            </w:r>
          </w:p>
        </w:tc>
        <w:tc>
          <w:tcPr>
            <w:tcW w:w="860" w:type="dxa"/>
            <w:vAlign w:val="bottom"/>
            <w:tcBorders>
              <w:bottom w:val="single" w:sz="8" w:color="E8EAEB"/>
            </w:tcBorders>
          </w:tcPr>
          <w:p>
            <w:pPr>
              <w:jc w:val="right"/>
              <w:ind w:right="81"/>
              <w:spacing w:after="0"/>
              <w:rPr>
                <w:sz w:val="20"/>
                <w:szCs w:val="20"/>
                <w:color w:val="auto"/>
              </w:rPr>
            </w:pPr>
            <w:r>
              <w:rPr>
                <w:rFonts w:ascii="Arial" w:cs="Arial" w:eastAsia="Arial" w:hAnsi="Arial"/>
                <w:sz w:val="12"/>
                <w:szCs w:val="12"/>
                <w:color w:val="202E39"/>
              </w:rPr>
              <w:t>611,218</w:t>
            </w:r>
          </w:p>
        </w:tc>
      </w:tr>
      <w:tr>
        <w:trPr>
          <w:trHeight w:val="190"/>
        </w:trPr>
        <w:tc>
          <w:tcPr>
            <w:tcW w:w="860" w:type="dxa"/>
            <w:vAlign w:val="bottom"/>
            <w:tcBorders>
              <w:bottom w:val="single" w:sz="8" w:color="009FE3"/>
              <w:right w:val="single" w:sz="8" w:color="E8EAEB"/>
            </w:tcBorders>
          </w:tcPr>
          <w:p>
            <w:pPr>
              <w:jc w:val="center"/>
              <w:ind w:right="381"/>
              <w:spacing w:after="0"/>
              <w:rPr>
                <w:sz w:val="20"/>
                <w:szCs w:val="20"/>
                <w:color w:val="auto"/>
              </w:rPr>
            </w:pPr>
            <w:r>
              <w:rPr>
                <w:rFonts w:ascii="Arial" w:cs="Arial" w:eastAsia="Arial" w:hAnsi="Arial"/>
                <w:sz w:val="12"/>
                <w:szCs w:val="12"/>
                <w:color w:val="202E39"/>
                <w:w w:val="97"/>
              </w:rPr>
              <w:t>2021</w:t>
            </w:r>
          </w:p>
        </w:tc>
        <w:tc>
          <w:tcPr>
            <w:tcW w:w="1020" w:type="dxa"/>
            <w:vAlign w:val="bottom"/>
            <w:tcBorders>
              <w:bottom w:val="single" w:sz="8" w:color="009FE3"/>
              <w:right w:val="single" w:sz="8" w:color="E8EAEB"/>
            </w:tcBorders>
          </w:tcPr>
          <w:p>
            <w:pPr>
              <w:jc w:val="right"/>
              <w:ind w:right="61"/>
              <w:spacing w:after="0"/>
              <w:rPr>
                <w:sz w:val="20"/>
                <w:szCs w:val="20"/>
                <w:color w:val="auto"/>
              </w:rPr>
            </w:pPr>
            <w:r>
              <w:rPr>
                <w:rFonts w:ascii="Arial" w:cs="Arial" w:eastAsia="Arial" w:hAnsi="Arial"/>
                <w:sz w:val="12"/>
                <w:szCs w:val="12"/>
                <w:color w:val="202E39"/>
              </w:rPr>
              <w:t>9,359,823 </w:t>
            </w:r>
          </w:p>
        </w:tc>
        <w:tc>
          <w:tcPr>
            <w:tcW w:w="102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2"/>
                <w:szCs w:val="12"/>
                <w:color w:val="202E39"/>
              </w:rPr>
              <w:t>14,176,753  </w:t>
            </w:r>
          </w:p>
        </w:tc>
        <w:tc>
          <w:tcPr>
            <w:tcW w:w="104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2"/>
                <w:szCs w:val="12"/>
                <w:color w:val="202E39"/>
              </w:rPr>
              <w:t>9,227,089 </w:t>
            </w:r>
          </w:p>
        </w:tc>
        <w:tc>
          <w:tcPr>
            <w:tcW w:w="102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2"/>
                <w:szCs w:val="12"/>
                <w:color w:val="202E39"/>
              </w:rPr>
              <w:t>13,768,258  </w:t>
            </w:r>
          </w:p>
        </w:tc>
        <w:tc>
          <w:tcPr>
            <w:tcW w:w="1040" w:type="dxa"/>
            <w:vAlign w:val="bottom"/>
            <w:tcBorders>
              <w:bottom w:val="single" w:sz="8" w:color="009FE3"/>
              <w:right w:val="single" w:sz="8" w:color="E8EAEB"/>
            </w:tcBorders>
          </w:tcPr>
          <w:p>
            <w:pPr>
              <w:jc w:val="right"/>
              <w:ind w:right="61"/>
              <w:spacing w:after="0"/>
              <w:rPr>
                <w:sz w:val="20"/>
                <w:szCs w:val="20"/>
                <w:color w:val="auto"/>
              </w:rPr>
            </w:pPr>
            <w:r>
              <w:rPr>
                <w:rFonts w:ascii="Arial" w:cs="Arial" w:eastAsia="Arial" w:hAnsi="Arial"/>
                <w:sz w:val="12"/>
                <w:szCs w:val="12"/>
                <w:color w:val="202E39"/>
              </w:rPr>
              <w:t>3,176,279 </w:t>
            </w:r>
          </w:p>
        </w:tc>
        <w:tc>
          <w:tcPr>
            <w:tcW w:w="1040" w:type="dxa"/>
            <w:vAlign w:val="bottom"/>
            <w:tcBorders>
              <w:bottom w:val="single" w:sz="8" w:color="009FE3"/>
              <w:right w:val="single" w:sz="8" w:color="E8EAEB"/>
            </w:tcBorders>
          </w:tcPr>
          <w:p>
            <w:pPr>
              <w:jc w:val="right"/>
              <w:ind w:right="61"/>
              <w:spacing w:after="0"/>
              <w:rPr>
                <w:sz w:val="20"/>
                <w:szCs w:val="20"/>
                <w:color w:val="auto"/>
              </w:rPr>
            </w:pPr>
            <w:r>
              <w:rPr>
                <w:rFonts w:ascii="Arial" w:cs="Arial" w:eastAsia="Arial" w:hAnsi="Arial"/>
                <w:sz w:val="12"/>
                <w:szCs w:val="12"/>
                <w:color w:val="202E39"/>
              </w:rPr>
              <w:t>4,478,427 </w:t>
            </w:r>
          </w:p>
        </w:tc>
        <w:tc>
          <w:tcPr>
            <w:tcW w:w="92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2"/>
                <w:szCs w:val="12"/>
                <w:color w:val="202E39"/>
              </w:rPr>
              <w:t>133.83 </w:t>
            </w:r>
          </w:p>
        </w:tc>
        <w:tc>
          <w:tcPr>
            <w:tcW w:w="900" w:type="dxa"/>
            <w:vAlign w:val="bottom"/>
            <w:tcBorders>
              <w:bottom w:val="single" w:sz="8" w:color="009FE3"/>
              <w:right w:val="single" w:sz="8" w:color="E8EAEB"/>
            </w:tcBorders>
          </w:tcPr>
          <w:p>
            <w:pPr>
              <w:jc w:val="right"/>
              <w:ind w:right="61"/>
              <w:spacing w:after="0"/>
              <w:rPr>
                <w:sz w:val="20"/>
                <w:szCs w:val="20"/>
                <w:color w:val="auto"/>
              </w:rPr>
            </w:pPr>
            <w:r>
              <w:rPr>
                <w:rFonts w:ascii="Arial" w:cs="Arial" w:eastAsia="Arial" w:hAnsi="Arial"/>
                <w:sz w:val="12"/>
                <w:szCs w:val="12"/>
                <w:color w:val="202E39"/>
              </w:rPr>
              <w:t>141.13 </w:t>
            </w:r>
          </w:p>
        </w:tc>
        <w:tc>
          <w:tcPr>
            <w:tcW w:w="102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2"/>
                <w:szCs w:val="12"/>
                <w:color w:val="202E39"/>
              </w:rPr>
              <w:t>3,691  </w:t>
            </w:r>
          </w:p>
        </w:tc>
        <w:tc>
          <w:tcPr>
            <w:tcW w:w="860" w:type="dxa"/>
            <w:vAlign w:val="bottom"/>
            <w:tcBorders>
              <w:bottom w:val="single" w:sz="8" w:color="009FE3"/>
            </w:tcBorders>
          </w:tcPr>
          <w:p>
            <w:pPr>
              <w:jc w:val="right"/>
              <w:ind w:right="81"/>
              <w:spacing w:after="0"/>
              <w:rPr>
                <w:sz w:val="20"/>
                <w:szCs w:val="20"/>
                <w:color w:val="auto"/>
              </w:rPr>
            </w:pPr>
            <w:r>
              <w:rPr>
                <w:rFonts w:ascii="Arial" w:cs="Arial" w:eastAsia="Arial" w:hAnsi="Arial"/>
                <w:sz w:val="12"/>
                <w:szCs w:val="12"/>
                <w:color w:val="202E39"/>
              </w:rPr>
              <w:t>530,688</w:t>
            </w:r>
          </w:p>
        </w:tc>
      </w:tr>
    </w:tbl>
    <w:p>
      <w:pPr>
        <w:spacing w:after="0" w:line="109" w:lineRule="exact"/>
        <w:rPr>
          <w:sz w:val="20"/>
          <w:szCs w:val="20"/>
          <w:color w:val="auto"/>
        </w:rPr>
      </w:pPr>
    </w:p>
    <w:p>
      <w:pPr>
        <w:ind w:left="680" w:right="400" w:hanging="419"/>
        <w:spacing w:after="0" w:line="270" w:lineRule="auto"/>
        <w:tabs>
          <w:tab w:leader="none" w:pos="680" w:val="left"/>
        </w:tabs>
        <w:numPr>
          <w:ilvl w:val="0"/>
          <w:numId w:val="60"/>
        </w:numPr>
        <w:rPr>
          <w:rFonts w:ascii="Arial" w:cs="Arial" w:eastAsia="Arial" w:hAnsi="Arial"/>
          <w:sz w:val="14"/>
          <w:szCs w:val="14"/>
          <w:color w:val="202E39"/>
        </w:rPr>
      </w:pPr>
      <w:r>
        <w:rPr>
          <w:rFonts w:ascii="Arial" w:cs="Arial" w:eastAsia="Arial" w:hAnsi="Arial"/>
          <w:sz w:val="14"/>
          <w:szCs w:val="14"/>
          <w:color w:val="202E39"/>
        </w:rPr>
        <w:t>Amounts represent compensation actually paid to our PEO(s) and the average compensation actually paid to our remaining NEOs for the relevant fiscal year, as determined under SEC rules (and described below), which includes the individuals indicated in the table below for each fiscal year:</w:t>
      </w:r>
    </w:p>
    <w:p>
      <w:pPr>
        <w:spacing w:after="0" w:line="179" w:lineRule="exact"/>
        <w:rPr>
          <w:sz w:val="20"/>
          <w:szCs w:val="20"/>
          <w:color w:val="auto"/>
        </w:rPr>
      </w:pPr>
    </w:p>
    <w:tbl>
      <w:tblPr>
        <w:tblLayout w:type="fixed"/>
        <w:tblInd w:w="700" w:type="dxa"/>
        <w:tblCellMar>
          <w:top w:w="0" w:type="dxa"/>
          <w:left w:w="0" w:type="dxa"/>
          <w:bottom w:w="0" w:type="dxa"/>
          <w:right w:w="0" w:type="dxa"/>
        </w:tblCellMar>
      </w:tblPr>
      <w:tr>
        <w:trPr>
          <w:trHeight w:val="197"/>
        </w:trPr>
        <w:tc>
          <w:tcPr>
            <w:tcW w:w="238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1"/>
                <w:szCs w:val="11"/>
                <w:b w:val="1"/>
                <w:bCs w:val="1"/>
                <w:color w:val="009FE3"/>
              </w:rPr>
              <w:t>Fiscal Year</w:t>
            </w:r>
          </w:p>
        </w:tc>
        <w:tc>
          <w:tcPr>
            <w:tcW w:w="2680" w:type="dxa"/>
            <w:vAlign w:val="bottom"/>
            <w:tcBorders>
              <w:top w:val="single" w:sz="8" w:color="E8EAEB"/>
              <w:bottom w:val="single" w:sz="8" w:color="009FE3"/>
              <w:right w:val="single" w:sz="8" w:color="E8EAEB"/>
            </w:tcBorders>
          </w:tcPr>
          <w:p>
            <w:pPr>
              <w:ind w:left="1100"/>
              <w:spacing w:after="0"/>
              <w:rPr>
                <w:sz w:val="20"/>
                <w:szCs w:val="20"/>
                <w:color w:val="auto"/>
              </w:rPr>
            </w:pPr>
            <w:r>
              <w:rPr>
                <w:rFonts w:ascii="Arial" w:cs="Arial" w:eastAsia="Arial" w:hAnsi="Arial"/>
                <w:sz w:val="11"/>
                <w:szCs w:val="11"/>
                <w:b w:val="1"/>
                <w:bCs w:val="1"/>
                <w:color w:val="009FE3"/>
              </w:rPr>
              <w:t>First PEO</w:t>
            </w:r>
          </w:p>
        </w:tc>
        <w:tc>
          <w:tcPr>
            <w:tcW w:w="2680" w:type="dxa"/>
            <w:vAlign w:val="bottom"/>
            <w:tcBorders>
              <w:top w:val="single" w:sz="8" w:color="E8EAEB"/>
              <w:bottom w:val="single" w:sz="8" w:color="009FE3"/>
              <w:right w:val="single" w:sz="8" w:color="E8EAEB"/>
            </w:tcBorders>
          </w:tcPr>
          <w:p>
            <w:pPr>
              <w:ind w:left="1020"/>
              <w:spacing w:after="0"/>
              <w:rPr>
                <w:sz w:val="20"/>
                <w:szCs w:val="20"/>
                <w:color w:val="auto"/>
              </w:rPr>
            </w:pPr>
            <w:r>
              <w:rPr>
                <w:rFonts w:ascii="Arial" w:cs="Arial" w:eastAsia="Arial" w:hAnsi="Arial"/>
                <w:sz w:val="11"/>
                <w:szCs w:val="11"/>
                <w:b w:val="1"/>
                <w:bCs w:val="1"/>
                <w:color w:val="009FE3"/>
              </w:rPr>
              <w:t>Second PEO</w:t>
            </w:r>
          </w:p>
        </w:tc>
        <w:tc>
          <w:tcPr>
            <w:tcW w:w="2560" w:type="dxa"/>
            <w:vAlign w:val="bottom"/>
            <w:tcBorders>
              <w:top w:val="single" w:sz="8" w:color="E8EAEB"/>
              <w:bottom w:val="single" w:sz="8" w:color="009FE3"/>
            </w:tcBorders>
          </w:tcPr>
          <w:p>
            <w:pPr>
              <w:ind w:left="900"/>
              <w:spacing w:after="0"/>
              <w:rPr>
                <w:sz w:val="20"/>
                <w:szCs w:val="20"/>
                <w:color w:val="auto"/>
              </w:rPr>
            </w:pPr>
            <w:r>
              <w:rPr>
                <w:rFonts w:ascii="Arial" w:cs="Arial" w:eastAsia="Arial" w:hAnsi="Arial"/>
                <w:sz w:val="11"/>
                <w:szCs w:val="11"/>
                <w:b w:val="1"/>
                <w:bCs w:val="1"/>
                <w:color w:val="009FE3"/>
              </w:rPr>
              <w:t>Non-PEO NEOs</w:t>
            </w:r>
          </w:p>
        </w:tc>
      </w:tr>
      <w:tr>
        <w:trPr>
          <w:trHeight w:val="146"/>
        </w:trPr>
        <w:tc>
          <w:tcPr>
            <w:tcW w:w="2380" w:type="dxa"/>
            <w:vAlign w:val="bottom"/>
            <w:tcBorders>
              <w:right w:val="single" w:sz="8" w:color="E8EAEB"/>
            </w:tcBorders>
          </w:tcPr>
          <w:p>
            <w:pPr>
              <w:jc w:val="center"/>
              <w:spacing w:after="0"/>
              <w:rPr>
                <w:sz w:val="20"/>
                <w:szCs w:val="20"/>
                <w:color w:val="auto"/>
              </w:rPr>
            </w:pPr>
            <w:r>
              <w:rPr>
                <w:rFonts w:ascii="Arial" w:cs="Arial" w:eastAsia="Arial" w:hAnsi="Arial"/>
                <w:sz w:val="12"/>
                <w:szCs w:val="12"/>
                <w:color w:val="202E39"/>
                <w:w w:val="97"/>
              </w:rPr>
              <w:t>2024</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Mark Dankberg</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N/A</w:t>
            </w:r>
          </w:p>
        </w:tc>
        <w:tc>
          <w:tcPr>
            <w:tcW w:w="2560" w:type="dxa"/>
            <w:vAlign w:val="bottom"/>
          </w:tcPr>
          <w:p>
            <w:pPr>
              <w:ind w:left="180"/>
              <w:spacing w:after="0"/>
              <w:rPr>
                <w:sz w:val="20"/>
                <w:szCs w:val="20"/>
                <w:color w:val="auto"/>
              </w:rPr>
            </w:pPr>
            <w:r>
              <w:rPr>
                <w:rFonts w:ascii="Arial" w:cs="Arial" w:eastAsia="Arial" w:hAnsi="Arial"/>
                <w:sz w:val="12"/>
                <w:szCs w:val="12"/>
                <w:color w:val="202E39"/>
              </w:rPr>
              <w:t>Shawn Duffy, K. Guru Gowrappan, Kevin</w:t>
            </w:r>
          </w:p>
        </w:tc>
      </w:tr>
      <w:tr>
        <w:trPr>
          <w:trHeight w:val="162"/>
        </w:trPr>
        <w:tc>
          <w:tcPr>
            <w:tcW w:w="2380" w:type="dxa"/>
            <w:vAlign w:val="bottom"/>
            <w:tcBorders>
              <w:bottom w:val="single" w:sz="8" w:color="E8EAEB"/>
              <w:right w:val="single" w:sz="8" w:color="E8EAEB"/>
            </w:tcBorders>
          </w:tcPr>
          <w:p>
            <w:pPr>
              <w:spacing w:after="0"/>
              <w:rPr>
                <w:sz w:val="14"/>
                <w:szCs w:val="14"/>
                <w:color w:val="auto"/>
              </w:rPr>
            </w:pPr>
          </w:p>
        </w:tc>
        <w:tc>
          <w:tcPr>
            <w:tcW w:w="2680" w:type="dxa"/>
            <w:vAlign w:val="bottom"/>
            <w:tcBorders>
              <w:bottom w:val="single" w:sz="8" w:color="E8EAEB"/>
              <w:right w:val="single" w:sz="8" w:color="E8EAEB"/>
            </w:tcBorders>
          </w:tcPr>
          <w:p>
            <w:pPr>
              <w:spacing w:after="0"/>
              <w:rPr>
                <w:sz w:val="14"/>
                <w:szCs w:val="14"/>
                <w:color w:val="auto"/>
              </w:rPr>
            </w:pPr>
          </w:p>
        </w:tc>
        <w:tc>
          <w:tcPr>
            <w:tcW w:w="2680" w:type="dxa"/>
            <w:vAlign w:val="bottom"/>
            <w:tcBorders>
              <w:bottom w:val="single" w:sz="8" w:color="E8EAEB"/>
              <w:right w:val="single" w:sz="8" w:color="E8EAEB"/>
            </w:tcBorders>
          </w:tcPr>
          <w:p>
            <w:pPr>
              <w:spacing w:after="0"/>
              <w:rPr>
                <w:sz w:val="14"/>
                <w:szCs w:val="14"/>
                <w:color w:val="auto"/>
              </w:rPr>
            </w:pPr>
          </w:p>
        </w:tc>
        <w:tc>
          <w:tcPr>
            <w:tcW w:w="2560" w:type="dxa"/>
            <w:vAlign w:val="bottom"/>
            <w:tcBorders>
              <w:bottom w:val="single" w:sz="8" w:color="E8EAEB"/>
            </w:tcBorders>
          </w:tcPr>
          <w:p>
            <w:pPr>
              <w:ind w:left="180"/>
              <w:spacing w:after="0"/>
              <w:rPr>
                <w:sz w:val="20"/>
                <w:szCs w:val="20"/>
                <w:color w:val="auto"/>
              </w:rPr>
            </w:pPr>
            <w:r>
              <w:rPr>
                <w:rFonts w:ascii="Arial" w:cs="Arial" w:eastAsia="Arial" w:hAnsi="Arial"/>
                <w:sz w:val="12"/>
                <w:szCs w:val="12"/>
                <w:color w:val="202E39"/>
              </w:rPr>
              <w:t>Harkenrider, Craig Miller and Dave Ryan</w:t>
            </w:r>
          </w:p>
        </w:tc>
      </w:tr>
      <w:tr>
        <w:trPr>
          <w:trHeight w:val="147"/>
        </w:trPr>
        <w:tc>
          <w:tcPr>
            <w:tcW w:w="2380" w:type="dxa"/>
            <w:vAlign w:val="bottom"/>
            <w:tcBorders>
              <w:right w:val="single" w:sz="8" w:color="E8EAEB"/>
            </w:tcBorders>
          </w:tcPr>
          <w:p>
            <w:pPr>
              <w:jc w:val="center"/>
              <w:spacing w:after="0"/>
              <w:rPr>
                <w:sz w:val="20"/>
                <w:szCs w:val="20"/>
                <w:color w:val="auto"/>
              </w:rPr>
            </w:pPr>
            <w:r>
              <w:rPr>
                <w:rFonts w:ascii="Arial" w:cs="Arial" w:eastAsia="Arial" w:hAnsi="Arial"/>
                <w:sz w:val="12"/>
                <w:szCs w:val="12"/>
                <w:color w:val="202E39"/>
                <w:w w:val="97"/>
              </w:rPr>
              <w:t>2023</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Mark Dankberg</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Richard Baldridge</w:t>
            </w:r>
          </w:p>
        </w:tc>
        <w:tc>
          <w:tcPr>
            <w:tcW w:w="2560" w:type="dxa"/>
            <w:vAlign w:val="bottom"/>
          </w:tcPr>
          <w:p>
            <w:pPr>
              <w:ind w:left="180"/>
              <w:spacing w:after="0"/>
              <w:rPr>
                <w:sz w:val="20"/>
                <w:szCs w:val="20"/>
                <w:color w:val="auto"/>
              </w:rPr>
            </w:pPr>
            <w:r>
              <w:rPr>
                <w:rFonts w:ascii="Arial" w:cs="Arial" w:eastAsia="Arial" w:hAnsi="Arial"/>
                <w:sz w:val="12"/>
                <w:szCs w:val="12"/>
                <w:color w:val="202E39"/>
              </w:rPr>
              <w:t>Shawn Duffy, Kevin Harkenrider,</w:t>
            </w:r>
          </w:p>
        </w:tc>
      </w:tr>
      <w:tr>
        <w:trPr>
          <w:trHeight w:val="162"/>
        </w:trPr>
        <w:tc>
          <w:tcPr>
            <w:tcW w:w="2380" w:type="dxa"/>
            <w:vAlign w:val="bottom"/>
            <w:tcBorders>
              <w:bottom w:val="single" w:sz="8" w:color="E8EAEB"/>
              <w:right w:val="single" w:sz="8" w:color="E8EAEB"/>
            </w:tcBorders>
          </w:tcPr>
          <w:p>
            <w:pPr>
              <w:spacing w:after="0"/>
              <w:rPr>
                <w:sz w:val="14"/>
                <w:szCs w:val="14"/>
                <w:color w:val="auto"/>
              </w:rPr>
            </w:pPr>
          </w:p>
        </w:tc>
        <w:tc>
          <w:tcPr>
            <w:tcW w:w="2680" w:type="dxa"/>
            <w:vAlign w:val="bottom"/>
            <w:tcBorders>
              <w:bottom w:val="single" w:sz="8" w:color="E8EAEB"/>
              <w:right w:val="single" w:sz="8" w:color="E8EAEB"/>
            </w:tcBorders>
          </w:tcPr>
          <w:p>
            <w:pPr>
              <w:spacing w:after="0"/>
              <w:rPr>
                <w:sz w:val="14"/>
                <w:szCs w:val="14"/>
                <w:color w:val="auto"/>
              </w:rPr>
            </w:pPr>
          </w:p>
        </w:tc>
        <w:tc>
          <w:tcPr>
            <w:tcW w:w="2680" w:type="dxa"/>
            <w:vAlign w:val="bottom"/>
            <w:tcBorders>
              <w:bottom w:val="single" w:sz="8" w:color="E8EAEB"/>
              <w:right w:val="single" w:sz="8" w:color="E8EAEB"/>
            </w:tcBorders>
          </w:tcPr>
          <w:p>
            <w:pPr>
              <w:spacing w:after="0"/>
              <w:rPr>
                <w:sz w:val="14"/>
                <w:szCs w:val="14"/>
                <w:color w:val="auto"/>
              </w:rPr>
            </w:pPr>
          </w:p>
        </w:tc>
        <w:tc>
          <w:tcPr>
            <w:tcW w:w="2560" w:type="dxa"/>
            <w:vAlign w:val="bottom"/>
            <w:tcBorders>
              <w:bottom w:val="single" w:sz="8" w:color="E8EAEB"/>
            </w:tcBorders>
          </w:tcPr>
          <w:p>
            <w:pPr>
              <w:ind w:left="180"/>
              <w:spacing w:after="0"/>
              <w:rPr>
                <w:sz w:val="20"/>
                <w:szCs w:val="20"/>
                <w:color w:val="auto"/>
              </w:rPr>
            </w:pPr>
            <w:r>
              <w:rPr>
                <w:rFonts w:ascii="Arial" w:cs="Arial" w:eastAsia="Arial" w:hAnsi="Arial"/>
                <w:sz w:val="12"/>
                <w:szCs w:val="12"/>
                <w:color w:val="202E39"/>
              </w:rPr>
              <w:t>Craig Miller and Mark Miller</w:t>
            </w:r>
          </w:p>
        </w:tc>
      </w:tr>
      <w:tr>
        <w:trPr>
          <w:trHeight w:val="147"/>
        </w:trPr>
        <w:tc>
          <w:tcPr>
            <w:tcW w:w="2380" w:type="dxa"/>
            <w:vAlign w:val="bottom"/>
            <w:tcBorders>
              <w:right w:val="single" w:sz="8" w:color="E8EAEB"/>
            </w:tcBorders>
          </w:tcPr>
          <w:p>
            <w:pPr>
              <w:jc w:val="center"/>
              <w:spacing w:after="0"/>
              <w:rPr>
                <w:sz w:val="20"/>
                <w:szCs w:val="20"/>
                <w:color w:val="auto"/>
              </w:rPr>
            </w:pPr>
            <w:r>
              <w:rPr>
                <w:rFonts w:ascii="Arial" w:cs="Arial" w:eastAsia="Arial" w:hAnsi="Arial"/>
                <w:sz w:val="12"/>
                <w:szCs w:val="12"/>
                <w:color w:val="202E39"/>
                <w:w w:val="97"/>
              </w:rPr>
              <w:t>2022</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N/A</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Richard Baldridge</w:t>
            </w:r>
          </w:p>
        </w:tc>
        <w:tc>
          <w:tcPr>
            <w:tcW w:w="2560" w:type="dxa"/>
            <w:vAlign w:val="bottom"/>
          </w:tcPr>
          <w:p>
            <w:pPr>
              <w:ind w:left="180"/>
              <w:spacing w:after="0"/>
              <w:rPr>
                <w:sz w:val="20"/>
                <w:szCs w:val="20"/>
                <w:color w:val="auto"/>
              </w:rPr>
            </w:pPr>
            <w:r>
              <w:rPr>
                <w:rFonts w:ascii="Arial" w:cs="Arial" w:eastAsia="Arial" w:hAnsi="Arial"/>
                <w:sz w:val="12"/>
                <w:szCs w:val="12"/>
                <w:color w:val="202E39"/>
              </w:rPr>
              <w:t>Mark Dankberg, Shawn Duffy, Kevin</w:t>
            </w:r>
          </w:p>
        </w:tc>
      </w:tr>
      <w:tr>
        <w:trPr>
          <w:trHeight w:val="162"/>
        </w:trPr>
        <w:tc>
          <w:tcPr>
            <w:tcW w:w="2380" w:type="dxa"/>
            <w:vAlign w:val="bottom"/>
            <w:tcBorders>
              <w:bottom w:val="single" w:sz="8" w:color="E8EAEB"/>
              <w:right w:val="single" w:sz="8" w:color="E8EAEB"/>
            </w:tcBorders>
          </w:tcPr>
          <w:p>
            <w:pPr>
              <w:spacing w:after="0"/>
              <w:rPr>
                <w:sz w:val="14"/>
                <w:szCs w:val="14"/>
                <w:color w:val="auto"/>
              </w:rPr>
            </w:pPr>
          </w:p>
        </w:tc>
        <w:tc>
          <w:tcPr>
            <w:tcW w:w="2680" w:type="dxa"/>
            <w:vAlign w:val="bottom"/>
            <w:tcBorders>
              <w:bottom w:val="single" w:sz="8" w:color="E8EAEB"/>
              <w:right w:val="single" w:sz="8" w:color="E8EAEB"/>
            </w:tcBorders>
          </w:tcPr>
          <w:p>
            <w:pPr>
              <w:spacing w:after="0"/>
              <w:rPr>
                <w:sz w:val="14"/>
                <w:szCs w:val="14"/>
                <w:color w:val="auto"/>
              </w:rPr>
            </w:pPr>
          </w:p>
        </w:tc>
        <w:tc>
          <w:tcPr>
            <w:tcW w:w="2680" w:type="dxa"/>
            <w:vAlign w:val="bottom"/>
            <w:tcBorders>
              <w:bottom w:val="single" w:sz="8" w:color="E8EAEB"/>
              <w:right w:val="single" w:sz="8" w:color="E8EAEB"/>
            </w:tcBorders>
          </w:tcPr>
          <w:p>
            <w:pPr>
              <w:spacing w:after="0"/>
              <w:rPr>
                <w:sz w:val="14"/>
                <w:szCs w:val="14"/>
                <w:color w:val="auto"/>
              </w:rPr>
            </w:pPr>
          </w:p>
        </w:tc>
        <w:tc>
          <w:tcPr>
            <w:tcW w:w="2560" w:type="dxa"/>
            <w:vAlign w:val="bottom"/>
            <w:tcBorders>
              <w:bottom w:val="single" w:sz="8" w:color="E8EAEB"/>
            </w:tcBorders>
          </w:tcPr>
          <w:p>
            <w:pPr>
              <w:ind w:left="180"/>
              <w:spacing w:after="0"/>
              <w:rPr>
                <w:sz w:val="20"/>
                <w:szCs w:val="20"/>
                <w:color w:val="auto"/>
              </w:rPr>
            </w:pPr>
            <w:r>
              <w:rPr>
                <w:rFonts w:ascii="Arial" w:cs="Arial" w:eastAsia="Arial" w:hAnsi="Arial"/>
                <w:sz w:val="12"/>
                <w:szCs w:val="12"/>
                <w:color w:val="202E39"/>
              </w:rPr>
              <w:t>Harkenrider and Mark Miller</w:t>
            </w:r>
          </w:p>
        </w:tc>
      </w:tr>
      <w:tr>
        <w:trPr>
          <w:trHeight w:val="147"/>
        </w:trPr>
        <w:tc>
          <w:tcPr>
            <w:tcW w:w="2380" w:type="dxa"/>
            <w:vAlign w:val="bottom"/>
            <w:tcBorders>
              <w:right w:val="single" w:sz="8" w:color="E8EAEB"/>
            </w:tcBorders>
          </w:tcPr>
          <w:p>
            <w:pPr>
              <w:jc w:val="center"/>
              <w:spacing w:after="0"/>
              <w:rPr>
                <w:sz w:val="20"/>
                <w:szCs w:val="20"/>
                <w:color w:val="auto"/>
              </w:rPr>
            </w:pPr>
            <w:r>
              <w:rPr>
                <w:rFonts w:ascii="Arial" w:cs="Arial" w:eastAsia="Arial" w:hAnsi="Arial"/>
                <w:sz w:val="12"/>
                <w:szCs w:val="12"/>
                <w:color w:val="202E39"/>
                <w:w w:val="97"/>
              </w:rPr>
              <w:t>2021</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Mark Dankberg</w:t>
            </w:r>
          </w:p>
        </w:tc>
        <w:tc>
          <w:tcPr>
            <w:tcW w:w="2680" w:type="dxa"/>
            <w:vAlign w:val="bottom"/>
            <w:tcBorders>
              <w:right w:val="single" w:sz="8" w:color="E8EAEB"/>
            </w:tcBorders>
          </w:tcPr>
          <w:p>
            <w:pPr>
              <w:ind w:left="180"/>
              <w:spacing w:after="0"/>
              <w:rPr>
                <w:sz w:val="20"/>
                <w:szCs w:val="20"/>
                <w:color w:val="auto"/>
              </w:rPr>
            </w:pPr>
            <w:r>
              <w:rPr>
                <w:rFonts w:ascii="Arial" w:cs="Arial" w:eastAsia="Arial" w:hAnsi="Arial"/>
                <w:sz w:val="12"/>
                <w:szCs w:val="12"/>
                <w:color w:val="202E39"/>
              </w:rPr>
              <w:t>Richard Baldridge</w:t>
            </w:r>
          </w:p>
        </w:tc>
        <w:tc>
          <w:tcPr>
            <w:tcW w:w="2560" w:type="dxa"/>
            <w:vAlign w:val="bottom"/>
          </w:tcPr>
          <w:p>
            <w:pPr>
              <w:ind w:left="180"/>
              <w:spacing w:after="0"/>
              <w:rPr>
                <w:sz w:val="20"/>
                <w:szCs w:val="20"/>
                <w:color w:val="auto"/>
              </w:rPr>
            </w:pPr>
            <w:r>
              <w:rPr>
                <w:rFonts w:ascii="Arial" w:cs="Arial" w:eastAsia="Arial" w:hAnsi="Arial"/>
                <w:sz w:val="12"/>
                <w:szCs w:val="12"/>
                <w:color w:val="202E39"/>
              </w:rPr>
              <w:t>Shawn Duffy, James Dodd, Ken Peterman</w:t>
            </w:r>
          </w:p>
        </w:tc>
      </w:tr>
      <w:tr>
        <w:trPr>
          <w:trHeight w:val="162"/>
        </w:trPr>
        <w:tc>
          <w:tcPr>
            <w:tcW w:w="2380" w:type="dxa"/>
            <w:vAlign w:val="bottom"/>
            <w:tcBorders>
              <w:bottom w:val="single" w:sz="8" w:color="009FE3"/>
              <w:right w:val="single" w:sz="8" w:color="E8EAEB"/>
            </w:tcBorders>
          </w:tcPr>
          <w:p>
            <w:pPr>
              <w:spacing w:after="0"/>
              <w:rPr>
                <w:sz w:val="14"/>
                <w:szCs w:val="14"/>
                <w:color w:val="auto"/>
              </w:rPr>
            </w:pPr>
          </w:p>
        </w:tc>
        <w:tc>
          <w:tcPr>
            <w:tcW w:w="2680" w:type="dxa"/>
            <w:vAlign w:val="bottom"/>
            <w:tcBorders>
              <w:bottom w:val="single" w:sz="8" w:color="009FE3"/>
              <w:right w:val="single" w:sz="8" w:color="E8EAEB"/>
            </w:tcBorders>
          </w:tcPr>
          <w:p>
            <w:pPr>
              <w:spacing w:after="0"/>
              <w:rPr>
                <w:sz w:val="14"/>
                <w:szCs w:val="14"/>
                <w:color w:val="auto"/>
              </w:rPr>
            </w:pPr>
          </w:p>
        </w:tc>
        <w:tc>
          <w:tcPr>
            <w:tcW w:w="2680" w:type="dxa"/>
            <w:vAlign w:val="bottom"/>
            <w:tcBorders>
              <w:bottom w:val="single" w:sz="8" w:color="009FE3"/>
              <w:right w:val="single" w:sz="8" w:color="E8EAEB"/>
            </w:tcBorders>
          </w:tcPr>
          <w:p>
            <w:pPr>
              <w:spacing w:after="0"/>
              <w:rPr>
                <w:sz w:val="14"/>
                <w:szCs w:val="14"/>
                <w:color w:val="auto"/>
              </w:rPr>
            </w:pPr>
          </w:p>
        </w:tc>
        <w:tc>
          <w:tcPr>
            <w:tcW w:w="2560" w:type="dxa"/>
            <w:vAlign w:val="bottom"/>
            <w:tcBorders>
              <w:bottom w:val="single" w:sz="8" w:color="009FE3"/>
            </w:tcBorders>
          </w:tcPr>
          <w:p>
            <w:pPr>
              <w:ind w:left="180"/>
              <w:spacing w:after="0"/>
              <w:rPr>
                <w:sz w:val="20"/>
                <w:szCs w:val="20"/>
                <w:color w:val="auto"/>
              </w:rPr>
            </w:pPr>
            <w:r>
              <w:rPr>
                <w:rFonts w:ascii="Arial" w:cs="Arial" w:eastAsia="Arial" w:hAnsi="Arial"/>
                <w:sz w:val="12"/>
                <w:szCs w:val="12"/>
                <w:color w:val="202E39"/>
              </w:rPr>
              <w:t>and Mark Miller</w:t>
            </w:r>
          </w:p>
        </w:tc>
      </w:tr>
    </w:tbl>
    <w:p>
      <w:pPr>
        <w:spacing w:after="0" w:line="109" w:lineRule="exact"/>
        <w:rPr>
          <w:sz w:val="20"/>
          <w:szCs w:val="20"/>
          <w:color w:val="auto"/>
        </w:rPr>
      </w:pPr>
    </w:p>
    <w:p>
      <w:pPr>
        <w:ind w:left="680" w:right="420" w:hanging="419"/>
        <w:spacing w:after="0" w:line="270" w:lineRule="auto"/>
        <w:tabs>
          <w:tab w:leader="none" w:pos="680" w:val="left"/>
        </w:tabs>
        <w:numPr>
          <w:ilvl w:val="0"/>
          <w:numId w:val="61"/>
        </w:numPr>
        <w:rPr>
          <w:rFonts w:ascii="Arial" w:cs="Arial" w:eastAsia="Arial" w:hAnsi="Arial"/>
          <w:sz w:val="14"/>
          <w:szCs w:val="14"/>
          <w:color w:val="202E39"/>
        </w:rPr>
      </w:pPr>
      <w:r>
        <w:rPr>
          <w:rFonts w:ascii="Arial" w:cs="Arial" w:eastAsia="Arial" w:hAnsi="Arial"/>
          <w:sz w:val="14"/>
          <w:szCs w:val="14"/>
          <w:color w:val="202E39"/>
        </w:rPr>
        <w:t>Compensation actually paid to our NEOs represents the “Total” compensation reported in the Summary Compensation Table for fiscal year 2024, as adjusted as follows:</w:t>
      </w:r>
    </w:p>
    <w:p>
      <w:pPr>
        <w:spacing w:after="0" w:line="179" w:lineRule="exact"/>
        <w:rPr>
          <w:sz w:val="20"/>
          <w:szCs w:val="20"/>
          <w:color w:val="auto"/>
        </w:rPr>
      </w:pPr>
    </w:p>
    <w:tbl>
      <w:tblPr>
        <w:tblLayout w:type="fixed"/>
        <w:tblInd w:w="700" w:type="dxa"/>
        <w:tblCellMar>
          <w:top w:w="0" w:type="dxa"/>
          <w:left w:w="0" w:type="dxa"/>
          <w:bottom w:w="0" w:type="dxa"/>
          <w:right w:w="0" w:type="dxa"/>
        </w:tblCellMar>
      </w:tblPr>
      <w:tr>
        <w:trPr>
          <w:trHeight w:val="158"/>
        </w:trPr>
        <w:tc>
          <w:tcPr>
            <w:tcW w:w="7520" w:type="dxa"/>
            <w:vAlign w:val="bottom"/>
            <w:tcBorders>
              <w:top w:val="single" w:sz="8" w:color="E8EAEB"/>
              <w:right w:val="single" w:sz="8" w:color="E8EAEB"/>
            </w:tcBorders>
          </w:tcPr>
          <w:p>
            <w:pPr>
              <w:spacing w:after="0"/>
              <w:rPr>
                <w:sz w:val="13"/>
                <w:szCs w:val="13"/>
                <w:color w:val="auto"/>
              </w:rPr>
            </w:pPr>
          </w:p>
        </w:tc>
        <w:tc>
          <w:tcPr>
            <w:tcW w:w="1420" w:type="dxa"/>
            <w:vAlign w:val="bottom"/>
            <w:tcBorders>
              <w:top w:val="single" w:sz="8" w:color="E8EAEB"/>
              <w:right w:val="single" w:sz="8" w:color="E8EAEB"/>
            </w:tcBorders>
          </w:tcPr>
          <w:p>
            <w:pPr>
              <w:spacing w:after="0"/>
              <w:rPr>
                <w:sz w:val="13"/>
                <w:szCs w:val="13"/>
                <w:color w:val="auto"/>
              </w:rPr>
            </w:pPr>
          </w:p>
        </w:tc>
        <w:tc>
          <w:tcPr>
            <w:tcW w:w="1360" w:type="dxa"/>
            <w:vAlign w:val="bottom"/>
            <w:tcBorders>
              <w:top w:val="single" w:sz="8" w:color="E8EAEB"/>
            </w:tcBorders>
          </w:tcPr>
          <w:p>
            <w:pPr>
              <w:jc w:val="right"/>
              <w:ind w:right="442"/>
              <w:spacing w:after="0"/>
              <w:rPr>
                <w:sz w:val="20"/>
                <w:szCs w:val="20"/>
                <w:color w:val="auto"/>
              </w:rPr>
            </w:pPr>
            <w:r>
              <w:rPr>
                <w:rFonts w:ascii="Arial" w:cs="Arial" w:eastAsia="Arial" w:hAnsi="Arial"/>
                <w:sz w:val="11"/>
                <w:szCs w:val="11"/>
                <w:b w:val="1"/>
                <w:bCs w:val="1"/>
                <w:color w:val="009FE3"/>
              </w:rPr>
              <w:t>Average</w:t>
            </w:r>
          </w:p>
        </w:tc>
      </w:tr>
      <w:tr>
        <w:trPr>
          <w:trHeight w:val="118"/>
        </w:trPr>
        <w:tc>
          <w:tcPr>
            <w:tcW w:w="7520" w:type="dxa"/>
            <w:vAlign w:val="bottom"/>
            <w:tcBorders>
              <w:right w:val="single" w:sz="8" w:color="E8EAEB"/>
            </w:tcBorders>
          </w:tcPr>
          <w:p>
            <w:pPr>
              <w:spacing w:after="0"/>
              <w:rPr>
                <w:sz w:val="10"/>
                <w:szCs w:val="10"/>
                <w:color w:val="auto"/>
              </w:rPr>
            </w:pPr>
          </w:p>
        </w:tc>
        <w:tc>
          <w:tcPr>
            <w:tcW w:w="1420" w:type="dxa"/>
            <w:vAlign w:val="bottom"/>
            <w:tcBorders>
              <w:right w:val="single" w:sz="8" w:color="E8EAEB"/>
            </w:tcBorders>
          </w:tcPr>
          <w:p>
            <w:pPr>
              <w:jc w:val="right"/>
              <w:ind w:right="561"/>
              <w:spacing w:after="0" w:line="119" w:lineRule="exact"/>
              <w:rPr>
                <w:sz w:val="20"/>
                <w:szCs w:val="20"/>
                <w:color w:val="auto"/>
              </w:rPr>
            </w:pPr>
            <w:r>
              <w:rPr>
                <w:rFonts w:ascii="Arial" w:cs="Arial" w:eastAsia="Arial" w:hAnsi="Arial"/>
                <w:sz w:val="11"/>
                <w:szCs w:val="11"/>
                <w:b w:val="1"/>
                <w:bCs w:val="1"/>
                <w:color w:val="009FE3"/>
              </w:rPr>
              <w:t>PEO</w:t>
            </w:r>
          </w:p>
        </w:tc>
        <w:tc>
          <w:tcPr>
            <w:tcW w:w="1360" w:type="dxa"/>
            <w:vAlign w:val="bottom"/>
          </w:tcPr>
          <w:p>
            <w:pPr>
              <w:jc w:val="right"/>
              <w:ind w:right="82"/>
              <w:spacing w:after="0" w:line="119" w:lineRule="exact"/>
              <w:rPr>
                <w:sz w:val="20"/>
                <w:szCs w:val="20"/>
                <w:color w:val="auto"/>
              </w:rPr>
            </w:pPr>
            <w:r>
              <w:rPr>
                <w:rFonts w:ascii="Arial" w:cs="Arial" w:eastAsia="Arial" w:hAnsi="Arial"/>
                <w:sz w:val="11"/>
                <w:szCs w:val="11"/>
                <w:b w:val="1"/>
                <w:bCs w:val="1"/>
                <w:color w:val="009FE3"/>
              </w:rPr>
              <w:t xml:space="preserve">            Non-PEO          </w:t>
            </w:r>
          </w:p>
        </w:tc>
      </w:tr>
      <w:tr>
        <w:trPr>
          <w:trHeight w:val="145"/>
        </w:trPr>
        <w:tc>
          <w:tcPr>
            <w:tcW w:w="75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1"/>
                <w:szCs w:val="11"/>
                <w:b w:val="1"/>
                <w:bCs w:val="1"/>
                <w:color w:val="009FE3"/>
              </w:rPr>
              <w:t>Adjustments(a)</w:t>
            </w:r>
          </w:p>
        </w:tc>
        <w:tc>
          <w:tcPr>
            <w:tcW w:w="1420" w:type="dxa"/>
            <w:vAlign w:val="bottom"/>
            <w:tcBorders>
              <w:bottom w:val="single" w:sz="8" w:color="009FE3"/>
              <w:right w:val="single" w:sz="8" w:color="E8EAEB"/>
            </w:tcBorders>
          </w:tcPr>
          <w:p>
            <w:pPr>
              <w:jc w:val="right"/>
              <w:ind w:right="81"/>
              <w:spacing w:after="0"/>
              <w:rPr>
                <w:sz w:val="20"/>
                <w:szCs w:val="20"/>
                <w:color w:val="auto"/>
              </w:rPr>
            </w:pPr>
            <w:r>
              <w:rPr>
                <w:rFonts w:ascii="Arial" w:cs="Arial" w:eastAsia="Arial" w:hAnsi="Arial"/>
                <w:sz w:val="11"/>
                <w:szCs w:val="11"/>
                <w:b w:val="1"/>
                <w:bCs w:val="1"/>
                <w:color w:val="009FE3"/>
              </w:rPr>
              <w:t xml:space="preserve">         (Mr. Dankberg)       </w:t>
            </w:r>
          </w:p>
        </w:tc>
        <w:tc>
          <w:tcPr>
            <w:tcW w:w="1360" w:type="dxa"/>
            <w:vAlign w:val="bottom"/>
            <w:tcBorders>
              <w:bottom w:val="single" w:sz="8" w:color="009FE3"/>
            </w:tcBorders>
          </w:tcPr>
          <w:p>
            <w:pPr>
              <w:jc w:val="right"/>
              <w:ind w:right="502"/>
              <w:spacing w:after="0"/>
              <w:rPr>
                <w:sz w:val="20"/>
                <w:szCs w:val="20"/>
                <w:color w:val="auto"/>
              </w:rPr>
            </w:pPr>
            <w:r>
              <w:rPr>
                <w:rFonts w:ascii="Arial" w:cs="Arial" w:eastAsia="Arial" w:hAnsi="Arial"/>
                <w:sz w:val="11"/>
                <w:szCs w:val="11"/>
                <w:b w:val="1"/>
                <w:bCs w:val="1"/>
                <w:color w:val="009FE3"/>
              </w:rPr>
              <w:t>NEOs</w:t>
            </w:r>
          </w:p>
        </w:tc>
      </w:tr>
      <w:tr>
        <w:trPr>
          <w:trHeight w:val="146"/>
        </w:trPr>
        <w:tc>
          <w:tcPr>
            <w:tcW w:w="752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Deduction for Amounts Reported under the “Stock Awards” and “Option Awards” Columns in the Summary Compensation</w:t>
            </w:r>
          </w:p>
        </w:tc>
        <w:tc>
          <w:tcPr>
            <w:tcW w:w="1420" w:type="dxa"/>
            <w:vAlign w:val="bottom"/>
            <w:tcBorders>
              <w:right w:val="single" w:sz="8" w:color="E8EAEB"/>
            </w:tcBorders>
          </w:tcPr>
          <w:p>
            <w:pPr>
              <w:jc w:val="right"/>
              <w:ind w:right="101"/>
              <w:spacing w:after="0"/>
              <w:rPr>
                <w:sz w:val="20"/>
                <w:szCs w:val="20"/>
                <w:color w:val="auto"/>
              </w:rPr>
            </w:pPr>
            <w:r>
              <w:rPr>
                <w:rFonts w:ascii="Arial" w:cs="Arial" w:eastAsia="Arial" w:hAnsi="Arial"/>
                <w:sz w:val="12"/>
                <w:szCs w:val="12"/>
                <w:color w:val="202E39"/>
              </w:rPr>
              <w:t>(5,811,329)</w:t>
            </w:r>
          </w:p>
        </w:tc>
        <w:tc>
          <w:tcPr>
            <w:tcW w:w="1360" w:type="dxa"/>
            <w:vAlign w:val="bottom"/>
          </w:tcPr>
          <w:p>
            <w:pPr>
              <w:jc w:val="right"/>
              <w:ind w:right="82"/>
              <w:spacing w:after="0"/>
              <w:rPr>
                <w:sz w:val="20"/>
                <w:szCs w:val="20"/>
                <w:color w:val="auto"/>
              </w:rPr>
            </w:pPr>
            <w:r>
              <w:rPr>
                <w:rFonts w:ascii="Arial" w:cs="Arial" w:eastAsia="Arial" w:hAnsi="Arial"/>
                <w:sz w:val="12"/>
                <w:szCs w:val="12"/>
                <w:color w:val="202E39"/>
              </w:rPr>
              <w:t>(4,602,041)</w:t>
            </w:r>
          </w:p>
        </w:tc>
      </w:tr>
      <w:tr>
        <w:trPr>
          <w:trHeight w:val="162"/>
        </w:trPr>
        <w:tc>
          <w:tcPr>
            <w:tcW w:w="7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Table for Applicable FY</w:t>
            </w:r>
          </w:p>
        </w:tc>
        <w:tc>
          <w:tcPr>
            <w:tcW w:w="1420" w:type="dxa"/>
            <w:vAlign w:val="bottom"/>
            <w:tcBorders>
              <w:bottom w:val="single" w:sz="8" w:color="E8EAEB"/>
              <w:right w:val="single" w:sz="8" w:color="E8EAEB"/>
            </w:tcBorders>
          </w:tcPr>
          <w:p>
            <w:pPr>
              <w:spacing w:after="0"/>
              <w:rPr>
                <w:sz w:val="14"/>
                <w:szCs w:val="14"/>
                <w:color w:val="auto"/>
              </w:rPr>
            </w:pPr>
          </w:p>
        </w:tc>
        <w:tc>
          <w:tcPr>
            <w:tcW w:w="1360" w:type="dxa"/>
            <w:vAlign w:val="bottom"/>
            <w:tcBorders>
              <w:bottom w:val="single" w:sz="8" w:color="E8EAEB"/>
            </w:tcBorders>
          </w:tcPr>
          <w:p>
            <w:pPr>
              <w:spacing w:after="0"/>
              <w:rPr>
                <w:sz w:val="14"/>
                <w:szCs w:val="14"/>
                <w:color w:val="auto"/>
              </w:rPr>
            </w:pPr>
          </w:p>
        </w:tc>
      </w:tr>
      <w:tr>
        <w:trPr>
          <w:trHeight w:val="146"/>
        </w:trPr>
        <w:tc>
          <w:tcPr>
            <w:tcW w:w="752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Increase based on ASC 718 Fair Value of Awards Granted during Applicable FY that Remain Unvested as of Applicable FY End,</w:t>
            </w:r>
          </w:p>
        </w:tc>
        <w:tc>
          <w:tcPr>
            <w:tcW w:w="1420" w:type="dxa"/>
            <w:vAlign w:val="bottom"/>
            <w:tcBorders>
              <w:right w:val="single" w:sz="8" w:color="E8EAEB"/>
            </w:tcBorders>
          </w:tcPr>
          <w:p>
            <w:pPr>
              <w:jc w:val="right"/>
              <w:ind w:right="141"/>
              <w:spacing w:after="0"/>
              <w:rPr>
                <w:sz w:val="20"/>
                <w:szCs w:val="20"/>
                <w:color w:val="auto"/>
              </w:rPr>
            </w:pPr>
            <w:r>
              <w:rPr>
                <w:rFonts w:ascii="Arial" w:cs="Arial" w:eastAsia="Arial" w:hAnsi="Arial"/>
                <w:sz w:val="12"/>
                <w:szCs w:val="12"/>
                <w:color w:val="202E39"/>
              </w:rPr>
              <w:t>4,170,838</w:t>
            </w:r>
          </w:p>
        </w:tc>
        <w:tc>
          <w:tcPr>
            <w:tcW w:w="1360" w:type="dxa"/>
            <w:vAlign w:val="bottom"/>
          </w:tcPr>
          <w:p>
            <w:pPr>
              <w:jc w:val="right"/>
              <w:ind w:right="122"/>
              <w:spacing w:after="0"/>
              <w:rPr>
                <w:sz w:val="20"/>
                <w:szCs w:val="20"/>
                <w:color w:val="auto"/>
              </w:rPr>
            </w:pPr>
            <w:r>
              <w:rPr>
                <w:rFonts w:ascii="Arial" w:cs="Arial" w:eastAsia="Arial" w:hAnsi="Arial"/>
                <w:sz w:val="12"/>
                <w:szCs w:val="12"/>
                <w:color w:val="202E39"/>
              </w:rPr>
              <w:t>2,475,137</w:t>
            </w:r>
          </w:p>
        </w:tc>
      </w:tr>
      <w:tr>
        <w:trPr>
          <w:trHeight w:val="162"/>
        </w:trPr>
        <w:tc>
          <w:tcPr>
            <w:tcW w:w="7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determined as of Applicable FY End</w:t>
            </w:r>
          </w:p>
        </w:tc>
        <w:tc>
          <w:tcPr>
            <w:tcW w:w="1420" w:type="dxa"/>
            <w:vAlign w:val="bottom"/>
            <w:tcBorders>
              <w:bottom w:val="single" w:sz="8" w:color="E8EAEB"/>
              <w:right w:val="single" w:sz="8" w:color="E8EAEB"/>
            </w:tcBorders>
          </w:tcPr>
          <w:p>
            <w:pPr>
              <w:spacing w:after="0"/>
              <w:rPr>
                <w:sz w:val="14"/>
                <w:szCs w:val="14"/>
                <w:color w:val="auto"/>
              </w:rPr>
            </w:pPr>
          </w:p>
        </w:tc>
        <w:tc>
          <w:tcPr>
            <w:tcW w:w="1360" w:type="dxa"/>
            <w:vAlign w:val="bottom"/>
            <w:tcBorders>
              <w:bottom w:val="single" w:sz="8" w:color="E8EAEB"/>
            </w:tcBorders>
          </w:tcPr>
          <w:p>
            <w:pPr>
              <w:spacing w:after="0"/>
              <w:rPr>
                <w:sz w:val="14"/>
                <w:szCs w:val="14"/>
                <w:color w:val="auto"/>
              </w:rPr>
            </w:pPr>
          </w:p>
        </w:tc>
      </w:tr>
      <w:tr>
        <w:trPr>
          <w:trHeight w:val="146"/>
        </w:trPr>
        <w:tc>
          <w:tcPr>
            <w:tcW w:w="752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Increase based on ASC 718 Fair Value of Awards Granted during Applicable FY that Vested during Applicable FY, determined</w:t>
            </w:r>
          </w:p>
        </w:tc>
        <w:tc>
          <w:tcPr>
            <w:tcW w:w="1420" w:type="dxa"/>
            <w:vAlign w:val="bottom"/>
            <w:tcBorders>
              <w:right w:val="single" w:sz="8" w:color="E8EAEB"/>
            </w:tcBorders>
          </w:tcPr>
          <w:p>
            <w:pPr>
              <w:jc w:val="right"/>
              <w:ind w:right="141"/>
              <w:spacing w:after="0"/>
              <w:rPr>
                <w:sz w:val="20"/>
                <w:szCs w:val="20"/>
                <w:color w:val="auto"/>
              </w:rPr>
            </w:pPr>
            <w:r>
              <w:rPr>
                <w:rFonts w:ascii="Arial" w:cs="Arial" w:eastAsia="Arial" w:hAnsi="Arial"/>
                <w:sz w:val="12"/>
                <w:szCs w:val="12"/>
                <w:color w:val="202E39"/>
              </w:rPr>
              <w:t>—</w:t>
            </w:r>
          </w:p>
        </w:tc>
        <w:tc>
          <w:tcPr>
            <w:tcW w:w="1360" w:type="dxa"/>
            <w:vAlign w:val="bottom"/>
          </w:tcPr>
          <w:p>
            <w:pPr>
              <w:jc w:val="right"/>
              <w:ind w:right="122"/>
              <w:spacing w:after="0"/>
              <w:rPr>
                <w:sz w:val="20"/>
                <w:szCs w:val="20"/>
                <w:color w:val="auto"/>
              </w:rPr>
            </w:pPr>
            <w:r>
              <w:rPr>
                <w:rFonts w:ascii="Arial" w:cs="Arial" w:eastAsia="Arial" w:hAnsi="Arial"/>
                <w:sz w:val="12"/>
                <w:szCs w:val="12"/>
                <w:color w:val="202E39"/>
              </w:rPr>
              <w:t>49,682</w:t>
            </w:r>
          </w:p>
        </w:tc>
      </w:tr>
      <w:tr>
        <w:trPr>
          <w:trHeight w:val="162"/>
        </w:trPr>
        <w:tc>
          <w:tcPr>
            <w:tcW w:w="7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as of Vesting Date</w:t>
            </w:r>
          </w:p>
        </w:tc>
        <w:tc>
          <w:tcPr>
            <w:tcW w:w="1420" w:type="dxa"/>
            <w:vAlign w:val="bottom"/>
            <w:tcBorders>
              <w:bottom w:val="single" w:sz="8" w:color="E8EAEB"/>
              <w:right w:val="single" w:sz="8" w:color="E8EAEB"/>
            </w:tcBorders>
          </w:tcPr>
          <w:p>
            <w:pPr>
              <w:spacing w:after="0"/>
              <w:rPr>
                <w:sz w:val="14"/>
                <w:szCs w:val="14"/>
                <w:color w:val="auto"/>
              </w:rPr>
            </w:pPr>
          </w:p>
        </w:tc>
        <w:tc>
          <w:tcPr>
            <w:tcW w:w="1360" w:type="dxa"/>
            <w:vAlign w:val="bottom"/>
            <w:tcBorders>
              <w:bottom w:val="single" w:sz="8" w:color="E8EAEB"/>
            </w:tcBorders>
          </w:tcPr>
          <w:p>
            <w:pPr>
              <w:spacing w:after="0"/>
              <w:rPr>
                <w:sz w:val="14"/>
                <w:szCs w:val="14"/>
                <w:color w:val="auto"/>
              </w:rPr>
            </w:pPr>
          </w:p>
        </w:tc>
      </w:tr>
      <w:tr>
        <w:trPr>
          <w:trHeight w:val="146"/>
        </w:trPr>
        <w:tc>
          <w:tcPr>
            <w:tcW w:w="752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Increase/(deduction) for Awards Granted during Prior FYs that were Outstanding and Unvested as of Applicable FY End,</w:t>
            </w:r>
          </w:p>
        </w:tc>
        <w:tc>
          <w:tcPr>
            <w:tcW w:w="1420" w:type="dxa"/>
            <w:vAlign w:val="bottom"/>
            <w:tcBorders>
              <w:right w:val="single" w:sz="8" w:color="E8EAEB"/>
            </w:tcBorders>
          </w:tcPr>
          <w:p>
            <w:pPr>
              <w:jc w:val="right"/>
              <w:ind w:right="101"/>
              <w:spacing w:after="0"/>
              <w:rPr>
                <w:sz w:val="20"/>
                <w:szCs w:val="20"/>
                <w:color w:val="auto"/>
              </w:rPr>
            </w:pPr>
            <w:r>
              <w:rPr>
                <w:rFonts w:ascii="Arial" w:cs="Arial" w:eastAsia="Arial" w:hAnsi="Arial"/>
                <w:sz w:val="12"/>
                <w:szCs w:val="12"/>
                <w:color w:val="202E39"/>
              </w:rPr>
              <w:t>(8,227,649)</w:t>
            </w:r>
          </w:p>
        </w:tc>
        <w:tc>
          <w:tcPr>
            <w:tcW w:w="1360" w:type="dxa"/>
            <w:vAlign w:val="bottom"/>
          </w:tcPr>
          <w:p>
            <w:pPr>
              <w:jc w:val="right"/>
              <w:ind w:right="82"/>
              <w:spacing w:after="0"/>
              <w:rPr>
                <w:sz w:val="20"/>
                <w:szCs w:val="20"/>
                <w:color w:val="auto"/>
              </w:rPr>
            </w:pPr>
            <w:r>
              <w:rPr>
                <w:rFonts w:ascii="Arial" w:cs="Arial" w:eastAsia="Arial" w:hAnsi="Arial"/>
                <w:sz w:val="12"/>
                <w:szCs w:val="12"/>
                <w:color w:val="202E39"/>
              </w:rPr>
              <w:t>(1,370,323)</w:t>
            </w:r>
          </w:p>
        </w:tc>
      </w:tr>
      <w:tr>
        <w:trPr>
          <w:trHeight w:val="162"/>
        </w:trPr>
        <w:tc>
          <w:tcPr>
            <w:tcW w:w="7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determined based on change in ASC 718 Fair Value from Prior FY End to Applicable FY End</w:t>
            </w:r>
          </w:p>
        </w:tc>
        <w:tc>
          <w:tcPr>
            <w:tcW w:w="1420" w:type="dxa"/>
            <w:vAlign w:val="bottom"/>
            <w:tcBorders>
              <w:bottom w:val="single" w:sz="8" w:color="E8EAEB"/>
              <w:right w:val="single" w:sz="8" w:color="E8EAEB"/>
            </w:tcBorders>
          </w:tcPr>
          <w:p>
            <w:pPr>
              <w:spacing w:after="0"/>
              <w:rPr>
                <w:sz w:val="14"/>
                <w:szCs w:val="14"/>
                <w:color w:val="auto"/>
              </w:rPr>
            </w:pPr>
          </w:p>
        </w:tc>
        <w:tc>
          <w:tcPr>
            <w:tcW w:w="1360" w:type="dxa"/>
            <w:vAlign w:val="bottom"/>
            <w:tcBorders>
              <w:bottom w:val="single" w:sz="8" w:color="E8EAEB"/>
            </w:tcBorders>
          </w:tcPr>
          <w:p>
            <w:pPr>
              <w:spacing w:after="0"/>
              <w:rPr>
                <w:sz w:val="14"/>
                <w:szCs w:val="14"/>
                <w:color w:val="auto"/>
              </w:rPr>
            </w:pPr>
          </w:p>
        </w:tc>
      </w:tr>
      <w:tr>
        <w:trPr>
          <w:trHeight w:val="146"/>
        </w:trPr>
        <w:tc>
          <w:tcPr>
            <w:tcW w:w="752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Increase/(deduction) for Awards Granted during Prior Fys that Vested During Applicable FY, determined based on change in</w:t>
            </w:r>
          </w:p>
        </w:tc>
        <w:tc>
          <w:tcPr>
            <w:tcW w:w="1420" w:type="dxa"/>
            <w:vAlign w:val="bottom"/>
            <w:tcBorders>
              <w:right w:val="single" w:sz="8" w:color="E8EAEB"/>
            </w:tcBorders>
          </w:tcPr>
          <w:p>
            <w:pPr>
              <w:jc w:val="right"/>
              <w:ind w:right="101"/>
              <w:spacing w:after="0"/>
              <w:rPr>
                <w:sz w:val="20"/>
                <w:szCs w:val="20"/>
                <w:color w:val="auto"/>
              </w:rPr>
            </w:pPr>
            <w:r>
              <w:rPr>
                <w:rFonts w:ascii="Arial" w:cs="Arial" w:eastAsia="Arial" w:hAnsi="Arial"/>
                <w:sz w:val="12"/>
                <w:szCs w:val="12"/>
                <w:color w:val="202E39"/>
              </w:rPr>
              <w:t>(911,211)</w:t>
            </w:r>
          </w:p>
        </w:tc>
        <w:tc>
          <w:tcPr>
            <w:tcW w:w="1360" w:type="dxa"/>
            <w:vAlign w:val="bottom"/>
          </w:tcPr>
          <w:p>
            <w:pPr>
              <w:jc w:val="right"/>
              <w:ind w:right="82"/>
              <w:spacing w:after="0"/>
              <w:rPr>
                <w:sz w:val="20"/>
                <w:szCs w:val="20"/>
                <w:color w:val="auto"/>
              </w:rPr>
            </w:pPr>
            <w:r>
              <w:rPr>
                <w:rFonts w:ascii="Arial" w:cs="Arial" w:eastAsia="Arial" w:hAnsi="Arial"/>
                <w:sz w:val="12"/>
                <w:szCs w:val="12"/>
                <w:color w:val="202E39"/>
              </w:rPr>
              <w:t>(198,685)</w:t>
            </w:r>
          </w:p>
        </w:tc>
      </w:tr>
      <w:tr>
        <w:trPr>
          <w:trHeight w:val="162"/>
        </w:trPr>
        <w:tc>
          <w:tcPr>
            <w:tcW w:w="7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2"/>
                <w:szCs w:val="12"/>
                <w:b w:val="1"/>
                <w:bCs w:val="1"/>
                <w:color w:val="202E39"/>
              </w:rPr>
              <w:t>ASC 718 Fair Value from Prior FY End to Vesting Date</w:t>
            </w:r>
          </w:p>
        </w:tc>
        <w:tc>
          <w:tcPr>
            <w:tcW w:w="1420" w:type="dxa"/>
            <w:vAlign w:val="bottom"/>
            <w:tcBorders>
              <w:bottom w:val="single" w:sz="8" w:color="E8EAEB"/>
              <w:right w:val="single" w:sz="8" w:color="E8EAEB"/>
            </w:tcBorders>
          </w:tcPr>
          <w:p>
            <w:pPr>
              <w:spacing w:after="0"/>
              <w:rPr>
                <w:sz w:val="14"/>
                <w:szCs w:val="14"/>
                <w:color w:val="auto"/>
              </w:rPr>
            </w:pPr>
          </w:p>
        </w:tc>
        <w:tc>
          <w:tcPr>
            <w:tcW w:w="1360" w:type="dxa"/>
            <w:vAlign w:val="bottom"/>
            <w:tcBorders>
              <w:bottom w:val="single" w:sz="8" w:color="E8EAEB"/>
            </w:tcBorders>
          </w:tcPr>
          <w:p>
            <w:pPr>
              <w:spacing w:after="0"/>
              <w:rPr>
                <w:sz w:val="14"/>
                <w:szCs w:val="14"/>
                <w:color w:val="auto"/>
              </w:rPr>
            </w:pPr>
          </w:p>
        </w:tc>
      </w:tr>
      <w:tr>
        <w:trPr>
          <w:trHeight w:val="186"/>
        </w:trPr>
        <w:tc>
          <w:tcPr>
            <w:tcW w:w="7520" w:type="dxa"/>
            <w:vAlign w:val="bottom"/>
            <w:tcBorders>
              <w:bottom w:val="single" w:sz="8" w:color="009FE3"/>
              <w:right w:val="single" w:sz="8" w:color="E8EAEB"/>
            </w:tcBorders>
          </w:tcPr>
          <w:p>
            <w:pPr>
              <w:ind w:left="280"/>
              <w:spacing w:after="0"/>
              <w:rPr>
                <w:sz w:val="20"/>
                <w:szCs w:val="20"/>
                <w:color w:val="auto"/>
              </w:rPr>
            </w:pPr>
            <w:r>
              <w:rPr>
                <w:rFonts w:ascii="Arial" w:cs="Arial" w:eastAsia="Arial" w:hAnsi="Arial"/>
                <w:sz w:val="12"/>
                <w:szCs w:val="12"/>
                <w:b w:val="1"/>
                <w:bCs w:val="1"/>
                <w:color w:val="202E39"/>
              </w:rPr>
              <w:t>COMPENSATION ACTUALLY PAID</w:t>
            </w:r>
          </w:p>
        </w:tc>
        <w:tc>
          <w:tcPr>
            <w:tcW w:w="1420" w:type="dxa"/>
            <w:vAlign w:val="bottom"/>
            <w:tcBorders>
              <w:bottom w:val="single" w:sz="8" w:color="009FE3"/>
              <w:right w:val="single" w:sz="8" w:color="E8EAEB"/>
            </w:tcBorders>
          </w:tcPr>
          <w:p>
            <w:pPr>
              <w:jc w:val="right"/>
              <w:ind w:right="101"/>
              <w:spacing w:after="0"/>
              <w:rPr>
                <w:sz w:val="20"/>
                <w:szCs w:val="20"/>
                <w:color w:val="auto"/>
              </w:rPr>
            </w:pPr>
            <w:r>
              <w:rPr>
                <w:rFonts w:ascii="Arial" w:cs="Arial" w:eastAsia="Arial" w:hAnsi="Arial"/>
                <w:sz w:val="12"/>
                <w:szCs w:val="12"/>
                <w:b w:val="1"/>
                <w:bCs w:val="1"/>
                <w:color w:val="202E39"/>
              </w:rPr>
              <w:t>(1,818,672)</w:t>
            </w:r>
          </w:p>
        </w:tc>
        <w:tc>
          <w:tcPr>
            <w:tcW w:w="1360" w:type="dxa"/>
            <w:vAlign w:val="bottom"/>
            <w:tcBorders>
              <w:bottom w:val="single" w:sz="8" w:color="009FE3"/>
            </w:tcBorders>
          </w:tcPr>
          <w:p>
            <w:pPr>
              <w:jc w:val="right"/>
              <w:ind w:right="122"/>
              <w:spacing w:after="0"/>
              <w:rPr>
                <w:sz w:val="20"/>
                <w:szCs w:val="20"/>
                <w:color w:val="auto"/>
              </w:rPr>
            </w:pPr>
            <w:r>
              <w:rPr>
                <w:rFonts w:ascii="Arial" w:cs="Arial" w:eastAsia="Arial" w:hAnsi="Arial"/>
                <w:sz w:val="12"/>
                <w:szCs w:val="12"/>
                <w:b w:val="1"/>
                <w:bCs w:val="1"/>
                <w:color w:val="202E39"/>
              </w:rPr>
              <w:t>2,940,276</w:t>
            </w:r>
          </w:p>
        </w:tc>
      </w:tr>
    </w:tbl>
    <w:p>
      <w:pPr>
        <w:spacing w:after="0" w:line="109" w:lineRule="exact"/>
        <w:rPr>
          <w:sz w:val="20"/>
          <w:szCs w:val="20"/>
          <w:color w:val="auto"/>
        </w:rPr>
      </w:pPr>
    </w:p>
    <w:p>
      <w:pPr>
        <w:ind w:left="1000" w:right="100" w:hanging="318"/>
        <w:spacing w:after="0"/>
        <w:tabs>
          <w:tab w:leader="none" w:pos="1000" w:val="left"/>
        </w:tabs>
        <w:numPr>
          <w:ilvl w:val="1"/>
          <w:numId w:val="62"/>
        </w:numPr>
        <w:rPr>
          <w:rFonts w:ascii="Arial" w:cs="Arial" w:eastAsia="Arial" w:hAnsi="Arial"/>
          <w:sz w:val="14"/>
          <w:szCs w:val="14"/>
          <w:color w:val="202E39"/>
        </w:rPr>
      </w:pPr>
      <w:r>
        <w:rPr>
          <w:rFonts w:ascii="Arial" w:cs="Arial" w:eastAsia="Arial" w:hAnsi="Arial"/>
          <w:sz w:val="14"/>
          <w:szCs w:val="14"/>
          <w:color w:val="202E39"/>
        </w:rPr>
        <w:t>Fair value or change in fair value, as applicable, of equity awards in the Compensation Actually Paid columns was determined by reference to (1) for RSU awards, the closing price of a share of our common stock on the vesting date or applicable fiscal year end Date, and (2) for performance-based stock options, using a Monte Carlo simulation as of the applicable vesting date or applicable fiscal year end date which considered the likelihood of achieving the vesting conditions with respect to any relative TSR market condition. Assumptions used in the Monte-Carlo simulations performed for this purpose provided for a remaining contractual term assumption ranging between 2.6 - 5.0 years, a volatility assumption ranging between 58.49% - 63.87% using the Company’s historical volatility, and a risk free interest rate ranging between 4.10% - 4.36%, based on the yields of U.S. Treasury securities with maturities approximating the terms of the awards. For additional information on the valuation assumptions used in the calculation of these amounts, refer to note 9 to the financial statements included in our annual report on Form 10-K for the fiscal year ended March 31, 2024, as filed with SEC.</w:t>
      </w:r>
    </w:p>
    <w:p>
      <w:pPr>
        <w:spacing w:after="0" w:line="39" w:lineRule="exact"/>
        <w:rPr>
          <w:rFonts w:ascii="Arial" w:cs="Arial" w:eastAsia="Arial" w:hAnsi="Arial"/>
          <w:sz w:val="14"/>
          <w:szCs w:val="14"/>
          <w:color w:val="202E39"/>
        </w:rPr>
      </w:pPr>
    </w:p>
    <w:p>
      <w:pPr>
        <w:ind w:left="680" w:hanging="419"/>
        <w:spacing w:after="0"/>
        <w:tabs>
          <w:tab w:leader="none" w:pos="680" w:val="left"/>
        </w:tabs>
        <w:numPr>
          <w:ilvl w:val="0"/>
          <w:numId w:val="63"/>
        </w:numPr>
        <w:rPr>
          <w:rFonts w:ascii="Arial" w:cs="Arial" w:eastAsia="Arial" w:hAnsi="Arial"/>
          <w:sz w:val="14"/>
          <w:szCs w:val="14"/>
          <w:color w:val="202E39"/>
        </w:rPr>
      </w:pPr>
      <w:r>
        <w:rPr>
          <w:rFonts w:ascii="Arial" w:cs="Arial" w:eastAsia="Arial" w:hAnsi="Arial"/>
          <w:sz w:val="14"/>
          <w:szCs w:val="14"/>
          <w:color w:val="202E39"/>
        </w:rPr>
        <w:t>For the relevant fiscal year, represents the cumulative TSR (the “Peer Group TSR”) of the NASDAQ Telecommunications Index (the “Peer Group”).</w:t>
      </w:r>
    </w:p>
    <w:p>
      <w:pPr>
        <w:spacing w:after="0" w:line="14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57</w:t>
      </w:r>
    </w:p>
    <w:p>
      <w:pPr>
        <w:sectPr>
          <w:pgSz w:w="11900" w:h="16838" w:orient="portrait"/>
          <w:cols w:equalWidth="0" w:num="1">
            <w:col w:w="11000"/>
          </w:cols>
          <w:pgMar w:left="320" w:top="474" w:right="5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Pay Versus Performance</w:t>
      </w:r>
    </w:p>
    <w:p>
      <w:pPr>
        <w:spacing w:after="0" w:line="141" w:lineRule="exact"/>
        <w:rPr>
          <w:sz w:val="20"/>
          <w:szCs w:val="20"/>
          <w:color w:val="auto"/>
        </w:rPr>
      </w:pPr>
    </w:p>
    <w:p>
      <w:pPr>
        <w:ind w:left="680" w:right="120" w:hanging="419"/>
        <w:spacing w:after="0" w:line="252" w:lineRule="auto"/>
        <w:tabs>
          <w:tab w:leader="none" w:pos="680" w:val="left"/>
        </w:tabs>
        <w:numPr>
          <w:ilvl w:val="0"/>
          <w:numId w:val="64"/>
        </w:numPr>
        <w:rPr>
          <w:rFonts w:ascii="Arial" w:cs="Arial" w:eastAsia="Arial" w:hAnsi="Arial"/>
          <w:sz w:val="14"/>
          <w:szCs w:val="14"/>
          <w:color w:val="202E39"/>
        </w:rPr>
      </w:pPr>
      <w:r>
        <w:rPr>
          <w:rFonts w:ascii="Arial" w:cs="Arial" w:eastAsia="Arial" w:hAnsi="Arial"/>
          <w:sz w:val="14"/>
          <w:szCs w:val="14"/>
          <w:color w:val="202E39"/>
        </w:rPr>
        <w:t>Represents net income (loss) attributable to Viasat, Inc. Net income (loss) attributable to Viasat, Inc. for fiscal years 2024, 2023, 2022, and 2021 includes net income (loss) from discontinued operations. Net income (loss) from continuing operations attributable to Viasat, Inc. would have been ($1,058.5) million, ($217.6) million, ($114.7) million, and ($79.9) million for 2024, 2023, 2022, and 2021, respectively.</w:t>
      </w:r>
    </w:p>
    <w:p>
      <w:pPr>
        <w:spacing w:after="0" w:line="31" w:lineRule="exact"/>
        <w:rPr>
          <w:rFonts w:ascii="Arial" w:cs="Arial" w:eastAsia="Arial" w:hAnsi="Arial"/>
          <w:sz w:val="14"/>
          <w:szCs w:val="14"/>
          <w:color w:val="202E39"/>
        </w:rPr>
      </w:pPr>
    </w:p>
    <w:p>
      <w:pPr>
        <w:ind w:left="680" w:right="120" w:hanging="419"/>
        <w:spacing w:after="0" w:line="246" w:lineRule="auto"/>
        <w:tabs>
          <w:tab w:leader="none" w:pos="680" w:val="left"/>
        </w:tabs>
        <w:numPr>
          <w:ilvl w:val="0"/>
          <w:numId w:val="64"/>
        </w:numPr>
        <w:rPr>
          <w:rFonts w:ascii="Arial" w:cs="Arial" w:eastAsia="Arial" w:hAnsi="Arial"/>
          <w:sz w:val="14"/>
          <w:szCs w:val="14"/>
          <w:color w:val="202E39"/>
        </w:rPr>
      </w:pPr>
      <w:r>
        <w:rPr>
          <w:rFonts w:ascii="Arial" w:cs="Arial" w:eastAsia="Arial" w:hAnsi="Arial"/>
          <w:sz w:val="14"/>
          <w:szCs w:val="14"/>
          <w:color w:val="202E39"/>
        </w:rPr>
        <w:t>Adjusted EBITDA is a non-GAAP measure. We define Adjusted EBITDA as net income (loss) attributable to Viasat, Inc. before interest, income taxes, depreciation and amortization, adjusted to exclude certain significant items.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years 2024, 2023, 2022, and 2021 is set forth below.</w:t>
      </w:r>
    </w:p>
    <w:p>
      <w:pPr>
        <w:spacing w:after="0" w:line="197"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4540" w:type="dxa"/>
            <w:vAlign w:val="bottom"/>
            <w:tcBorders>
              <w:top w:val="single" w:sz="8" w:color="E8EAEB"/>
              <w:right w:val="single" w:sz="8" w:color="E8EAEB"/>
            </w:tcBorders>
          </w:tcPr>
          <w:p>
            <w:pPr>
              <w:spacing w:after="0"/>
              <w:rPr>
                <w:sz w:val="17"/>
                <w:szCs w:val="17"/>
                <w:color w:val="auto"/>
              </w:rPr>
            </w:pPr>
          </w:p>
        </w:tc>
        <w:tc>
          <w:tcPr>
            <w:tcW w:w="1480" w:type="dxa"/>
            <w:vAlign w:val="bottom"/>
            <w:tcBorders>
              <w:top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b w:val="1"/>
                <w:bCs w:val="1"/>
                <w:color w:val="009FE3"/>
              </w:rPr>
              <w:t>Fiscal Year Ended</w:t>
            </w:r>
          </w:p>
        </w:tc>
        <w:tc>
          <w:tcPr>
            <w:tcW w:w="1500" w:type="dxa"/>
            <w:vAlign w:val="bottom"/>
            <w:tcBorders>
              <w:top w:val="single" w:sz="8" w:color="E8EAEB"/>
              <w:right w:val="single" w:sz="8" w:color="E8EAEB"/>
            </w:tcBorders>
          </w:tcPr>
          <w:p>
            <w:pPr>
              <w:jc w:val="right"/>
              <w:ind w:right="110"/>
              <w:spacing w:after="0"/>
              <w:rPr>
                <w:sz w:val="20"/>
                <w:szCs w:val="20"/>
                <w:color w:val="auto"/>
              </w:rPr>
            </w:pPr>
            <w:r>
              <w:rPr>
                <w:rFonts w:ascii="Arial" w:cs="Arial" w:eastAsia="Arial" w:hAnsi="Arial"/>
                <w:sz w:val="14"/>
                <w:szCs w:val="14"/>
                <w:b w:val="1"/>
                <w:bCs w:val="1"/>
                <w:color w:val="009FE3"/>
              </w:rPr>
              <w:t>Fiscal Year Ended</w:t>
            </w:r>
          </w:p>
        </w:tc>
        <w:tc>
          <w:tcPr>
            <w:tcW w:w="1380" w:type="dxa"/>
            <w:vAlign w:val="bottom"/>
            <w:tcBorders>
              <w:top w:val="single" w:sz="8" w:color="E8EAEB"/>
              <w:right w:val="single" w:sz="8" w:color="E8EAEB"/>
            </w:tcBorders>
          </w:tcPr>
          <w:p>
            <w:pPr>
              <w:jc w:val="right"/>
              <w:ind w:right="50"/>
              <w:spacing w:after="0"/>
              <w:rPr>
                <w:sz w:val="20"/>
                <w:szCs w:val="20"/>
                <w:color w:val="auto"/>
              </w:rPr>
            </w:pPr>
            <w:r>
              <w:rPr>
                <w:rFonts w:ascii="Arial" w:cs="Arial" w:eastAsia="Arial" w:hAnsi="Arial"/>
                <w:sz w:val="14"/>
                <w:szCs w:val="14"/>
                <w:b w:val="1"/>
                <w:bCs w:val="1"/>
                <w:color w:val="009FE3"/>
              </w:rPr>
              <w:t>Fiscal Year Ended</w:t>
            </w:r>
          </w:p>
        </w:tc>
        <w:tc>
          <w:tcPr>
            <w:tcW w:w="1400" w:type="dxa"/>
            <w:vAlign w:val="bottom"/>
            <w:tcBorders>
              <w:top w:val="single" w:sz="8" w:color="E8EAEB"/>
            </w:tcBorders>
          </w:tcPr>
          <w:p>
            <w:pPr>
              <w:jc w:val="right"/>
              <w:ind w:right="50"/>
              <w:spacing w:after="0"/>
              <w:rPr>
                <w:sz w:val="20"/>
                <w:szCs w:val="20"/>
                <w:color w:val="auto"/>
              </w:rPr>
            </w:pPr>
            <w:r>
              <w:rPr>
                <w:rFonts w:ascii="Arial" w:cs="Arial" w:eastAsia="Arial" w:hAnsi="Arial"/>
                <w:sz w:val="14"/>
                <w:szCs w:val="14"/>
                <w:b w:val="1"/>
                <w:bCs w:val="1"/>
                <w:color w:val="009FE3"/>
              </w:rPr>
              <w:t>Fiscal Year Ended</w:t>
            </w:r>
          </w:p>
        </w:tc>
      </w:tr>
      <w:tr>
        <w:trPr>
          <w:trHeight w:val="193"/>
        </w:trPr>
        <w:tc>
          <w:tcPr>
            <w:tcW w:w="4540" w:type="dxa"/>
            <w:vAlign w:val="bottom"/>
            <w:tcBorders>
              <w:bottom w:val="single" w:sz="8" w:color="009FE3"/>
              <w:right w:val="single" w:sz="8" w:color="E8EAEB"/>
            </w:tcBorders>
          </w:tcPr>
          <w:p>
            <w:pPr>
              <w:spacing w:after="0"/>
              <w:rPr>
                <w:sz w:val="16"/>
                <w:szCs w:val="16"/>
                <w:color w:val="auto"/>
              </w:rPr>
            </w:pPr>
          </w:p>
        </w:tc>
        <w:tc>
          <w:tcPr>
            <w:tcW w:w="1480" w:type="dxa"/>
            <w:vAlign w:val="bottom"/>
            <w:tcBorders>
              <w:bottom w:val="single" w:sz="8" w:color="009FE3"/>
              <w:right w:val="single" w:sz="8" w:color="E8EAEB"/>
            </w:tcBorders>
          </w:tcPr>
          <w:p>
            <w:pPr>
              <w:jc w:val="right"/>
              <w:ind w:right="190"/>
              <w:spacing w:after="0"/>
              <w:rPr>
                <w:sz w:val="20"/>
                <w:szCs w:val="20"/>
                <w:color w:val="auto"/>
              </w:rPr>
            </w:pPr>
            <w:r>
              <w:rPr>
                <w:rFonts w:ascii="Arial" w:cs="Arial" w:eastAsia="Arial" w:hAnsi="Arial"/>
                <w:sz w:val="14"/>
                <w:szCs w:val="14"/>
                <w:b w:val="1"/>
                <w:bCs w:val="1"/>
                <w:color w:val="009FE3"/>
              </w:rPr>
              <w:t>March 31, 2024</w:t>
            </w:r>
          </w:p>
        </w:tc>
        <w:tc>
          <w:tcPr>
            <w:tcW w:w="1500" w:type="dxa"/>
            <w:vAlign w:val="bottom"/>
            <w:tcBorders>
              <w:bottom w:val="single" w:sz="8" w:color="009FE3"/>
              <w:right w:val="single" w:sz="8" w:color="E8EAEB"/>
            </w:tcBorders>
          </w:tcPr>
          <w:p>
            <w:pPr>
              <w:jc w:val="right"/>
              <w:ind w:right="210"/>
              <w:spacing w:after="0"/>
              <w:rPr>
                <w:sz w:val="20"/>
                <w:szCs w:val="20"/>
                <w:color w:val="auto"/>
              </w:rPr>
            </w:pPr>
            <w:r>
              <w:rPr>
                <w:rFonts w:ascii="Arial" w:cs="Arial" w:eastAsia="Arial" w:hAnsi="Arial"/>
                <w:sz w:val="14"/>
                <w:szCs w:val="14"/>
                <w:b w:val="1"/>
                <w:bCs w:val="1"/>
                <w:color w:val="009FE3"/>
              </w:rPr>
              <w:t>March 31, 2023</w:t>
            </w:r>
          </w:p>
        </w:tc>
        <w:tc>
          <w:tcPr>
            <w:tcW w:w="1380" w:type="dxa"/>
            <w:vAlign w:val="bottom"/>
            <w:tcBorders>
              <w:bottom w:val="single" w:sz="8" w:color="009FE3"/>
              <w:right w:val="single" w:sz="8" w:color="E8EAEB"/>
            </w:tcBorders>
          </w:tcPr>
          <w:p>
            <w:pPr>
              <w:jc w:val="right"/>
              <w:ind w:right="150"/>
              <w:spacing w:after="0"/>
              <w:rPr>
                <w:sz w:val="20"/>
                <w:szCs w:val="20"/>
                <w:color w:val="auto"/>
              </w:rPr>
            </w:pPr>
            <w:r>
              <w:rPr>
                <w:rFonts w:ascii="Arial" w:cs="Arial" w:eastAsia="Arial" w:hAnsi="Arial"/>
                <w:sz w:val="14"/>
                <w:szCs w:val="14"/>
                <w:b w:val="1"/>
                <w:bCs w:val="1"/>
                <w:color w:val="009FE3"/>
              </w:rPr>
              <w:t>March 31, 2022</w:t>
            </w:r>
          </w:p>
        </w:tc>
        <w:tc>
          <w:tcPr>
            <w:tcW w:w="1400" w:type="dxa"/>
            <w:vAlign w:val="bottom"/>
            <w:tcBorders>
              <w:bottom w:val="single" w:sz="8" w:color="009FE3"/>
            </w:tcBorders>
          </w:tcPr>
          <w:p>
            <w:pPr>
              <w:jc w:val="right"/>
              <w:ind w:right="150"/>
              <w:spacing w:after="0"/>
              <w:rPr>
                <w:sz w:val="20"/>
                <w:szCs w:val="20"/>
                <w:color w:val="auto"/>
              </w:rPr>
            </w:pPr>
            <w:r>
              <w:rPr>
                <w:rFonts w:ascii="Arial" w:cs="Arial" w:eastAsia="Arial" w:hAnsi="Arial"/>
                <w:sz w:val="14"/>
                <w:szCs w:val="14"/>
                <w:b w:val="1"/>
                <w:bCs w:val="1"/>
                <w:color w:val="009FE3"/>
              </w:rPr>
              <w:t>March 31, 2021</w:t>
            </w:r>
          </w:p>
        </w:tc>
      </w:tr>
      <w:tr>
        <w:trPr>
          <w:trHeight w:val="216"/>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202E39"/>
              </w:rPr>
              <w:t>(In thousands)</w:t>
            </w:r>
          </w:p>
        </w:tc>
        <w:tc>
          <w:tcPr>
            <w:tcW w:w="1480" w:type="dxa"/>
            <w:vAlign w:val="bottom"/>
            <w:tcBorders>
              <w:right w:val="single" w:sz="8" w:color="E8EAEB"/>
            </w:tcBorders>
          </w:tcPr>
          <w:p>
            <w:pPr>
              <w:spacing w:after="0"/>
              <w:rPr>
                <w:sz w:val="18"/>
                <w:szCs w:val="18"/>
                <w:color w:val="auto"/>
              </w:rPr>
            </w:pPr>
          </w:p>
        </w:tc>
        <w:tc>
          <w:tcPr>
            <w:tcW w:w="1500" w:type="dxa"/>
            <w:vAlign w:val="bottom"/>
            <w:tcBorders>
              <w:right w:val="single" w:sz="8" w:color="E8EAEB"/>
            </w:tcBorders>
          </w:tcPr>
          <w:p>
            <w:pPr>
              <w:spacing w:after="0"/>
              <w:rPr>
                <w:sz w:val="18"/>
                <w:szCs w:val="18"/>
                <w:color w:val="auto"/>
              </w:rPr>
            </w:pPr>
          </w:p>
        </w:tc>
        <w:tc>
          <w:tcPr>
            <w:tcW w:w="1380" w:type="dxa"/>
            <w:vAlign w:val="bottom"/>
            <w:tcBorders>
              <w:right w:val="single" w:sz="8" w:color="E8EAEB"/>
            </w:tcBorders>
          </w:tcPr>
          <w:p>
            <w:pPr>
              <w:spacing w:after="0"/>
              <w:rPr>
                <w:sz w:val="18"/>
                <w:szCs w:val="18"/>
                <w:color w:val="auto"/>
              </w:rPr>
            </w:pPr>
          </w:p>
        </w:tc>
        <w:tc>
          <w:tcPr>
            <w:tcW w:w="1400" w:type="dxa"/>
            <w:vAlign w:val="bottom"/>
          </w:tcPr>
          <w:p>
            <w:pPr>
              <w:spacing w:after="0"/>
              <w:rPr>
                <w:sz w:val="18"/>
                <w:szCs w:val="18"/>
                <w:color w:val="auto"/>
              </w:rPr>
            </w:pPr>
          </w:p>
        </w:tc>
      </w:tr>
      <w:tr>
        <w:trPr>
          <w:trHeight w:val="27"/>
        </w:trPr>
        <w:tc>
          <w:tcPr>
            <w:tcW w:w="4540" w:type="dxa"/>
            <w:vAlign w:val="bottom"/>
            <w:tcBorders>
              <w:bottom w:val="single" w:sz="8" w:color="E8EAEB"/>
              <w:right w:val="single" w:sz="8" w:color="E8EAEB"/>
            </w:tcBorders>
          </w:tcPr>
          <w:p>
            <w:pPr>
              <w:spacing w:after="0"/>
              <w:rPr>
                <w:sz w:val="2"/>
                <w:szCs w:val="2"/>
                <w:color w:val="auto"/>
              </w:rPr>
            </w:pPr>
          </w:p>
        </w:tc>
        <w:tc>
          <w:tcPr>
            <w:tcW w:w="14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380" w:type="dxa"/>
            <w:vAlign w:val="bottom"/>
            <w:tcBorders>
              <w:bottom w:val="single" w:sz="8" w:color="E8EAEB"/>
              <w:right w:val="single" w:sz="8" w:color="E8EAEB"/>
            </w:tcBorders>
          </w:tcPr>
          <w:p>
            <w:pPr>
              <w:spacing w:after="0"/>
              <w:rPr>
                <w:sz w:val="2"/>
                <w:szCs w:val="2"/>
                <w:color w:val="auto"/>
              </w:rPr>
            </w:pPr>
          </w:p>
        </w:tc>
        <w:tc>
          <w:tcPr>
            <w:tcW w:w="1400" w:type="dxa"/>
            <w:vAlign w:val="bottom"/>
            <w:tcBorders>
              <w:bottom w:val="single" w:sz="8" w:color="E8EAEB"/>
            </w:tcBorders>
          </w:tcPr>
          <w:p>
            <w:pPr>
              <w:spacing w:after="0"/>
              <w:rPr>
                <w:sz w:val="2"/>
                <w:szCs w:val="2"/>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GAAP net income (loss) attributable to Viasat, Inc.</w:t>
            </w:r>
          </w:p>
        </w:tc>
        <w:tc>
          <w:tcPr>
            <w:tcW w:w="148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$(1,068,904)</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$ 1,084,806  </w:t>
            </w:r>
          </w:p>
        </w:tc>
        <w:tc>
          <w:tcPr>
            <w:tcW w:w="1380" w:type="dxa"/>
            <w:vAlign w:val="bottom"/>
            <w:tcBorders>
              <w:right w:val="single" w:sz="8" w:color="E8EAEB"/>
            </w:tcBorders>
          </w:tcPr>
          <w:p>
            <w:pPr>
              <w:jc w:val="right"/>
              <w:ind w:right="130"/>
              <w:spacing w:after="0"/>
              <w:rPr>
                <w:sz w:val="20"/>
                <w:szCs w:val="20"/>
                <w:color w:val="auto"/>
              </w:rPr>
            </w:pPr>
            <w:r>
              <w:rPr>
                <w:rFonts w:ascii="Arial" w:cs="Arial" w:eastAsia="Arial" w:hAnsi="Arial"/>
                <w:sz w:val="14"/>
                <w:szCs w:val="14"/>
                <w:color w:val="202E39"/>
              </w:rPr>
              <w:t>$ (15,534)</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    3,691</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Provision for (benefit from) income taxes</w:t>
            </w:r>
          </w:p>
        </w:tc>
        <w:tc>
          <w:tcPr>
            <w:tcW w:w="148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(140,052)</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474,574  </w:t>
            </w:r>
          </w:p>
        </w:tc>
        <w:tc>
          <w:tcPr>
            <w:tcW w:w="1380" w:type="dxa"/>
            <w:vAlign w:val="bottom"/>
            <w:tcBorders>
              <w:right w:val="single" w:sz="8" w:color="E8EAEB"/>
            </w:tcBorders>
          </w:tcPr>
          <w:p>
            <w:pPr>
              <w:jc w:val="right"/>
              <w:ind w:right="130"/>
              <w:spacing w:after="0"/>
              <w:rPr>
                <w:sz w:val="20"/>
                <w:szCs w:val="20"/>
                <w:color w:val="auto"/>
              </w:rPr>
            </w:pPr>
            <w:r>
              <w:rPr>
                <w:rFonts w:ascii="Arial" w:cs="Arial" w:eastAsia="Arial" w:hAnsi="Arial"/>
                <w:sz w:val="14"/>
                <w:szCs w:val="14"/>
                <w:color w:val="202E39"/>
              </w:rPr>
              <w:t>(14,237)</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9,441</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Interest expense (income), net</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304,140 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7,297  </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28,887 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32,247</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Depreciation and amortization</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1,157,524 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500,377  </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495,447 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397,102</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Stock-based compensation expense</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83,631 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84,459  </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86,808 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84,879</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Acquisition and transaction related expenses (1)</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157,579 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93,548  </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33,965 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3,328</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Gain on the Link-16 TDL Sale</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11,000  </w:t>
            </w:r>
          </w:p>
        </w:tc>
        <w:tc>
          <w:tcPr>
            <w:tcW w:w="1500" w:type="dxa"/>
            <w:vAlign w:val="bottom"/>
            <w:tcBorders>
              <w:right w:val="single" w:sz="8" w:color="E8EAEB"/>
            </w:tcBorders>
          </w:tcPr>
          <w:p>
            <w:pPr>
              <w:jc w:val="right"/>
              <w:ind w:right="130"/>
              <w:spacing w:after="0"/>
              <w:rPr>
                <w:sz w:val="20"/>
                <w:szCs w:val="20"/>
                <w:color w:val="auto"/>
              </w:rPr>
            </w:pPr>
            <w:r>
              <w:rPr>
                <w:rFonts w:ascii="Arial" w:cs="Arial" w:eastAsia="Arial" w:hAnsi="Arial"/>
                <w:sz w:val="14"/>
                <w:szCs w:val="14"/>
                <w:color w:val="202E39"/>
              </w:rPr>
              <w:t>(1,661,891)</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Other income, net</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380" w:type="dxa"/>
            <w:vAlign w:val="bottom"/>
            <w:tcBorders>
              <w:right w:val="single" w:sz="8" w:color="E8EAEB"/>
            </w:tcBorders>
          </w:tcPr>
          <w:p>
            <w:pPr>
              <w:jc w:val="right"/>
              <w:ind w:right="130"/>
              <w:spacing w:after="0"/>
              <w:rPr>
                <w:sz w:val="20"/>
                <w:szCs w:val="20"/>
                <w:color w:val="auto"/>
              </w:rPr>
            </w:pPr>
            <w:r>
              <w:rPr>
                <w:rFonts w:ascii="Arial" w:cs="Arial" w:eastAsia="Arial" w:hAnsi="Arial"/>
                <w:sz w:val="14"/>
                <w:szCs w:val="14"/>
                <w:color w:val="202E39"/>
              </w:rPr>
              <w:t>(4,118)</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w:t>
            </w:r>
          </w:p>
        </w:tc>
      </w:tr>
      <w:tr>
        <w:trPr>
          <w:trHeight w:val="35"/>
        </w:trPr>
        <w:tc>
          <w:tcPr>
            <w:tcW w:w="4540" w:type="dxa"/>
            <w:vAlign w:val="bottom"/>
            <w:tcBorders>
              <w:bottom w:val="single" w:sz="8" w:color="E8EAEB"/>
              <w:right w:val="single" w:sz="8" w:color="E8EAEB"/>
            </w:tcBorders>
          </w:tcPr>
          <w:p>
            <w:pPr>
              <w:spacing w:after="0"/>
              <w:rPr>
                <w:sz w:val="3"/>
                <w:szCs w:val="3"/>
                <w:color w:val="auto"/>
              </w:rPr>
            </w:pPr>
          </w:p>
        </w:tc>
        <w:tc>
          <w:tcPr>
            <w:tcW w:w="148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400" w:type="dxa"/>
            <w:vAlign w:val="bottom"/>
            <w:tcBorders>
              <w:bottom w:val="single" w:sz="8" w:color="E8EAEB"/>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Satellite impairment and related charges, net</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905,496 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w:t>
            </w:r>
          </w:p>
        </w:tc>
      </w:tr>
      <w:tr>
        <w:trPr>
          <w:trHeight w:val="35"/>
        </w:trPr>
        <w:tc>
          <w:tcPr>
            <w:tcW w:w="454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right w:val="single" w:sz="8" w:color="E8EAEB"/>
            </w:tcBorders>
          </w:tcPr>
          <w:p>
            <w:pPr>
              <w:spacing w:after="0"/>
              <w:rPr>
                <w:sz w:val="3"/>
                <w:szCs w:val="3"/>
                <w:color w:val="auto"/>
              </w:rPr>
            </w:pPr>
          </w:p>
        </w:tc>
        <w:tc>
          <w:tcPr>
            <w:tcW w:w="1500" w:type="dxa"/>
            <w:vAlign w:val="bottom"/>
            <w:tcBorders>
              <w:bottom w:val="single" w:sz="8" w:color="009FE3"/>
              <w:right w:val="single" w:sz="8" w:color="E8EAEB"/>
            </w:tcBorders>
          </w:tcPr>
          <w:p>
            <w:pPr>
              <w:spacing w:after="0"/>
              <w:rPr>
                <w:sz w:val="3"/>
                <w:szCs w:val="3"/>
                <w:color w:val="auto"/>
              </w:rPr>
            </w:pPr>
          </w:p>
        </w:tc>
        <w:tc>
          <w:tcPr>
            <w:tcW w:w="1380" w:type="dxa"/>
            <w:vAlign w:val="bottom"/>
            <w:tcBorders>
              <w:bottom w:val="single" w:sz="8" w:color="009FE3"/>
              <w:right w:val="single" w:sz="8" w:color="E8EAEB"/>
            </w:tcBorders>
          </w:tcPr>
          <w:p>
            <w:pPr>
              <w:spacing w:after="0"/>
              <w:rPr>
                <w:sz w:val="3"/>
                <w:szCs w:val="3"/>
                <w:color w:val="auto"/>
              </w:rPr>
            </w:pPr>
          </w:p>
        </w:tc>
        <w:tc>
          <w:tcPr>
            <w:tcW w:w="1400" w:type="dxa"/>
            <w:vAlign w:val="bottom"/>
            <w:tcBorders>
              <w:bottom w:val="single" w:sz="8" w:color="009FE3"/>
            </w:tcBorders>
          </w:tcPr>
          <w:p>
            <w:pPr>
              <w:spacing w:after="0"/>
              <w:rPr>
                <w:sz w:val="3"/>
                <w:szCs w:val="3"/>
                <w:color w:val="auto"/>
              </w:rPr>
            </w:pPr>
          </w:p>
        </w:tc>
      </w:tr>
      <w:tr>
        <w:trPr>
          <w:trHeight w:val="208"/>
        </w:trPr>
        <w:tc>
          <w:tcPr>
            <w:tcW w:w="45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Adjusted EBITDA (2)</w:t>
            </w:r>
          </w:p>
        </w:tc>
        <w:tc>
          <w:tcPr>
            <w:tcW w:w="14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$ 1,410,414  </w:t>
            </w:r>
          </w:p>
        </w:tc>
        <w:tc>
          <w:tcPr>
            <w:tcW w:w="150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    583,170  </w:t>
            </w:r>
          </w:p>
        </w:tc>
        <w:tc>
          <w:tcPr>
            <w:tcW w:w="1380" w:type="dxa"/>
            <w:vAlign w:val="bottom"/>
            <w:tcBorders>
              <w:right w:val="single" w:sz="8" w:color="E8EAEB"/>
            </w:tcBorders>
          </w:tcPr>
          <w:p>
            <w:pPr>
              <w:jc w:val="right"/>
              <w:ind w:right="90"/>
              <w:spacing w:after="0"/>
              <w:rPr>
                <w:sz w:val="20"/>
                <w:szCs w:val="20"/>
                <w:color w:val="auto"/>
              </w:rPr>
            </w:pPr>
            <w:r>
              <w:rPr>
                <w:rFonts w:ascii="Arial" w:cs="Arial" w:eastAsia="Arial" w:hAnsi="Arial"/>
                <w:sz w:val="14"/>
                <w:szCs w:val="14"/>
                <w:color w:val="202E39"/>
              </w:rPr>
              <w:t>$611,218  </w:t>
            </w:r>
          </w:p>
        </w:tc>
        <w:tc>
          <w:tcPr>
            <w:tcW w:w="1400" w:type="dxa"/>
            <w:vAlign w:val="bottom"/>
          </w:tcPr>
          <w:p>
            <w:pPr>
              <w:jc w:val="right"/>
              <w:ind w:right="110"/>
              <w:spacing w:after="0"/>
              <w:rPr>
                <w:sz w:val="20"/>
                <w:szCs w:val="20"/>
                <w:color w:val="auto"/>
              </w:rPr>
            </w:pPr>
            <w:r>
              <w:rPr>
                <w:rFonts w:ascii="Arial" w:cs="Arial" w:eastAsia="Arial" w:hAnsi="Arial"/>
                <w:sz w:val="14"/>
                <w:szCs w:val="14"/>
                <w:color w:val="202E39"/>
              </w:rPr>
              <w:t>$530,688</w:t>
            </w:r>
          </w:p>
        </w:tc>
      </w:tr>
      <w:tr>
        <w:trPr>
          <w:trHeight w:val="35"/>
        </w:trPr>
        <w:tc>
          <w:tcPr>
            <w:tcW w:w="454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right w:val="single" w:sz="8" w:color="E8EAEB"/>
            </w:tcBorders>
          </w:tcPr>
          <w:p>
            <w:pPr>
              <w:spacing w:after="0"/>
              <w:rPr>
                <w:sz w:val="3"/>
                <w:szCs w:val="3"/>
                <w:color w:val="auto"/>
              </w:rPr>
            </w:pPr>
          </w:p>
        </w:tc>
        <w:tc>
          <w:tcPr>
            <w:tcW w:w="1500" w:type="dxa"/>
            <w:vAlign w:val="bottom"/>
            <w:tcBorders>
              <w:bottom w:val="single" w:sz="8" w:color="009FE3"/>
              <w:right w:val="single" w:sz="8" w:color="E8EAEB"/>
            </w:tcBorders>
          </w:tcPr>
          <w:p>
            <w:pPr>
              <w:spacing w:after="0"/>
              <w:rPr>
                <w:sz w:val="3"/>
                <w:szCs w:val="3"/>
                <w:color w:val="auto"/>
              </w:rPr>
            </w:pPr>
          </w:p>
        </w:tc>
        <w:tc>
          <w:tcPr>
            <w:tcW w:w="1380" w:type="dxa"/>
            <w:vAlign w:val="bottom"/>
            <w:tcBorders>
              <w:bottom w:val="single" w:sz="8" w:color="009FE3"/>
              <w:right w:val="single" w:sz="8" w:color="E8EAEB"/>
            </w:tcBorders>
          </w:tcPr>
          <w:p>
            <w:pPr>
              <w:spacing w:after="0"/>
              <w:rPr>
                <w:sz w:val="3"/>
                <w:szCs w:val="3"/>
                <w:color w:val="auto"/>
              </w:rPr>
            </w:pPr>
          </w:p>
        </w:tc>
        <w:tc>
          <w:tcPr>
            <w:tcW w:w="1400" w:type="dxa"/>
            <w:vAlign w:val="bottom"/>
            <w:tcBorders>
              <w:bottom w:val="single" w:sz="8" w:color="009FE3"/>
            </w:tcBorders>
          </w:tcPr>
          <w:p>
            <w:pPr>
              <w:spacing w:after="0"/>
              <w:rPr>
                <w:sz w:val="3"/>
                <w:szCs w:val="3"/>
                <w:color w:val="auto"/>
              </w:rPr>
            </w:pPr>
          </w:p>
        </w:tc>
      </w:tr>
    </w:tbl>
    <w:p>
      <w:pPr>
        <w:spacing w:after="0" w:line="109" w:lineRule="exact"/>
        <w:rPr>
          <w:sz w:val="20"/>
          <w:szCs w:val="20"/>
          <w:color w:val="auto"/>
        </w:rPr>
      </w:pPr>
    </w:p>
    <w:p>
      <w:pPr>
        <w:ind w:left="1000" w:hanging="318"/>
        <w:spacing w:after="0"/>
        <w:tabs>
          <w:tab w:leader="none" w:pos="1000" w:val="left"/>
        </w:tabs>
        <w:numPr>
          <w:ilvl w:val="1"/>
          <w:numId w:val="65"/>
        </w:numPr>
        <w:rPr>
          <w:rFonts w:ascii="Arial" w:cs="Arial" w:eastAsia="Arial" w:hAnsi="Arial"/>
          <w:sz w:val="14"/>
          <w:szCs w:val="14"/>
          <w:color w:val="202E39"/>
        </w:rPr>
      </w:pPr>
      <w:r>
        <w:rPr>
          <w:rFonts w:ascii="Arial" w:cs="Arial" w:eastAsia="Arial" w:hAnsi="Arial"/>
          <w:sz w:val="14"/>
          <w:szCs w:val="14"/>
          <w:color w:val="202E39"/>
        </w:rPr>
        <w:t>Costs typically consist of acquisition, integration, and disposition related costs.</w:t>
      </w:r>
    </w:p>
    <w:p>
      <w:pPr>
        <w:spacing w:after="0" w:line="115" w:lineRule="exact"/>
        <w:rPr>
          <w:rFonts w:ascii="Arial" w:cs="Arial" w:eastAsia="Arial" w:hAnsi="Arial"/>
          <w:sz w:val="14"/>
          <w:szCs w:val="14"/>
          <w:color w:val="202E39"/>
        </w:rPr>
      </w:pPr>
    </w:p>
    <w:p>
      <w:pPr>
        <w:ind w:left="1000" w:hanging="318"/>
        <w:spacing w:after="0"/>
        <w:tabs>
          <w:tab w:leader="none" w:pos="1000" w:val="left"/>
        </w:tabs>
        <w:numPr>
          <w:ilvl w:val="1"/>
          <w:numId w:val="65"/>
        </w:numPr>
        <w:rPr>
          <w:rFonts w:ascii="Arial" w:cs="Arial" w:eastAsia="Arial" w:hAnsi="Arial"/>
          <w:sz w:val="14"/>
          <w:szCs w:val="14"/>
          <w:color w:val="202E39"/>
        </w:rPr>
      </w:pPr>
      <w:r>
        <w:rPr>
          <w:rFonts w:ascii="Arial" w:cs="Arial" w:eastAsia="Arial" w:hAnsi="Arial"/>
          <w:sz w:val="14"/>
          <w:szCs w:val="14"/>
          <w:color w:val="202E39"/>
        </w:rPr>
        <w:t>Amount includes both continuing and discontinued operations</w:t>
      </w:r>
      <w:r>
        <w:rPr>
          <w:rFonts w:ascii="Arial" w:cs="Arial" w:eastAsia="Arial" w:hAnsi="Arial"/>
          <w:sz w:val="14"/>
          <w:szCs w:val="14"/>
          <w:b w:val="1"/>
          <w:bCs w:val="1"/>
          <w:color w:val="202E39"/>
        </w:rPr>
        <w:t>,</w:t>
      </w:r>
      <w:r>
        <w:rPr>
          <w:rFonts w:ascii="Arial" w:cs="Arial" w:eastAsia="Arial" w:hAnsi="Arial"/>
          <w:sz w:val="14"/>
          <w:szCs w:val="14"/>
          <w:color w:val="202E39"/>
        </w:rPr>
        <w:t xml:space="preserve"> excluding the fourth quarter of fiscal year 2023 gain on the Link-16 TDL Sale.</w:t>
      </w:r>
    </w:p>
    <w:p>
      <w:pPr>
        <w:spacing w:after="0" w:line="115" w:lineRule="exact"/>
        <w:rPr>
          <w:rFonts w:ascii="Arial" w:cs="Arial" w:eastAsia="Arial" w:hAnsi="Arial"/>
          <w:sz w:val="14"/>
          <w:szCs w:val="14"/>
          <w:color w:val="202E39"/>
        </w:rPr>
      </w:pPr>
    </w:p>
    <w:p>
      <w:pPr>
        <w:jc w:val="both"/>
        <w:ind w:left="680" w:right="640" w:hanging="419"/>
        <w:spacing w:after="0" w:line="252" w:lineRule="auto"/>
        <w:tabs>
          <w:tab w:leader="none" w:pos="680" w:val="left"/>
        </w:tabs>
        <w:numPr>
          <w:ilvl w:val="0"/>
          <w:numId w:val="66"/>
        </w:numPr>
        <w:rPr>
          <w:rFonts w:ascii="Arial" w:cs="Arial" w:eastAsia="Arial" w:hAnsi="Arial"/>
          <w:sz w:val="14"/>
          <w:szCs w:val="14"/>
          <w:color w:val="202E39"/>
        </w:rPr>
      </w:pPr>
      <w:r>
        <w:rPr>
          <w:rFonts w:ascii="Arial" w:cs="Arial" w:eastAsia="Arial" w:hAnsi="Arial"/>
          <w:sz w:val="14"/>
          <w:szCs w:val="14"/>
          <w:color w:val="202E39"/>
        </w:rPr>
        <w:t>Adjusted EBITDA for fiscal years 2024, 2023, 2022, and 2021 includes adjustments attributable to the Link-16 TDL Business, which was sold to L3 Harris on January 3, 2023. Adjusted EBITDA from continuing operations, which would have excluded this business, would have been $1,410.4 million, $501.1 million, $475.8 million, and $413.8 million for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76200</wp:posOffset>
            </wp:positionV>
            <wp:extent cx="425450" cy="150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58       </w:t>
      </w:r>
    </w:p>
    <w:p>
      <w:pPr>
        <w:sectPr>
          <w:pgSz w:w="11900" w:h="16838" w:orient="portrait"/>
          <w:cols w:equalWidth="0" w:num="1">
            <w:col w:w="11000"/>
          </w:cols>
          <w:pgMar w:left="320" w:top="474" w:right="5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73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Pay Versus Performance</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Relationship Between Financial Performance Measures</w:t>
      </w:r>
    </w:p>
    <w:p>
      <w:pPr>
        <w:spacing w:after="0" w:line="108"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202E39"/>
        </w:rPr>
        <w:t>The graphs below compare the compensation actually paid to our PEO(s) and the average of the compensation actually paid to our remaining NEOs, with our (i) cumulative TSR, (ii) Peer Group TSR, (iii) net income (loss), and (iv) Adjusted EBITDA, in each case, for the fiscal years ended March 31, 2021, 2022, 2023 and 2024.</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158115</wp:posOffset>
            </wp:positionV>
            <wp:extent cx="2929255" cy="56502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29255" cy="565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59</w:t>
      </w:r>
    </w:p>
    <w:p>
      <w:pPr>
        <w:sectPr>
          <w:pgSz w:w="11900" w:h="16838" w:orient="portrait"/>
          <w:cols w:equalWidth="0" w:num="1">
            <w:col w:w="10980"/>
          </w:cols>
          <w:pgMar w:left="320" w:top="474" w:right="5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Pay Versus Performance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Pay Versus Performance Tabular List</w:t>
      </w:r>
    </w:p>
    <w:p>
      <w:pPr>
        <w:spacing w:after="0" w:line="108" w:lineRule="exact"/>
        <w:rPr>
          <w:sz w:val="20"/>
          <w:szCs w:val="20"/>
          <w:color w:val="auto"/>
        </w:rPr>
      </w:pPr>
    </w:p>
    <w:p>
      <w:pPr>
        <w:ind w:left="260" w:right="160"/>
        <w:spacing w:after="0" w:line="269" w:lineRule="auto"/>
        <w:rPr>
          <w:sz w:val="20"/>
          <w:szCs w:val="20"/>
          <w:color w:val="auto"/>
        </w:rPr>
      </w:pPr>
      <w:r>
        <w:rPr>
          <w:rFonts w:ascii="Arial" w:cs="Arial" w:eastAsia="Arial" w:hAnsi="Arial"/>
          <w:sz w:val="16"/>
          <w:szCs w:val="16"/>
          <w:color w:val="202E39"/>
        </w:rPr>
        <w:t>We believe the following performance measures represent the most important financial performance measures used by us to link compensation actually paid to our NEOs for the fiscal year ended March 31, 2024:</w:t>
      </w:r>
    </w:p>
    <w:p>
      <w:pPr>
        <w:spacing w:after="0" w:line="74" w:lineRule="exact"/>
        <w:rPr>
          <w:sz w:val="20"/>
          <w:szCs w:val="20"/>
          <w:color w:val="auto"/>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Revenue</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Adjusted EBITDA</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TSR Relative to the S&amp;P MidCap 400 Index</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Non-GAAP Diluted Net Income (Loss) Per Share</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New Contract Awards</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Net Operating Asset Turnover</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67"/>
        </w:numPr>
        <w:rPr>
          <w:rFonts w:ascii="Arial" w:cs="Arial" w:eastAsia="Arial" w:hAnsi="Arial"/>
          <w:sz w:val="16"/>
          <w:szCs w:val="16"/>
          <w:color w:val="009FE3"/>
        </w:rPr>
      </w:pPr>
      <w:r>
        <w:rPr>
          <w:rFonts w:ascii="Arial" w:cs="Arial" w:eastAsia="Arial" w:hAnsi="Arial"/>
          <w:sz w:val="16"/>
          <w:szCs w:val="16"/>
          <w:color w:val="202E39"/>
        </w:rPr>
        <w:t>Stock Price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Policies and Practices Related to the Timing of Grants of Certain Equity Awards</w:t>
      </w:r>
    </w:p>
    <w:p>
      <w:pPr>
        <w:spacing w:after="0" w:line="124" w:lineRule="exact"/>
        <w:rPr>
          <w:sz w:val="20"/>
          <w:szCs w:val="20"/>
          <w:color w:val="auto"/>
        </w:rPr>
      </w:pPr>
    </w:p>
    <w:p>
      <w:pPr>
        <w:ind w:left="260" w:right="100"/>
        <w:spacing w:after="0" w:line="249" w:lineRule="auto"/>
        <w:rPr>
          <w:sz w:val="20"/>
          <w:szCs w:val="20"/>
          <w:color w:val="auto"/>
        </w:rPr>
      </w:pPr>
      <w:r>
        <w:rPr>
          <w:rFonts w:ascii="Arial" w:cs="Arial" w:eastAsia="Arial" w:hAnsi="Arial"/>
          <w:sz w:val="16"/>
          <w:szCs w:val="16"/>
          <w:color w:val="202E39"/>
        </w:rPr>
        <w:t>Grant approval for executive officers occurs at regularly scheduled meetings of the Committee. The timing of grants is not coordinated with the release of material non-public information, and the Committee does not take material nonpublic information into account when determining the timing and terms of awards. Stock option awards are priced at fair market value on the date of grant (as defined under our equity plan) and awards of restricted stock units are also made in accordance with the terms of our equity plan.</w:t>
      </w:r>
    </w:p>
    <w:p>
      <w:pPr>
        <w:spacing w:after="0" w:line="78" w:lineRule="exact"/>
        <w:rPr>
          <w:sz w:val="20"/>
          <w:szCs w:val="20"/>
          <w:color w:val="auto"/>
        </w:rPr>
      </w:pPr>
    </w:p>
    <w:p>
      <w:pPr>
        <w:ind w:left="260" w:right="60"/>
        <w:spacing w:after="0" w:line="247" w:lineRule="auto"/>
        <w:rPr>
          <w:sz w:val="20"/>
          <w:szCs w:val="20"/>
          <w:color w:val="auto"/>
        </w:rPr>
      </w:pPr>
      <w:r>
        <w:rPr>
          <w:rFonts w:ascii="Arial" w:cs="Arial" w:eastAsia="Arial" w:hAnsi="Arial"/>
          <w:sz w:val="16"/>
          <w:szCs w:val="16"/>
          <w:color w:val="202E39"/>
        </w:rPr>
        <w:t>In addition to grants made as part of our annual equity grant process for our current employees, grants may also be made during the year to newly hired employees as part of the in-hire compensation package, as well as to existing employees for purposes of retention, as part of a special incentive program or in recognition of special achievements. In the event of newly hired employees or retention and recognition awards to existing employees, those grants are generally made once per quarter. Any such grants to executive officers are generally approved at regularly scheduled meetings of the Committee or the Board, except under extraordinary circumstances.</w:t>
      </w:r>
    </w:p>
    <w:p>
      <w:pPr>
        <w:spacing w:after="0" w:line="78" w:lineRule="exact"/>
        <w:rPr>
          <w:sz w:val="20"/>
          <w:szCs w:val="20"/>
          <w:color w:val="auto"/>
        </w:rPr>
      </w:pPr>
    </w:p>
    <w:p>
      <w:pPr>
        <w:ind w:left="260" w:right="20"/>
        <w:spacing w:after="0" w:line="269" w:lineRule="auto"/>
        <w:rPr>
          <w:sz w:val="20"/>
          <w:szCs w:val="20"/>
          <w:color w:val="auto"/>
        </w:rPr>
      </w:pPr>
      <w:r>
        <w:rPr>
          <w:rFonts w:ascii="Arial" w:cs="Arial" w:eastAsia="Arial" w:hAnsi="Arial"/>
          <w:sz w:val="16"/>
          <w:szCs w:val="16"/>
          <w:color w:val="202E39"/>
        </w:rPr>
        <w:t>We do not grant “re-load” options, make loans to executive officers for any purpose, including to exercise stock options, nor do we grant stock options at a discount.</w:t>
      </w:r>
    </w:p>
    <w:p>
      <w:pPr>
        <w:spacing w:after="0" w:line="61" w:lineRule="exact"/>
        <w:rPr>
          <w:sz w:val="20"/>
          <w:szCs w:val="20"/>
          <w:color w:val="auto"/>
        </w:rPr>
      </w:pPr>
    </w:p>
    <w:p>
      <w:pPr>
        <w:ind w:left="260" w:right="220"/>
        <w:spacing w:after="0" w:line="254" w:lineRule="auto"/>
        <w:rPr>
          <w:sz w:val="20"/>
          <w:szCs w:val="20"/>
          <w:color w:val="auto"/>
        </w:rPr>
      </w:pPr>
      <w:r>
        <w:rPr>
          <w:rFonts w:ascii="Arial" w:cs="Arial" w:eastAsia="Arial" w:hAnsi="Arial"/>
          <w:sz w:val="16"/>
          <w:szCs w:val="16"/>
          <w:color w:val="202E39"/>
        </w:rPr>
        <w:t>The following table sets forth information regarding option grants made to the Named Executive Officers during fiscal year 2024 within the period commencing four business days prior to and ending one business day following the filing by the company of a Form 10-K, 10-Q or Form 8-K containing material non-public information as required under Item 4.02(x) of Regulation S-K:</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340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220" w:type="dxa"/>
            <w:vAlign w:val="bottom"/>
            <w:tcBorders>
              <w:top w:val="single" w:sz="8" w:color="E8EAEB"/>
              <w:right w:val="single" w:sz="8" w:color="E8EAEB"/>
            </w:tcBorders>
          </w:tcPr>
          <w:p>
            <w:pPr>
              <w:spacing w:after="0"/>
              <w:rPr>
                <w:sz w:val="17"/>
                <w:szCs w:val="17"/>
                <w:color w:val="auto"/>
              </w:rPr>
            </w:pPr>
          </w:p>
        </w:tc>
        <w:tc>
          <w:tcPr>
            <w:tcW w:w="120" w:type="dxa"/>
            <w:vAlign w:val="bottom"/>
            <w:tcBorders>
              <w:top w:val="single" w:sz="8" w:color="E8EAEB"/>
            </w:tcBorders>
          </w:tcPr>
          <w:p>
            <w:pPr>
              <w:spacing w:after="0"/>
              <w:rPr>
                <w:sz w:val="17"/>
                <w:szCs w:val="17"/>
                <w:color w:val="auto"/>
              </w:rPr>
            </w:pPr>
          </w:p>
        </w:tc>
        <w:tc>
          <w:tcPr>
            <w:tcW w:w="800" w:type="dxa"/>
            <w:vAlign w:val="bottom"/>
            <w:tcBorders>
              <w:top w:val="single" w:sz="8" w:color="E8EAEB"/>
              <w:right w:val="single" w:sz="8" w:color="E8EAEB"/>
            </w:tcBorders>
          </w:tcPr>
          <w:p>
            <w:pPr>
              <w:spacing w:after="0"/>
              <w:rPr>
                <w:sz w:val="17"/>
                <w:szCs w:val="17"/>
                <w:color w:val="auto"/>
              </w:rPr>
            </w:pPr>
          </w:p>
        </w:tc>
        <w:tc>
          <w:tcPr>
            <w:tcW w:w="1120" w:type="dxa"/>
            <w:vAlign w:val="bottom"/>
            <w:tcBorders>
              <w:top w:val="single" w:sz="8" w:color="E8EAEB"/>
              <w:right w:val="single" w:sz="8" w:color="E8EAEB"/>
            </w:tcBorders>
          </w:tcPr>
          <w:p>
            <w:pPr>
              <w:spacing w:after="0"/>
              <w:rPr>
                <w:sz w:val="17"/>
                <w:szCs w:val="17"/>
                <w:color w:val="auto"/>
              </w:rPr>
            </w:pPr>
          </w:p>
        </w:tc>
        <w:tc>
          <w:tcPr>
            <w:tcW w:w="302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Percentage Increase (Decrease) in the</w:t>
            </w:r>
          </w:p>
        </w:tc>
      </w:tr>
      <w:tr>
        <w:trPr>
          <w:trHeight w:val="158"/>
        </w:trPr>
        <w:tc>
          <w:tcPr>
            <w:tcW w:w="34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Closing Market Price of the Securities</w:t>
            </w:r>
          </w:p>
        </w:tc>
      </w:tr>
      <w:tr>
        <w:trPr>
          <w:trHeight w:val="158"/>
        </w:trPr>
        <w:tc>
          <w:tcPr>
            <w:tcW w:w="34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Underlying the Award between the</w:t>
            </w:r>
          </w:p>
        </w:tc>
      </w:tr>
      <w:tr>
        <w:trPr>
          <w:trHeight w:val="158"/>
        </w:trPr>
        <w:tc>
          <w:tcPr>
            <w:tcW w:w="34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ind w:left="20"/>
              <w:spacing w:after="0" w:line="158" w:lineRule="exact"/>
              <w:rPr>
                <w:sz w:val="20"/>
                <w:szCs w:val="20"/>
                <w:color w:val="auto"/>
              </w:rPr>
            </w:pPr>
            <w:r>
              <w:rPr>
                <w:rFonts w:ascii="Arial" w:cs="Arial" w:eastAsia="Arial" w:hAnsi="Arial"/>
                <w:sz w:val="14"/>
                <w:szCs w:val="14"/>
                <w:b w:val="1"/>
                <w:bCs w:val="1"/>
                <w:color w:val="009FE3"/>
              </w:rPr>
              <w:t>   Trading Day Ending Immediately Prior to</w:t>
            </w:r>
          </w:p>
        </w:tc>
      </w:tr>
      <w:tr>
        <w:trPr>
          <w:trHeight w:val="158"/>
        </w:trPr>
        <w:tc>
          <w:tcPr>
            <w:tcW w:w="34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8"/>
                <w:szCs w:val="8"/>
                <w:b w:val="1"/>
                <w:bCs w:val="1"/>
                <w:color w:val="009FE3"/>
                <w:w w:val="74"/>
              </w:rPr>
              <w:t> </w:t>
            </w:r>
          </w:p>
        </w:tc>
        <w:tc>
          <w:tcPr>
            <w:tcW w:w="80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7"/>
              </w:rPr>
              <w:t>Exercise</w:t>
            </w:r>
          </w:p>
        </w:tc>
        <w:tc>
          <w:tcPr>
            <w:tcW w:w="1120" w:type="dxa"/>
            <w:vAlign w:val="bottom"/>
            <w:tcBorders>
              <w:right w:val="single" w:sz="8" w:color="E8EAEB"/>
            </w:tcBorders>
          </w:tcPr>
          <w:p>
            <w:pPr>
              <w:spacing w:after="0"/>
              <w:rPr>
                <w:sz w:val="13"/>
                <w:szCs w:val="13"/>
                <w:color w:val="auto"/>
              </w:rPr>
            </w:pPr>
          </w:p>
        </w:tc>
        <w:tc>
          <w:tcPr>
            <w:tcW w:w="30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9"/>
              </w:rPr>
              <w:t>the Disclosure of Material Nonpublic</w:t>
            </w:r>
          </w:p>
        </w:tc>
      </w:tr>
      <w:tr>
        <w:trPr>
          <w:trHeight w:val="158"/>
        </w:trPr>
        <w:tc>
          <w:tcPr>
            <w:tcW w:w="34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Number of</w:t>
            </w:r>
          </w:p>
        </w:tc>
        <w:tc>
          <w:tcPr>
            <w:tcW w:w="120" w:type="dxa"/>
            <w:vAlign w:val="bottom"/>
          </w:tcPr>
          <w:p>
            <w:pPr>
              <w:spacing w:after="0"/>
              <w:rPr>
                <w:sz w:val="13"/>
                <w:szCs w:val="13"/>
                <w:color w:val="auto"/>
              </w:rPr>
            </w:pPr>
          </w:p>
        </w:tc>
        <w:tc>
          <w:tcPr>
            <w:tcW w:w="80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rPr>
              <w:t>Price of</w:t>
            </w:r>
          </w:p>
        </w:tc>
        <w:tc>
          <w:tcPr>
            <w:tcW w:w="1120" w:type="dxa"/>
            <w:vAlign w:val="bottom"/>
            <w:tcBorders>
              <w:right w:val="single" w:sz="8" w:color="E8EAEB"/>
            </w:tcBorders>
          </w:tcPr>
          <w:p>
            <w:pPr>
              <w:jc w:val="right"/>
              <w:ind w:right="170"/>
              <w:spacing w:after="0" w:line="158" w:lineRule="exact"/>
              <w:rPr>
                <w:sz w:val="20"/>
                <w:szCs w:val="20"/>
                <w:color w:val="auto"/>
              </w:rPr>
            </w:pPr>
            <w:r>
              <w:rPr>
                <w:rFonts w:ascii="Arial" w:cs="Arial" w:eastAsia="Arial" w:hAnsi="Arial"/>
                <w:sz w:val="14"/>
                <w:szCs w:val="14"/>
                <w:b w:val="1"/>
                <w:bCs w:val="1"/>
                <w:color w:val="009FE3"/>
                <w:w w:val="92"/>
              </w:rPr>
              <w:t>   Grant Date</w:t>
            </w:r>
          </w:p>
        </w:tc>
        <w:tc>
          <w:tcPr>
            <w:tcW w:w="30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9"/>
              </w:rPr>
              <w:t>Information and the Trading Day</w:t>
            </w:r>
          </w:p>
        </w:tc>
      </w:tr>
      <w:tr>
        <w:trPr>
          <w:trHeight w:val="158"/>
        </w:trPr>
        <w:tc>
          <w:tcPr>
            <w:tcW w:w="3400" w:type="dxa"/>
            <w:vAlign w:val="bottom"/>
            <w:tcBorders>
              <w:right w:val="single" w:sz="8" w:color="E8EAEB"/>
            </w:tcBorders>
          </w:tcPr>
          <w:p>
            <w:pPr>
              <w:spacing w:after="0"/>
              <w:rPr>
                <w:sz w:val="13"/>
                <w:szCs w:val="13"/>
                <w:color w:val="auto"/>
              </w:rPr>
            </w:pP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Securities</w:t>
            </w:r>
          </w:p>
        </w:tc>
        <w:tc>
          <w:tcPr>
            <w:tcW w:w="120" w:type="dxa"/>
            <w:vAlign w:val="bottom"/>
          </w:tcPr>
          <w:p>
            <w:pPr>
              <w:spacing w:after="0"/>
              <w:rPr>
                <w:sz w:val="13"/>
                <w:szCs w:val="13"/>
                <w:color w:val="auto"/>
              </w:rPr>
            </w:pPr>
          </w:p>
        </w:tc>
        <w:tc>
          <w:tcPr>
            <w:tcW w:w="80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w w:val="95"/>
              </w:rPr>
              <w:t>the</w:t>
            </w:r>
          </w:p>
        </w:tc>
        <w:tc>
          <w:tcPr>
            <w:tcW w:w="1120" w:type="dxa"/>
            <w:vAlign w:val="bottom"/>
            <w:tcBorders>
              <w:right w:val="single" w:sz="8" w:color="E8EAEB"/>
            </w:tcBorders>
          </w:tcPr>
          <w:p>
            <w:pPr>
              <w:jc w:val="right"/>
              <w:ind w:right="190"/>
              <w:spacing w:after="0" w:line="158" w:lineRule="exact"/>
              <w:rPr>
                <w:sz w:val="20"/>
                <w:szCs w:val="20"/>
                <w:color w:val="auto"/>
              </w:rPr>
            </w:pPr>
            <w:r>
              <w:rPr>
                <w:rFonts w:ascii="Arial" w:cs="Arial" w:eastAsia="Arial" w:hAnsi="Arial"/>
                <w:sz w:val="14"/>
                <w:szCs w:val="14"/>
                <w:b w:val="1"/>
                <w:bCs w:val="1"/>
                <w:color w:val="009FE3"/>
              </w:rPr>
              <w:t>Fair Value</w:t>
            </w:r>
          </w:p>
        </w:tc>
        <w:tc>
          <w:tcPr>
            <w:tcW w:w="30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Beginning Immediately Following the</w:t>
            </w:r>
          </w:p>
        </w:tc>
      </w:tr>
      <w:tr>
        <w:trPr>
          <w:trHeight w:val="158"/>
        </w:trPr>
        <w:tc>
          <w:tcPr>
            <w:tcW w:w="3400" w:type="dxa"/>
            <w:vAlign w:val="bottom"/>
            <w:tcBorders>
              <w:right w:val="single" w:sz="8" w:color="E8EAEB"/>
            </w:tcBorders>
          </w:tcPr>
          <w:p>
            <w:pPr>
              <w:ind w:left="80"/>
              <w:spacing w:after="0" w:line="158" w:lineRule="exact"/>
              <w:rPr>
                <w:sz w:val="20"/>
                <w:szCs w:val="20"/>
                <w:color w:val="auto"/>
              </w:rPr>
            </w:pPr>
            <w:r>
              <w:rPr>
                <w:rFonts w:ascii="Arial" w:cs="Arial" w:eastAsia="Arial" w:hAnsi="Arial"/>
                <w:sz w:val="14"/>
                <w:szCs w:val="14"/>
                <w:b w:val="1"/>
                <w:bCs w:val="1"/>
                <w:color w:val="009FE3"/>
              </w:rPr>
              <w:t>Name and</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Underlying</w:t>
            </w:r>
          </w:p>
        </w:tc>
        <w:tc>
          <w:tcPr>
            <w:tcW w:w="120" w:type="dxa"/>
            <w:vAlign w:val="bottom"/>
          </w:tcPr>
          <w:p>
            <w:pPr>
              <w:spacing w:after="0"/>
              <w:rPr>
                <w:sz w:val="13"/>
                <w:szCs w:val="13"/>
                <w:color w:val="auto"/>
              </w:rPr>
            </w:pPr>
          </w:p>
        </w:tc>
        <w:tc>
          <w:tcPr>
            <w:tcW w:w="800" w:type="dxa"/>
            <w:vAlign w:val="bottom"/>
            <w:tcBorders>
              <w:right w:val="single" w:sz="8" w:color="E8EAEB"/>
            </w:tcBorders>
          </w:tcPr>
          <w:p>
            <w:pPr>
              <w:jc w:val="center"/>
              <w:ind w:right="50"/>
              <w:spacing w:after="0" w:line="158" w:lineRule="exact"/>
              <w:rPr>
                <w:sz w:val="20"/>
                <w:szCs w:val="20"/>
                <w:color w:val="auto"/>
              </w:rPr>
            </w:pPr>
            <w:r>
              <w:rPr>
                <w:rFonts w:ascii="Arial" w:cs="Arial" w:eastAsia="Arial" w:hAnsi="Arial"/>
                <w:sz w:val="14"/>
                <w:szCs w:val="14"/>
                <w:b w:val="1"/>
                <w:bCs w:val="1"/>
                <w:color w:val="009FE3"/>
              </w:rPr>
              <w:t>Award</w:t>
            </w:r>
          </w:p>
        </w:tc>
        <w:tc>
          <w:tcPr>
            <w:tcW w:w="1120" w:type="dxa"/>
            <w:vAlign w:val="bottom"/>
            <w:tcBorders>
              <w:right w:val="single" w:sz="8" w:color="E8EAEB"/>
            </w:tcBorders>
          </w:tcPr>
          <w:p>
            <w:pPr>
              <w:jc w:val="right"/>
              <w:ind w:right="330"/>
              <w:spacing w:after="0" w:line="158" w:lineRule="exact"/>
              <w:rPr>
                <w:sz w:val="20"/>
                <w:szCs w:val="20"/>
                <w:color w:val="auto"/>
              </w:rPr>
            </w:pPr>
            <w:r>
              <w:rPr>
                <w:rFonts w:ascii="Arial" w:cs="Arial" w:eastAsia="Arial" w:hAnsi="Arial"/>
                <w:sz w:val="14"/>
                <w:szCs w:val="14"/>
                <w:b w:val="1"/>
                <w:bCs w:val="1"/>
                <w:color w:val="009FE3"/>
              </w:rPr>
              <w:t>of the</w:t>
            </w:r>
          </w:p>
        </w:tc>
        <w:tc>
          <w:tcPr>
            <w:tcW w:w="30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Disclosure of Material Nonpublic</w:t>
            </w:r>
          </w:p>
        </w:tc>
      </w:tr>
      <w:tr>
        <w:trPr>
          <w:trHeight w:val="193"/>
        </w:trPr>
        <w:tc>
          <w:tcPr>
            <w:tcW w:w="34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Principal Position</w:t>
            </w:r>
          </w:p>
        </w:tc>
        <w:tc>
          <w:tcPr>
            <w:tcW w:w="106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b w:val="1"/>
                <w:bCs w:val="1"/>
                <w:color w:val="009FE3"/>
                <w:w w:val="83"/>
              </w:rPr>
              <w:t>   Grant Date </w:t>
            </w:r>
          </w:p>
        </w:tc>
        <w:tc>
          <w:tcPr>
            <w:tcW w:w="1220" w:type="dxa"/>
            <w:vAlign w:val="bottom"/>
            <w:tcBorders>
              <w:bottom w:val="single" w:sz="8" w:color="009FE3"/>
              <w:right w:val="single" w:sz="8" w:color="E8EAEB"/>
            </w:tcBorders>
          </w:tcPr>
          <w:p>
            <w:pPr>
              <w:ind w:left="20"/>
              <w:spacing w:after="0"/>
              <w:rPr>
                <w:sz w:val="20"/>
                <w:szCs w:val="20"/>
                <w:color w:val="auto"/>
              </w:rPr>
            </w:pPr>
            <w:r>
              <w:rPr>
                <w:rFonts w:ascii="Arial" w:cs="Arial" w:eastAsia="Arial" w:hAnsi="Arial"/>
                <w:sz w:val="14"/>
                <w:szCs w:val="14"/>
                <w:b w:val="1"/>
                <w:bCs w:val="1"/>
                <w:color w:val="009FE3"/>
              </w:rPr>
              <w:t xml:space="preserve">   the Award (1) </w:t>
            </w:r>
          </w:p>
        </w:tc>
        <w:tc>
          <w:tcPr>
            <w:tcW w:w="120" w:type="dxa"/>
            <w:vAlign w:val="bottom"/>
            <w:tcBorders>
              <w:bottom w:val="single" w:sz="8" w:color="009FE3"/>
            </w:tcBorders>
          </w:tcPr>
          <w:p>
            <w:pPr>
              <w:spacing w:after="0"/>
              <w:rPr>
                <w:sz w:val="16"/>
                <w:szCs w:val="16"/>
                <w:color w:val="auto"/>
              </w:rPr>
            </w:pPr>
          </w:p>
        </w:tc>
        <w:tc>
          <w:tcPr>
            <w:tcW w:w="800" w:type="dxa"/>
            <w:vAlign w:val="bottom"/>
            <w:tcBorders>
              <w:bottom w:val="single" w:sz="8" w:color="009FE3"/>
              <w:right w:val="single" w:sz="8" w:color="E8EAEB"/>
            </w:tcBorders>
          </w:tcPr>
          <w:p>
            <w:pPr>
              <w:jc w:val="center"/>
              <w:ind w:right="50"/>
              <w:spacing w:after="0"/>
              <w:rPr>
                <w:sz w:val="20"/>
                <w:szCs w:val="20"/>
                <w:color w:val="auto"/>
              </w:rPr>
            </w:pPr>
            <w:r>
              <w:rPr>
                <w:rFonts w:ascii="Arial" w:cs="Arial" w:eastAsia="Arial" w:hAnsi="Arial"/>
                <w:sz w:val="14"/>
                <w:szCs w:val="14"/>
                <w:b w:val="1"/>
                <w:bCs w:val="1"/>
                <w:color w:val="009FE3"/>
              </w:rPr>
              <w:t>($/Sh)</w:t>
            </w:r>
          </w:p>
        </w:tc>
        <w:tc>
          <w:tcPr>
            <w:tcW w:w="1120" w:type="dxa"/>
            <w:vAlign w:val="bottom"/>
            <w:tcBorders>
              <w:bottom w:val="single" w:sz="8" w:color="009FE3"/>
              <w:right w:val="single" w:sz="8" w:color="E8EAEB"/>
            </w:tcBorders>
          </w:tcPr>
          <w:p>
            <w:pPr>
              <w:jc w:val="right"/>
              <w:ind w:right="210"/>
              <w:spacing w:after="0"/>
              <w:rPr>
                <w:sz w:val="20"/>
                <w:szCs w:val="20"/>
                <w:color w:val="auto"/>
              </w:rPr>
            </w:pPr>
            <w:r>
              <w:rPr>
                <w:rFonts w:ascii="Arial" w:cs="Arial" w:eastAsia="Arial" w:hAnsi="Arial"/>
                <w:sz w:val="14"/>
                <w:szCs w:val="14"/>
                <w:b w:val="1"/>
                <w:bCs w:val="1"/>
                <w:color w:val="009FE3"/>
              </w:rPr>
              <w:t>Award (2)</w:t>
            </w:r>
          </w:p>
        </w:tc>
        <w:tc>
          <w:tcPr>
            <w:tcW w:w="302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Information</w:t>
            </w:r>
          </w:p>
        </w:tc>
      </w:tr>
      <w:tr>
        <w:trPr>
          <w:trHeight w:val="181"/>
        </w:trPr>
        <w:tc>
          <w:tcPr>
            <w:tcW w:w="34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Mark Dankberg</w:t>
            </w:r>
          </w:p>
        </w:tc>
        <w:tc>
          <w:tcPr>
            <w:tcW w:w="106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10/09/2023</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150,000 (1)</w:t>
            </w:r>
          </w:p>
        </w:tc>
        <w:tc>
          <w:tcPr>
            <w:tcW w:w="120" w:type="dxa"/>
            <w:vAlign w:val="bottom"/>
          </w:tcPr>
          <w:p>
            <w:pPr>
              <w:spacing w:after="0"/>
              <w:rPr>
                <w:sz w:val="15"/>
                <w:szCs w:val="15"/>
                <w:color w:val="auto"/>
              </w:rPr>
            </w:pPr>
          </w:p>
        </w:tc>
        <w:tc>
          <w:tcPr>
            <w:tcW w:w="800" w:type="dxa"/>
            <w:vAlign w:val="bottom"/>
            <w:tcBorders>
              <w:right w:val="single" w:sz="8" w:color="E8EAEB"/>
            </w:tcBorders>
          </w:tcPr>
          <w:p>
            <w:pPr>
              <w:jc w:val="right"/>
              <w:ind w:right="210"/>
              <w:spacing w:after="0"/>
              <w:rPr>
                <w:sz w:val="20"/>
                <w:szCs w:val="20"/>
                <w:color w:val="auto"/>
              </w:rPr>
            </w:pPr>
            <w:r>
              <w:rPr>
                <w:rFonts w:ascii="Arial" w:cs="Arial" w:eastAsia="Arial" w:hAnsi="Arial"/>
                <w:sz w:val="14"/>
                <w:szCs w:val="14"/>
                <w:color w:val="202E39"/>
              </w:rPr>
              <w:t>15.96</w:t>
            </w:r>
          </w:p>
        </w:tc>
        <w:tc>
          <w:tcPr>
            <w:tcW w:w="1120" w:type="dxa"/>
            <w:vAlign w:val="bottom"/>
            <w:tcBorders>
              <w:right w:val="single" w:sz="8" w:color="E8EAEB"/>
            </w:tcBorders>
          </w:tcPr>
          <w:p>
            <w:pPr>
              <w:jc w:val="right"/>
              <w:ind w:right="190"/>
              <w:spacing w:after="0"/>
              <w:rPr>
                <w:sz w:val="20"/>
                <w:szCs w:val="20"/>
                <w:color w:val="auto"/>
              </w:rPr>
            </w:pPr>
            <w:r>
              <w:rPr>
                <w:rFonts w:ascii="Arial" w:cs="Arial" w:eastAsia="Arial" w:hAnsi="Arial"/>
                <w:sz w:val="14"/>
                <w:szCs w:val="14"/>
                <w:color w:val="202E39"/>
              </w:rPr>
              <w:t>2,002,500</w:t>
            </w:r>
          </w:p>
        </w:tc>
        <w:tc>
          <w:tcPr>
            <w:tcW w:w="3020" w:type="dxa"/>
            <w:vAlign w:val="bottom"/>
          </w:tcPr>
          <w:p>
            <w:pPr>
              <w:jc w:val="center"/>
              <w:spacing w:after="0"/>
              <w:rPr>
                <w:sz w:val="20"/>
                <w:szCs w:val="20"/>
                <w:color w:val="auto"/>
              </w:rPr>
            </w:pPr>
            <w:r>
              <w:rPr>
                <w:rFonts w:ascii="Arial" w:cs="Arial" w:eastAsia="Arial" w:hAnsi="Arial"/>
                <w:sz w:val="14"/>
                <w:szCs w:val="14"/>
                <w:color w:val="202E39"/>
              </w:rPr>
              <w:t>17.46%</w:t>
            </w: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Chairman and Chief</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89"/>
        </w:trPr>
        <w:tc>
          <w:tcPr>
            <w:tcW w:w="34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Executive Officer</w:t>
            </w:r>
          </w:p>
        </w:tc>
        <w:tc>
          <w:tcPr>
            <w:tcW w:w="1060" w:type="dxa"/>
            <w:vAlign w:val="bottom"/>
            <w:tcBorders>
              <w:bottom w:val="single" w:sz="8" w:color="E8EAEB"/>
              <w:right w:val="single" w:sz="8" w:color="E8EAEB"/>
            </w:tcBorders>
          </w:tcPr>
          <w:p>
            <w:pPr>
              <w:spacing w:after="0"/>
              <w:rPr>
                <w:sz w:val="16"/>
                <w:szCs w:val="16"/>
                <w:color w:val="auto"/>
              </w:rPr>
            </w:pPr>
          </w:p>
        </w:tc>
        <w:tc>
          <w:tcPr>
            <w:tcW w:w="1220" w:type="dxa"/>
            <w:vAlign w:val="bottom"/>
            <w:tcBorders>
              <w:bottom w:val="single" w:sz="8" w:color="E8EAEB"/>
              <w:right w:val="single" w:sz="8" w:color="E8EAEB"/>
            </w:tcBorders>
          </w:tcPr>
          <w:p>
            <w:pPr>
              <w:spacing w:after="0"/>
              <w:rPr>
                <w:sz w:val="16"/>
                <w:szCs w:val="16"/>
                <w:color w:val="auto"/>
              </w:rPr>
            </w:pPr>
          </w:p>
        </w:tc>
        <w:tc>
          <w:tcPr>
            <w:tcW w:w="12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spacing w:after="0"/>
              <w:rPr>
                <w:sz w:val="16"/>
                <w:szCs w:val="16"/>
                <w:color w:val="auto"/>
              </w:rPr>
            </w:pPr>
          </w:p>
        </w:tc>
        <w:tc>
          <w:tcPr>
            <w:tcW w:w="1120" w:type="dxa"/>
            <w:vAlign w:val="bottom"/>
            <w:tcBorders>
              <w:bottom w:val="single" w:sz="8" w:color="E8EAEB"/>
              <w:right w:val="single" w:sz="8" w:color="E8EAEB"/>
            </w:tcBorders>
          </w:tcPr>
          <w:p>
            <w:pPr>
              <w:spacing w:after="0"/>
              <w:rPr>
                <w:sz w:val="16"/>
                <w:szCs w:val="16"/>
                <w:color w:val="auto"/>
              </w:rPr>
            </w:pPr>
          </w:p>
        </w:tc>
        <w:tc>
          <w:tcPr>
            <w:tcW w:w="3020" w:type="dxa"/>
            <w:vAlign w:val="bottom"/>
            <w:tcBorders>
              <w:bottom w:val="single" w:sz="8" w:color="E8EAEB"/>
            </w:tcBorders>
          </w:tcPr>
          <w:p>
            <w:pPr>
              <w:spacing w:after="0"/>
              <w:rPr>
                <w:sz w:val="16"/>
                <w:szCs w:val="16"/>
                <w:color w:val="auto"/>
              </w:rPr>
            </w:pPr>
          </w:p>
        </w:tc>
      </w:tr>
      <w:tr>
        <w:trPr>
          <w:trHeight w:val="198"/>
        </w:trPr>
        <w:tc>
          <w:tcPr>
            <w:tcW w:w="34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 Guru Gowrappan</w:t>
            </w:r>
          </w:p>
        </w:tc>
        <w:tc>
          <w:tcPr>
            <w:tcW w:w="106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04/13/2023</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307,923 (3)</w:t>
            </w:r>
          </w:p>
        </w:tc>
        <w:tc>
          <w:tcPr>
            <w:tcW w:w="120" w:type="dxa"/>
            <w:vAlign w:val="bottom"/>
          </w:tcPr>
          <w:p>
            <w:pPr>
              <w:spacing w:after="0"/>
              <w:rPr>
                <w:sz w:val="17"/>
                <w:szCs w:val="17"/>
                <w:color w:val="auto"/>
              </w:rPr>
            </w:pPr>
          </w:p>
        </w:tc>
        <w:tc>
          <w:tcPr>
            <w:tcW w:w="800" w:type="dxa"/>
            <w:vAlign w:val="bottom"/>
            <w:tcBorders>
              <w:right w:val="single" w:sz="8" w:color="E8EAEB"/>
            </w:tcBorders>
          </w:tcPr>
          <w:p>
            <w:pPr>
              <w:jc w:val="right"/>
              <w:ind w:right="210"/>
              <w:spacing w:after="0"/>
              <w:rPr>
                <w:sz w:val="20"/>
                <w:szCs w:val="20"/>
                <w:color w:val="auto"/>
              </w:rPr>
            </w:pPr>
            <w:r>
              <w:rPr>
                <w:rFonts w:ascii="Arial" w:cs="Arial" w:eastAsia="Arial" w:hAnsi="Arial"/>
                <w:sz w:val="14"/>
                <w:szCs w:val="14"/>
                <w:color w:val="202E39"/>
              </w:rPr>
              <w:t>34.43</w:t>
            </w:r>
          </w:p>
        </w:tc>
        <w:tc>
          <w:tcPr>
            <w:tcW w:w="1120" w:type="dxa"/>
            <w:vAlign w:val="bottom"/>
            <w:tcBorders>
              <w:right w:val="single" w:sz="8" w:color="E8EAEB"/>
            </w:tcBorders>
          </w:tcPr>
          <w:p>
            <w:pPr>
              <w:jc w:val="right"/>
              <w:ind w:right="190"/>
              <w:spacing w:after="0"/>
              <w:rPr>
                <w:sz w:val="20"/>
                <w:szCs w:val="20"/>
                <w:color w:val="auto"/>
              </w:rPr>
            </w:pPr>
            <w:r>
              <w:rPr>
                <w:rFonts w:ascii="Arial" w:cs="Arial" w:eastAsia="Arial" w:hAnsi="Arial"/>
                <w:sz w:val="14"/>
                <w:szCs w:val="14"/>
                <w:color w:val="202E39"/>
              </w:rPr>
              <w:t>8,132,246</w:t>
            </w:r>
          </w:p>
        </w:tc>
        <w:tc>
          <w:tcPr>
            <w:tcW w:w="3020" w:type="dxa"/>
            <w:vAlign w:val="bottom"/>
          </w:tcPr>
          <w:p>
            <w:pPr>
              <w:jc w:val="center"/>
              <w:spacing w:after="0"/>
              <w:rPr>
                <w:sz w:val="20"/>
                <w:szCs w:val="20"/>
                <w:color w:val="auto"/>
              </w:rPr>
            </w:pPr>
            <w:r>
              <w:rPr>
                <w:rFonts w:ascii="Arial" w:cs="Arial" w:eastAsia="Arial" w:hAnsi="Arial"/>
                <w:sz w:val="14"/>
                <w:szCs w:val="14"/>
                <w:color w:val="202E39"/>
              </w:rPr>
              <w:t>(1.42%)</w:t>
            </w:r>
          </w:p>
        </w:tc>
      </w:tr>
      <w:tr>
        <w:trPr>
          <w:trHeight w:val="220"/>
        </w:trPr>
        <w:tc>
          <w:tcPr>
            <w:tcW w:w="34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President</w:t>
            </w:r>
          </w:p>
        </w:tc>
        <w:tc>
          <w:tcPr>
            <w:tcW w:w="1060" w:type="dxa"/>
            <w:vAlign w:val="bottom"/>
            <w:tcBorders>
              <w:bottom w:val="single" w:sz="8" w:color="E8EAEB"/>
              <w:right w:val="single" w:sz="8" w:color="E8EAEB"/>
            </w:tcBorders>
          </w:tcPr>
          <w:p>
            <w:pPr>
              <w:jc w:val="right"/>
              <w:ind w:right="110"/>
              <w:spacing w:after="0"/>
              <w:rPr>
                <w:sz w:val="20"/>
                <w:szCs w:val="20"/>
                <w:color w:val="auto"/>
              </w:rPr>
            </w:pPr>
            <w:r>
              <w:rPr>
                <w:rFonts w:ascii="Arial" w:cs="Arial" w:eastAsia="Arial" w:hAnsi="Arial"/>
                <w:sz w:val="14"/>
                <w:szCs w:val="14"/>
                <w:color w:val="202E39"/>
              </w:rPr>
              <w:t>10/09/2023</w:t>
            </w:r>
          </w:p>
        </w:tc>
        <w:tc>
          <w:tcPr>
            <w:tcW w:w="12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w w:val="99"/>
              </w:rPr>
              <w:t>150,000 (1)</w:t>
            </w:r>
          </w:p>
        </w:tc>
        <w:tc>
          <w:tcPr>
            <w:tcW w:w="120" w:type="dxa"/>
            <w:vAlign w:val="bottom"/>
            <w:tcBorders>
              <w:bottom w:val="single" w:sz="8" w:color="E8EAEB"/>
            </w:tcBorders>
          </w:tcPr>
          <w:p>
            <w:pPr>
              <w:spacing w:after="0"/>
              <w:rPr>
                <w:sz w:val="19"/>
                <w:szCs w:val="19"/>
                <w:color w:val="auto"/>
              </w:rPr>
            </w:pPr>
          </w:p>
        </w:tc>
        <w:tc>
          <w:tcPr>
            <w:tcW w:w="800" w:type="dxa"/>
            <w:vAlign w:val="bottom"/>
            <w:tcBorders>
              <w:bottom w:val="single" w:sz="8" w:color="E8EAEB"/>
              <w:right w:val="single" w:sz="8" w:color="E8EAEB"/>
            </w:tcBorders>
          </w:tcPr>
          <w:p>
            <w:pPr>
              <w:jc w:val="right"/>
              <w:ind w:right="210"/>
              <w:spacing w:after="0"/>
              <w:rPr>
                <w:sz w:val="20"/>
                <w:szCs w:val="20"/>
                <w:color w:val="auto"/>
              </w:rPr>
            </w:pPr>
            <w:r>
              <w:rPr>
                <w:rFonts w:ascii="Arial" w:cs="Arial" w:eastAsia="Arial" w:hAnsi="Arial"/>
                <w:sz w:val="14"/>
                <w:szCs w:val="14"/>
                <w:color w:val="202E39"/>
              </w:rPr>
              <w:t>15.96</w:t>
            </w:r>
          </w:p>
        </w:tc>
        <w:tc>
          <w:tcPr>
            <w:tcW w:w="1120" w:type="dxa"/>
            <w:vAlign w:val="bottom"/>
            <w:tcBorders>
              <w:bottom w:val="single" w:sz="8" w:color="E8EAEB"/>
              <w:right w:val="single" w:sz="8" w:color="E8EAEB"/>
            </w:tcBorders>
          </w:tcPr>
          <w:p>
            <w:pPr>
              <w:jc w:val="right"/>
              <w:ind w:right="190"/>
              <w:spacing w:after="0"/>
              <w:rPr>
                <w:sz w:val="20"/>
                <w:szCs w:val="20"/>
                <w:color w:val="auto"/>
              </w:rPr>
            </w:pPr>
            <w:r>
              <w:rPr>
                <w:rFonts w:ascii="Arial" w:cs="Arial" w:eastAsia="Arial" w:hAnsi="Arial"/>
                <w:sz w:val="14"/>
                <w:szCs w:val="14"/>
                <w:color w:val="202E39"/>
              </w:rPr>
              <w:t>2,002,500</w:t>
            </w:r>
          </w:p>
        </w:tc>
        <w:tc>
          <w:tcPr>
            <w:tcW w:w="3020" w:type="dxa"/>
            <w:vAlign w:val="bottom"/>
            <w:tcBorders>
              <w:bottom w:val="single" w:sz="8" w:color="E8EAEB"/>
            </w:tcBorders>
          </w:tcPr>
          <w:p>
            <w:pPr>
              <w:jc w:val="center"/>
              <w:spacing w:after="0"/>
              <w:rPr>
                <w:sz w:val="20"/>
                <w:szCs w:val="20"/>
                <w:color w:val="auto"/>
              </w:rPr>
            </w:pPr>
            <w:r>
              <w:rPr>
                <w:rFonts w:ascii="Arial" w:cs="Arial" w:eastAsia="Arial" w:hAnsi="Arial"/>
                <w:sz w:val="14"/>
                <w:szCs w:val="14"/>
                <w:color w:val="202E39"/>
              </w:rPr>
              <w:t>17.46%</w:t>
            </w:r>
          </w:p>
        </w:tc>
      </w:tr>
      <w:tr>
        <w:trPr>
          <w:trHeight w:val="181"/>
        </w:trPr>
        <w:tc>
          <w:tcPr>
            <w:tcW w:w="34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Shawn Duffy</w:t>
            </w:r>
          </w:p>
        </w:tc>
        <w:tc>
          <w:tcPr>
            <w:tcW w:w="106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10/09/2023</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4"/>
              </w:rPr>
              <w:t>  43,500 (1)</w:t>
            </w:r>
          </w:p>
        </w:tc>
        <w:tc>
          <w:tcPr>
            <w:tcW w:w="120" w:type="dxa"/>
            <w:vAlign w:val="bottom"/>
          </w:tcPr>
          <w:p>
            <w:pPr>
              <w:spacing w:after="0"/>
              <w:rPr>
                <w:sz w:val="15"/>
                <w:szCs w:val="15"/>
                <w:color w:val="auto"/>
              </w:rPr>
            </w:pPr>
          </w:p>
        </w:tc>
        <w:tc>
          <w:tcPr>
            <w:tcW w:w="800" w:type="dxa"/>
            <w:vAlign w:val="bottom"/>
            <w:tcBorders>
              <w:right w:val="single" w:sz="8" w:color="E8EAEB"/>
            </w:tcBorders>
          </w:tcPr>
          <w:p>
            <w:pPr>
              <w:jc w:val="right"/>
              <w:ind w:right="210"/>
              <w:spacing w:after="0"/>
              <w:rPr>
                <w:sz w:val="20"/>
                <w:szCs w:val="20"/>
                <w:color w:val="auto"/>
              </w:rPr>
            </w:pPr>
            <w:r>
              <w:rPr>
                <w:rFonts w:ascii="Arial" w:cs="Arial" w:eastAsia="Arial" w:hAnsi="Arial"/>
                <w:sz w:val="14"/>
                <w:szCs w:val="14"/>
                <w:color w:val="202E39"/>
              </w:rPr>
              <w:t>15.96</w:t>
            </w:r>
          </w:p>
        </w:tc>
        <w:tc>
          <w:tcPr>
            <w:tcW w:w="1120" w:type="dxa"/>
            <w:vAlign w:val="bottom"/>
            <w:tcBorders>
              <w:right w:val="single" w:sz="8" w:color="E8EAEB"/>
            </w:tcBorders>
          </w:tcPr>
          <w:p>
            <w:pPr>
              <w:jc w:val="right"/>
              <w:ind w:right="190"/>
              <w:spacing w:after="0"/>
              <w:rPr>
                <w:sz w:val="20"/>
                <w:szCs w:val="20"/>
                <w:color w:val="auto"/>
              </w:rPr>
            </w:pPr>
            <w:r>
              <w:rPr>
                <w:rFonts w:ascii="Arial" w:cs="Arial" w:eastAsia="Arial" w:hAnsi="Arial"/>
                <w:sz w:val="14"/>
                <w:szCs w:val="14"/>
                <w:color w:val="202E39"/>
              </w:rPr>
              <w:t>   580,725</w:t>
            </w:r>
          </w:p>
        </w:tc>
        <w:tc>
          <w:tcPr>
            <w:tcW w:w="3020" w:type="dxa"/>
            <w:vAlign w:val="bottom"/>
          </w:tcPr>
          <w:p>
            <w:pPr>
              <w:jc w:val="center"/>
              <w:spacing w:after="0"/>
              <w:rPr>
                <w:sz w:val="20"/>
                <w:szCs w:val="20"/>
                <w:color w:val="auto"/>
              </w:rPr>
            </w:pPr>
            <w:r>
              <w:rPr>
                <w:rFonts w:ascii="Arial" w:cs="Arial" w:eastAsia="Arial" w:hAnsi="Arial"/>
                <w:sz w:val="14"/>
                <w:szCs w:val="14"/>
                <w:color w:val="202E39"/>
              </w:rPr>
              <w:t>17.46%</w:t>
            </w: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Senior Vice President and</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89"/>
        </w:trPr>
        <w:tc>
          <w:tcPr>
            <w:tcW w:w="34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Chief Financial Officer</w:t>
            </w:r>
          </w:p>
        </w:tc>
        <w:tc>
          <w:tcPr>
            <w:tcW w:w="1060" w:type="dxa"/>
            <w:vAlign w:val="bottom"/>
            <w:tcBorders>
              <w:bottom w:val="single" w:sz="8" w:color="E8EAEB"/>
              <w:right w:val="single" w:sz="8" w:color="E8EAEB"/>
            </w:tcBorders>
          </w:tcPr>
          <w:p>
            <w:pPr>
              <w:spacing w:after="0"/>
              <w:rPr>
                <w:sz w:val="16"/>
                <w:szCs w:val="16"/>
                <w:color w:val="auto"/>
              </w:rPr>
            </w:pPr>
          </w:p>
        </w:tc>
        <w:tc>
          <w:tcPr>
            <w:tcW w:w="1220" w:type="dxa"/>
            <w:vAlign w:val="bottom"/>
            <w:tcBorders>
              <w:bottom w:val="single" w:sz="8" w:color="E8EAEB"/>
              <w:right w:val="single" w:sz="8" w:color="E8EAEB"/>
            </w:tcBorders>
          </w:tcPr>
          <w:p>
            <w:pPr>
              <w:spacing w:after="0"/>
              <w:rPr>
                <w:sz w:val="16"/>
                <w:szCs w:val="16"/>
                <w:color w:val="auto"/>
              </w:rPr>
            </w:pPr>
          </w:p>
        </w:tc>
        <w:tc>
          <w:tcPr>
            <w:tcW w:w="12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spacing w:after="0"/>
              <w:rPr>
                <w:sz w:val="16"/>
                <w:szCs w:val="16"/>
                <w:color w:val="auto"/>
              </w:rPr>
            </w:pPr>
          </w:p>
        </w:tc>
        <w:tc>
          <w:tcPr>
            <w:tcW w:w="1120" w:type="dxa"/>
            <w:vAlign w:val="bottom"/>
            <w:tcBorders>
              <w:bottom w:val="single" w:sz="8" w:color="E8EAEB"/>
              <w:right w:val="single" w:sz="8" w:color="E8EAEB"/>
            </w:tcBorders>
          </w:tcPr>
          <w:p>
            <w:pPr>
              <w:spacing w:after="0"/>
              <w:rPr>
                <w:sz w:val="16"/>
                <w:szCs w:val="16"/>
                <w:color w:val="auto"/>
              </w:rPr>
            </w:pPr>
          </w:p>
        </w:tc>
        <w:tc>
          <w:tcPr>
            <w:tcW w:w="3020" w:type="dxa"/>
            <w:vAlign w:val="bottom"/>
            <w:tcBorders>
              <w:bottom w:val="single" w:sz="8" w:color="E8EAEB"/>
            </w:tcBorders>
          </w:tcPr>
          <w:p>
            <w:pPr>
              <w:spacing w:after="0"/>
              <w:rPr>
                <w:sz w:val="16"/>
                <w:szCs w:val="16"/>
                <w:color w:val="auto"/>
              </w:rPr>
            </w:pPr>
          </w:p>
        </w:tc>
      </w:tr>
      <w:tr>
        <w:trPr>
          <w:trHeight w:val="185"/>
        </w:trPr>
        <w:tc>
          <w:tcPr>
            <w:tcW w:w="34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Kevin Harkenrider</w:t>
            </w:r>
          </w:p>
        </w:tc>
        <w:tc>
          <w:tcPr>
            <w:tcW w:w="106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10/09/2023</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4"/>
              </w:rPr>
              <w:t>  43,500 (1)</w:t>
            </w:r>
          </w:p>
        </w:tc>
        <w:tc>
          <w:tcPr>
            <w:tcW w:w="120" w:type="dxa"/>
            <w:vAlign w:val="bottom"/>
          </w:tcPr>
          <w:p>
            <w:pPr>
              <w:spacing w:after="0"/>
              <w:rPr>
                <w:sz w:val="16"/>
                <w:szCs w:val="16"/>
                <w:color w:val="auto"/>
              </w:rPr>
            </w:pPr>
          </w:p>
        </w:tc>
        <w:tc>
          <w:tcPr>
            <w:tcW w:w="800" w:type="dxa"/>
            <w:vAlign w:val="bottom"/>
            <w:tcBorders>
              <w:right w:val="single" w:sz="8" w:color="E8EAEB"/>
            </w:tcBorders>
          </w:tcPr>
          <w:p>
            <w:pPr>
              <w:jc w:val="right"/>
              <w:ind w:right="210"/>
              <w:spacing w:after="0"/>
              <w:rPr>
                <w:sz w:val="20"/>
                <w:szCs w:val="20"/>
                <w:color w:val="auto"/>
              </w:rPr>
            </w:pPr>
            <w:r>
              <w:rPr>
                <w:rFonts w:ascii="Arial" w:cs="Arial" w:eastAsia="Arial" w:hAnsi="Arial"/>
                <w:sz w:val="14"/>
                <w:szCs w:val="14"/>
                <w:color w:val="202E39"/>
              </w:rPr>
              <w:t>15.96</w:t>
            </w:r>
          </w:p>
        </w:tc>
        <w:tc>
          <w:tcPr>
            <w:tcW w:w="1120" w:type="dxa"/>
            <w:vAlign w:val="bottom"/>
            <w:tcBorders>
              <w:right w:val="single" w:sz="8" w:color="E8EAEB"/>
            </w:tcBorders>
          </w:tcPr>
          <w:p>
            <w:pPr>
              <w:jc w:val="right"/>
              <w:ind w:right="190"/>
              <w:spacing w:after="0"/>
              <w:rPr>
                <w:sz w:val="20"/>
                <w:szCs w:val="20"/>
                <w:color w:val="auto"/>
              </w:rPr>
            </w:pPr>
            <w:r>
              <w:rPr>
                <w:rFonts w:ascii="Arial" w:cs="Arial" w:eastAsia="Arial" w:hAnsi="Arial"/>
                <w:sz w:val="14"/>
                <w:szCs w:val="14"/>
                <w:color w:val="202E39"/>
              </w:rPr>
              <w:t>   580,725</w:t>
            </w:r>
          </w:p>
        </w:tc>
        <w:tc>
          <w:tcPr>
            <w:tcW w:w="3020" w:type="dxa"/>
            <w:vAlign w:val="bottom"/>
          </w:tcPr>
          <w:p>
            <w:pPr>
              <w:jc w:val="center"/>
              <w:spacing w:after="0"/>
              <w:rPr>
                <w:sz w:val="20"/>
                <w:szCs w:val="20"/>
                <w:color w:val="auto"/>
              </w:rPr>
            </w:pPr>
            <w:r>
              <w:rPr>
                <w:rFonts w:ascii="Arial" w:cs="Arial" w:eastAsia="Arial" w:hAnsi="Arial"/>
                <w:sz w:val="14"/>
                <w:szCs w:val="14"/>
                <w:color w:val="202E39"/>
              </w:rPr>
              <w:t>17.46%</w:t>
            </w: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Executive Vice President,</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Chief Operating Officer</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and Chief Corporate</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89"/>
        </w:trPr>
        <w:tc>
          <w:tcPr>
            <w:tcW w:w="34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Officer</w:t>
            </w:r>
          </w:p>
        </w:tc>
        <w:tc>
          <w:tcPr>
            <w:tcW w:w="1060" w:type="dxa"/>
            <w:vAlign w:val="bottom"/>
            <w:tcBorders>
              <w:bottom w:val="single" w:sz="8" w:color="E8EAEB"/>
              <w:right w:val="single" w:sz="8" w:color="E8EAEB"/>
            </w:tcBorders>
          </w:tcPr>
          <w:p>
            <w:pPr>
              <w:spacing w:after="0"/>
              <w:rPr>
                <w:sz w:val="16"/>
                <w:szCs w:val="16"/>
                <w:color w:val="auto"/>
              </w:rPr>
            </w:pPr>
          </w:p>
        </w:tc>
        <w:tc>
          <w:tcPr>
            <w:tcW w:w="1220" w:type="dxa"/>
            <w:vAlign w:val="bottom"/>
            <w:tcBorders>
              <w:bottom w:val="single" w:sz="8" w:color="E8EAEB"/>
              <w:right w:val="single" w:sz="8" w:color="E8EAEB"/>
            </w:tcBorders>
          </w:tcPr>
          <w:p>
            <w:pPr>
              <w:spacing w:after="0"/>
              <w:rPr>
                <w:sz w:val="16"/>
                <w:szCs w:val="16"/>
                <w:color w:val="auto"/>
              </w:rPr>
            </w:pPr>
          </w:p>
        </w:tc>
        <w:tc>
          <w:tcPr>
            <w:tcW w:w="12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spacing w:after="0"/>
              <w:rPr>
                <w:sz w:val="16"/>
                <w:szCs w:val="16"/>
                <w:color w:val="auto"/>
              </w:rPr>
            </w:pPr>
          </w:p>
        </w:tc>
        <w:tc>
          <w:tcPr>
            <w:tcW w:w="1120" w:type="dxa"/>
            <w:vAlign w:val="bottom"/>
            <w:tcBorders>
              <w:bottom w:val="single" w:sz="8" w:color="E8EAEB"/>
              <w:right w:val="single" w:sz="8" w:color="E8EAEB"/>
            </w:tcBorders>
          </w:tcPr>
          <w:p>
            <w:pPr>
              <w:spacing w:after="0"/>
              <w:rPr>
                <w:sz w:val="16"/>
                <w:szCs w:val="16"/>
                <w:color w:val="auto"/>
              </w:rPr>
            </w:pPr>
          </w:p>
        </w:tc>
        <w:tc>
          <w:tcPr>
            <w:tcW w:w="3020" w:type="dxa"/>
            <w:vAlign w:val="bottom"/>
            <w:tcBorders>
              <w:bottom w:val="single" w:sz="8" w:color="E8EAEB"/>
            </w:tcBorders>
          </w:tcPr>
          <w:p>
            <w:pPr>
              <w:spacing w:after="0"/>
              <w:rPr>
                <w:sz w:val="16"/>
                <w:szCs w:val="16"/>
                <w:color w:val="auto"/>
              </w:rPr>
            </w:pPr>
          </w:p>
        </w:tc>
      </w:tr>
      <w:tr>
        <w:trPr>
          <w:trHeight w:val="185"/>
        </w:trPr>
        <w:tc>
          <w:tcPr>
            <w:tcW w:w="34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Craig Miller</w:t>
            </w:r>
          </w:p>
        </w:tc>
        <w:tc>
          <w:tcPr>
            <w:tcW w:w="1060" w:type="dxa"/>
            <w:vAlign w:val="bottom"/>
            <w:tcBorders>
              <w:right w:val="single" w:sz="8" w:color="E8EAEB"/>
            </w:tcBorders>
          </w:tcPr>
          <w:p>
            <w:pPr>
              <w:jc w:val="right"/>
              <w:ind w:right="110"/>
              <w:spacing w:after="0"/>
              <w:rPr>
                <w:sz w:val="20"/>
                <w:szCs w:val="20"/>
                <w:color w:val="auto"/>
              </w:rPr>
            </w:pPr>
            <w:r>
              <w:rPr>
                <w:rFonts w:ascii="Arial" w:cs="Arial" w:eastAsia="Arial" w:hAnsi="Arial"/>
                <w:sz w:val="14"/>
                <w:szCs w:val="14"/>
                <w:color w:val="202E39"/>
              </w:rPr>
              <w:t>10/09/2023</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4"/>
              </w:rPr>
              <w:t>  50,000 (1)</w:t>
            </w:r>
          </w:p>
        </w:tc>
        <w:tc>
          <w:tcPr>
            <w:tcW w:w="120" w:type="dxa"/>
            <w:vAlign w:val="bottom"/>
          </w:tcPr>
          <w:p>
            <w:pPr>
              <w:spacing w:after="0"/>
              <w:rPr>
                <w:sz w:val="16"/>
                <w:szCs w:val="16"/>
                <w:color w:val="auto"/>
              </w:rPr>
            </w:pPr>
          </w:p>
        </w:tc>
        <w:tc>
          <w:tcPr>
            <w:tcW w:w="800" w:type="dxa"/>
            <w:vAlign w:val="bottom"/>
            <w:tcBorders>
              <w:right w:val="single" w:sz="8" w:color="E8EAEB"/>
            </w:tcBorders>
          </w:tcPr>
          <w:p>
            <w:pPr>
              <w:jc w:val="right"/>
              <w:ind w:right="210"/>
              <w:spacing w:after="0"/>
              <w:rPr>
                <w:sz w:val="20"/>
                <w:szCs w:val="20"/>
                <w:color w:val="auto"/>
              </w:rPr>
            </w:pPr>
            <w:r>
              <w:rPr>
                <w:rFonts w:ascii="Arial" w:cs="Arial" w:eastAsia="Arial" w:hAnsi="Arial"/>
                <w:sz w:val="14"/>
                <w:szCs w:val="14"/>
                <w:color w:val="202E39"/>
              </w:rPr>
              <w:t>15.96</w:t>
            </w:r>
          </w:p>
        </w:tc>
        <w:tc>
          <w:tcPr>
            <w:tcW w:w="1120" w:type="dxa"/>
            <w:vAlign w:val="bottom"/>
            <w:tcBorders>
              <w:right w:val="single" w:sz="8" w:color="E8EAEB"/>
            </w:tcBorders>
          </w:tcPr>
          <w:p>
            <w:pPr>
              <w:jc w:val="right"/>
              <w:ind w:right="190"/>
              <w:spacing w:after="0"/>
              <w:rPr>
                <w:sz w:val="20"/>
                <w:szCs w:val="20"/>
                <w:color w:val="auto"/>
              </w:rPr>
            </w:pPr>
            <w:r>
              <w:rPr>
                <w:rFonts w:ascii="Arial" w:cs="Arial" w:eastAsia="Arial" w:hAnsi="Arial"/>
                <w:sz w:val="14"/>
                <w:szCs w:val="14"/>
                <w:color w:val="202E39"/>
              </w:rPr>
              <w:t>   667,500</w:t>
            </w:r>
          </w:p>
        </w:tc>
        <w:tc>
          <w:tcPr>
            <w:tcW w:w="3020" w:type="dxa"/>
            <w:vAlign w:val="bottom"/>
          </w:tcPr>
          <w:p>
            <w:pPr>
              <w:jc w:val="center"/>
              <w:spacing w:after="0"/>
              <w:rPr>
                <w:sz w:val="20"/>
                <w:szCs w:val="20"/>
                <w:color w:val="auto"/>
              </w:rPr>
            </w:pPr>
            <w:r>
              <w:rPr>
                <w:rFonts w:ascii="Arial" w:cs="Arial" w:eastAsia="Arial" w:hAnsi="Arial"/>
                <w:sz w:val="14"/>
                <w:szCs w:val="14"/>
                <w:color w:val="202E39"/>
              </w:rPr>
              <w:t>17.46%</w:t>
            </w: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President, Global Space</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89"/>
        </w:trPr>
        <w:tc>
          <w:tcPr>
            <w:tcW w:w="34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Networks</w:t>
            </w:r>
          </w:p>
        </w:tc>
        <w:tc>
          <w:tcPr>
            <w:tcW w:w="1060" w:type="dxa"/>
            <w:vAlign w:val="bottom"/>
            <w:tcBorders>
              <w:bottom w:val="single" w:sz="8" w:color="E8EAEB"/>
              <w:right w:val="single" w:sz="8" w:color="E8EAEB"/>
            </w:tcBorders>
          </w:tcPr>
          <w:p>
            <w:pPr>
              <w:spacing w:after="0"/>
              <w:rPr>
                <w:sz w:val="16"/>
                <w:szCs w:val="16"/>
                <w:color w:val="auto"/>
              </w:rPr>
            </w:pPr>
          </w:p>
        </w:tc>
        <w:tc>
          <w:tcPr>
            <w:tcW w:w="1220" w:type="dxa"/>
            <w:vAlign w:val="bottom"/>
            <w:tcBorders>
              <w:bottom w:val="single" w:sz="8" w:color="E8EAEB"/>
              <w:right w:val="single" w:sz="8" w:color="E8EAEB"/>
            </w:tcBorders>
          </w:tcPr>
          <w:p>
            <w:pPr>
              <w:spacing w:after="0"/>
              <w:rPr>
                <w:sz w:val="16"/>
                <w:szCs w:val="16"/>
                <w:color w:val="auto"/>
              </w:rPr>
            </w:pPr>
          </w:p>
        </w:tc>
        <w:tc>
          <w:tcPr>
            <w:tcW w:w="120" w:type="dxa"/>
            <w:vAlign w:val="bottom"/>
            <w:tcBorders>
              <w:bottom w:val="single" w:sz="8" w:color="E8EAEB"/>
            </w:tcBorders>
          </w:tcPr>
          <w:p>
            <w:pPr>
              <w:spacing w:after="0"/>
              <w:rPr>
                <w:sz w:val="16"/>
                <w:szCs w:val="16"/>
                <w:color w:val="auto"/>
              </w:rPr>
            </w:pPr>
          </w:p>
        </w:tc>
        <w:tc>
          <w:tcPr>
            <w:tcW w:w="800" w:type="dxa"/>
            <w:vAlign w:val="bottom"/>
            <w:tcBorders>
              <w:bottom w:val="single" w:sz="8" w:color="E8EAEB"/>
              <w:right w:val="single" w:sz="8" w:color="E8EAEB"/>
            </w:tcBorders>
          </w:tcPr>
          <w:p>
            <w:pPr>
              <w:spacing w:after="0"/>
              <w:rPr>
                <w:sz w:val="16"/>
                <w:szCs w:val="16"/>
                <w:color w:val="auto"/>
              </w:rPr>
            </w:pPr>
          </w:p>
        </w:tc>
        <w:tc>
          <w:tcPr>
            <w:tcW w:w="1120" w:type="dxa"/>
            <w:vAlign w:val="bottom"/>
            <w:tcBorders>
              <w:bottom w:val="single" w:sz="8" w:color="E8EAEB"/>
              <w:right w:val="single" w:sz="8" w:color="E8EAEB"/>
            </w:tcBorders>
          </w:tcPr>
          <w:p>
            <w:pPr>
              <w:spacing w:after="0"/>
              <w:rPr>
                <w:sz w:val="16"/>
                <w:szCs w:val="16"/>
                <w:color w:val="auto"/>
              </w:rPr>
            </w:pPr>
          </w:p>
        </w:tc>
        <w:tc>
          <w:tcPr>
            <w:tcW w:w="3020" w:type="dxa"/>
            <w:vAlign w:val="bottom"/>
            <w:tcBorders>
              <w:bottom w:val="single" w:sz="8" w:color="E8EAEB"/>
            </w:tcBorders>
          </w:tcPr>
          <w:p>
            <w:pPr>
              <w:spacing w:after="0"/>
              <w:rPr>
                <w:sz w:val="16"/>
                <w:szCs w:val="16"/>
                <w:color w:val="auto"/>
              </w:rPr>
            </w:pPr>
          </w:p>
        </w:tc>
      </w:tr>
      <w:tr>
        <w:trPr>
          <w:trHeight w:val="185"/>
        </w:trPr>
        <w:tc>
          <w:tcPr>
            <w:tcW w:w="34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David Ryan</w:t>
            </w:r>
          </w:p>
        </w:tc>
        <w:tc>
          <w:tcPr>
            <w:tcW w:w="1060" w:type="dxa"/>
            <w:vAlign w:val="bottom"/>
            <w:tcBorders>
              <w:right w:val="single" w:sz="8" w:color="E8EAEB"/>
            </w:tcBorders>
          </w:tcPr>
          <w:p>
            <w:pPr>
              <w:jc w:val="right"/>
              <w:ind w:right="130"/>
              <w:spacing w:after="0"/>
              <w:rPr>
                <w:sz w:val="20"/>
                <w:szCs w:val="20"/>
                <w:color w:val="auto"/>
              </w:rPr>
            </w:pPr>
            <w:r>
              <w:rPr>
                <w:rFonts w:ascii="Arial" w:cs="Arial" w:eastAsia="Arial" w:hAnsi="Arial"/>
                <w:sz w:val="14"/>
                <w:szCs w:val="14"/>
                <w:color w:val="202E39"/>
              </w:rPr>
              <w:t>             — </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88"/>
              </w:rPr>
              <w:t>         — </w:t>
            </w:r>
          </w:p>
        </w:tc>
        <w:tc>
          <w:tcPr>
            <w:tcW w:w="120" w:type="dxa"/>
            <w:vAlign w:val="bottom"/>
          </w:tcPr>
          <w:p>
            <w:pPr>
              <w:spacing w:after="0"/>
              <w:rPr>
                <w:sz w:val="16"/>
                <w:szCs w:val="16"/>
                <w:color w:val="auto"/>
              </w:rPr>
            </w:pPr>
          </w:p>
        </w:tc>
        <w:tc>
          <w:tcPr>
            <w:tcW w:w="800" w:type="dxa"/>
            <w:vAlign w:val="bottom"/>
            <w:tcBorders>
              <w:right w:val="single" w:sz="8" w:color="E8EAEB"/>
            </w:tcBorders>
          </w:tcPr>
          <w:p>
            <w:pPr>
              <w:jc w:val="right"/>
              <w:ind w:right="210"/>
              <w:spacing w:after="0"/>
              <w:rPr>
                <w:sz w:val="20"/>
                <w:szCs w:val="20"/>
                <w:color w:val="auto"/>
              </w:rPr>
            </w:pPr>
            <w:r>
              <w:rPr>
                <w:rFonts w:ascii="Arial" w:cs="Arial" w:eastAsia="Arial" w:hAnsi="Arial"/>
                <w:sz w:val="14"/>
                <w:szCs w:val="14"/>
                <w:color w:val="202E39"/>
              </w:rPr>
              <w:t>     — </w:t>
            </w:r>
          </w:p>
        </w:tc>
        <w:tc>
          <w:tcPr>
            <w:tcW w:w="1120" w:type="dxa"/>
            <w:vAlign w:val="bottom"/>
            <w:tcBorders>
              <w:right w:val="single" w:sz="8" w:color="E8EAEB"/>
            </w:tcBorders>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202E39"/>
                <w:w w:val="84"/>
              </w:rPr>
              <w:t>     — </w:t>
            </w:r>
          </w:p>
        </w:tc>
      </w:tr>
      <w:tr>
        <w:trPr>
          <w:trHeight w:val="158"/>
        </w:trPr>
        <w:tc>
          <w:tcPr>
            <w:tcW w:w="3400" w:type="dxa"/>
            <w:vAlign w:val="bottom"/>
            <w:tcBorders>
              <w:right w:val="single" w:sz="8" w:color="E8EAEB"/>
            </w:tcBorders>
          </w:tcPr>
          <w:p>
            <w:pPr>
              <w:ind w:left="360"/>
              <w:spacing w:after="0" w:line="158" w:lineRule="exact"/>
              <w:rPr>
                <w:sz w:val="20"/>
                <w:szCs w:val="20"/>
                <w:color w:val="auto"/>
              </w:rPr>
            </w:pPr>
            <w:r>
              <w:rPr>
                <w:rFonts w:ascii="Arial" w:cs="Arial" w:eastAsia="Arial" w:hAnsi="Arial"/>
                <w:sz w:val="14"/>
                <w:szCs w:val="14"/>
                <w:color w:val="202E39"/>
              </w:rPr>
              <w:t>Former President, Space</w:t>
            </w:r>
          </w:p>
        </w:tc>
        <w:tc>
          <w:tcPr>
            <w:tcW w:w="1060" w:type="dxa"/>
            <w:vAlign w:val="bottom"/>
            <w:tcBorders>
              <w:right w:val="single" w:sz="8" w:color="E8EAEB"/>
            </w:tcBorders>
          </w:tcPr>
          <w:p>
            <w:pPr>
              <w:spacing w:after="0"/>
              <w:rPr>
                <w:sz w:val="13"/>
                <w:szCs w:val="13"/>
                <w:color w:val="auto"/>
              </w:rPr>
            </w:pPr>
          </w:p>
        </w:tc>
        <w:tc>
          <w:tcPr>
            <w:tcW w:w="1220" w:type="dxa"/>
            <w:vAlign w:val="bottom"/>
            <w:tcBorders>
              <w:right w:val="single" w:sz="8" w:color="E8EAEB"/>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1120" w:type="dxa"/>
            <w:vAlign w:val="bottom"/>
            <w:tcBorders>
              <w:right w:val="single" w:sz="8" w:color="E8EAEB"/>
            </w:tcBorders>
          </w:tcPr>
          <w:p>
            <w:pPr>
              <w:spacing w:after="0"/>
              <w:rPr>
                <w:sz w:val="13"/>
                <w:szCs w:val="13"/>
                <w:color w:val="auto"/>
              </w:rPr>
            </w:pPr>
          </w:p>
        </w:tc>
        <w:tc>
          <w:tcPr>
            <w:tcW w:w="3020" w:type="dxa"/>
            <w:vAlign w:val="bottom"/>
          </w:tcPr>
          <w:p>
            <w:pPr>
              <w:spacing w:after="0"/>
              <w:rPr>
                <w:sz w:val="13"/>
                <w:szCs w:val="13"/>
                <w:color w:val="auto"/>
              </w:rPr>
            </w:pPr>
          </w:p>
        </w:tc>
      </w:tr>
      <w:tr>
        <w:trPr>
          <w:trHeight w:val="189"/>
        </w:trPr>
        <w:tc>
          <w:tcPr>
            <w:tcW w:w="340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4"/>
                <w:szCs w:val="14"/>
                <w:color w:val="202E39"/>
              </w:rPr>
              <w:t>and Commercial Networks</w:t>
            </w:r>
          </w:p>
        </w:tc>
        <w:tc>
          <w:tcPr>
            <w:tcW w:w="1060" w:type="dxa"/>
            <w:vAlign w:val="bottom"/>
            <w:tcBorders>
              <w:bottom w:val="single" w:sz="8" w:color="009FE3"/>
              <w:right w:val="single" w:sz="8" w:color="E8EAEB"/>
            </w:tcBorders>
          </w:tcPr>
          <w:p>
            <w:pPr>
              <w:spacing w:after="0"/>
              <w:rPr>
                <w:sz w:val="16"/>
                <w:szCs w:val="16"/>
                <w:color w:val="auto"/>
              </w:rPr>
            </w:pPr>
          </w:p>
        </w:tc>
        <w:tc>
          <w:tcPr>
            <w:tcW w:w="1220" w:type="dxa"/>
            <w:vAlign w:val="bottom"/>
            <w:tcBorders>
              <w:bottom w:val="single" w:sz="8" w:color="009FE3"/>
              <w:right w:val="single" w:sz="8" w:color="E8EAEB"/>
            </w:tcBorders>
          </w:tcPr>
          <w:p>
            <w:pPr>
              <w:spacing w:after="0"/>
              <w:rPr>
                <w:sz w:val="16"/>
                <w:szCs w:val="16"/>
                <w:color w:val="auto"/>
              </w:rPr>
            </w:pPr>
          </w:p>
        </w:tc>
        <w:tc>
          <w:tcPr>
            <w:tcW w:w="120" w:type="dxa"/>
            <w:vAlign w:val="bottom"/>
            <w:tcBorders>
              <w:bottom w:val="single" w:sz="8" w:color="009FE3"/>
            </w:tcBorders>
          </w:tcPr>
          <w:p>
            <w:pPr>
              <w:spacing w:after="0"/>
              <w:rPr>
                <w:sz w:val="16"/>
                <w:szCs w:val="16"/>
                <w:color w:val="auto"/>
              </w:rPr>
            </w:pPr>
          </w:p>
        </w:tc>
        <w:tc>
          <w:tcPr>
            <w:tcW w:w="800" w:type="dxa"/>
            <w:vAlign w:val="bottom"/>
            <w:tcBorders>
              <w:bottom w:val="single" w:sz="8" w:color="009FE3"/>
              <w:right w:val="single" w:sz="8" w:color="E8EAEB"/>
            </w:tcBorders>
          </w:tcPr>
          <w:p>
            <w:pPr>
              <w:spacing w:after="0"/>
              <w:rPr>
                <w:sz w:val="16"/>
                <w:szCs w:val="16"/>
                <w:color w:val="auto"/>
              </w:rPr>
            </w:pPr>
          </w:p>
        </w:tc>
        <w:tc>
          <w:tcPr>
            <w:tcW w:w="1120" w:type="dxa"/>
            <w:vAlign w:val="bottom"/>
            <w:tcBorders>
              <w:bottom w:val="single" w:sz="8" w:color="009FE3"/>
              <w:right w:val="single" w:sz="8" w:color="E8EAEB"/>
            </w:tcBorders>
          </w:tcPr>
          <w:p>
            <w:pPr>
              <w:spacing w:after="0"/>
              <w:rPr>
                <w:sz w:val="16"/>
                <w:szCs w:val="16"/>
                <w:color w:val="auto"/>
              </w:rPr>
            </w:pPr>
          </w:p>
        </w:tc>
        <w:tc>
          <w:tcPr>
            <w:tcW w:w="3020" w:type="dxa"/>
            <w:vAlign w:val="bottom"/>
            <w:tcBorders>
              <w:bottom w:val="single" w:sz="8" w:color="009FE3"/>
            </w:tcBorders>
          </w:tcPr>
          <w:p>
            <w:pPr>
              <w:spacing w:after="0"/>
              <w:rPr>
                <w:sz w:val="16"/>
                <w:szCs w:val="16"/>
                <w:color w:val="auto"/>
              </w:rPr>
            </w:pPr>
          </w:p>
        </w:tc>
      </w:tr>
      <w:tr>
        <w:trPr>
          <w:trHeight w:val="431"/>
        </w:trPr>
        <w:tc>
          <w:tcPr>
            <w:tcW w:w="3400" w:type="dxa"/>
            <w:vAlign w:val="bottom"/>
          </w:tcPr>
          <w:p>
            <w:pPr>
              <w:spacing w:after="0"/>
              <w:rPr>
                <w:sz w:val="20"/>
                <w:szCs w:val="20"/>
                <w:color w:val="auto"/>
              </w:rPr>
            </w:pPr>
            <w:r>
              <w:rPr>
                <w:rFonts w:ascii="Arial" w:cs="Arial" w:eastAsia="Arial" w:hAnsi="Arial"/>
                <w:sz w:val="14"/>
                <w:szCs w:val="14"/>
                <w:b w:val="1"/>
                <w:bCs w:val="1"/>
                <w:color w:val="202E39"/>
              </w:rPr>
              <w:t xml:space="preserve">60       </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-182880</wp:posOffset>
            </wp:positionV>
            <wp:extent cx="425450" cy="150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ectPr>
          <w:pgSz w:w="11900" w:h="16838" w:orient="portrait"/>
          <w:cols w:equalWidth="0" w:num="1">
            <w:col w:w="11000"/>
          </w:cols>
          <w:pgMar w:left="320" w:top="474"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73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Pay Versus Performance</w:t>
      </w:r>
    </w:p>
    <w:p>
      <w:pPr>
        <w:spacing w:after="0" w:line="153" w:lineRule="exact"/>
        <w:rPr>
          <w:sz w:val="20"/>
          <w:szCs w:val="20"/>
          <w:color w:val="auto"/>
        </w:rPr>
      </w:pPr>
    </w:p>
    <w:p>
      <w:pPr>
        <w:ind w:left="680" w:right="20" w:hanging="419"/>
        <w:spacing w:after="0" w:line="243" w:lineRule="auto"/>
        <w:tabs>
          <w:tab w:leader="none" w:pos="680" w:val="left"/>
        </w:tabs>
        <w:numPr>
          <w:ilvl w:val="0"/>
          <w:numId w:val="68"/>
        </w:numPr>
        <w:rPr>
          <w:rFonts w:ascii="Arial" w:cs="Arial" w:eastAsia="Arial" w:hAnsi="Arial"/>
          <w:sz w:val="14"/>
          <w:szCs w:val="14"/>
          <w:color w:val="202E39"/>
        </w:rPr>
      </w:pPr>
      <w:r>
        <w:rPr>
          <w:rFonts w:ascii="Arial" w:cs="Arial" w:eastAsia="Arial" w:hAnsi="Arial"/>
          <w:sz w:val="14"/>
          <w:szCs w:val="14"/>
          <w:color w:val="202E39"/>
        </w:rPr>
        <w:t>Represents the performance-based stock options that will become eligible to vest in part dependent on continued service over a three-year time-based vesting schedule, and (b) in part dependent on the company’s achievement of stock price hurdles over the same three-year performance period ending October 9, 2026. The number of options that will ultimately become vested and exercisable at the end of the three-year vesting schedule will range from 0% to 250% of the target number of options. The performance-based stock options must be vested under both the time-based vesting schedule and the performance-based vesting conditions to become exercisable by the Named Executive Officer. The performance-based stock options are reflected in the table above at “target” performance levels.</w:t>
      </w:r>
    </w:p>
    <w:p>
      <w:pPr>
        <w:spacing w:after="0" w:line="39" w:lineRule="exact"/>
        <w:rPr>
          <w:rFonts w:ascii="Arial" w:cs="Arial" w:eastAsia="Arial" w:hAnsi="Arial"/>
          <w:sz w:val="14"/>
          <w:szCs w:val="14"/>
          <w:color w:val="202E39"/>
        </w:rPr>
      </w:pPr>
    </w:p>
    <w:p>
      <w:pPr>
        <w:ind w:left="680" w:right="20" w:hanging="419"/>
        <w:spacing w:after="0" w:line="243" w:lineRule="auto"/>
        <w:tabs>
          <w:tab w:leader="none" w:pos="680" w:val="left"/>
        </w:tabs>
        <w:numPr>
          <w:ilvl w:val="0"/>
          <w:numId w:val="68"/>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performance-based stock options was calculated using a Monte Carlo simulation which considered the likelihood of achieving the vesting conditions. For additional information on the valuation assumptions used in the calculation of these amounts, refer to note 9 to the financial statements included in our annual report on Form 10-K for the fiscal year ended March 31, 2024, as filed with the SEC.</w:t>
      </w:r>
    </w:p>
    <w:p>
      <w:pPr>
        <w:spacing w:after="0" w:line="39" w:lineRule="exact"/>
        <w:rPr>
          <w:rFonts w:ascii="Arial" w:cs="Arial" w:eastAsia="Arial" w:hAnsi="Arial"/>
          <w:sz w:val="14"/>
          <w:szCs w:val="14"/>
          <w:color w:val="202E39"/>
        </w:rPr>
      </w:pPr>
    </w:p>
    <w:p>
      <w:pPr>
        <w:ind w:left="680" w:hanging="419"/>
        <w:spacing w:after="0" w:line="241" w:lineRule="auto"/>
        <w:tabs>
          <w:tab w:leader="none" w:pos="680" w:val="left"/>
        </w:tabs>
        <w:numPr>
          <w:ilvl w:val="0"/>
          <w:numId w:val="68"/>
        </w:numPr>
        <w:rPr>
          <w:rFonts w:ascii="Arial" w:cs="Arial" w:eastAsia="Arial" w:hAnsi="Arial"/>
          <w:sz w:val="14"/>
          <w:szCs w:val="14"/>
          <w:color w:val="202E39"/>
        </w:rPr>
      </w:pPr>
      <w:r>
        <w:rPr>
          <w:rFonts w:ascii="Arial" w:cs="Arial" w:eastAsia="Arial" w:hAnsi="Arial"/>
          <w:sz w:val="14"/>
          <w:szCs w:val="14"/>
          <w:color w:val="202E39"/>
        </w:rPr>
        <w:t>Represents the performance-based stock options that will become eligible to vest (a) in part dependent on Mr. Gowrappan’s continued service over a four-year time-based vesting schedule, and (b) in part dependent on a comparison over the four-year performance period ending March 31 of the fourth year after the date of grant of our TSR to the TSR of the companies included in the S&amp;P MidCap 400 Index. The number of options that will ultimately become vested and exercisable at the end of the four-year vesting schedule will range from 0% to 175% of the target number of options based on the Company’s relative TSR ranking for the four-year performance period ending March 31 of the fourth year after the date of grant. The performance-based stock options must be vested under both the time-based vesting schedule and the performance-based vesting conditions to become exercisable by Mr. Gowrappan. The performance-based stock options are reflected in the table above at “target” performance levels.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61</w:t>
      </w:r>
    </w:p>
    <w:p>
      <w:pPr>
        <w:sectPr>
          <w:pgSz w:w="11900" w:h="16838" w:orient="portrait"/>
          <w:cols w:equalWidth="0" w:num="1">
            <w:col w:w="10980"/>
          </w:cols>
          <w:pgMar w:left="320" w:top="474"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Director Compensation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Director Compensation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following table sets forth the compensation earned during the fiscal year ended March 31, 2024 by each of our non-employee directors: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01"/>
        </w:trPr>
        <w:tc>
          <w:tcPr>
            <w:tcW w:w="3120" w:type="dxa"/>
            <w:vAlign w:val="bottom"/>
            <w:tcBorders>
              <w:top w:val="single" w:sz="8" w:color="E8EAEB"/>
              <w:right w:val="single" w:sz="8" w:color="E8EAEB"/>
            </w:tcBorders>
          </w:tcPr>
          <w:p>
            <w:pPr>
              <w:spacing w:after="0"/>
              <w:rPr>
                <w:sz w:val="17"/>
                <w:szCs w:val="17"/>
                <w:color w:val="auto"/>
              </w:rPr>
            </w:pPr>
          </w:p>
        </w:tc>
        <w:tc>
          <w:tcPr>
            <w:tcW w:w="1000" w:type="dxa"/>
            <w:vAlign w:val="bottom"/>
            <w:tcBorders>
              <w:top w:val="single" w:sz="8" w:color="E8EAEB"/>
              <w:right w:val="single" w:sz="8" w:color="E8EAEB"/>
            </w:tcBorders>
          </w:tcPr>
          <w:p>
            <w:pPr>
              <w:spacing w:after="0"/>
              <w:rPr>
                <w:sz w:val="17"/>
                <w:szCs w:val="17"/>
                <w:color w:val="auto"/>
              </w:rPr>
            </w:pPr>
          </w:p>
        </w:tc>
        <w:tc>
          <w:tcPr>
            <w:tcW w:w="1160" w:type="dxa"/>
            <w:vAlign w:val="bottom"/>
            <w:tcBorders>
              <w:top w:val="single" w:sz="8" w:color="E8EAEB"/>
              <w:right w:val="single" w:sz="8" w:color="E8EAEB"/>
            </w:tcBorders>
          </w:tcPr>
          <w:p>
            <w:pPr>
              <w:spacing w:after="0"/>
              <w:rPr>
                <w:sz w:val="17"/>
                <w:szCs w:val="17"/>
                <w:color w:val="auto"/>
              </w:rPr>
            </w:pPr>
          </w:p>
        </w:tc>
        <w:tc>
          <w:tcPr>
            <w:tcW w:w="1000" w:type="dxa"/>
            <w:vAlign w:val="bottom"/>
            <w:tcBorders>
              <w:top w:val="single" w:sz="8" w:color="E8EAEB"/>
              <w:right w:val="single" w:sz="8" w:color="E8EAEB"/>
            </w:tcBorders>
          </w:tcPr>
          <w:p>
            <w:pPr>
              <w:spacing w:after="0"/>
              <w:rPr>
                <w:sz w:val="17"/>
                <w:szCs w:val="17"/>
                <w:color w:val="auto"/>
              </w:rPr>
            </w:pPr>
          </w:p>
        </w:tc>
        <w:tc>
          <w:tcPr>
            <w:tcW w:w="1020" w:type="dxa"/>
            <w:vAlign w:val="bottom"/>
            <w:tcBorders>
              <w:top w:val="single" w:sz="8" w:color="E8EAEB"/>
              <w:right w:val="single" w:sz="8" w:color="E8EAEB"/>
            </w:tcBorders>
          </w:tcPr>
          <w:p>
            <w:pPr>
              <w:spacing w:after="0"/>
              <w:rPr>
                <w:sz w:val="17"/>
                <w:szCs w:val="17"/>
                <w:color w:val="auto"/>
              </w:rPr>
            </w:pPr>
          </w:p>
        </w:tc>
        <w:tc>
          <w:tcPr>
            <w:tcW w:w="10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7"/>
              </w:rPr>
              <w:t>Change in</w:t>
            </w:r>
          </w:p>
        </w:tc>
        <w:tc>
          <w:tcPr>
            <w:tcW w:w="1260" w:type="dxa"/>
            <w:vAlign w:val="bottom"/>
            <w:tcBorders>
              <w:top w:val="single" w:sz="8" w:color="E8EAEB"/>
              <w:right w:val="single" w:sz="8" w:color="E8EAEB"/>
            </w:tcBorders>
          </w:tcPr>
          <w:p>
            <w:pPr>
              <w:spacing w:after="0"/>
              <w:rPr>
                <w:sz w:val="17"/>
                <w:szCs w:val="17"/>
                <w:color w:val="auto"/>
              </w:rPr>
            </w:pPr>
          </w:p>
        </w:tc>
        <w:tc>
          <w:tcPr>
            <w:tcW w:w="1160" w:type="dxa"/>
            <w:vAlign w:val="bottom"/>
            <w:tcBorders>
              <w:top w:val="single" w:sz="8" w:color="E8EAEB"/>
            </w:tcBorders>
          </w:tcPr>
          <w:p>
            <w:pPr>
              <w:spacing w:after="0"/>
              <w:rPr>
                <w:sz w:val="17"/>
                <w:szCs w:val="17"/>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16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Pension Value</w:t>
            </w:r>
          </w:p>
        </w:tc>
        <w:tc>
          <w:tcPr>
            <w:tcW w:w="1260" w:type="dxa"/>
            <w:vAlign w:val="bottom"/>
            <w:tcBorders>
              <w:right w:val="single" w:sz="8" w:color="E8EAEB"/>
            </w:tcBorders>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16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and</w:t>
            </w:r>
          </w:p>
        </w:tc>
        <w:tc>
          <w:tcPr>
            <w:tcW w:w="1260" w:type="dxa"/>
            <w:vAlign w:val="bottom"/>
            <w:tcBorders>
              <w:right w:val="single" w:sz="8" w:color="E8EAEB"/>
            </w:tcBorders>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16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Non-Qualified</w:t>
            </w:r>
          </w:p>
        </w:tc>
        <w:tc>
          <w:tcPr>
            <w:tcW w:w="1260" w:type="dxa"/>
            <w:vAlign w:val="bottom"/>
            <w:tcBorders>
              <w:right w:val="single" w:sz="8" w:color="E8EAEB"/>
            </w:tcBorders>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Fees</w:t>
            </w:r>
          </w:p>
        </w:tc>
        <w:tc>
          <w:tcPr>
            <w:tcW w:w="116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jc w:val="right"/>
              <w:ind w:right="90"/>
              <w:spacing w:after="0" w:line="158" w:lineRule="exact"/>
              <w:rPr>
                <w:sz w:val="20"/>
                <w:szCs w:val="20"/>
                <w:color w:val="auto"/>
              </w:rPr>
            </w:pPr>
            <w:r>
              <w:rPr>
                <w:rFonts w:ascii="Arial" w:cs="Arial" w:eastAsia="Arial" w:hAnsi="Arial"/>
                <w:sz w:val="14"/>
                <w:szCs w:val="14"/>
                <w:b w:val="1"/>
                <w:bCs w:val="1"/>
                <w:color w:val="009FE3"/>
              </w:rPr>
              <w:t>Non-Equity</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Deferred</w:t>
            </w:r>
          </w:p>
        </w:tc>
        <w:tc>
          <w:tcPr>
            <w:tcW w:w="1260" w:type="dxa"/>
            <w:vAlign w:val="bottom"/>
            <w:tcBorders>
              <w:right w:val="single" w:sz="8" w:color="E8EAEB"/>
            </w:tcBorders>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7"/>
              </w:rPr>
              <w:t>Earned or</w:t>
            </w:r>
          </w:p>
        </w:tc>
        <w:tc>
          <w:tcPr>
            <w:tcW w:w="116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spacing w:after="0"/>
              <w:rPr>
                <w:sz w:val="13"/>
                <w:szCs w:val="13"/>
                <w:color w:val="auto"/>
              </w:rPr>
            </w:pP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Incentive Plan</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 </w:t>
            </w:r>
          </w:p>
        </w:tc>
        <w:tc>
          <w:tcPr>
            <w:tcW w:w="1260" w:type="dxa"/>
            <w:vAlign w:val="bottom"/>
            <w:tcBorders>
              <w:right w:val="single" w:sz="8" w:color="E8EAEB"/>
            </w:tcBorders>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Paid in</w:t>
            </w:r>
          </w:p>
        </w:tc>
        <w:tc>
          <w:tcPr>
            <w:tcW w:w="11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Stock</w:t>
            </w:r>
          </w:p>
        </w:tc>
        <w:tc>
          <w:tcPr>
            <w:tcW w:w="1000" w:type="dxa"/>
            <w:vAlign w:val="bottom"/>
            <w:tcBorders>
              <w:right w:val="single" w:sz="8" w:color="E8EAEB"/>
            </w:tcBorders>
          </w:tcPr>
          <w:p>
            <w:pPr>
              <w:jc w:val="right"/>
              <w:ind w:right="230"/>
              <w:spacing w:after="0" w:line="158" w:lineRule="exact"/>
              <w:rPr>
                <w:sz w:val="20"/>
                <w:szCs w:val="20"/>
                <w:color w:val="auto"/>
              </w:rPr>
            </w:pPr>
            <w:r>
              <w:rPr>
                <w:rFonts w:ascii="Arial" w:cs="Arial" w:eastAsia="Arial" w:hAnsi="Arial"/>
                <w:sz w:val="14"/>
                <w:szCs w:val="14"/>
                <w:b w:val="1"/>
                <w:bCs w:val="1"/>
                <w:color w:val="009FE3"/>
              </w:rPr>
              <w:t>Option</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 </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Compensation</w:t>
            </w:r>
          </w:p>
        </w:tc>
        <w:tc>
          <w:tcPr>
            <w:tcW w:w="1260" w:type="dxa"/>
            <w:vAlign w:val="bottom"/>
            <w:tcBorders>
              <w:right w:val="single" w:sz="8" w:color="E8EAEB"/>
            </w:tcBorders>
          </w:tcPr>
          <w:p>
            <w:pPr>
              <w:jc w:val="right"/>
              <w:ind w:right="290"/>
              <w:spacing w:after="0" w:line="158" w:lineRule="exact"/>
              <w:rPr>
                <w:sz w:val="20"/>
                <w:szCs w:val="20"/>
                <w:color w:val="auto"/>
              </w:rPr>
            </w:pPr>
            <w:r>
              <w:rPr>
                <w:rFonts w:ascii="Arial" w:cs="Arial" w:eastAsia="Arial" w:hAnsi="Arial"/>
                <w:sz w:val="14"/>
                <w:szCs w:val="14"/>
                <w:b w:val="1"/>
                <w:bCs w:val="1"/>
                <w:color w:val="009FE3"/>
              </w:rPr>
              <w:t>All Other</w:t>
            </w:r>
          </w:p>
        </w:tc>
        <w:tc>
          <w:tcPr>
            <w:tcW w:w="1160" w:type="dxa"/>
            <w:vAlign w:val="bottom"/>
          </w:tcPr>
          <w:p>
            <w:pPr>
              <w:spacing w:after="0"/>
              <w:rPr>
                <w:sz w:val="13"/>
                <w:szCs w:val="13"/>
                <w:color w:val="auto"/>
              </w:rPr>
            </w:pPr>
          </w:p>
        </w:tc>
      </w:tr>
      <w:tr>
        <w:trPr>
          <w:trHeight w:val="158"/>
        </w:trPr>
        <w:tc>
          <w:tcPr>
            <w:tcW w:w="3120" w:type="dxa"/>
            <w:vAlign w:val="bottom"/>
            <w:tcBorders>
              <w:right w:val="single" w:sz="8" w:color="E8EAEB"/>
            </w:tcBorders>
          </w:tcPr>
          <w:p>
            <w:pPr>
              <w:spacing w:after="0"/>
              <w:rPr>
                <w:sz w:val="13"/>
                <w:szCs w:val="13"/>
                <w:color w:val="auto"/>
              </w:rPr>
            </w:pPr>
          </w:p>
        </w:tc>
        <w:tc>
          <w:tcPr>
            <w:tcW w:w="100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Cash</w:t>
            </w:r>
          </w:p>
        </w:tc>
        <w:tc>
          <w:tcPr>
            <w:tcW w:w="11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Awards</w:t>
            </w:r>
          </w:p>
        </w:tc>
        <w:tc>
          <w:tcPr>
            <w:tcW w:w="1000" w:type="dxa"/>
            <w:vAlign w:val="bottom"/>
            <w:tcBorders>
              <w:right w:val="single" w:sz="8" w:color="E8EAEB"/>
            </w:tcBorders>
          </w:tcPr>
          <w:p>
            <w:pPr>
              <w:jc w:val="right"/>
              <w:ind w:right="210"/>
              <w:spacing w:after="0" w:line="158" w:lineRule="exact"/>
              <w:rPr>
                <w:sz w:val="20"/>
                <w:szCs w:val="20"/>
                <w:color w:val="auto"/>
              </w:rPr>
            </w:pPr>
            <w:r>
              <w:rPr>
                <w:rFonts w:ascii="Arial" w:cs="Arial" w:eastAsia="Arial" w:hAnsi="Arial"/>
                <w:sz w:val="14"/>
                <w:szCs w:val="14"/>
                <w:b w:val="1"/>
                <w:bCs w:val="1"/>
                <w:color w:val="009FE3"/>
              </w:rPr>
              <w:t>Awards</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8"/>
              </w:rPr>
              <w:t>Compensation</w:t>
            </w:r>
          </w:p>
        </w:tc>
        <w:tc>
          <w:tcPr>
            <w:tcW w:w="102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Earnings</w:t>
            </w:r>
          </w:p>
        </w:tc>
        <w:tc>
          <w:tcPr>
            <w:tcW w:w="1260" w:type="dxa"/>
            <w:vAlign w:val="bottom"/>
            <w:tcBorders>
              <w:right w:val="single" w:sz="8" w:color="E8EAEB"/>
            </w:tcBorders>
          </w:tcPr>
          <w:p>
            <w:pPr>
              <w:jc w:val="right"/>
              <w:ind w:right="90"/>
              <w:spacing w:after="0" w:line="158" w:lineRule="exact"/>
              <w:rPr>
                <w:sz w:val="20"/>
                <w:szCs w:val="20"/>
                <w:color w:val="auto"/>
              </w:rPr>
            </w:pPr>
            <w:r>
              <w:rPr>
                <w:rFonts w:ascii="Arial" w:cs="Arial" w:eastAsia="Arial" w:hAnsi="Arial"/>
                <w:sz w:val="14"/>
                <w:szCs w:val="14"/>
                <w:b w:val="1"/>
                <w:bCs w:val="1"/>
                <w:color w:val="009FE3"/>
              </w:rPr>
              <w:t> Compensation</w:t>
            </w:r>
          </w:p>
        </w:tc>
        <w:tc>
          <w:tcPr>
            <w:tcW w:w="1160" w:type="dxa"/>
            <w:vAlign w:val="bottom"/>
          </w:tcPr>
          <w:p>
            <w:pPr>
              <w:jc w:val="right"/>
              <w:ind w:right="350"/>
              <w:spacing w:after="0" w:line="158" w:lineRule="exact"/>
              <w:rPr>
                <w:sz w:val="20"/>
                <w:szCs w:val="20"/>
                <w:color w:val="auto"/>
              </w:rPr>
            </w:pPr>
            <w:r>
              <w:rPr>
                <w:rFonts w:ascii="Arial" w:cs="Arial" w:eastAsia="Arial" w:hAnsi="Arial"/>
                <w:sz w:val="14"/>
                <w:szCs w:val="14"/>
                <w:b w:val="1"/>
                <w:bCs w:val="1"/>
                <w:color w:val="009FE3"/>
              </w:rPr>
              <w:t>Total</w:t>
            </w:r>
          </w:p>
        </w:tc>
      </w:tr>
      <w:tr>
        <w:trPr>
          <w:trHeight w:val="206"/>
        </w:trPr>
        <w:tc>
          <w:tcPr>
            <w:tcW w:w="312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Name</w:t>
            </w:r>
          </w:p>
        </w:tc>
        <w:tc>
          <w:tcPr>
            <w:tcW w:w="1000" w:type="dxa"/>
            <w:vAlign w:val="bottom"/>
            <w:tcBorders>
              <w:bottom w:val="single" w:sz="8" w:color="009FE3"/>
              <w:right w:val="single" w:sz="8" w:color="E8EAEB"/>
            </w:tcBorders>
          </w:tcPr>
          <w:p>
            <w:pPr>
              <w:jc w:val="right"/>
              <w:ind w:right="190"/>
              <w:spacing w:after="0"/>
              <w:rPr>
                <w:sz w:val="20"/>
                <w:szCs w:val="20"/>
                <w:color w:val="auto"/>
              </w:rPr>
            </w:pPr>
            <w:r>
              <w:rPr>
                <w:rFonts w:ascii="Arial" w:cs="Arial" w:eastAsia="Arial" w:hAnsi="Arial"/>
                <w:sz w:val="14"/>
                <w:szCs w:val="14"/>
                <w:b w:val="1"/>
                <w:bCs w:val="1"/>
                <w:color w:val="009FE3"/>
              </w:rPr>
              <w:t xml:space="preserve">      ($)    </w:t>
            </w:r>
          </w:p>
        </w:tc>
        <w:tc>
          <w:tcPr>
            <w:tcW w:w="11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xml:space="preserve">    ($)(1)    </w:t>
            </w:r>
          </w:p>
        </w:tc>
        <w:tc>
          <w:tcPr>
            <w:tcW w:w="1000" w:type="dxa"/>
            <w:vAlign w:val="bottom"/>
            <w:tcBorders>
              <w:bottom w:val="single" w:sz="8" w:color="009FE3"/>
              <w:right w:val="single" w:sz="8" w:color="E8EAEB"/>
            </w:tcBorders>
          </w:tcPr>
          <w:p>
            <w:pPr>
              <w:jc w:val="right"/>
              <w:ind w:right="110"/>
              <w:spacing w:after="0"/>
              <w:rPr>
                <w:sz w:val="20"/>
                <w:szCs w:val="20"/>
                <w:color w:val="auto"/>
              </w:rPr>
            </w:pPr>
            <w:r>
              <w:rPr>
                <w:rFonts w:ascii="Arial" w:cs="Arial" w:eastAsia="Arial" w:hAnsi="Arial"/>
                <w:sz w:val="14"/>
                <w:szCs w:val="14"/>
                <w:b w:val="1"/>
                <w:bCs w:val="1"/>
                <w:color w:val="009FE3"/>
              </w:rPr>
              <w:t xml:space="preserve">    ($)(2)    </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260" w:type="dxa"/>
            <w:vAlign w:val="bottom"/>
            <w:tcBorders>
              <w:bottom w:val="single" w:sz="8" w:color="009FE3"/>
              <w:right w:val="single" w:sz="8" w:color="E8EAEB"/>
            </w:tcBorders>
          </w:tcPr>
          <w:p>
            <w:pPr>
              <w:jc w:val="right"/>
              <w:ind w:right="490"/>
              <w:spacing w:after="0"/>
              <w:rPr>
                <w:sz w:val="20"/>
                <w:szCs w:val="20"/>
                <w:color w:val="auto"/>
              </w:rPr>
            </w:pPr>
            <w:r>
              <w:rPr>
                <w:rFonts w:ascii="Arial" w:cs="Arial" w:eastAsia="Arial" w:hAnsi="Arial"/>
                <w:sz w:val="14"/>
                <w:szCs w:val="14"/>
                <w:b w:val="1"/>
                <w:bCs w:val="1"/>
                <w:color w:val="009FE3"/>
              </w:rPr>
              <w:t>($)</w:t>
            </w:r>
          </w:p>
        </w:tc>
        <w:tc>
          <w:tcPr>
            <w:tcW w:w="1160" w:type="dxa"/>
            <w:vAlign w:val="bottom"/>
            <w:tcBorders>
              <w:bottom w:val="single" w:sz="8" w:color="009FE3"/>
            </w:tcBorders>
          </w:tcPr>
          <w:p>
            <w:pPr>
              <w:jc w:val="right"/>
              <w:ind w:right="430"/>
              <w:spacing w:after="0"/>
              <w:rPr>
                <w:sz w:val="20"/>
                <w:szCs w:val="20"/>
                <w:color w:val="auto"/>
              </w:rPr>
            </w:pPr>
            <w:r>
              <w:rPr>
                <w:rFonts w:ascii="Arial" w:cs="Arial" w:eastAsia="Arial" w:hAnsi="Arial"/>
                <w:sz w:val="14"/>
                <w:szCs w:val="14"/>
                <w:b w:val="1"/>
                <w:bCs w:val="1"/>
                <w:color w:val="009FE3"/>
              </w:rPr>
              <w:t>($)</w:t>
            </w:r>
          </w:p>
        </w:tc>
      </w:tr>
      <w:tr>
        <w:trPr>
          <w:trHeight w:val="213"/>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James Bridenstine</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82,500</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38,944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63,077</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184,521</w:t>
            </w:r>
          </w:p>
        </w:tc>
      </w:tr>
      <w:tr>
        <w:trPr>
          <w:trHeight w:val="217"/>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Robert Johnson</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97,500</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38,944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63,077</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199,521</w:t>
            </w:r>
          </w:p>
        </w:tc>
      </w:tr>
      <w:tr>
        <w:trPr>
          <w:trHeight w:val="217"/>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Sean Pak</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115,000</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38,944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63,077</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217,021</w:t>
            </w:r>
          </w:p>
        </w:tc>
      </w:tr>
      <w:tr>
        <w:trPr>
          <w:trHeight w:val="217"/>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Varsha Rao (3)</w:t>
            </w:r>
          </w:p>
        </w:tc>
        <w:tc>
          <w:tcPr>
            <w:tcW w:w="100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right w:val="single" w:sz="8" w:color="E8EAEB"/>
            </w:tcBorders>
          </w:tcPr>
          <w:p>
            <w:pPr>
              <w:jc w:val="right"/>
              <w:ind w:right="110"/>
              <w:spacing w:after="0"/>
              <w:rPr>
                <w:sz w:val="20"/>
                <w:szCs w:val="20"/>
                <w:color w:val="auto"/>
              </w:rPr>
            </w:pPr>
            <w:r>
              <w:rPr>
                <w:rFonts w:ascii="Arial" w:cs="Arial" w:eastAsia="Arial" w:hAnsi="Arial"/>
                <w:sz w:val="14"/>
                <w:szCs w:val="14"/>
                <w:color w:val="202E39"/>
              </w:rPr>
              <w:t>— </w:t>
            </w:r>
          </w:p>
        </w:tc>
        <w:tc>
          <w:tcPr>
            <w:tcW w:w="1000" w:type="dxa"/>
            <w:vAlign w:val="bottom"/>
            <w:tcBorders>
              <w:bottom w:val="single" w:sz="8" w:color="E8EAEB"/>
              <w:right w:val="single" w:sz="8" w:color="E8EAEB"/>
            </w:tcBorders>
          </w:tcPr>
          <w:p>
            <w:pPr>
              <w:jc w:val="right"/>
              <w:ind w:right="11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70"/>
              <w:spacing w:after="0"/>
              <w:rPr>
                <w:sz w:val="20"/>
                <w:szCs w:val="20"/>
                <w:color w:val="auto"/>
              </w:rPr>
            </w:pPr>
            <w:r>
              <w:rPr>
                <w:rFonts w:ascii="Arial" w:cs="Arial" w:eastAsia="Arial" w:hAnsi="Arial"/>
                <w:sz w:val="14"/>
                <w:szCs w:val="14"/>
                <w:color w:val="202E39"/>
              </w:rPr>
              <w:t>— </w:t>
            </w:r>
          </w:p>
        </w:tc>
      </w:tr>
      <w:tr>
        <w:trPr>
          <w:trHeight w:val="217"/>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John Stenbit</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107,500</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38,944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63,077</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209,521</w:t>
            </w:r>
          </w:p>
        </w:tc>
      </w:tr>
      <w:tr>
        <w:trPr>
          <w:trHeight w:val="217"/>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Andrew Sukawaty</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116,940</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176,344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267,021</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560,305</w:t>
            </w:r>
          </w:p>
        </w:tc>
      </w:tr>
      <w:tr>
        <w:trPr>
          <w:trHeight w:val="217"/>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Rajeev Suri</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92,269</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176,344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267,021</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535,634</w:t>
            </w:r>
          </w:p>
        </w:tc>
      </w:tr>
      <w:tr>
        <w:trPr>
          <w:trHeight w:val="221"/>
        </w:trPr>
        <w:tc>
          <w:tcPr>
            <w:tcW w:w="31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Richard Baldridge (4)</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88,973</w:t>
            </w:r>
          </w:p>
        </w:tc>
        <w:tc>
          <w:tcPr>
            <w:tcW w:w="116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1,907,488</w:t>
            </w:r>
          </w:p>
        </w:tc>
        <w:tc>
          <w:tcPr>
            <w:tcW w:w="1000" w:type="dxa"/>
            <w:vAlign w:val="bottom"/>
            <w:tcBorders>
              <w:bottom w:val="single" w:sz="8" w:color="E8EAEB"/>
              <w:right w:val="single" w:sz="8" w:color="E8EAEB"/>
            </w:tcBorders>
          </w:tcPr>
          <w:p>
            <w:pPr>
              <w:jc w:val="right"/>
              <w:ind w:right="70"/>
              <w:spacing w:after="0"/>
              <w:rPr>
                <w:sz w:val="20"/>
                <w:szCs w:val="20"/>
                <w:color w:val="auto"/>
              </w:rPr>
            </w:pPr>
            <w:r>
              <w:rPr>
                <w:rFonts w:ascii="Arial" w:cs="Arial" w:eastAsia="Arial" w:hAnsi="Arial"/>
                <w:sz w:val="14"/>
                <w:szCs w:val="14"/>
                <w:color w:val="202E39"/>
              </w:rPr>
              <w:t>63,077</w:t>
            </w:r>
          </w:p>
        </w:tc>
        <w:tc>
          <w:tcPr>
            <w:tcW w:w="1020" w:type="dxa"/>
            <w:vAlign w:val="bottom"/>
            <w:tcBorders>
              <w:bottom w:val="single" w:sz="8" w:color="E8EAEB"/>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E8EAEB"/>
              <w:right w:val="single" w:sz="8" w:color="E8EAEB"/>
            </w:tcBorders>
          </w:tcPr>
          <w:p>
            <w:pPr>
              <w:jc w:val="right"/>
              <w:ind w:right="50"/>
              <w:spacing w:after="0"/>
              <w:rPr>
                <w:sz w:val="20"/>
                <w:szCs w:val="20"/>
                <w:color w:val="auto"/>
              </w:rPr>
            </w:pPr>
            <w:r>
              <w:rPr>
                <w:rFonts w:ascii="Arial" w:cs="Arial" w:eastAsia="Arial" w:hAnsi="Arial"/>
                <w:sz w:val="14"/>
                <w:szCs w:val="14"/>
                <w:color w:val="202E39"/>
              </w:rPr>
              <w:t>567,750</w:t>
            </w:r>
          </w:p>
        </w:tc>
        <w:tc>
          <w:tcPr>
            <w:tcW w:w="1160" w:type="dxa"/>
            <w:vAlign w:val="bottom"/>
            <w:tcBorders>
              <w:bottom w:val="single" w:sz="8" w:color="E8EAEB"/>
            </w:tcBorders>
          </w:tcPr>
          <w:p>
            <w:pPr>
              <w:jc w:val="right"/>
              <w:ind w:right="50"/>
              <w:spacing w:after="0"/>
              <w:rPr>
                <w:sz w:val="20"/>
                <w:szCs w:val="20"/>
                <w:color w:val="auto"/>
              </w:rPr>
            </w:pPr>
            <w:r>
              <w:rPr>
                <w:rFonts w:ascii="Arial" w:cs="Arial" w:eastAsia="Arial" w:hAnsi="Arial"/>
                <w:sz w:val="14"/>
                <w:szCs w:val="14"/>
                <w:color w:val="202E39"/>
              </w:rPr>
              <w:t>2,627,288</w:t>
            </w:r>
          </w:p>
        </w:tc>
      </w:tr>
      <w:tr>
        <w:trPr>
          <w:trHeight w:val="212"/>
        </w:trPr>
        <w:tc>
          <w:tcPr>
            <w:tcW w:w="312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Theresa Wise</w:t>
            </w:r>
          </w:p>
        </w:tc>
        <w:tc>
          <w:tcPr>
            <w:tcW w:w="100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color w:val="202E39"/>
              </w:rPr>
              <w:t>105,000</w:t>
            </w:r>
          </w:p>
        </w:tc>
        <w:tc>
          <w:tcPr>
            <w:tcW w:w="116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color w:val="202E39"/>
              </w:rPr>
              <w:t>38,944</w:t>
            </w:r>
          </w:p>
        </w:tc>
        <w:tc>
          <w:tcPr>
            <w:tcW w:w="1000" w:type="dxa"/>
            <w:vAlign w:val="bottom"/>
            <w:tcBorders>
              <w:bottom w:val="single" w:sz="8" w:color="009FE3"/>
              <w:right w:val="single" w:sz="8" w:color="E8EAEB"/>
            </w:tcBorders>
          </w:tcPr>
          <w:p>
            <w:pPr>
              <w:jc w:val="right"/>
              <w:ind w:right="70"/>
              <w:spacing w:after="0"/>
              <w:rPr>
                <w:sz w:val="20"/>
                <w:szCs w:val="20"/>
                <w:color w:val="auto"/>
              </w:rPr>
            </w:pPr>
            <w:r>
              <w:rPr>
                <w:rFonts w:ascii="Arial" w:cs="Arial" w:eastAsia="Arial" w:hAnsi="Arial"/>
                <w:sz w:val="14"/>
                <w:szCs w:val="14"/>
                <w:color w:val="202E39"/>
              </w:rPr>
              <w:t>63,077</w:t>
            </w:r>
          </w:p>
        </w:tc>
        <w:tc>
          <w:tcPr>
            <w:tcW w:w="1020" w:type="dxa"/>
            <w:vAlign w:val="bottom"/>
            <w:tcBorders>
              <w:bottom w:val="single" w:sz="8" w:color="009FE3"/>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020" w:type="dxa"/>
            <w:vAlign w:val="bottom"/>
            <w:tcBorders>
              <w:bottom w:val="single" w:sz="8" w:color="009FE3"/>
              <w:right w:val="single" w:sz="8" w:color="E8EAEB"/>
            </w:tcBorders>
          </w:tcPr>
          <w:p>
            <w:pPr>
              <w:ind w:left="680"/>
              <w:spacing w:after="0"/>
              <w:rPr>
                <w:sz w:val="20"/>
                <w:szCs w:val="20"/>
                <w:color w:val="auto"/>
              </w:rPr>
            </w:pPr>
            <w:r>
              <w:rPr>
                <w:rFonts w:ascii="Arial" w:cs="Arial" w:eastAsia="Arial" w:hAnsi="Arial"/>
                <w:sz w:val="14"/>
                <w:szCs w:val="14"/>
                <w:color w:val="202E39"/>
              </w:rPr>
              <w:t>— </w:t>
            </w:r>
          </w:p>
        </w:tc>
        <w:tc>
          <w:tcPr>
            <w:tcW w:w="1260" w:type="dxa"/>
            <w:vAlign w:val="bottom"/>
            <w:tcBorders>
              <w:bottom w:val="single" w:sz="8" w:color="009FE3"/>
              <w:right w:val="single" w:sz="8" w:color="E8EAEB"/>
            </w:tcBorders>
          </w:tcPr>
          <w:p>
            <w:pPr>
              <w:jc w:val="right"/>
              <w:ind w:right="90"/>
              <w:spacing w:after="0"/>
              <w:rPr>
                <w:sz w:val="20"/>
                <w:szCs w:val="20"/>
                <w:color w:val="auto"/>
              </w:rPr>
            </w:pPr>
            <w:r>
              <w:rPr>
                <w:rFonts w:ascii="Arial" w:cs="Arial" w:eastAsia="Arial" w:hAnsi="Arial"/>
                <w:sz w:val="14"/>
                <w:szCs w:val="14"/>
                <w:color w:val="202E39"/>
              </w:rPr>
              <w:t>— </w:t>
            </w:r>
          </w:p>
        </w:tc>
        <w:tc>
          <w:tcPr>
            <w:tcW w:w="1160" w:type="dxa"/>
            <w:vAlign w:val="bottom"/>
            <w:tcBorders>
              <w:bottom w:val="single" w:sz="8" w:color="009FE3"/>
            </w:tcBorders>
          </w:tcPr>
          <w:p>
            <w:pPr>
              <w:jc w:val="right"/>
              <w:ind w:right="50"/>
              <w:spacing w:after="0"/>
              <w:rPr>
                <w:sz w:val="20"/>
                <w:szCs w:val="20"/>
                <w:color w:val="auto"/>
              </w:rPr>
            </w:pPr>
            <w:r>
              <w:rPr>
                <w:rFonts w:ascii="Arial" w:cs="Arial" w:eastAsia="Arial" w:hAnsi="Arial"/>
                <w:sz w:val="14"/>
                <w:szCs w:val="14"/>
                <w:color w:val="202E39"/>
              </w:rPr>
              <w:t>207,021</w:t>
            </w:r>
          </w:p>
        </w:tc>
      </w:tr>
    </w:tbl>
    <w:p>
      <w:pPr>
        <w:spacing w:after="0" w:line="109" w:lineRule="exact"/>
        <w:rPr>
          <w:sz w:val="20"/>
          <w:szCs w:val="20"/>
          <w:color w:val="auto"/>
        </w:rPr>
      </w:pPr>
    </w:p>
    <w:p>
      <w:pPr>
        <w:ind w:left="680" w:right="20" w:hanging="419"/>
        <w:spacing w:after="0" w:line="239" w:lineRule="auto"/>
        <w:tabs>
          <w:tab w:leader="none" w:pos="680" w:val="left"/>
        </w:tabs>
        <w:numPr>
          <w:ilvl w:val="0"/>
          <w:numId w:val="69"/>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restricted stock unit awards granted in fiscal year 2024.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9 to the financial statements included in our annual report on Form 10-K for the fiscal year ended March 31, 2024, as filed with the SEC. The aggregate number of shares of our common stock subject to restricted stock unit awards outstanding at the end of fiscal year 2024 for each non-employee director was as follows:</w:t>
      </w:r>
    </w:p>
    <w:p>
      <w:pPr>
        <w:ind w:left="680" w:right="480"/>
        <w:spacing w:after="0" w:line="249" w:lineRule="auto"/>
        <w:rPr>
          <w:rFonts w:ascii="Arial" w:cs="Arial" w:eastAsia="Arial" w:hAnsi="Arial"/>
          <w:sz w:val="14"/>
          <w:szCs w:val="14"/>
          <w:color w:val="202E39"/>
        </w:rPr>
      </w:pPr>
      <w:r>
        <w:rPr>
          <w:rFonts w:ascii="Arial" w:cs="Arial" w:eastAsia="Arial" w:hAnsi="Arial"/>
          <w:sz w:val="14"/>
          <w:szCs w:val="14"/>
          <w:color w:val="202E39"/>
        </w:rPr>
        <w:t>Mr. Bridenstine (1,600); Mr. Johnson (1,600); Mr. Pak (1,600); Mr. Stenbit (1,600); Mr. Sukawaty (4,600), Mr. Suri (4,600), Mr. Baldridge (104,917) and Dr. Wise (1,600). Ms. Rao did not hold any outstanding equity awards at the end of fiscal year 2024.</w:t>
      </w:r>
    </w:p>
    <w:p>
      <w:pPr>
        <w:spacing w:after="0" w:line="33" w:lineRule="exact"/>
        <w:rPr>
          <w:rFonts w:ascii="Arial" w:cs="Arial" w:eastAsia="Arial" w:hAnsi="Arial"/>
          <w:sz w:val="14"/>
          <w:szCs w:val="14"/>
          <w:color w:val="202E39"/>
        </w:rPr>
      </w:pPr>
    </w:p>
    <w:p>
      <w:pPr>
        <w:ind w:left="680" w:right="100" w:hanging="419"/>
        <w:spacing w:after="0" w:line="257" w:lineRule="auto"/>
        <w:tabs>
          <w:tab w:leader="none" w:pos="680" w:val="left"/>
        </w:tabs>
        <w:numPr>
          <w:ilvl w:val="0"/>
          <w:numId w:val="69"/>
        </w:numPr>
        <w:rPr>
          <w:rFonts w:ascii="Arial" w:cs="Arial" w:eastAsia="Arial" w:hAnsi="Arial"/>
          <w:sz w:val="13"/>
          <w:szCs w:val="13"/>
          <w:color w:val="202E39"/>
        </w:rPr>
      </w:pPr>
      <w:r>
        <w:rPr>
          <w:rFonts w:ascii="Arial" w:cs="Arial" w:eastAsia="Arial" w:hAnsi="Arial"/>
          <w:sz w:val="13"/>
          <w:szCs w:val="13"/>
          <w:color w:val="202E39"/>
        </w:rPr>
        <w:t>This column represents the aggregate grant date fair value, calculated in accordance with SEC rules, of stock options granted in fiscal year 2024,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9 to the financial statements included in our annual report on Form 10-K for the fiscal year ended March 31, 2024, as filed with the SEC. The aggregate number of shares of our common stock subject to stock options outstanding at the end of fiscal year 2024 for each director was as follows:</w:t>
      </w:r>
    </w:p>
    <w:p>
      <w:pPr>
        <w:spacing w:after="0" w:line="2" w:lineRule="exact"/>
        <w:rPr>
          <w:rFonts w:ascii="Arial" w:cs="Arial" w:eastAsia="Arial" w:hAnsi="Arial"/>
          <w:sz w:val="13"/>
          <w:szCs w:val="13"/>
          <w:color w:val="202E39"/>
        </w:rPr>
      </w:pPr>
    </w:p>
    <w:p>
      <w:pPr>
        <w:ind w:left="680" w:right="20"/>
        <w:spacing w:after="0" w:line="249" w:lineRule="auto"/>
        <w:rPr>
          <w:rFonts w:ascii="Arial" w:cs="Arial" w:eastAsia="Arial" w:hAnsi="Arial"/>
          <w:sz w:val="13"/>
          <w:szCs w:val="13"/>
          <w:color w:val="202E39"/>
        </w:rPr>
      </w:pPr>
      <w:r>
        <w:rPr>
          <w:rFonts w:ascii="Arial" w:cs="Arial" w:eastAsia="Arial" w:hAnsi="Arial"/>
          <w:sz w:val="14"/>
          <w:szCs w:val="14"/>
          <w:color w:val="202E39"/>
        </w:rPr>
        <w:t>Mr. Bridenstine (24,000); Mr. Johnson (30,000); Mr. Pak (30,000); Mr. Stenbit (30,000); Mr. Sukawaty (14,000), Mr. Suri (14,000), Mr. Baldridge (392,052) and Dr. Wise (29,000). Ms. Rao did not hold any outstanding equity awards at the end of fiscal year 2024.</w:t>
      </w:r>
    </w:p>
    <w:p>
      <w:pPr>
        <w:spacing w:after="0" w:line="33" w:lineRule="exact"/>
        <w:rPr>
          <w:rFonts w:ascii="Arial" w:cs="Arial" w:eastAsia="Arial" w:hAnsi="Arial"/>
          <w:sz w:val="13"/>
          <w:szCs w:val="13"/>
          <w:color w:val="202E39"/>
        </w:rPr>
      </w:pPr>
    </w:p>
    <w:p>
      <w:pPr>
        <w:ind w:left="680" w:hanging="419"/>
        <w:spacing w:after="0"/>
        <w:tabs>
          <w:tab w:leader="none" w:pos="680" w:val="left"/>
        </w:tabs>
        <w:numPr>
          <w:ilvl w:val="0"/>
          <w:numId w:val="69"/>
        </w:numPr>
        <w:rPr>
          <w:rFonts w:ascii="Arial" w:cs="Arial" w:eastAsia="Arial" w:hAnsi="Arial"/>
          <w:sz w:val="14"/>
          <w:szCs w:val="14"/>
          <w:color w:val="202E39"/>
        </w:rPr>
      </w:pPr>
      <w:r>
        <w:rPr>
          <w:rFonts w:ascii="Arial" w:cs="Arial" w:eastAsia="Arial" w:hAnsi="Arial"/>
          <w:sz w:val="14"/>
          <w:szCs w:val="14"/>
          <w:color w:val="202E39"/>
        </w:rPr>
        <w:t>Ms. Rao did not stand for reelection at the 2023 annual meeting and ceased serving as a director on that date.</w:t>
      </w:r>
    </w:p>
    <w:p>
      <w:pPr>
        <w:spacing w:after="0" w:line="62" w:lineRule="exact"/>
        <w:rPr>
          <w:rFonts w:ascii="Arial" w:cs="Arial" w:eastAsia="Arial" w:hAnsi="Arial"/>
          <w:sz w:val="14"/>
          <w:szCs w:val="14"/>
          <w:color w:val="202E39"/>
        </w:rPr>
      </w:pPr>
    </w:p>
    <w:p>
      <w:pPr>
        <w:ind w:left="680" w:right="100" w:hanging="419"/>
        <w:spacing w:after="0" w:line="243" w:lineRule="auto"/>
        <w:tabs>
          <w:tab w:leader="none" w:pos="680" w:val="left"/>
        </w:tabs>
        <w:numPr>
          <w:ilvl w:val="0"/>
          <w:numId w:val="69"/>
        </w:numPr>
        <w:rPr>
          <w:rFonts w:ascii="Arial" w:cs="Arial" w:eastAsia="Arial" w:hAnsi="Arial"/>
          <w:sz w:val="14"/>
          <w:szCs w:val="14"/>
          <w:color w:val="202E39"/>
        </w:rPr>
      </w:pPr>
      <w:r>
        <w:rPr>
          <w:rFonts w:ascii="Arial" w:cs="Arial" w:eastAsia="Arial" w:hAnsi="Arial"/>
          <w:sz w:val="14"/>
          <w:szCs w:val="14"/>
          <w:color w:val="202E39"/>
        </w:rPr>
        <w:t>Mr. Baldridge was employed by Viasat as its Vice Chairman until his retirement on June 30, 2023. Following his retirement, he continues to serve as a member of the Board. Of the amount reflected in the “Stock Awards” column for Mr. Baldridge, $1,868,543 reflects the grant date fair value of restricted stock unit awards granted in fiscal year 2024 to Mr. Baldridge while he was an employee of Viasat. The amount reflected in the “All Other Compensation” column above includes compensation earned by Mr. Baldridge as an employee of Viasat during fiscal year 2024, including: base salary earned of $367,500, accrued but unpaid vacation paid upon his retirement of $196,875, and company 401(k) matching contributions of $3,375.</w:t>
      </w:r>
    </w:p>
    <w:p>
      <w:pPr>
        <w:spacing w:after="0" w:line="76" w:lineRule="exact"/>
        <w:rPr>
          <w:sz w:val="20"/>
          <w:szCs w:val="20"/>
          <w:color w:val="auto"/>
        </w:rPr>
      </w:pPr>
    </w:p>
    <w:p>
      <w:pPr>
        <w:ind w:left="260" w:right="220"/>
        <w:spacing w:after="0" w:line="269" w:lineRule="auto"/>
        <w:rPr>
          <w:sz w:val="20"/>
          <w:szCs w:val="20"/>
          <w:color w:val="auto"/>
        </w:rPr>
      </w:pPr>
      <w:r>
        <w:rPr>
          <w:rFonts w:ascii="Arial" w:cs="Arial" w:eastAsia="Arial" w:hAnsi="Arial"/>
          <w:sz w:val="16"/>
          <w:szCs w:val="16"/>
          <w:color w:val="202E39"/>
        </w:rPr>
        <w:t>Directors who are employees of the company, such as Mr. Dankberg and Mr. Baldridge prior to his termination of employment with the company, do not receive any additional compensation for their services as directors.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Compensation Arrangements for Non-Employee Directors</w:t>
      </w:r>
    </w:p>
    <w:p>
      <w:pPr>
        <w:spacing w:after="0" w:line="108" w:lineRule="exact"/>
        <w:rPr>
          <w:sz w:val="20"/>
          <w:szCs w:val="20"/>
          <w:color w:val="auto"/>
        </w:rPr>
      </w:pPr>
    </w:p>
    <w:p>
      <w:pPr>
        <w:ind w:left="260" w:right="160"/>
        <w:spacing w:after="0" w:line="245" w:lineRule="auto"/>
        <w:rPr>
          <w:sz w:val="20"/>
          <w:szCs w:val="20"/>
          <w:color w:val="auto"/>
        </w:rPr>
      </w:pPr>
      <w:r>
        <w:rPr>
          <w:rFonts w:ascii="Arial" w:cs="Arial" w:eastAsia="Arial" w:hAnsi="Arial"/>
          <w:sz w:val="16"/>
          <w:szCs w:val="16"/>
          <w:color w:val="202E39"/>
        </w:rPr>
        <w:t>All non-employee directors are entitled to receive an annual cash retainer for their service in the amount of $70,000 as a member of the Board, $25,000 for the Lead Independent Director, $20,000 for the chair of the Audit Committee, $15,000 for the chair of the Compensation and Human Resources Committee, $10,000 for the chair of the Nomination, Evaluation and Corporate Governance Committee, $5,000 for the chair of the other Board committees, $15,000 as a non-chair member of the Audit Committee, $10,000 as a non-chair member of the Compensation and Human Resources Committee, $5,000 as a non-chair member of the Nomination, Evaluation and Corporate Governance Committee, and $2,500 as a non-chair member of the other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85090</wp:posOffset>
            </wp:positionV>
            <wp:extent cx="425450" cy="150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62       </w:t>
      </w:r>
    </w:p>
    <w:p>
      <w:pPr>
        <w:sectPr>
          <w:pgSz w:w="11900" w:h="16838" w:orient="portrait"/>
          <w:cols w:equalWidth="0" w:num="1">
            <w:col w:w="11000"/>
          </w:cols>
          <w:pgMar w:left="320" w:top="474" w:right="5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3"/>
          <w:szCs w:val="13"/>
          <w:color w:val="009FE3"/>
        </w:rPr>
        <w:t>EXECUTIVE COMPENSATION</w:t>
      </w:r>
      <w:r>
        <w:rPr>
          <w:rFonts w:ascii="Arial" w:cs="Arial" w:eastAsia="Arial" w:hAnsi="Arial"/>
          <w:sz w:val="13"/>
          <w:szCs w:val="13"/>
          <w:color w:val="202E39"/>
        </w:rPr>
        <w:t xml:space="preserve"> </w:t>
      </w:r>
      <w:r>
        <w:rPr>
          <w:rFonts w:ascii="Arial" w:cs="Arial" w:eastAsia="Arial" w:hAnsi="Arial"/>
          <w:sz w:val="13"/>
          <w:szCs w:val="13"/>
          <w:color w:val="009FE3"/>
        </w:rPr>
        <w:t xml:space="preserve"> •</w:t>
      </w:r>
      <w:r>
        <w:rPr>
          <w:rFonts w:ascii="Arial" w:cs="Arial" w:eastAsia="Arial" w:hAnsi="Arial"/>
          <w:sz w:val="13"/>
          <w:szCs w:val="13"/>
          <w:color w:val="202E39"/>
        </w:rPr>
        <w:t xml:space="preserve">  Director Compensation</w:t>
      </w:r>
    </w:p>
    <w:p>
      <w:pPr>
        <w:spacing w:after="0" w:line="242" w:lineRule="exact"/>
        <w:rPr>
          <w:sz w:val="20"/>
          <w:szCs w:val="20"/>
          <w:color w:val="auto"/>
        </w:rPr>
      </w:pPr>
    </w:p>
    <w:p>
      <w:pPr>
        <w:ind w:left="260" w:right="100"/>
        <w:spacing w:after="0" w:line="244" w:lineRule="auto"/>
        <w:rPr>
          <w:sz w:val="20"/>
          <w:szCs w:val="20"/>
          <w:color w:val="auto"/>
        </w:rPr>
      </w:pPr>
      <w:r>
        <w:rPr>
          <w:rFonts w:ascii="Arial" w:cs="Arial" w:eastAsia="Arial" w:hAnsi="Arial"/>
          <w:sz w:val="16"/>
          <w:szCs w:val="16"/>
          <w:color w:val="202E39"/>
        </w:rPr>
        <w:t>At the time of initial election to the Board,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 the form of a restricted stock unit award that may be settled for 1,600 shares of our common stock and an option to purchase 5,000 shares of our common stock. Initial awards vest in three equal installments on each of the first three anniversaries of the date of grant. Annual awards vest on the first anniversary of the date of grant. Under the Restated Equity Plan, awards to our non-employee directors are subject to accelerated vesting in the event of a change in control or the director’s death or disability. Members of the Board are reimbursed for expenses incurred in attending Board and committee meetings, and in connection with Board related activities.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Stock Ownership Guidelines for Non-Employee Directors</w:t>
      </w:r>
    </w:p>
    <w:p>
      <w:pPr>
        <w:spacing w:after="0" w:line="108" w:lineRule="exact"/>
        <w:rPr>
          <w:sz w:val="20"/>
          <w:szCs w:val="20"/>
          <w:color w:val="auto"/>
        </w:rPr>
      </w:pPr>
    </w:p>
    <w:p>
      <w:pPr>
        <w:ind w:left="260" w:right="220"/>
        <w:spacing w:after="0" w:line="245" w:lineRule="auto"/>
        <w:rPr>
          <w:sz w:val="20"/>
          <w:szCs w:val="20"/>
          <w:color w:val="auto"/>
        </w:rPr>
      </w:pPr>
      <w:r>
        <w:rPr>
          <w:rFonts w:ascii="Arial" w:cs="Arial" w:eastAsia="Arial" w:hAnsi="Arial"/>
          <w:sz w:val="16"/>
          <w:szCs w:val="16"/>
          <w:color w:val="202E39"/>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2024, all non-employee directors, other than one, were in compliance with the applicable stock ownership guidelines. The one director who was not in compliance was less than 3% short of the target.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63</w:t>
      </w:r>
    </w:p>
    <w:p>
      <w:pPr>
        <w:sectPr>
          <w:pgSz w:w="11900" w:h="16838" w:orient="portrait"/>
          <w:cols w:equalWidth="0" w:num="1">
            <w:col w:w="10980"/>
          </w:cols>
          <w:pgMar w:left="320" w:top="474" w:right="5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w:t>
      </w:r>
      <w:r>
        <w:rPr>
          <w:rFonts w:ascii="Arial" w:cs="Arial" w:eastAsia="Arial" w:hAnsi="Arial"/>
          <w:sz w:val="14"/>
          <w:szCs w:val="14"/>
          <w:color w:val="202E39"/>
        </w:rPr>
        <w:t xml:space="preserve">  </w:t>
      </w:r>
      <w:r>
        <w:rPr>
          <w:rFonts w:ascii="Arial" w:cs="Arial" w:eastAsia="Arial" w:hAnsi="Arial"/>
          <w:sz w:val="14"/>
          <w:szCs w:val="14"/>
          <w:color w:val="009FE3"/>
        </w:rPr>
        <w:t>Compensation Committee Interlocks and Insider Participation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Compensation Committee Interlocks and Insider Participation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members of the Compensation and Human Resources Committee for fiscal year 2024 were Mr. Pak, Ms. Rao, Mr. Stenbit, Mr. Sukawaty and</w:t>
      </w:r>
    </w:p>
    <w:p>
      <w:pPr>
        <w:spacing w:after="0" w:line="14" w:lineRule="exact"/>
        <w:rPr>
          <w:sz w:val="20"/>
          <w:szCs w:val="20"/>
          <w:color w:val="auto"/>
        </w:rPr>
      </w:pPr>
    </w:p>
    <w:p>
      <w:pPr>
        <w:ind w:left="260" w:right="80"/>
        <w:spacing w:after="0" w:line="243" w:lineRule="auto"/>
        <w:rPr>
          <w:sz w:val="20"/>
          <w:szCs w:val="20"/>
          <w:color w:val="auto"/>
        </w:rPr>
      </w:pPr>
      <w:r>
        <w:rPr>
          <w:rFonts w:ascii="Arial" w:cs="Arial" w:eastAsia="Arial" w:hAnsi="Arial"/>
          <w:sz w:val="16"/>
          <w:szCs w:val="16"/>
          <w:color w:val="202E39"/>
        </w:rPr>
        <w:t>Dr. Wise. Ms. Rao did not stand for re-election at the 2023 annual meeting of stockholders, and accordingly resigned from the Compensation and Human Resources Committee in September 2023. None of the members of our Compensation and Human Resources Committee has ever been one of our officers or employees. During fiscal year 2024, none of our executive officers served on the board of directors or compensation committee of any entity whose officers served either on our Board or on our Compensation and Human Resources Committee.</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Equity Compensation Plan Information</w:t>
      </w:r>
    </w:p>
    <w:p>
      <w:pPr>
        <w:spacing w:after="0" w:line="124" w:lineRule="exact"/>
        <w:rPr>
          <w:sz w:val="20"/>
          <w:szCs w:val="20"/>
          <w:color w:val="auto"/>
        </w:rPr>
      </w:pPr>
    </w:p>
    <w:p>
      <w:pPr>
        <w:ind w:left="260" w:right="80"/>
        <w:spacing w:after="0" w:line="249" w:lineRule="auto"/>
        <w:rPr>
          <w:sz w:val="20"/>
          <w:szCs w:val="20"/>
          <w:color w:val="auto"/>
        </w:rPr>
      </w:pPr>
      <w:r>
        <w:rPr>
          <w:rFonts w:ascii="Arial" w:cs="Arial" w:eastAsia="Arial" w:hAnsi="Arial"/>
          <w:sz w:val="16"/>
          <w:szCs w:val="16"/>
          <w:color w:val="202E39"/>
        </w:rPr>
        <w:t>The following table provides information as of March 31, 2024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263"/>
        </w:trPr>
        <w:tc>
          <w:tcPr>
            <w:tcW w:w="4320" w:type="dxa"/>
            <w:vAlign w:val="bottom"/>
            <w:tcBorders>
              <w:top w:val="single" w:sz="8" w:color="E8EAEB"/>
              <w:right w:val="single" w:sz="8" w:color="E8EAEB"/>
            </w:tcBorders>
          </w:tcPr>
          <w:p>
            <w:pPr>
              <w:spacing w:after="0"/>
              <w:rPr>
                <w:sz w:val="22"/>
                <w:szCs w:val="22"/>
                <w:color w:val="auto"/>
              </w:rPr>
            </w:pPr>
          </w:p>
        </w:tc>
        <w:tc>
          <w:tcPr>
            <w:tcW w:w="23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(a)</w:t>
            </w:r>
          </w:p>
        </w:tc>
        <w:tc>
          <w:tcPr>
            <w:tcW w:w="19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w:t>
            </w:r>
          </w:p>
        </w:tc>
        <w:tc>
          <w:tcPr>
            <w:tcW w:w="212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(c)</w:t>
            </w:r>
          </w:p>
        </w:tc>
      </w:tr>
      <w:tr>
        <w:trPr>
          <w:trHeight w:val="181"/>
        </w:trPr>
        <w:tc>
          <w:tcPr>
            <w:tcW w:w="4320" w:type="dxa"/>
            <w:vAlign w:val="bottom"/>
            <w:tcBorders>
              <w:right w:val="single" w:sz="8" w:color="E8EAEB"/>
            </w:tcBorders>
          </w:tcPr>
          <w:p>
            <w:pPr>
              <w:spacing w:after="0"/>
              <w:rPr>
                <w:sz w:val="15"/>
                <w:szCs w:val="15"/>
                <w:color w:val="auto"/>
              </w:rPr>
            </w:pPr>
          </w:p>
        </w:tc>
        <w:tc>
          <w:tcPr>
            <w:tcW w:w="2360" w:type="dxa"/>
            <w:vAlign w:val="bottom"/>
            <w:tcBorders>
              <w:top w:val="single" w:sz="8" w:color="009FE3"/>
              <w:right w:val="single" w:sz="8" w:color="E8EAEB"/>
            </w:tcBorders>
          </w:tcPr>
          <w:p>
            <w:pPr>
              <w:spacing w:after="0"/>
              <w:rPr>
                <w:sz w:val="15"/>
                <w:szCs w:val="15"/>
                <w:color w:val="auto"/>
              </w:rPr>
            </w:pPr>
          </w:p>
        </w:tc>
        <w:tc>
          <w:tcPr>
            <w:tcW w:w="1940" w:type="dxa"/>
            <w:vAlign w:val="bottom"/>
            <w:tcBorders>
              <w:top w:val="single" w:sz="8" w:color="009FE3"/>
              <w:right w:val="single" w:sz="8" w:color="E8EAEB"/>
            </w:tcBorders>
          </w:tcPr>
          <w:p>
            <w:pPr>
              <w:spacing w:after="0"/>
              <w:rPr>
                <w:sz w:val="15"/>
                <w:szCs w:val="15"/>
                <w:color w:val="auto"/>
              </w:rPr>
            </w:pPr>
          </w:p>
        </w:tc>
        <w:tc>
          <w:tcPr>
            <w:tcW w:w="2120" w:type="dxa"/>
            <w:vAlign w:val="bottom"/>
            <w:tcBorders>
              <w:top w:val="single" w:sz="8" w:color="009FE3"/>
            </w:tcBorders>
          </w:tcPr>
          <w:p>
            <w:pPr>
              <w:jc w:val="center"/>
              <w:spacing w:after="0"/>
              <w:rPr>
                <w:sz w:val="20"/>
                <w:szCs w:val="20"/>
                <w:color w:val="auto"/>
              </w:rPr>
            </w:pPr>
            <w:r>
              <w:rPr>
                <w:rFonts w:ascii="Arial" w:cs="Arial" w:eastAsia="Arial" w:hAnsi="Arial"/>
                <w:sz w:val="14"/>
                <w:szCs w:val="14"/>
                <w:b w:val="1"/>
                <w:bCs w:val="1"/>
                <w:color w:val="009FE3"/>
              </w:rPr>
              <w:t>Number of Securities</w:t>
            </w:r>
          </w:p>
        </w:tc>
      </w:tr>
      <w:tr>
        <w:trPr>
          <w:trHeight w:val="158"/>
        </w:trPr>
        <w:tc>
          <w:tcPr>
            <w:tcW w:w="4320" w:type="dxa"/>
            <w:vAlign w:val="bottom"/>
            <w:tcBorders>
              <w:right w:val="single" w:sz="8" w:color="E8EAEB"/>
            </w:tcBorders>
          </w:tcPr>
          <w:p>
            <w:pPr>
              <w:spacing w:after="0"/>
              <w:rPr>
                <w:sz w:val="13"/>
                <w:szCs w:val="13"/>
                <w:color w:val="auto"/>
              </w:rPr>
            </w:pPr>
          </w:p>
        </w:tc>
        <w:tc>
          <w:tcPr>
            <w:tcW w:w="2360" w:type="dxa"/>
            <w:vAlign w:val="bottom"/>
            <w:tcBorders>
              <w:right w:val="single" w:sz="8" w:color="E8EAEB"/>
            </w:tcBorders>
          </w:tcPr>
          <w:p>
            <w:pPr>
              <w:spacing w:after="0"/>
              <w:rPr>
                <w:sz w:val="13"/>
                <w:szCs w:val="13"/>
                <w:color w:val="auto"/>
              </w:rPr>
            </w:pPr>
          </w:p>
        </w:tc>
        <w:tc>
          <w:tcPr>
            <w:tcW w:w="1940" w:type="dxa"/>
            <w:vAlign w:val="bottom"/>
            <w:tcBorders>
              <w:right w:val="single" w:sz="8" w:color="E8EAEB"/>
            </w:tcBorders>
          </w:tcPr>
          <w:p>
            <w:pPr>
              <w:spacing w:after="0"/>
              <w:rPr>
                <w:sz w:val="13"/>
                <w:szCs w:val="13"/>
                <w:color w:val="auto"/>
              </w:rPr>
            </w:pPr>
          </w:p>
        </w:tc>
        <w:tc>
          <w:tcPr>
            <w:tcW w:w="21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9"/>
              </w:rPr>
              <w:t>Remaining Available</w:t>
            </w:r>
          </w:p>
        </w:tc>
      </w:tr>
      <w:tr>
        <w:trPr>
          <w:trHeight w:val="158"/>
        </w:trPr>
        <w:tc>
          <w:tcPr>
            <w:tcW w:w="4320" w:type="dxa"/>
            <w:vAlign w:val="bottom"/>
            <w:tcBorders>
              <w:right w:val="single" w:sz="8" w:color="E8EAEB"/>
            </w:tcBorders>
          </w:tcPr>
          <w:p>
            <w:pPr>
              <w:spacing w:after="0"/>
              <w:rPr>
                <w:sz w:val="13"/>
                <w:szCs w:val="13"/>
                <w:color w:val="auto"/>
              </w:rPr>
            </w:pPr>
          </w:p>
        </w:tc>
        <w:tc>
          <w:tcPr>
            <w:tcW w:w="2360" w:type="dxa"/>
            <w:vAlign w:val="bottom"/>
            <w:tcBorders>
              <w:right w:val="single" w:sz="8" w:color="E8EAEB"/>
            </w:tcBorders>
          </w:tcPr>
          <w:p>
            <w:pPr>
              <w:spacing w:after="0"/>
              <w:rPr>
                <w:sz w:val="13"/>
                <w:szCs w:val="13"/>
                <w:color w:val="auto"/>
              </w:rPr>
            </w:pPr>
          </w:p>
        </w:tc>
        <w:tc>
          <w:tcPr>
            <w:tcW w:w="1940" w:type="dxa"/>
            <w:vAlign w:val="bottom"/>
            <w:tcBorders>
              <w:right w:val="single" w:sz="8" w:color="E8EAEB"/>
            </w:tcBorders>
          </w:tcPr>
          <w:p>
            <w:pPr>
              <w:spacing w:after="0"/>
              <w:rPr>
                <w:sz w:val="13"/>
                <w:szCs w:val="13"/>
                <w:color w:val="auto"/>
              </w:rPr>
            </w:pPr>
          </w:p>
        </w:tc>
        <w:tc>
          <w:tcPr>
            <w:tcW w:w="21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for Future Issuance</w:t>
            </w:r>
          </w:p>
        </w:tc>
      </w:tr>
      <w:tr>
        <w:trPr>
          <w:trHeight w:val="158"/>
        </w:trPr>
        <w:tc>
          <w:tcPr>
            <w:tcW w:w="4320" w:type="dxa"/>
            <w:vAlign w:val="bottom"/>
            <w:tcBorders>
              <w:right w:val="single" w:sz="8" w:color="E8EAEB"/>
            </w:tcBorders>
          </w:tcPr>
          <w:p>
            <w:pPr>
              <w:spacing w:after="0"/>
              <w:rPr>
                <w:sz w:val="13"/>
                <w:szCs w:val="13"/>
                <w:color w:val="auto"/>
              </w:rPr>
            </w:pPr>
          </w:p>
        </w:tc>
        <w:tc>
          <w:tcPr>
            <w:tcW w:w="23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Number of Securities to</w:t>
            </w:r>
          </w:p>
        </w:tc>
        <w:tc>
          <w:tcPr>
            <w:tcW w:w="194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Weighted Average</w:t>
            </w:r>
          </w:p>
        </w:tc>
        <w:tc>
          <w:tcPr>
            <w:tcW w:w="21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8"/>
              </w:rPr>
              <w:t>Under Equity</w:t>
            </w:r>
          </w:p>
        </w:tc>
      </w:tr>
      <w:tr>
        <w:trPr>
          <w:trHeight w:val="158"/>
        </w:trPr>
        <w:tc>
          <w:tcPr>
            <w:tcW w:w="4320" w:type="dxa"/>
            <w:vAlign w:val="bottom"/>
            <w:tcBorders>
              <w:right w:val="single" w:sz="8" w:color="E8EAEB"/>
            </w:tcBorders>
          </w:tcPr>
          <w:p>
            <w:pPr>
              <w:spacing w:after="0"/>
              <w:rPr>
                <w:sz w:val="13"/>
                <w:szCs w:val="13"/>
                <w:color w:val="auto"/>
              </w:rPr>
            </w:pPr>
          </w:p>
        </w:tc>
        <w:tc>
          <w:tcPr>
            <w:tcW w:w="23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be Issued Upon Exercise</w:t>
            </w:r>
          </w:p>
        </w:tc>
        <w:tc>
          <w:tcPr>
            <w:tcW w:w="194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Exercise Price of</w:t>
            </w:r>
          </w:p>
        </w:tc>
        <w:tc>
          <w:tcPr>
            <w:tcW w:w="21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9"/>
              </w:rPr>
              <w:t>Compensation Plans</w:t>
            </w:r>
          </w:p>
        </w:tc>
      </w:tr>
      <w:tr>
        <w:trPr>
          <w:trHeight w:val="158"/>
        </w:trPr>
        <w:tc>
          <w:tcPr>
            <w:tcW w:w="4320" w:type="dxa"/>
            <w:vAlign w:val="bottom"/>
            <w:tcBorders>
              <w:right w:val="single" w:sz="8" w:color="E8EAEB"/>
            </w:tcBorders>
          </w:tcPr>
          <w:p>
            <w:pPr>
              <w:spacing w:after="0"/>
              <w:rPr>
                <w:sz w:val="13"/>
                <w:szCs w:val="13"/>
                <w:color w:val="auto"/>
              </w:rPr>
            </w:pPr>
          </w:p>
        </w:tc>
        <w:tc>
          <w:tcPr>
            <w:tcW w:w="23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of Outstanding Options,</w:t>
            </w:r>
          </w:p>
        </w:tc>
        <w:tc>
          <w:tcPr>
            <w:tcW w:w="194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Outstanding Options,</w:t>
            </w:r>
          </w:p>
        </w:tc>
        <w:tc>
          <w:tcPr>
            <w:tcW w:w="21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9"/>
              </w:rPr>
              <w:t>(Excluding Securities</w:t>
            </w:r>
          </w:p>
        </w:tc>
      </w:tr>
      <w:tr>
        <w:trPr>
          <w:trHeight w:val="158"/>
        </w:trPr>
        <w:tc>
          <w:tcPr>
            <w:tcW w:w="4320" w:type="dxa"/>
            <w:vAlign w:val="bottom"/>
            <w:tcBorders>
              <w:right w:val="single" w:sz="8" w:color="E8EAEB"/>
            </w:tcBorders>
          </w:tcPr>
          <w:p>
            <w:pPr>
              <w:spacing w:after="0"/>
              <w:rPr>
                <w:sz w:val="13"/>
                <w:szCs w:val="13"/>
                <w:color w:val="auto"/>
              </w:rPr>
            </w:pPr>
          </w:p>
        </w:tc>
        <w:tc>
          <w:tcPr>
            <w:tcW w:w="236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w w:val="99"/>
              </w:rPr>
              <w:t>Warrants and Rights</w:t>
            </w:r>
          </w:p>
        </w:tc>
        <w:tc>
          <w:tcPr>
            <w:tcW w:w="1940" w:type="dxa"/>
            <w:vAlign w:val="bottom"/>
            <w:tcBorders>
              <w:right w:val="single" w:sz="8" w:color="E8EAEB"/>
            </w:tcBorders>
          </w:tcPr>
          <w:p>
            <w:pPr>
              <w:jc w:val="center"/>
              <w:spacing w:after="0" w:line="158" w:lineRule="exact"/>
              <w:rPr>
                <w:sz w:val="20"/>
                <w:szCs w:val="20"/>
                <w:color w:val="auto"/>
              </w:rPr>
            </w:pPr>
            <w:r>
              <w:rPr>
                <w:rFonts w:ascii="Arial" w:cs="Arial" w:eastAsia="Arial" w:hAnsi="Arial"/>
                <w:sz w:val="14"/>
                <w:szCs w:val="14"/>
                <w:b w:val="1"/>
                <w:bCs w:val="1"/>
                <w:color w:val="009FE3"/>
              </w:rPr>
              <w:t>Warrants and Rights</w:t>
            </w:r>
          </w:p>
        </w:tc>
        <w:tc>
          <w:tcPr>
            <w:tcW w:w="212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w w:val="98"/>
              </w:rPr>
              <w:t>Reflected in Column</w:t>
            </w:r>
          </w:p>
        </w:tc>
      </w:tr>
      <w:tr>
        <w:trPr>
          <w:trHeight w:val="220"/>
        </w:trPr>
        <w:tc>
          <w:tcPr>
            <w:tcW w:w="432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Plan Category</w:t>
            </w:r>
          </w:p>
        </w:tc>
        <w:tc>
          <w:tcPr>
            <w:tcW w:w="23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(#)(1)</w:t>
            </w:r>
          </w:p>
        </w:tc>
        <w:tc>
          <w:tcPr>
            <w:tcW w:w="1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($)(2)</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w w:val="97"/>
              </w:rPr>
              <w:t>(a))(#)</w:t>
            </w:r>
          </w:p>
        </w:tc>
      </w:tr>
      <w:tr>
        <w:trPr>
          <w:trHeight w:val="236"/>
        </w:trPr>
        <w:tc>
          <w:tcPr>
            <w:tcW w:w="4320" w:type="dxa"/>
            <w:vAlign w:val="bottom"/>
            <w:tcBorders>
              <w:top w:val="single" w:sz="8" w:color="009FE3"/>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w w:val="99"/>
              </w:rPr>
              <w:t>Equity compensation plans approved by security holders (3)</w:t>
            </w:r>
          </w:p>
        </w:tc>
        <w:tc>
          <w:tcPr>
            <w:tcW w:w="2360" w:type="dxa"/>
            <w:vAlign w:val="bottom"/>
            <w:tcBorders>
              <w:top w:val="single" w:sz="8" w:color="009FE3"/>
              <w:bottom w:val="single" w:sz="8" w:color="E8EAEB"/>
              <w:right w:val="single" w:sz="8" w:color="E8EAEB"/>
            </w:tcBorders>
          </w:tcPr>
          <w:p>
            <w:pPr>
              <w:jc w:val="right"/>
              <w:ind w:right="427"/>
              <w:spacing w:after="0"/>
              <w:rPr>
                <w:sz w:val="20"/>
                <w:szCs w:val="20"/>
                <w:color w:val="auto"/>
              </w:rPr>
            </w:pPr>
            <w:r>
              <w:rPr>
                <w:rFonts w:ascii="Arial" w:cs="Arial" w:eastAsia="Arial" w:hAnsi="Arial"/>
                <w:sz w:val="16"/>
                <w:szCs w:val="16"/>
                <w:color w:val="202E39"/>
              </w:rPr>
              <w:t>7,558,523</w:t>
            </w:r>
          </w:p>
        </w:tc>
        <w:tc>
          <w:tcPr>
            <w:tcW w:w="1940" w:type="dxa"/>
            <w:vAlign w:val="bottom"/>
            <w:tcBorders>
              <w:top w:val="single" w:sz="8" w:color="009FE3"/>
              <w:bottom w:val="single" w:sz="8" w:color="E8EAEB"/>
              <w:right w:val="single" w:sz="8" w:color="E8EAEB"/>
            </w:tcBorders>
          </w:tcPr>
          <w:p>
            <w:pPr>
              <w:jc w:val="right"/>
              <w:ind w:right="507"/>
              <w:spacing w:after="0"/>
              <w:rPr>
                <w:sz w:val="20"/>
                <w:szCs w:val="20"/>
                <w:color w:val="auto"/>
              </w:rPr>
            </w:pPr>
            <w:r>
              <w:rPr>
                <w:rFonts w:ascii="Arial" w:cs="Arial" w:eastAsia="Arial" w:hAnsi="Arial"/>
                <w:sz w:val="16"/>
                <w:szCs w:val="16"/>
                <w:color w:val="202E39"/>
              </w:rPr>
              <w:t>32.00</w:t>
            </w:r>
          </w:p>
        </w:tc>
        <w:tc>
          <w:tcPr>
            <w:tcW w:w="2120" w:type="dxa"/>
            <w:vAlign w:val="bottom"/>
            <w:tcBorders>
              <w:top w:val="single" w:sz="8" w:color="009FE3"/>
              <w:bottom w:val="single" w:sz="8" w:color="E8EAEB"/>
            </w:tcBorders>
          </w:tcPr>
          <w:p>
            <w:pPr>
              <w:ind w:left="940"/>
              <w:spacing w:after="0"/>
              <w:rPr>
                <w:sz w:val="20"/>
                <w:szCs w:val="20"/>
                <w:color w:val="auto"/>
              </w:rPr>
            </w:pPr>
            <w:r>
              <w:rPr>
                <w:rFonts w:ascii="Arial" w:cs="Arial" w:eastAsia="Arial" w:hAnsi="Arial"/>
                <w:sz w:val="16"/>
                <w:szCs w:val="16"/>
                <w:color w:val="202E39"/>
              </w:rPr>
              <w:t>17,796,770(4)</w:t>
            </w:r>
          </w:p>
        </w:tc>
      </w:tr>
      <w:tr>
        <w:trPr>
          <w:trHeight w:val="211"/>
        </w:trPr>
        <w:tc>
          <w:tcPr>
            <w:tcW w:w="4320" w:type="dxa"/>
            <w:vAlign w:val="bottom"/>
            <w:tcBorders>
              <w:right w:val="single" w:sz="8" w:color="E8EAEB"/>
            </w:tcBorders>
          </w:tcPr>
          <w:p>
            <w:pPr>
              <w:ind w:left="80"/>
              <w:spacing w:after="0"/>
              <w:rPr>
                <w:sz w:val="20"/>
                <w:szCs w:val="20"/>
                <w:color w:val="auto"/>
              </w:rPr>
            </w:pPr>
            <w:r>
              <w:rPr>
                <w:rFonts w:ascii="Arial" w:cs="Arial" w:eastAsia="Arial" w:hAnsi="Arial"/>
                <w:sz w:val="16"/>
                <w:szCs w:val="16"/>
                <w:color w:val="202E39"/>
              </w:rPr>
              <w:t>Equity compensation plans not approved by security</w:t>
            </w:r>
          </w:p>
        </w:tc>
        <w:tc>
          <w:tcPr>
            <w:tcW w:w="2360" w:type="dxa"/>
            <w:vAlign w:val="bottom"/>
            <w:tcBorders>
              <w:right w:val="single" w:sz="8" w:color="E8EAEB"/>
            </w:tcBorders>
          </w:tcPr>
          <w:p>
            <w:pPr>
              <w:spacing w:after="0"/>
              <w:rPr>
                <w:sz w:val="18"/>
                <w:szCs w:val="18"/>
                <w:color w:val="auto"/>
              </w:rPr>
            </w:pPr>
          </w:p>
        </w:tc>
        <w:tc>
          <w:tcPr>
            <w:tcW w:w="1940" w:type="dxa"/>
            <w:vAlign w:val="bottom"/>
            <w:tcBorders>
              <w:right w:val="single" w:sz="8" w:color="E8EAEB"/>
            </w:tcBorders>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43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holders (5)</w:t>
            </w:r>
          </w:p>
        </w:tc>
        <w:tc>
          <w:tcPr>
            <w:tcW w:w="2360" w:type="dxa"/>
            <w:vAlign w:val="bottom"/>
            <w:tcBorders>
              <w:bottom w:val="single" w:sz="8" w:color="E8EAEB"/>
              <w:right w:val="single" w:sz="8" w:color="E8EAEB"/>
            </w:tcBorders>
          </w:tcPr>
          <w:p>
            <w:pPr>
              <w:jc w:val="right"/>
              <w:ind w:right="227"/>
              <w:spacing w:after="0"/>
              <w:rPr>
                <w:sz w:val="20"/>
                <w:szCs w:val="20"/>
                <w:color w:val="auto"/>
              </w:rPr>
            </w:pPr>
            <w:r>
              <w:rPr>
                <w:rFonts w:ascii="Arial" w:cs="Arial" w:eastAsia="Arial" w:hAnsi="Arial"/>
                <w:sz w:val="16"/>
                <w:szCs w:val="16"/>
                <w:color w:val="202E39"/>
              </w:rPr>
              <w:t>—  (6)</w:t>
            </w:r>
          </w:p>
        </w:tc>
        <w:tc>
          <w:tcPr>
            <w:tcW w:w="1940" w:type="dxa"/>
            <w:vAlign w:val="bottom"/>
            <w:tcBorders>
              <w:bottom w:val="single" w:sz="8" w:color="E8EAEB"/>
              <w:right w:val="single" w:sz="8" w:color="E8EAEB"/>
            </w:tcBorders>
          </w:tcPr>
          <w:p>
            <w:pPr>
              <w:jc w:val="right"/>
              <w:ind w:right="307"/>
              <w:spacing w:after="0"/>
              <w:rPr>
                <w:sz w:val="20"/>
                <w:szCs w:val="20"/>
                <w:color w:val="auto"/>
              </w:rPr>
            </w:pPr>
            <w:r>
              <w:rPr>
                <w:rFonts w:ascii="Arial" w:cs="Arial" w:eastAsia="Arial" w:hAnsi="Arial"/>
                <w:sz w:val="16"/>
                <w:szCs w:val="16"/>
                <w:color w:val="202E39"/>
              </w:rPr>
              <w:t>—  (7)</w:t>
            </w:r>
          </w:p>
        </w:tc>
        <w:tc>
          <w:tcPr>
            <w:tcW w:w="2120" w:type="dxa"/>
            <w:vAlign w:val="bottom"/>
            <w:tcBorders>
              <w:bottom w:val="single" w:sz="8" w:color="E8EAEB"/>
            </w:tcBorders>
          </w:tcPr>
          <w:p>
            <w:pPr>
              <w:ind w:left="1480"/>
              <w:spacing w:after="0"/>
              <w:rPr>
                <w:sz w:val="20"/>
                <w:szCs w:val="20"/>
                <w:color w:val="auto"/>
              </w:rPr>
            </w:pPr>
            <w:r>
              <w:rPr>
                <w:rFonts w:ascii="Arial" w:cs="Arial" w:eastAsia="Arial" w:hAnsi="Arial"/>
                <w:sz w:val="16"/>
                <w:szCs w:val="16"/>
                <w:color w:val="202E39"/>
              </w:rPr>
              <w:t>— </w:t>
            </w:r>
          </w:p>
        </w:tc>
      </w:tr>
      <w:tr>
        <w:trPr>
          <w:trHeight w:val="243"/>
        </w:trPr>
        <w:tc>
          <w:tcPr>
            <w:tcW w:w="432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Total</w:t>
            </w:r>
          </w:p>
        </w:tc>
        <w:tc>
          <w:tcPr>
            <w:tcW w:w="2360" w:type="dxa"/>
            <w:vAlign w:val="bottom"/>
            <w:tcBorders>
              <w:bottom w:val="single" w:sz="8" w:color="009FE3"/>
              <w:right w:val="single" w:sz="8" w:color="E8EAEB"/>
            </w:tcBorders>
          </w:tcPr>
          <w:p>
            <w:pPr>
              <w:jc w:val="right"/>
              <w:ind w:right="427"/>
              <w:spacing w:after="0"/>
              <w:rPr>
                <w:sz w:val="20"/>
                <w:szCs w:val="20"/>
                <w:color w:val="auto"/>
              </w:rPr>
            </w:pPr>
            <w:r>
              <w:rPr>
                <w:rFonts w:ascii="Arial" w:cs="Arial" w:eastAsia="Arial" w:hAnsi="Arial"/>
                <w:sz w:val="16"/>
                <w:szCs w:val="16"/>
                <w:color w:val="202E39"/>
              </w:rPr>
              <w:t>7,558,523</w:t>
            </w:r>
          </w:p>
        </w:tc>
        <w:tc>
          <w:tcPr>
            <w:tcW w:w="1940" w:type="dxa"/>
            <w:vAlign w:val="bottom"/>
            <w:tcBorders>
              <w:bottom w:val="single" w:sz="8" w:color="009FE3"/>
              <w:right w:val="single" w:sz="8" w:color="E8EAEB"/>
            </w:tcBorders>
          </w:tcPr>
          <w:p>
            <w:pPr>
              <w:jc w:val="right"/>
              <w:ind w:right="507"/>
              <w:spacing w:after="0"/>
              <w:rPr>
                <w:sz w:val="20"/>
                <w:szCs w:val="20"/>
                <w:color w:val="auto"/>
              </w:rPr>
            </w:pPr>
            <w:r>
              <w:rPr>
                <w:rFonts w:ascii="Arial" w:cs="Arial" w:eastAsia="Arial" w:hAnsi="Arial"/>
                <w:sz w:val="16"/>
                <w:szCs w:val="16"/>
                <w:color w:val="202E39"/>
              </w:rPr>
              <w:t>32.00</w:t>
            </w:r>
          </w:p>
        </w:tc>
        <w:tc>
          <w:tcPr>
            <w:tcW w:w="2120" w:type="dxa"/>
            <w:vAlign w:val="bottom"/>
            <w:tcBorders>
              <w:bottom w:val="single" w:sz="8" w:color="009FE3"/>
            </w:tcBorders>
          </w:tcPr>
          <w:p>
            <w:pPr>
              <w:ind w:left="940"/>
              <w:spacing w:after="0"/>
              <w:rPr>
                <w:sz w:val="20"/>
                <w:szCs w:val="20"/>
                <w:color w:val="auto"/>
              </w:rPr>
            </w:pPr>
            <w:r>
              <w:rPr>
                <w:rFonts w:ascii="Arial" w:cs="Arial" w:eastAsia="Arial" w:hAnsi="Arial"/>
                <w:sz w:val="16"/>
                <w:szCs w:val="16"/>
                <w:color w:val="202E39"/>
              </w:rPr>
              <w:t>17,796,770</w:t>
            </w:r>
          </w:p>
        </w:tc>
      </w:tr>
    </w:tbl>
    <w:p>
      <w:pPr>
        <w:spacing w:after="0" w:line="109" w:lineRule="exact"/>
        <w:rPr>
          <w:sz w:val="20"/>
          <w:szCs w:val="20"/>
          <w:color w:val="auto"/>
        </w:rPr>
      </w:pPr>
    </w:p>
    <w:p>
      <w:pPr>
        <w:ind w:left="680" w:right="80" w:hanging="419"/>
        <w:spacing w:after="0" w:line="246" w:lineRule="auto"/>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Includes outstanding restricted stock units and stock options. Performance-based stock options are included at “target” levels. Excludes purchase rights currently accruing under the Viasat, Inc. Employee Stock Purchase Plan. As of March 31, 2024, options or restricted stock units with respect to 39,780 shares issued out of the RigNet Share Reserve (as defined below) were outstanding under the 1996 Equity Participation Plan of Viasat, Inc. (the Equity Plan) (which shares are reflected in column (a) above).</w:t>
      </w:r>
    </w:p>
    <w:p>
      <w:pPr>
        <w:spacing w:after="0" w:line="36" w:lineRule="exact"/>
        <w:rPr>
          <w:rFonts w:ascii="Arial" w:cs="Arial" w:eastAsia="Arial" w:hAnsi="Arial"/>
          <w:sz w:val="14"/>
          <w:szCs w:val="14"/>
          <w:color w:val="202E39"/>
        </w:rPr>
      </w:pPr>
    </w:p>
    <w:p>
      <w:pPr>
        <w:ind w:left="680" w:hanging="419"/>
        <w:spacing w:after="0"/>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The weighted average exercise price does not take into account the shares subject to outstanding restricted stock units, which have no exercise price.</w:t>
      </w:r>
    </w:p>
    <w:p>
      <w:pPr>
        <w:spacing w:after="0" w:line="62" w:lineRule="exact"/>
        <w:rPr>
          <w:rFonts w:ascii="Arial" w:cs="Arial" w:eastAsia="Arial" w:hAnsi="Arial"/>
          <w:sz w:val="14"/>
          <w:szCs w:val="14"/>
          <w:color w:val="202E39"/>
        </w:rPr>
      </w:pPr>
    </w:p>
    <w:p>
      <w:pPr>
        <w:ind w:left="680" w:hanging="419"/>
        <w:spacing w:after="0"/>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Consists of two plans: (a) the Equity Plan and (b) the Viasat, Inc. Employee Stock Purchase Plan.</w:t>
      </w:r>
    </w:p>
    <w:p>
      <w:pPr>
        <w:spacing w:after="0" w:line="62" w:lineRule="exact"/>
        <w:rPr>
          <w:rFonts w:ascii="Arial" w:cs="Arial" w:eastAsia="Arial" w:hAnsi="Arial"/>
          <w:sz w:val="14"/>
          <w:szCs w:val="14"/>
          <w:color w:val="202E39"/>
        </w:rPr>
      </w:pPr>
    </w:p>
    <w:p>
      <w:pPr>
        <w:ind w:left="680" w:right="140" w:hanging="419"/>
        <w:spacing w:after="0" w:line="246" w:lineRule="auto"/>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Includes (a) 12,284,949 shares available for future issuance under the Equity Plan, and (b) 5,511,821 shares available for future issuance under the Viasat, Inc. Employee Stock Purchase Plan, all of which may be issued subject to purchase rights outstanding as of March 31, 2024. 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36" w:lineRule="exact"/>
        <w:rPr>
          <w:rFonts w:ascii="Arial" w:cs="Arial" w:eastAsia="Arial" w:hAnsi="Arial"/>
          <w:sz w:val="14"/>
          <w:szCs w:val="14"/>
          <w:color w:val="202E39"/>
        </w:rPr>
      </w:pPr>
    </w:p>
    <w:p>
      <w:pPr>
        <w:ind w:left="680" w:right="20" w:hanging="419"/>
        <w:spacing w:after="0" w:line="238" w:lineRule="auto"/>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In connection with our acquisition of RigNet, we assumed the RigNet, Inc. 2019 Omnibus Incentive Plan (the RigNet 2019 Plan) and the RigNet 2010 Omnibus Incentive Plan (collectively, the RigNet Plans), and the awards outstanding thereunder, which assumed awards were automatically converted into awards with the right to shares of Viasat common stock (in each case after appropriate adjustment of the number of shares to reflect the transaction). The RigNet Plans have not been approved by our stockholders.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We ceased granting new awards out of the RigNet Share Reserve effective June 8, 2022, although certain outstanding awards granted out of the RigNet Share Reserve prior to such date remain outstanding, as described in footnote (1) above. Pursuant to the SEC rules, shares subject to the RigNet Plans are not reflected in the table above, but information regarding such shares is set forth in footnotes 6 and 7 below.</w:t>
      </w:r>
    </w:p>
    <w:p>
      <w:pPr>
        <w:spacing w:after="0" w:line="44" w:lineRule="exact"/>
        <w:rPr>
          <w:rFonts w:ascii="Arial" w:cs="Arial" w:eastAsia="Arial" w:hAnsi="Arial"/>
          <w:sz w:val="14"/>
          <w:szCs w:val="14"/>
          <w:color w:val="202E39"/>
        </w:rPr>
      </w:pPr>
    </w:p>
    <w:p>
      <w:pPr>
        <w:ind w:left="680" w:right="160" w:hanging="419"/>
        <w:spacing w:after="0" w:line="270" w:lineRule="auto"/>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41,143 shares may be issued upon the exercise of outstanding options and restricted stock units under our non-stockholder approved equity compensation plans as follows: (i) RigNet, Inc. 2019 Omnibus Incentive Plan, 7,848 shares; and (ii) RigNet 2010 Omnibus Incentive Plan, 33,295 shares.</w:t>
      </w:r>
    </w:p>
    <w:p>
      <w:pPr>
        <w:spacing w:after="0" w:line="18" w:lineRule="exact"/>
        <w:rPr>
          <w:rFonts w:ascii="Arial" w:cs="Arial" w:eastAsia="Arial" w:hAnsi="Arial"/>
          <w:sz w:val="14"/>
          <w:szCs w:val="14"/>
          <w:color w:val="202E39"/>
        </w:rPr>
      </w:pPr>
    </w:p>
    <w:p>
      <w:pPr>
        <w:ind w:left="680" w:right="160" w:hanging="419"/>
        <w:spacing w:after="0" w:line="270" w:lineRule="auto"/>
        <w:tabs>
          <w:tab w:leader="none" w:pos="680" w:val="left"/>
        </w:tabs>
        <w:numPr>
          <w:ilvl w:val="0"/>
          <w:numId w:val="70"/>
        </w:numPr>
        <w:rPr>
          <w:rFonts w:ascii="Arial" w:cs="Arial" w:eastAsia="Arial" w:hAnsi="Arial"/>
          <w:sz w:val="14"/>
          <w:szCs w:val="14"/>
          <w:color w:val="202E39"/>
        </w:rPr>
      </w:pPr>
      <w:r>
        <w:rPr>
          <w:rFonts w:ascii="Arial" w:cs="Arial" w:eastAsia="Arial" w:hAnsi="Arial"/>
          <w:sz w:val="14"/>
          <w:szCs w:val="14"/>
          <w:color w:val="202E39"/>
        </w:rPr>
        <w:t>The weighted average exercise price of options granted under our non-stockholder approved equity compensation plans (the RigNet Plans) is $81.64. The weighted average exercise price does not take into account the shares subject to outstanding restricted stock units, which have no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67945</wp:posOffset>
            </wp:positionV>
            <wp:extent cx="425450" cy="150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64       </w:t>
      </w:r>
    </w:p>
    <w:p>
      <w:pPr>
        <w:sectPr>
          <w:pgSz w:w="11900" w:h="16838" w:orient="portrait"/>
          <w:cols w:equalWidth="0" w:num="1">
            <w:col w:w="11000"/>
          </w:cols>
          <w:pgMar w:left="320" w:top="474"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CERTAIN RELATIONSHIPS AND RELATED TRANSACTIONS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Review and Approval of Related Party Transactions</w:t>
      </w:r>
    </w:p>
    <w:p>
      <w:pPr>
        <w:spacing w:after="0" w:line="124" w:lineRule="exact"/>
        <w:rPr>
          <w:sz w:val="20"/>
          <w:szCs w:val="20"/>
          <w:color w:val="auto"/>
        </w:rPr>
      </w:pPr>
    </w:p>
    <w:p>
      <w:pPr>
        <w:ind w:left="260" w:right="180"/>
        <w:spacing w:after="0" w:line="244" w:lineRule="auto"/>
        <w:rPr>
          <w:sz w:val="20"/>
          <w:szCs w:val="20"/>
          <w:color w:val="auto"/>
        </w:rPr>
      </w:pPr>
      <w:r>
        <w:rPr>
          <w:rFonts w:ascii="Arial" w:cs="Arial" w:eastAsia="Arial" w:hAnsi="Arial"/>
          <w:sz w:val="16"/>
          <w:szCs w:val="16"/>
          <w:color w:val="202E39"/>
        </w:rPr>
        <w:t>The Audit Committee (or another independent body of the Board,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During its review and approval or ratification of a disclosable related person transaction, the Audit Committee or the disinterested members of the Board may consider:</w:t>
      </w:r>
    </w:p>
    <w:p>
      <w:pPr>
        <w:spacing w:after="0" w:line="97" w:lineRule="exact"/>
        <w:rPr>
          <w:sz w:val="20"/>
          <w:szCs w:val="20"/>
          <w:color w:val="auto"/>
        </w:rPr>
      </w:pPr>
    </w:p>
    <w:p>
      <w:pPr>
        <w:ind w:left="780" w:hanging="203"/>
        <w:spacing w:after="0"/>
        <w:tabs>
          <w:tab w:leader="none" w:pos="780" w:val="left"/>
        </w:tabs>
        <w:numPr>
          <w:ilvl w:val="0"/>
          <w:numId w:val="71"/>
        </w:numPr>
        <w:rPr>
          <w:rFonts w:ascii="Arial" w:cs="Arial" w:eastAsia="Arial" w:hAnsi="Arial"/>
          <w:sz w:val="16"/>
          <w:szCs w:val="16"/>
          <w:color w:val="009FE3"/>
        </w:rPr>
      </w:pPr>
      <w:r>
        <w:rPr>
          <w:rFonts w:ascii="Arial" w:cs="Arial" w:eastAsia="Arial" w:hAnsi="Arial"/>
          <w:sz w:val="16"/>
          <w:szCs w:val="16"/>
          <w:color w:val="202E39"/>
        </w:rPr>
        <w:t>the nature of the related person’s interest in the transaction,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71"/>
        </w:numPr>
        <w:rPr>
          <w:rFonts w:ascii="Arial" w:cs="Arial" w:eastAsia="Arial" w:hAnsi="Arial"/>
          <w:sz w:val="16"/>
          <w:szCs w:val="16"/>
          <w:color w:val="009FE3"/>
        </w:rPr>
      </w:pPr>
      <w:r>
        <w:rPr>
          <w:rFonts w:ascii="Arial" w:cs="Arial" w:eastAsia="Arial" w:hAnsi="Arial"/>
          <w:sz w:val="16"/>
          <w:szCs w:val="16"/>
          <w:color w:val="202E39"/>
        </w:rPr>
        <w:t>the material terms of the transaction, including without limitation, the amount and type of transaction,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71"/>
        </w:numPr>
        <w:rPr>
          <w:rFonts w:ascii="Arial" w:cs="Arial" w:eastAsia="Arial" w:hAnsi="Arial"/>
          <w:sz w:val="16"/>
          <w:szCs w:val="16"/>
          <w:color w:val="009FE3"/>
        </w:rPr>
      </w:pPr>
      <w:r>
        <w:rPr>
          <w:rFonts w:ascii="Arial" w:cs="Arial" w:eastAsia="Arial" w:hAnsi="Arial"/>
          <w:sz w:val="16"/>
          <w:szCs w:val="16"/>
          <w:color w:val="202E39"/>
        </w:rPr>
        <w:t>the importance of the transaction to the related person,</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71"/>
        </w:numPr>
        <w:rPr>
          <w:rFonts w:ascii="Arial" w:cs="Arial" w:eastAsia="Arial" w:hAnsi="Arial"/>
          <w:sz w:val="16"/>
          <w:szCs w:val="16"/>
          <w:color w:val="009FE3"/>
        </w:rPr>
      </w:pPr>
      <w:r>
        <w:rPr>
          <w:rFonts w:ascii="Arial" w:cs="Arial" w:eastAsia="Arial" w:hAnsi="Arial"/>
          <w:sz w:val="16"/>
          <w:szCs w:val="16"/>
          <w:color w:val="202E39"/>
        </w:rPr>
        <w:t>the importance of the transaction to the company,</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71"/>
        </w:numPr>
        <w:rPr>
          <w:rFonts w:ascii="Arial" w:cs="Arial" w:eastAsia="Arial" w:hAnsi="Arial"/>
          <w:sz w:val="16"/>
          <w:szCs w:val="16"/>
          <w:color w:val="009FE3"/>
        </w:rPr>
      </w:pPr>
      <w:r>
        <w:rPr>
          <w:rFonts w:ascii="Arial" w:cs="Arial" w:eastAsia="Arial" w:hAnsi="Arial"/>
          <w:sz w:val="16"/>
          <w:szCs w:val="16"/>
          <w:color w:val="202E39"/>
        </w:rPr>
        <w:t>whether the transaction would impair the judgment of a director or executive officer to act in the best interest of the company, and</w:t>
      </w:r>
    </w:p>
    <w:p>
      <w:pPr>
        <w:spacing w:after="0" w:line="65" w:lineRule="exact"/>
        <w:rPr>
          <w:rFonts w:ascii="Arial" w:cs="Arial" w:eastAsia="Arial" w:hAnsi="Arial"/>
          <w:sz w:val="16"/>
          <w:szCs w:val="16"/>
          <w:color w:val="009FE3"/>
        </w:rPr>
      </w:pPr>
    </w:p>
    <w:p>
      <w:pPr>
        <w:ind w:left="780" w:hanging="203"/>
        <w:spacing w:after="0"/>
        <w:tabs>
          <w:tab w:leader="none" w:pos="780" w:val="left"/>
        </w:tabs>
        <w:numPr>
          <w:ilvl w:val="0"/>
          <w:numId w:val="71"/>
        </w:numPr>
        <w:rPr>
          <w:rFonts w:ascii="Arial" w:cs="Arial" w:eastAsia="Arial" w:hAnsi="Arial"/>
          <w:sz w:val="16"/>
          <w:szCs w:val="16"/>
          <w:color w:val="009FE3"/>
        </w:rPr>
      </w:pPr>
      <w:r>
        <w:rPr>
          <w:rFonts w:ascii="Arial" w:cs="Arial" w:eastAsia="Arial" w:hAnsi="Arial"/>
          <w:sz w:val="16"/>
          <w:szCs w:val="16"/>
          <w:color w:val="202E39"/>
        </w:rPr>
        <w:t>any other matters the Audit Committee or the Board deems appropriate.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Related Party Transactions</w:t>
      </w:r>
    </w:p>
    <w:p>
      <w:pPr>
        <w:spacing w:after="0" w:line="124" w:lineRule="exact"/>
        <w:rPr>
          <w:sz w:val="20"/>
          <w:szCs w:val="20"/>
          <w:color w:val="auto"/>
        </w:rPr>
      </w:pPr>
    </w:p>
    <w:p>
      <w:pPr>
        <w:ind w:left="260" w:right="220"/>
        <w:spacing w:after="0" w:line="247" w:lineRule="auto"/>
        <w:rPr>
          <w:sz w:val="20"/>
          <w:szCs w:val="20"/>
          <w:color w:val="auto"/>
        </w:rPr>
      </w:pPr>
      <w:r>
        <w:rPr>
          <w:rFonts w:ascii="Arial" w:cs="Arial" w:eastAsia="Arial" w:hAnsi="Arial"/>
          <w:sz w:val="16"/>
          <w:szCs w:val="16"/>
          <w:color w:val="202E39"/>
        </w:rPr>
        <w:t>Mr. Baldridge has two daughters-in-law that are employed at Viasat. One daughter-in law is employed as an Attorney. She earned an aggregate of approximately $156,000 in base salary and bonus during fiscal year 2024, and participates in our benefit programs. The other daughter-in law is employed as a Program Manager. She earned an aggregate of approximately $150,000 in base salary and bonus during fiscal year 2024, and participates in our benefit programs. Mr. Baldridge has one son that is employed at Viasat in a Strategic Business Development position. He earned an aggregate of approximately $125,700 in base salary and bonus during fiscal year 2024, and participates in our benefit programs.</w:t>
      </w:r>
    </w:p>
    <w:p>
      <w:pPr>
        <w:spacing w:after="0" w:line="78" w:lineRule="exact"/>
        <w:rPr>
          <w:sz w:val="20"/>
          <w:szCs w:val="20"/>
          <w:color w:val="auto"/>
        </w:rPr>
      </w:pPr>
    </w:p>
    <w:p>
      <w:pPr>
        <w:ind w:left="260" w:right="320"/>
        <w:spacing w:after="0" w:line="254" w:lineRule="auto"/>
        <w:rPr>
          <w:sz w:val="20"/>
          <w:szCs w:val="20"/>
          <w:color w:val="auto"/>
        </w:rPr>
      </w:pPr>
      <w:r>
        <w:rPr>
          <w:rFonts w:ascii="Arial" w:cs="Arial" w:eastAsia="Arial" w:hAnsi="Arial"/>
          <w:sz w:val="16"/>
          <w:szCs w:val="16"/>
          <w:color w:val="202E39"/>
        </w:rPr>
        <w:t>A brother of Mr. Dankberg is employed as a Director of Information Systems at Viasat. He earned approximately $175,000 in base salary during fiscal year 2024, and participates in our benefit programs. Mr. Dankberg’s son is a Media Operations Director at Viasat. He earned an aggregate of approximately $306,500 in base salary and bonus during fiscal year 2024, and participates in our benefit programs.</w:t>
      </w:r>
    </w:p>
    <w:p>
      <w:pPr>
        <w:spacing w:after="0" w:line="73" w:lineRule="exact"/>
        <w:rPr>
          <w:sz w:val="20"/>
          <w:szCs w:val="20"/>
          <w:color w:val="auto"/>
        </w:rPr>
      </w:pPr>
    </w:p>
    <w:p>
      <w:pPr>
        <w:ind w:left="260" w:right="180"/>
        <w:spacing w:after="0" w:line="269" w:lineRule="auto"/>
        <w:rPr>
          <w:sz w:val="20"/>
          <w:szCs w:val="20"/>
          <w:color w:val="auto"/>
        </w:rPr>
      </w:pPr>
      <w:r>
        <w:rPr>
          <w:rFonts w:ascii="Arial" w:cs="Arial" w:eastAsia="Arial" w:hAnsi="Arial"/>
          <w:sz w:val="16"/>
          <w:szCs w:val="16"/>
          <w:color w:val="202E39"/>
        </w:rPr>
        <w:t>Mark Miller’s son is a Director of Business Development at Viasat. He earned an aggregate of approximately $280,600 in base salary and bonus during fiscal year 2024, and participates in our benefit programs.</w:t>
      </w:r>
    </w:p>
    <w:p>
      <w:pPr>
        <w:spacing w:after="0" w:line="61" w:lineRule="exact"/>
        <w:rPr>
          <w:sz w:val="20"/>
          <w:szCs w:val="20"/>
          <w:color w:val="auto"/>
        </w:rPr>
      </w:pPr>
    </w:p>
    <w:p>
      <w:pPr>
        <w:ind w:left="260" w:right="580"/>
        <w:spacing w:after="0" w:line="249" w:lineRule="auto"/>
        <w:rPr>
          <w:sz w:val="20"/>
          <w:szCs w:val="20"/>
          <w:color w:val="auto"/>
        </w:rPr>
      </w:pPr>
      <w:r>
        <w:rPr>
          <w:rFonts w:ascii="Arial" w:cs="Arial" w:eastAsia="Arial" w:hAnsi="Arial"/>
          <w:sz w:val="16"/>
          <w:szCs w:val="16"/>
          <w:color w:val="202E39"/>
        </w:rPr>
        <w:t>Mark Miller and Craig Miller are brothers. Mark is employed as the Executive Vice President and Chief Technical Officer and Craig is employed as President, Global Space Networks at Viasat. Mark Miller earned an aggregate of approximately $2,656,000 in base salary, bonus and equity compensation during fiscal year 2024, and participates in our benefit programs. Craig Miller’s compensation for fiscal year 2024 is set forth in the Summary Compensation Table above.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65</w:t>
      </w:r>
    </w:p>
    <w:p>
      <w:pPr>
        <w:sectPr>
          <w:pgSz w:w="11900" w:h="16838" w:orient="portrait"/>
          <w:cols w:equalWidth="0" w:num="1">
            <w:col w:w="10980"/>
          </w:cols>
          <w:pgMar w:left="320" w:top="474" w:right="5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AUDIT COMMITTEE REPORT</w:t>
      </w:r>
    </w:p>
    <w:p>
      <w:pPr>
        <w:spacing w:after="0" w:line="239" w:lineRule="exact"/>
        <w:rPr>
          <w:sz w:val="20"/>
          <w:szCs w:val="20"/>
          <w:color w:val="auto"/>
        </w:rPr>
      </w:pPr>
    </w:p>
    <w:p>
      <w:pPr>
        <w:ind w:left="260" w:right="180"/>
        <w:spacing w:after="0" w:line="245" w:lineRule="auto"/>
        <w:rPr>
          <w:sz w:val="20"/>
          <w:szCs w:val="20"/>
          <w:color w:val="auto"/>
        </w:rPr>
      </w:pPr>
      <w:r>
        <w:rPr>
          <w:rFonts w:ascii="Arial" w:cs="Arial" w:eastAsia="Arial" w:hAnsi="Arial"/>
          <w:sz w:val="16"/>
          <w:szCs w:val="16"/>
          <w:color w:val="202E39"/>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82" w:lineRule="exact"/>
        <w:rPr>
          <w:sz w:val="20"/>
          <w:szCs w:val="20"/>
          <w:color w:val="auto"/>
        </w:rPr>
      </w:pPr>
    </w:p>
    <w:p>
      <w:pPr>
        <w:ind w:left="260" w:right="40"/>
        <w:spacing w:after="0" w:line="243" w:lineRule="auto"/>
        <w:rPr>
          <w:sz w:val="20"/>
          <w:szCs w:val="20"/>
          <w:color w:val="auto"/>
        </w:rPr>
      </w:pPr>
      <w:r>
        <w:rPr>
          <w:rFonts w:ascii="Arial" w:cs="Arial" w:eastAsia="Arial" w:hAnsi="Arial"/>
          <w:sz w:val="16"/>
          <w:szCs w:val="16"/>
          <w:color w:val="202E39"/>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85" w:lineRule="exact"/>
        <w:rPr>
          <w:sz w:val="20"/>
          <w:szCs w:val="20"/>
          <w:color w:val="auto"/>
        </w:rPr>
      </w:pPr>
    </w:p>
    <w:p>
      <w:pPr>
        <w:ind w:left="260" w:right="60"/>
        <w:spacing w:after="0" w:line="245" w:lineRule="auto"/>
        <w:rPr>
          <w:sz w:val="20"/>
          <w:szCs w:val="20"/>
          <w:color w:val="auto"/>
        </w:rPr>
      </w:pPr>
      <w:r>
        <w:rPr>
          <w:rFonts w:ascii="Arial" w:cs="Arial" w:eastAsia="Arial" w:hAnsi="Arial"/>
          <w:sz w:val="16"/>
          <w:szCs w:val="16"/>
          <w:color w:val="202E39"/>
        </w:rPr>
        <w:t>The Audit Committee has reviewed and discussed the audited consolidated financial statements for fiscal year 2024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w:t>
      </w:r>
    </w:p>
    <w:p>
      <w:pPr>
        <w:spacing w:after="0" w:line="82" w:lineRule="exact"/>
        <w:rPr>
          <w:sz w:val="20"/>
          <w:szCs w:val="20"/>
          <w:color w:val="auto"/>
        </w:rPr>
      </w:pPr>
    </w:p>
    <w:p>
      <w:pPr>
        <w:ind w:left="260" w:right="40"/>
        <w:spacing w:after="0" w:line="254" w:lineRule="auto"/>
        <w:rPr>
          <w:sz w:val="20"/>
          <w:szCs w:val="20"/>
          <w:color w:val="auto"/>
        </w:rPr>
      </w:pPr>
      <w:r>
        <w:rPr>
          <w:rFonts w:ascii="Arial" w:cs="Arial" w:eastAsia="Arial" w:hAnsi="Arial"/>
          <w:sz w:val="16"/>
          <w:szCs w:val="16"/>
          <w:color w:val="202E39"/>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73" w:lineRule="exact"/>
        <w:rPr>
          <w:sz w:val="20"/>
          <w:szCs w:val="20"/>
          <w:color w:val="auto"/>
        </w:rPr>
      </w:pPr>
    </w:p>
    <w:p>
      <w:pPr>
        <w:ind w:left="260" w:right="80"/>
        <w:spacing w:after="0" w:line="269" w:lineRule="auto"/>
        <w:rPr>
          <w:sz w:val="20"/>
          <w:szCs w:val="20"/>
          <w:color w:val="auto"/>
        </w:rPr>
      </w:pPr>
      <w:r>
        <w:rPr>
          <w:rFonts w:ascii="Arial" w:cs="Arial" w:eastAsia="Arial" w:hAnsi="Arial"/>
          <w:sz w:val="16"/>
          <w:szCs w:val="16"/>
          <w:color w:val="202E39"/>
        </w:rPr>
        <w:t>In reliance on these reviews and discussions, the Audit Committee has recommended to the Board of Directors that Viasat’s audited financial statements be included in Viasat’s annual report on Form 10-K for the fiscal year ended March 31, 2024 for filing with the SEC.</w:t>
      </w:r>
    </w:p>
    <w:p>
      <w:pPr>
        <w:spacing w:after="0" w:line="61"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i w:val="1"/>
          <w:iCs w:val="1"/>
          <w:color w:val="202E39"/>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183"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Respectfully Submitted by the Audit Committee</w:t>
      </w:r>
    </w:p>
    <w:p>
      <w:pPr>
        <w:spacing w:after="0" w:line="210"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John Stenbit (Chair)</w:t>
      </w:r>
    </w:p>
    <w:p>
      <w:pPr>
        <w:spacing w:after="0" w:line="14" w:lineRule="exact"/>
        <w:rPr>
          <w:sz w:val="20"/>
          <w:szCs w:val="20"/>
          <w:color w:val="auto"/>
        </w:rPr>
      </w:pPr>
    </w:p>
    <w:p>
      <w:pPr>
        <w:ind w:left="7020"/>
        <w:spacing w:after="0"/>
        <w:rPr>
          <w:sz w:val="20"/>
          <w:szCs w:val="20"/>
          <w:color w:val="auto"/>
        </w:rPr>
      </w:pPr>
      <w:r>
        <w:rPr>
          <w:rFonts w:ascii="Arial" w:cs="Arial" w:eastAsia="Arial" w:hAnsi="Arial"/>
          <w:sz w:val="16"/>
          <w:szCs w:val="16"/>
          <w:color w:val="202E39"/>
        </w:rPr>
        <w:t>Robert Johnson</w:t>
      </w:r>
    </w:p>
    <w:p>
      <w:pPr>
        <w:ind w:left="7020"/>
        <w:spacing w:after="0"/>
        <w:rPr>
          <w:sz w:val="20"/>
          <w:szCs w:val="20"/>
          <w:color w:val="auto"/>
        </w:rPr>
      </w:pPr>
      <w:r>
        <w:rPr>
          <w:rFonts w:ascii="Arial" w:cs="Arial" w:eastAsia="Arial" w:hAnsi="Arial"/>
          <w:sz w:val="16"/>
          <w:szCs w:val="16"/>
          <w:color w:val="202E39"/>
        </w:rPr>
        <w:t>Andrew Sukawaty</w:t>
      </w:r>
    </w:p>
    <w:p>
      <w:pPr>
        <w:ind w:left="7020"/>
        <w:spacing w:after="0"/>
        <w:rPr>
          <w:sz w:val="20"/>
          <w:szCs w:val="20"/>
          <w:color w:val="auto"/>
        </w:rPr>
      </w:pPr>
      <w:r>
        <w:rPr>
          <w:rFonts w:ascii="Arial" w:cs="Arial" w:eastAsia="Arial" w:hAnsi="Arial"/>
          <w:sz w:val="16"/>
          <w:szCs w:val="16"/>
          <w:color w:val="202E39"/>
        </w:rPr>
        <w:t>Theresa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90805</wp:posOffset>
            </wp:positionV>
            <wp:extent cx="425450" cy="150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66       </w:t>
      </w:r>
    </w:p>
    <w:p>
      <w:pPr>
        <w:sectPr>
          <w:pgSz w:w="11900" w:h="16838" w:orient="portrait"/>
          <w:cols w:equalWidth="0" w:num="1">
            <w:col w:w="10980"/>
          </w:cols>
          <w:pgMar w:left="320" w:top="474" w:right="5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OTHER MATTERS</w:t>
      </w:r>
    </w:p>
    <w:p>
      <w:pPr>
        <w:spacing w:after="0" w:line="239" w:lineRule="exact"/>
        <w:rPr>
          <w:sz w:val="20"/>
          <w:szCs w:val="20"/>
          <w:color w:val="auto"/>
        </w:rPr>
      </w:pPr>
    </w:p>
    <w:p>
      <w:pPr>
        <w:ind w:left="260" w:right="80"/>
        <w:spacing w:after="0" w:line="244" w:lineRule="auto"/>
        <w:rPr>
          <w:sz w:val="20"/>
          <w:szCs w:val="20"/>
          <w:color w:val="auto"/>
        </w:rPr>
      </w:pPr>
      <w:r>
        <w:rPr>
          <w:rFonts w:ascii="Arial" w:cs="Arial" w:eastAsia="Arial" w:hAnsi="Arial"/>
          <w:sz w:val="16"/>
          <w:szCs w:val="16"/>
          <w:i w:val="1"/>
          <w:iCs w:val="1"/>
          <w:color w:val="009FE3"/>
        </w:rPr>
        <w:t>Stockholder Proposals for Inclusion in Viasat’s 2025 Proxy Statement.</w:t>
      </w:r>
      <w:r>
        <w:rPr>
          <w:rFonts w:ascii="Arial" w:cs="Arial" w:eastAsia="Arial" w:hAnsi="Arial"/>
          <w:sz w:val="16"/>
          <w:szCs w:val="16"/>
          <w:color w:val="202E39"/>
        </w:rPr>
        <w:t xml:space="preserve">  Stockholders of Viasat may submit proposals on matters appropriate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action at meetings of our stockholders in accordance with Rule 14a-8 promulgated under the Securities Exchange Act of 1934. To be eligible for inclusion in our proxy statement relating to the 2025 annual meeting of stockholders, proposals must satisfy the conditions established by the SEC for stockholder proposals to be included in the proxy statement, and must otherwise be received by Viasat no later than March 24, 2025, unless the date of the 2025 annual meeting is changed by more than 30 days from the anniversary of our 2024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84" w:lineRule="exact"/>
        <w:rPr>
          <w:sz w:val="20"/>
          <w:szCs w:val="20"/>
          <w:color w:val="auto"/>
        </w:rPr>
      </w:pPr>
    </w:p>
    <w:p>
      <w:pPr>
        <w:jc w:val="both"/>
        <w:ind w:left="260" w:right="120"/>
        <w:spacing w:after="0" w:line="254" w:lineRule="auto"/>
        <w:rPr>
          <w:sz w:val="20"/>
          <w:szCs w:val="20"/>
          <w:color w:val="auto"/>
        </w:rPr>
      </w:pPr>
      <w:r>
        <w:rPr>
          <w:rFonts w:ascii="Arial" w:cs="Arial" w:eastAsia="Arial" w:hAnsi="Arial"/>
          <w:sz w:val="16"/>
          <w:szCs w:val="16"/>
          <w:color w:val="202E39"/>
        </w:rPr>
        <w:t>In addition to satisfying the requirements under our bylaws, to comply with the universal proxy rules, stockholders who intend to solicit proxies in support of director nominees other than Viasat’s nominees must also provide notice that sets forth the information required by Rule 14a-19 under the Exchange Act no later than July 7, 2025.</w:t>
      </w:r>
    </w:p>
    <w:p>
      <w:pPr>
        <w:spacing w:after="0" w:line="73" w:lineRule="exact"/>
        <w:rPr>
          <w:sz w:val="20"/>
          <w:szCs w:val="20"/>
          <w:color w:val="auto"/>
        </w:rPr>
      </w:pPr>
    </w:p>
    <w:p>
      <w:pPr>
        <w:ind w:left="260" w:right="40"/>
        <w:spacing w:after="0" w:line="243" w:lineRule="auto"/>
        <w:rPr>
          <w:sz w:val="20"/>
          <w:szCs w:val="20"/>
          <w:color w:val="auto"/>
        </w:rPr>
      </w:pPr>
      <w:r>
        <w:rPr>
          <w:rFonts w:ascii="Arial" w:cs="Arial" w:eastAsia="Arial" w:hAnsi="Arial"/>
          <w:sz w:val="15"/>
          <w:szCs w:val="15"/>
          <w:i w:val="1"/>
          <w:iCs w:val="1"/>
          <w:color w:val="009FE3"/>
        </w:rPr>
        <w:t>Stockholder Nominations and Proposals for Presentation at the 2025 Annual Meeting.</w:t>
      </w:r>
      <w:r>
        <w:rPr>
          <w:rFonts w:ascii="Arial" w:cs="Arial" w:eastAsia="Arial" w:hAnsi="Arial"/>
          <w:sz w:val="15"/>
          <w:szCs w:val="15"/>
          <w:color w:val="202E39"/>
        </w:rPr>
        <w:t xml:space="preserve">  If a stockholder wishes to submit a director nomination or present</w:t>
      </w:r>
      <w:r>
        <w:rPr>
          <w:rFonts w:ascii="Arial" w:cs="Arial" w:eastAsia="Arial" w:hAnsi="Arial"/>
          <w:sz w:val="15"/>
          <w:szCs w:val="15"/>
          <w:i w:val="1"/>
          <w:iCs w:val="1"/>
          <w:color w:val="009FE3"/>
        </w:rPr>
        <w:t xml:space="preserve"> </w:t>
      </w:r>
      <w:r>
        <w:rPr>
          <w:rFonts w:ascii="Arial" w:cs="Arial" w:eastAsia="Arial" w:hAnsi="Arial"/>
          <w:sz w:val="15"/>
          <w:szCs w:val="15"/>
          <w:color w:val="202E39"/>
        </w:rPr>
        <w:t>a proposal at our 2025 annual meeting of 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22"/>
          <w:szCs w:val="22"/>
          <w:color w:val="202E39"/>
          <w:vertAlign w:val="superscript"/>
        </w:rPr>
        <w:t>th</w:t>
      </w:r>
      <w:r>
        <w:rPr>
          <w:rFonts w:ascii="Arial" w:cs="Arial" w:eastAsia="Arial" w:hAnsi="Arial"/>
          <w:sz w:val="15"/>
          <w:szCs w:val="15"/>
          <w:color w:val="202E39"/>
        </w:rPr>
        <w:t xml:space="preserve"> day nor later than the 90</w:t>
      </w:r>
      <w:r>
        <w:rPr>
          <w:rFonts w:ascii="Arial" w:cs="Arial" w:eastAsia="Arial" w:hAnsi="Arial"/>
          <w:sz w:val="22"/>
          <w:szCs w:val="22"/>
          <w:color w:val="202E39"/>
          <w:vertAlign w:val="superscript"/>
        </w:rPr>
        <w:t>th</w:t>
      </w:r>
      <w:r>
        <w:rPr>
          <w:rFonts w:ascii="Arial" w:cs="Arial" w:eastAsia="Arial" w:hAnsi="Arial"/>
          <w:sz w:val="15"/>
          <w:szCs w:val="15"/>
          <w:color w:val="202E39"/>
        </w:rPr>
        <w:t xml:space="preserve"> day prior to the anniversary of our 2024 annual meeting. As a result, proposals submitted pursuant to these provisions of our bylaws must be received no earlier than the close of business on May 8, 2025 and no later than the close of business on June 7, 2025. However, if the date of the 2025 annual meeting is advanced by more than 30 days or delayed by more than 60 days from the anniversary of the 2024 annual meeting, notice by the stockholder must be received no later than the later of</w:t>
      </w:r>
    </w:p>
    <w:p>
      <w:pPr>
        <w:spacing w:after="0" w:line="4" w:lineRule="exact"/>
        <w:rPr>
          <w:sz w:val="20"/>
          <w:szCs w:val="20"/>
          <w:color w:val="auto"/>
        </w:rPr>
      </w:pPr>
    </w:p>
    <w:p>
      <w:pPr>
        <w:ind w:left="260" w:firstLine="1"/>
        <w:spacing w:after="0" w:line="220" w:lineRule="auto"/>
        <w:tabs>
          <w:tab w:leader="none" w:pos="497"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the 90</w:t>
      </w:r>
      <w:r>
        <w:rPr>
          <w:rFonts w:ascii="Arial" w:cs="Arial" w:eastAsia="Arial" w:hAnsi="Arial"/>
          <w:sz w:val="23"/>
          <w:szCs w:val="23"/>
          <w:color w:val="202E39"/>
          <w:vertAlign w:val="superscript"/>
        </w:rPr>
        <w:t>th</w:t>
      </w:r>
      <w:r>
        <w:rPr>
          <w:rFonts w:ascii="Arial" w:cs="Arial" w:eastAsia="Arial" w:hAnsi="Arial"/>
          <w:sz w:val="16"/>
          <w:szCs w:val="16"/>
          <w:color w:val="202E39"/>
        </w:rPr>
        <w:t xml:space="preserve"> day prior to the 2025 annual meeting or (2) the 10</w:t>
      </w:r>
      <w:r>
        <w:rPr>
          <w:rFonts w:ascii="Arial" w:cs="Arial" w:eastAsia="Arial" w:hAnsi="Arial"/>
          <w:sz w:val="23"/>
          <w:szCs w:val="23"/>
          <w:color w:val="202E39"/>
          <w:vertAlign w:val="superscript"/>
        </w:rPr>
        <w:t>th</w:t>
      </w:r>
      <w:r>
        <w:rPr>
          <w:rFonts w:ascii="Arial" w:cs="Arial" w:eastAsia="Arial" w:hAnsi="Arial"/>
          <w:sz w:val="16"/>
          <w:szCs w:val="16"/>
          <w:color w:val="202E39"/>
        </w:rPr>
        <w:t xml:space="preserve"> day following the day on which public disclosure of the date of the 2025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67</w:t>
      </w:r>
    </w:p>
    <w:p>
      <w:pPr>
        <w:sectPr>
          <w:pgSz w:w="11900" w:h="16838" w:orient="portrait"/>
          <w:cols w:equalWidth="0" w:num="1">
            <w:col w:w="10980"/>
          </w:cols>
          <w:pgMar w:left="320" w:top="474" w:right="5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5"/>
          <w:szCs w:val="35"/>
          <w:color w:val="009FE3"/>
        </w:rPr>
        <w:t>APPENDIX A</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202E39"/>
        </w:rPr>
        <w:t>1996 EQUITY PARTICIPATION PLAN OF VIASAT, INC.</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(AS AMENDED AND RESTATED EFFECTIVE SEPTEMBER 5, 2024)</w:t>
      </w:r>
    </w:p>
    <w:p>
      <w:pPr>
        <w:spacing w:after="0" w:line="108" w:lineRule="exact"/>
        <w:rPr>
          <w:sz w:val="20"/>
          <w:szCs w:val="20"/>
          <w:color w:val="auto"/>
        </w:rPr>
      </w:pPr>
    </w:p>
    <w:p>
      <w:pPr>
        <w:jc w:val="both"/>
        <w:ind w:left="260" w:right="40"/>
        <w:spacing w:after="0" w:line="247" w:lineRule="auto"/>
        <w:rPr>
          <w:sz w:val="20"/>
          <w:szCs w:val="20"/>
          <w:color w:val="auto"/>
        </w:rPr>
      </w:pPr>
      <w:r>
        <w:rPr>
          <w:rFonts w:ascii="Arial" w:cs="Arial" w:eastAsia="Arial" w:hAnsi="Arial"/>
          <w:sz w:val="16"/>
          <w:szCs w:val="16"/>
          <w:color w:val="202E39"/>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5, 2024 (the “Restatement Effective Date”), which is the date on which this amendment and restatement of the Plan was approved by the stockholders of the Company.</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The purposes of this Plan are as follows:</w:t>
      </w:r>
    </w:p>
    <w:p>
      <w:pPr>
        <w:spacing w:after="0" w:line="105" w:lineRule="exact"/>
        <w:rPr>
          <w:sz w:val="20"/>
          <w:szCs w:val="20"/>
          <w:color w:val="auto"/>
        </w:rPr>
      </w:pPr>
    </w:p>
    <w:p>
      <w:pPr>
        <w:ind w:left="260" w:right="260" w:firstLine="1"/>
        <w:spacing w:after="0" w:line="254" w:lineRule="auto"/>
        <w:tabs>
          <w:tab w:leader="none" w:pos="497"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73" w:lineRule="exact"/>
        <w:rPr>
          <w:rFonts w:ascii="Arial" w:cs="Arial" w:eastAsia="Arial" w:hAnsi="Arial"/>
          <w:sz w:val="16"/>
          <w:szCs w:val="16"/>
          <w:color w:val="202E39"/>
        </w:rPr>
      </w:pPr>
    </w:p>
    <w:p>
      <w:pPr>
        <w:ind w:left="260" w:right="60" w:firstLine="1"/>
        <w:spacing w:after="0" w:line="254" w:lineRule="auto"/>
        <w:tabs>
          <w:tab w:leader="none" w:pos="497"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I. DEFINITIONS</w:t>
      </w:r>
    </w:p>
    <w:p>
      <w:pPr>
        <w:spacing w:after="0" w:line="108" w:lineRule="exact"/>
        <w:rPr>
          <w:sz w:val="20"/>
          <w:szCs w:val="20"/>
          <w:color w:val="auto"/>
        </w:rPr>
      </w:pPr>
    </w:p>
    <w:p>
      <w:pPr>
        <w:ind w:left="260" w:right="460"/>
        <w:spacing w:after="0" w:line="269" w:lineRule="auto"/>
        <w:rPr>
          <w:sz w:val="20"/>
          <w:szCs w:val="20"/>
          <w:color w:val="auto"/>
        </w:rPr>
      </w:pPr>
      <w:r>
        <w:rPr>
          <w:rFonts w:ascii="Arial" w:cs="Arial" w:eastAsia="Arial" w:hAnsi="Arial"/>
          <w:sz w:val="16"/>
          <w:szCs w:val="16"/>
          <w:color w:val="202E39"/>
        </w:rPr>
        <w:t xml:space="preserve">1.1 </w:t>
      </w:r>
      <w:r>
        <w:rPr>
          <w:rFonts w:ascii="Arial" w:cs="Arial" w:eastAsia="Arial" w:hAnsi="Arial"/>
          <w:sz w:val="16"/>
          <w:szCs w:val="16"/>
          <w:u w:val="single" w:color="auto"/>
          <w:color w:val="202E39"/>
        </w:rPr>
        <w:t>General</w:t>
      </w:r>
      <w:r>
        <w:rPr>
          <w:rFonts w:ascii="Arial" w:cs="Arial" w:eastAsia="Arial" w:hAnsi="Arial"/>
          <w:sz w:val="16"/>
          <w:szCs w:val="16"/>
          <w:color w:val="202E39"/>
        </w:rPr>
        <w:t>.  Wherever the following terms are used in this Plan they shall have the meanings specified below, unless the context clearly indicates otherwise.</w:t>
      </w:r>
    </w:p>
    <w:p>
      <w:pPr>
        <w:spacing w:after="0" w:line="61" w:lineRule="exact"/>
        <w:rPr>
          <w:sz w:val="20"/>
          <w:szCs w:val="20"/>
          <w:color w:val="auto"/>
        </w:rPr>
      </w:pPr>
    </w:p>
    <w:p>
      <w:pPr>
        <w:ind w:left="260" w:right="20"/>
        <w:spacing w:after="0" w:line="247" w:lineRule="auto"/>
        <w:rPr>
          <w:sz w:val="20"/>
          <w:szCs w:val="20"/>
          <w:color w:val="auto"/>
        </w:rPr>
      </w:pPr>
      <w:r>
        <w:rPr>
          <w:rFonts w:ascii="Arial" w:cs="Arial" w:eastAsia="Arial" w:hAnsi="Arial"/>
          <w:sz w:val="16"/>
          <w:szCs w:val="16"/>
          <w:color w:val="202E39"/>
        </w:rPr>
        <w:t xml:space="preserve">1.2 </w:t>
      </w:r>
      <w:r>
        <w:rPr>
          <w:rFonts w:ascii="Arial" w:cs="Arial" w:eastAsia="Arial" w:hAnsi="Arial"/>
          <w:sz w:val="16"/>
          <w:szCs w:val="16"/>
          <w:u w:val="single" w:color="auto"/>
          <w:color w:val="202E39"/>
        </w:rPr>
        <w:t>Award Limit</w:t>
      </w:r>
      <w:r>
        <w:rPr>
          <w:rFonts w:ascii="Arial" w:cs="Arial" w:eastAsia="Arial" w:hAnsi="Arial"/>
          <w:sz w:val="16"/>
          <w:szCs w:val="16"/>
          <w:color w:val="202E39"/>
        </w:rPr>
        <w:t>.  “Award Limit” shall mean Two Million (2,000,000) shares of Common Stock with respect to Options or Stock Appreciation Rights granted under the Plan and One Million Two Hundred Thousand (1,200,000)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$10,000,000.</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1.3 </w:t>
      </w:r>
      <w:r>
        <w:rPr>
          <w:rFonts w:ascii="Arial" w:cs="Arial" w:eastAsia="Arial" w:hAnsi="Arial"/>
          <w:sz w:val="16"/>
          <w:szCs w:val="16"/>
          <w:u w:val="single" w:color="auto"/>
          <w:color w:val="202E39"/>
        </w:rPr>
        <w:t>Board</w:t>
      </w:r>
      <w:r>
        <w:rPr>
          <w:rFonts w:ascii="Arial" w:cs="Arial" w:eastAsia="Arial" w:hAnsi="Arial"/>
          <w:sz w:val="16"/>
          <w:szCs w:val="16"/>
          <w:color w:val="202E39"/>
        </w:rPr>
        <w:t>.   “Board” shall mean the Board of Directors of the Company.</w:t>
      </w:r>
    </w:p>
    <w:p>
      <w:pPr>
        <w:spacing w:after="0" w:line="105" w:lineRule="exact"/>
        <w:rPr>
          <w:sz w:val="20"/>
          <w:szCs w:val="20"/>
          <w:color w:val="auto"/>
        </w:rPr>
      </w:pPr>
    </w:p>
    <w:p>
      <w:pPr>
        <w:ind w:left="260" w:right="600"/>
        <w:spacing w:after="0" w:line="269" w:lineRule="auto"/>
        <w:rPr>
          <w:sz w:val="20"/>
          <w:szCs w:val="20"/>
          <w:color w:val="auto"/>
        </w:rPr>
      </w:pPr>
      <w:r>
        <w:rPr>
          <w:rFonts w:ascii="Arial" w:cs="Arial" w:eastAsia="Arial" w:hAnsi="Arial"/>
          <w:sz w:val="16"/>
          <w:szCs w:val="16"/>
          <w:color w:val="202E39"/>
        </w:rPr>
        <w:t xml:space="preserve">1.4 </w:t>
      </w:r>
      <w:r>
        <w:rPr>
          <w:rFonts w:ascii="Arial" w:cs="Arial" w:eastAsia="Arial" w:hAnsi="Arial"/>
          <w:sz w:val="16"/>
          <w:szCs w:val="16"/>
          <w:u w:val="single" w:color="auto"/>
          <w:color w:val="202E39"/>
        </w:rPr>
        <w:t>Change in Control</w:t>
      </w:r>
      <w:r>
        <w:rPr>
          <w:rFonts w:ascii="Arial" w:cs="Arial" w:eastAsia="Arial" w:hAnsi="Arial"/>
          <w:sz w:val="16"/>
          <w:szCs w:val="16"/>
          <w:color w:val="202E39"/>
        </w:rPr>
        <w:t>.  “Change in Control” shall mean a change in ownership or control of the Company effected through either of the following transactions:</w:t>
      </w:r>
    </w:p>
    <w:p>
      <w:pPr>
        <w:spacing w:after="0" w:line="61" w:lineRule="exact"/>
        <w:rPr>
          <w:sz w:val="20"/>
          <w:szCs w:val="20"/>
          <w:color w:val="auto"/>
        </w:rPr>
      </w:pPr>
    </w:p>
    <w:p>
      <w:pPr>
        <w:ind w:left="700" w:right="80" w:hanging="10"/>
        <w:spacing w:after="0" w:line="271" w:lineRule="auto"/>
        <w:tabs>
          <w:tab w:leader="none" w:pos="937" w:val="left"/>
        </w:tabs>
        <w:numPr>
          <w:ilvl w:val="0"/>
          <w:numId w:val="74"/>
        </w:numPr>
        <w:rPr>
          <w:rFonts w:ascii="Arial" w:cs="Arial" w:eastAsia="Arial" w:hAnsi="Arial"/>
          <w:sz w:val="15"/>
          <w:szCs w:val="15"/>
          <w:color w:val="202E39"/>
        </w:rPr>
      </w:pPr>
      <w:r>
        <w:rPr>
          <w:rFonts w:ascii="Arial" w:cs="Arial" w:eastAsia="Arial" w:hAnsi="Arial"/>
          <w:sz w:val="15"/>
          <w:szCs w:val="15"/>
          <w:color w:val="202E39"/>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62" w:lineRule="exact"/>
        <w:rPr>
          <w:rFonts w:ascii="Arial" w:cs="Arial" w:eastAsia="Arial" w:hAnsi="Arial"/>
          <w:sz w:val="15"/>
          <w:szCs w:val="15"/>
          <w:color w:val="202E39"/>
        </w:rPr>
      </w:pPr>
    </w:p>
    <w:p>
      <w:pPr>
        <w:ind w:left="700" w:right="160" w:hanging="10"/>
        <w:spacing w:after="0" w:line="247" w:lineRule="auto"/>
        <w:tabs>
          <w:tab w:leader="none" w:pos="937"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1.5 </w:t>
      </w:r>
      <w:r>
        <w:rPr>
          <w:rFonts w:ascii="Arial" w:cs="Arial" w:eastAsia="Arial" w:hAnsi="Arial"/>
          <w:sz w:val="16"/>
          <w:szCs w:val="16"/>
          <w:u w:val="single" w:color="auto"/>
          <w:color w:val="202E39"/>
        </w:rPr>
        <w:t>Code</w:t>
      </w:r>
      <w:r>
        <w:rPr>
          <w:rFonts w:ascii="Arial" w:cs="Arial" w:eastAsia="Arial" w:hAnsi="Arial"/>
          <w:sz w:val="16"/>
          <w:szCs w:val="16"/>
          <w:color w:val="202E39"/>
        </w:rPr>
        <w:t>.   “Code” shall mean the U.S. Internal Revenue Code of 1986, as amended.</w:t>
      </w:r>
    </w:p>
    <w:p>
      <w:pPr>
        <w:spacing w:after="0" w:line="105" w:lineRule="exact"/>
        <w:rPr>
          <w:sz w:val="20"/>
          <w:szCs w:val="20"/>
          <w:color w:val="auto"/>
        </w:rPr>
      </w:pPr>
    </w:p>
    <w:p>
      <w:pPr>
        <w:ind w:left="260" w:right="500"/>
        <w:spacing w:after="0" w:line="269" w:lineRule="auto"/>
        <w:rPr>
          <w:sz w:val="20"/>
          <w:szCs w:val="20"/>
          <w:color w:val="auto"/>
        </w:rPr>
      </w:pPr>
      <w:r>
        <w:rPr>
          <w:rFonts w:ascii="Arial" w:cs="Arial" w:eastAsia="Arial" w:hAnsi="Arial"/>
          <w:sz w:val="16"/>
          <w:szCs w:val="16"/>
          <w:color w:val="202E39"/>
        </w:rPr>
        <w:t xml:space="preserve">1.6 </w:t>
      </w:r>
      <w:r>
        <w:rPr>
          <w:rFonts w:ascii="Arial" w:cs="Arial" w:eastAsia="Arial" w:hAnsi="Arial"/>
          <w:sz w:val="16"/>
          <w:szCs w:val="16"/>
          <w:u w:val="single" w:color="auto"/>
          <w:color w:val="202E39"/>
        </w:rPr>
        <w:t>Committee</w:t>
      </w:r>
      <w:r>
        <w:rPr>
          <w:rFonts w:ascii="Arial" w:cs="Arial" w:eastAsia="Arial" w:hAnsi="Arial"/>
          <w:sz w:val="16"/>
          <w:szCs w:val="16"/>
          <w:color w:val="202E39"/>
        </w:rPr>
        <w:t>.  “Committee” shall mean the Compensation Committee of the Board, or another committee of the Board, appointed as provided in Section 9.1.</w:t>
      </w:r>
    </w:p>
    <w:p>
      <w:pPr>
        <w:spacing w:after="0" w:line="61" w:lineRule="exact"/>
        <w:rPr>
          <w:sz w:val="20"/>
          <w:szCs w:val="20"/>
          <w:color w:val="auto"/>
        </w:rPr>
      </w:pPr>
    </w:p>
    <w:p>
      <w:pPr>
        <w:ind w:left="260" w:right="520"/>
        <w:spacing w:after="0" w:line="254" w:lineRule="auto"/>
        <w:rPr>
          <w:sz w:val="20"/>
          <w:szCs w:val="20"/>
          <w:color w:val="auto"/>
        </w:rPr>
      </w:pPr>
      <w:r>
        <w:rPr>
          <w:rFonts w:ascii="Arial" w:cs="Arial" w:eastAsia="Arial" w:hAnsi="Arial"/>
          <w:sz w:val="16"/>
          <w:szCs w:val="16"/>
          <w:color w:val="202E39"/>
        </w:rPr>
        <w:t xml:space="preserve">1.7 </w:t>
      </w:r>
      <w:r>
        <w:rPr>
          <w:rFonts w:ascii="Arial" w:cs="Arial" w:eastAsia="Arial" w:hAnsi="Arial"/>
          <w:sz w:val="16"/>
          <w:szCs w:val="16"/>
          <w:u w:val="single" w:color="auto"/>
          <w:color w:val="202E39"/>
        </w:rPr>
        <w:t>Common Stock</w:t>
      </w:r>
      <w:r>
        <w:rPr>
          <w:rFonts w:ascii="Arial" w:cs="Arial" w:eastAsia="Arial" w:hAnsi="Arial"/>
          <w:sz w:val="16"/>
          <w:szCs w:val="16"/>
          <w:color w:val="202E39"/>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1.8 </w:t>
      </w:r>
      <w:r>
        <w:rPr>
          <w:rFonts w:ascii="Arial" w:cs="Arial" w:eastAsia="Arial" w:hAnsi="Arial"/>
          <w:sz w:val="16"/>
          <w:szCs w:val="16"/>
          <w:u w:val="single" w:color="auto"/>
          <w:color w:val="202E39"/>
        </w:rPr>
        <w:t>Company</w:t>
      </w:r>
      <w:r>
        <w:rPr>
          <w:rFonts w:ascii="Arial" w:cs="Arial" w:eastAsia="Arial" w:hAnsi="Arial"/>
          <w:sz w:val="16"/>
          <w:szCs w:val="16"/>
          <w:color w:val="202E39"/>
        </w:rPr>
        <w:t>.   “Company” shall mean Viasat, Inc., a Delaware corporation.</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9FE3"/>
        </w:rPr>
        <w:t xml:space="preserve">2024 </w:t>
      </w:r>
      <w:r>
        <w:rPr>
          <w:rFonts w:ascii="Arial" w:cs="Arial" w:eastAsia="Arial" w:hAnsi="Arial"/>
          <w:sz w:val="14"/>
          <w:szCs w:val="14"/>
          <w:b w:val="1"/>
          <w:bCs w:val="1"/>
          <w:color w:val="202E39"/>
        </w:rPr>
        <w:t>Proxy Statement         A-1</w:t>
      </w:r>
    </w:p>
    <w:p>
      <w:pPr>
        <w:sectPr>
          <w:pgSz w:w="11900" w:h="16838" w:orient="portrait"/>
          <w:cols w:equalWidth="0" w:num="1">
            <w:col w:w="10980"/>
          </w:cols>
          <w:pgMar w:left="320" w:top="474" w:right="5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5"/>
          <w:szCs w:val="15"/>
          <w:color w:val="202E39"/>
        </w:rPr>
        <w:t xml:space="preserve">1.9 </w:t>
      </w:r>
      <w:r>
        <w:rPr>
          <w:rFonts w:ascii="Arial" w:cs="Arial" w:eastAsia="Arial" w:hAnsi="Arial"/>
          <w:sz w:val="15"/>
          <w:szCs w:val="15"/>
          <w:u w:val="single" w:color="auto"/>
          <w:color w:val="202E39"/>
        </w:rPr>
        <w:t>Corporate Transaction</w:t>
      </w:r>
      <w:r>
        <w:rPr>
          <w:rFonts w:ascii="Arial" w:cs="Arial" w:eastAsia="Arial" w:hAnsi="Arial"/>
          <w:sz w:val="15"/>
          <w:szCs w:val="15"/>
          <w:color w:val="202E39"/>
        </w:rPr>
        <w:t>.   “Corporate Transaction” shall mean any of the following stockholder-approved transactions to which the Company is a party:</w:t>
      </w:r>
    </w:p>
    <w:p>
      <w:pPr>
        <w:spacing w:after="0" w:line="117" w:lineRule="exact"/>
        <w:rPr>
          <w:sz w:val="20"/>
          <w:szCs w:val="20"/>
          <w:color w:val="auto"/>
        </w:rPr>
      </w:pPr>
    </w:p>
    <w:p>
      <w:pPr>
        <w:jc w:val="both"/>
        <w:ind w:left="700" w:right="160" w:hanging="10"/>
        <w:spacing w:after="0" w:line="254" w:lineRule="auto"/>
        <w:tabs>
          <w:tab w:leader="none" w:pos="937"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73" w:lineRule="exact"/>
        <w:rPr>
          <w:rFonts w:ascii="Arial" w:cs="Arial" w:eastAsia="Arial" w:hAnsi="Arial"/>
          <w:sz w:val="16"/>
          <w:szCs w:val="16"/>
          <w:color w:val="202E39"/>
        </w:rPr>
      </w:pPr>
    </w:p>
    <w:p>
      <w:pPr>
        <w:ind w:left="700" w:right="180" w:hanging="10"/>
        <w:spacing w:after="0" w:line="269" w:lineRule="auto"/>
        <w:tabs>
          <w:tab w:leader="none" w:pos="937"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the sale, transfer, exchange or other disposition of all or substantially all of the assets of the Company, in complete liquidation or dissolution of the Company in a transaction not covered by the exceptions to clause (a) above; or</w:t>
      </w:r>
    </w:p>
    <w:p>
      <w:pPr>
        <w:spacing w:after="0" w:line="60" w:lineRule="exact"/>
        <w:rPr>
          <w:rFonts w:ascii="Arial" w:cs="Arial" w:eastAsia="Arial" w:hAnsi="Arial"/>
          <w:sz w:val="16"/>
          <w:szCs w:val="16"/>
          <w:color w:val="202E39"/>
        </w:rPr>
      </w:pPr>
    </w:p>
    <w:p>
      <w:pPr>
        <w:ind w:left="700" w:hanging="10"/>
        <w:spacing w:after="0" w:line="254" w:lineRule="auto"/>
        <w:tabs>
          <w:tab w:leader="none" w:pos="928"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1.10 </w:t>
      </w:r>
      <w:r>
        <w:rPr>
          <w:rFonts w:ascii="Arial" w:cs="Arial" w:eastAsia="Arial" w:hAnsi="Arial"/>
          <w:sz w:val="16"/>
          <w:szCs w:val="16"/>
          <w:u w:val="single" w:color="auto"/>
          <w:color w:val="202E39"/>
        </w:rPr>
        <w:t>Director</w:t>
      </w:r>
      <w:r>
        <w:rPr>
          <w:rFonts w:ascii="Arial" w:cs="Arial" w:eastAsia="Arial" w:hAnsi="Arial"/>
          <w:sz w:val="16"/>
          <w:szCs w:val="16"/>
          <w:color w:val="202E39"/>
        </w:rPr>
        <w:t>.   “Director” shall mean a member of the Board.</w:t>
      </w:r>
    </w:p>
    <w:p>
      <w:pPr>
        <w:spacing w:after="0" w:line="105" w:lineRule="exact"/>
        <w:rPr>
          <w:sz w:val="20"/>
          <w:szCs w:val="20"/>
          <w:color w:val="auto"/>
        </w:rPr>
      </w:pPr>
    </w:p>
    <w:p>
      <w:pPr>
        <w:ind w:left="260" w:right="420"/>
        <w:spacing w:after="0" w:line="269" w:lineRule="auto"/>
        <w:rPr>
          <w:sz w:val="20"/>
          <w:szCs w:val="20"/>
          <w:color w:val="auto"/>
        </w:rPr>
      </w:pPr>
      <w:r>
        <w:rPr>
          <w:rFonts w:ascii="Arial" w:cs="Arial" w:eastAsia="Arial" w:hAnsi="Arial"/>
          <w:sz w:val="16"/>
          <w:szCs w:val="16"/>
          <w:color w:val="202E39"/>
        </w:rPr>
        <w:t xml:space="preserve">1.11 </w:t>
      </w:r>
      <w:r>
        <w:rPr>
          <w:rFonts w:ascii="Arial" w:cs="Arial" w:eastAsia="Arial" w:hAnsi="Arial"/>
          <w:sz w:val="16"/>
          <w:szCs w:val="16"/>
          <w:u w:val="single" w:color="auto"/>
          <w:color w:val="202E39"/>
        </w:rPr>
        <w:t>Dividend Equivalent</w:t>
      </w:r>
      <w:r>
        <w:rPr>
          <w:rFonts w:ascii="Arial" w:cs="Arial" w:eastAsia="Arial" w:hAnsi="Arial"/>
          <w:sz w:val="16"/>
          <w:szCs w:val="16"/>
          <w:color w:val="202E39"/>
        </w:rPr>
        <w:t>.  “Dividend Equivalent” shall mean a right to receive the equivalent value (in cash or Common Stock) of dividends paid on Common Stock, awarded under Article VII of this Plan.</w:t>
      </w:r>
    </w:p>
    <w:p>
      <w:pPr>
        <w:spacing w:after="0" w:line="61" w:lineRule="exact"/>
        <w:rPr>
          <w:sz w:val="20"/>
          <w:szCs w:val="20"/>
          <w:color w:val="auto"/>
        </w:rPr>
      </w:pPr>
    </w:p>
    <w:p>
      <w:pPr>
        <w:ind w:left="260" w:right="160"/>
        <w:spacing w:after="0" w:line="269" w:lineRule="auto"/>
        <w:rPr>
          <w:sz w:val="20"/>
          <w:szCs w:val="20"/>
          <w:color w:val="auto"/>
        </w:rPr>
      </w:pPr>
      <w:r>
        <w:rPr>
          <w:rFonts w:ascii="Arial" w:cs="Arial" w:eastAsia="Arial" w:hAnsi="Arial"/>
          <w:sz w:val="16"/>
          <w:szCs w:val="16"/>
          <w:color w:val="202E39"/>
        </w:rPr>
        <w:t xml:space="preserve">1.12 </w:t>
      </w:r>
      <w:r>
        <w:rPr>
          <w:rFonts w:ascii="Arial" w:cs="Arial" w:eastAsia="Arial" w:hAnsi="Arial"/>
          <w:sz w:val="16"/>
          <w:szCs w:val="16"/>
          <w:u w:val="single" w:color="auto"/>
          <w:color w:val="202E39"/>
        </w:rPr>
        <w:t>Employee</w:t>
      </w:r>
      <w:r>
        <w:rPr>
          <w:rFonts w:ascii="Arial" w:cs="Arial" w:eastAsia="Arial" w:hAnsi="Arial"/>
          <w:sz w:val="16"/>
          <w:szCs w:val="16"/>
          <w:color w:val="202E39"/>
        </w:rPr>
        <w:t>.  “Employee” shall mean any officer or other employee (as defined in accordance with Section 3401(c) of the Code) of the Company, or of any corporation which is a Subsidiary.</w:t>
      </w:r>
    </w:p>
    <w:p>
      <w:pPr>
        <w:spacing w:after="0" w:line="61"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 xml:space="preserve">1.13 </w:t>
      </w:r>
      <w:r>
        <w:rPr>
          <w:rFonts w:ascii="Arial" w:cs="Arial" w:eastAsia="Arial" w:hAnsi="Arial"/>
          <w:sz w:val="16"/>
          <w:szCs w:val="16"/>
          <w:u w:val="single" w:color="auto"/>
          <w:color w:val="202E39"/>
        </w:rPr>
        <w:t>Equity Restructuring</w:t>
      </w:r>
      <w:r>
        <w:rPr>
          <w:rFonts w:ascii="Arial" w:cs="Arial" w:eastAsia="Arial" w:hAnsi="Arial"/>
          <w:sz w:val="16"/>
          <w:szCs w:val="16"/>
          <w:color w:val="202E39"/>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1.14 </w:t>
      </w:r>
      <w:r>
        <w:rPr>
          <w:rFonts w:ascii="Arial" w:cs="Arial" w:eastAsia="Arial" w:hAnsi="Arial"/>
          <w:sz w:val="16"/>
          <w:szCs w:val="16"/>
          <w:u w:val="single" w:color="auto"/>
          <w:color w:val="202E39"/>
        </w:rPr>
        <w:t>Exchange Act</w:t>
      </w:r>
      <w:r>
        <w:rPr>
          <w:rFonts w:ascii="Arial" w:cs="Arial" w:eastAsia="Arial" w:hAnsi="Arial"/>
          <w:sz w:val="16"/>
          <w:szCs w:val="16"/>
          <w:color w:val="202E39"/>
        </w:rPr>
        <w:t>.   “Exchange Act” shall mean the U.S. Securities Exchange Act of 1934, as amended.</w:t>
      </w:r>
    </w:p>
    <w:p>
      <w:pPr>
        <w:spacing w:after="0" w:line="105"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color w:val="202E39"/>
        </w:rPr>
        <w:t xml:space="preserve">1.15 </w:t>
      </w:r>
      <w:r>
        <w:rPr>
          <w:rFonts w:ascii="Arial" w:cs="Arial" w:eastAsia="Arial" w:hAnsi="Arial"/>
          <w:sz w:val="16"/>
          <w:szCs w:val="16"/>
          <w:u w:val="single" w:color="auto"/>
          <w:color w:val="202E39"/>
        </w:rPr>
        <w:t>Fair Market Value</w:t>
      </w:r>
      <w:r>
        <w:rPr>
          <w:rFonts w:ascii="Arial" w:cs="Arial" w:eastAsia="Arial" w:hAnsi="Arial"/>
          <w:sz w:val="16"/>
          <w:szCs w:val="16"/>
          <w:color w:val="202E39"/>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81" w:lineRule="exact"/>
        <w:rPr>
          <w:sz w:val="20"/>
          <w:szCs w:val="20"/>
          <w:color w:val="auto"/>
        </w:rPr>
      </w:pPr>
    </w:p>
    <w:p>
      <w:pPr>
        <w:ind w:left="260" w:right="320"/>
        <w:spacing w:after="0" w:line="303" w:lineRule="auto"/>
        <w:rPr>
          <w:sz w:val="20"/>
          <w:szCs w:val="20"/>
          <w:color w:val="auto"/>
        </w:rPr>
      </w:pPr>
      <w:r>
        <w:rPr>
          <w:rFonts w:ascii="Arial" w:cs="Arial" w:eastAsia="Arial" w:hAnsi="Arial"/>
          <w:sz w:val="15"/>
          <w:szCs w:val="15"/>
          <w:color w:val="202E39"/>
        </w:rPr>
        <w:t xml:space="preserve">1.16 </w:t>
      </w:r>
      <w:r>
        <w:rPr>
          <w:rFonts w:ascii="Arial" w:cs="Arial" w:eastAsia="Arial" w:hAnsi="Arial"/>
          <w:sz w:val="15"/>
          <w:szCs w:val="15"/>
          <w:u w:val="single" w:color="auto"/>
          <w:color w:val="202E39"/>
        </w:rPr>
        <w:t>Full Value Award</w:t>
      </w:r>
      <w:r>
        <w:rPr>
          <w:rFonts w:ascii="Arial" w:cs="Arial" w:eastAsia="Arial" w:hAnsi="Arial"/>
          <w:sz w:val="15"/>
          <w:szCs w:val="15"/>
          <w:color w:val="202E39"/>
        </w:rPr>
        <w:t>.  “Full Value Award” shall mean any award other than an Option or a Stock Appreciation Right with a per share purchase price lower than one hundred percent (100%) of Fair Market Value on the date of grant and that is settled by the issuance of shares of Common Stock.</w:t>
      </w:r>
    </w:p>
    <w:p>
      <w:pPr>
        <w:spacing w:after="0" w:line="38" w:lineRule="exact"/>
        <w:rPr>
          <w:sz w:val="20"/>
          <w:szCs w:val="20"/>
          <w:color w:val="auto"/>
        </w:rPr>
      </w:pPr>
    </w:p>
    <w:p>
      <w:pPr>
        <w:ind w:left="260" w:right="160"/>
        <w:spacing w:after="0" w:line="269" w:lineRule="auto"/>
        <w:rPr>
          <w:sz w:val="20"/>
          <w:szCs w:val="20"/>
          <w:color w:val="auto"/>
        </w:rPr>
      </w:pPr>
      <w:r>
        <w:rPr>
          <w:rFonts w:ascii="Arial" w:cs="Arial" w:eastAsia="Arial" w:hAnsi="Arial"/>
          <w:sz w:val="16"/>
          <w:szCs w:val="16"/>
          <w:color w:val="202E39"/>
        </w:rPr>
        <w:t xml:space="preserve">1.17 </w:t>
      </w:r>
      <w:r>
        <w:rPr>
          <w:rFonts w:ascii="Arial" w:cs="Arial" w:eastAsia="Arial" w:hAnsi="Arial"/>
          <w:sz w:val="16"/>
          <w:szCs w:val="16"/>
          <w:u w:val="single" w:color="auto"/>
          <w:color w:val="202E39"/>
        </w:rPr>
        <w:t>Grantee</w:t>
      </w:r>
      <w:r>
        <w:rPr>
          <w:rFonts w:ascii="Arial" w:cs="Arial" w:eastAsia="Arial" w:hAnsi="Arial"/>
          <w:sz w:val="16"/>
          <w:szCs w:val="16"/>
          <w:color w:val="202E39"/>
        </w:rPr>
        <w:t>.  “Grantee” shall mean an Employee, Director or consultant granted a Performance Award, Dividend Equivalent, Stock Payment or Stock Appreciation Right, or an award of Restricted Stock Units, under this Plan.</w:t>
      </w:r>
    </w:p>
    <w:p>
      <w:pPr>
        <w:spacing w:after="0" w:line="61" w:lineRule="exact"/>
        <w:rPr>
          <w:sz w:val="20"/>
          <w:szCs w:val="20"/>
          <w:color w:val="auto"/>
        </w:rPr>
      </w:pPr>
    </w:p>
    <w:p>
      <w:pPr>
        <w:ind w:left="260" w:right="100"/>
        <w:spacing w:after="0" w:line="269" w:lineRule="auto"/>
        <w:rPr>
          <w:sz w:val="20"/>
          <w:szCs w:val="20"/>
          <w:color w:val="auto"/>
        </w:rPr>
      </w:pPr>
      <w:r>
        <w:rPr>
          <w:rFonts w:ascii="Arial" w:cs="Arial" w:eastAsia="Arial" w:hAnsi="Arial"/>
          <w:sz w:val="16"/>
          <w:szCs w:val="16"/>
          <w:color w:val="202E39"/>
        </w:rPr>
        <w:t xml:space="preserve">1.18 </w:t>
      </w:r>
      <w:r>
        <w:rPr>
          <w:rFonts w:ascii="Arial" w:cs="Arial" w:eastAsia="Arial" w:hAnsi="Arial"/>
          <w:sz w:val="16"/>
          <w:szCs w:val="16"/>
          <w:u w:val="single" w:color="auto"/>
          <w:color w:val="202E39"/>
        </w:rPr>
        <w:t>Incentive Stock Option</w:t>
      </w:r>
      <w:r>
        <w:rPr>
          <w:rFonts w:ascii="Arial" w:cs="Arial" w:eastAsia="Arial" w:hAnsi="Arial"/>
          <w:sz w:val="16"/>
          <w:szCs w:val="16"/>
          <w:color w:val="202E39"/>
        </w:rPr>
        <w:t>.  “Incentive Stock Option” shall mean an option which conforms to the applicable provisions of Section 422 of the Code and which is designated as an Incentive Stock Option by the Committee.</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1.19 </w:t>
      </w:r>
      <w:r>
        <w:rPr>
          <w:rFonts w:ascii="Arial" w:cs="Arial" w:eastAsia="Arial" w:hAnsi="Arial"/>
          <w:sz w:val="16"/>
          <w:szCs w:val="16"/>
          <w:u w:val="single" w:color="auto"/>
          <w:color w:val="202E39"/>
        </w:rPr>
        <w:t>Independent Director</w:t>
      </w:r>
      <w:r>
        <w:rPr>
          <w:rFonts w:ascii="Arial" w:cs="Arial" w:eastAsia="Arial" w:hAnsi="Arial"/>
          <w:sz w:val="16"/>
          <w:szCs w:val="16"/>
          <w:color w:val="202E39"/>
        </w:rPr>
        <w:t>.   “Independent Director” shall mean a member of the Board who is not an Employee of the Company.</w:t>
      </w:r>
    </w:p>
    <w:p>
      <w:pPr>
        <w:spacing w:after="0" w:line="105" w:lineRule="exact"/>
        <w:rPr>
          <w:sz w:val="20"/>
          <w:szCs w:val="20"/>
          <w:color w:val="auto"/>
        </w:rPr>
      </w:pPr>
    </w:p>
    <w:p>
      <w:pPr>
        <w:ind w:left="260" w:right="500"/>
        <w:spacing w:after="0" w:line="269" w:lineRule="auto"/>
        <w:rPr>
          <w:sz w:val="20"/>
          <w:szCs w:val="20"/>
          <w:color w:val="auto"/>
        </w:rPr>
      </w:pPr>
      <w:r>
        <w:rPr>
          <w:rFonts w:ascii="Arial" w:cs="Arial" w:eastAsia="Arial" w:hAnsi="Arial"/>
          <w:sz w:val="16"/>
          <w:szCs w:val="16"/>
          <w:color w:val="202E39"/>
        </w:rPr>
        <w:t xml:space="preserve">1.20 </w:t>
      </w:r>
      <w:r>
        <w:rPr>
          <w:rFonts w:ascii="Arial" w:cs="Arial" w:eastAsia="Arial" w:hAnsi="Arial"/>
          <w:sz w:val="16"/>
          <w:szCs w:val="16"/>
          <w:u w:val="single" w:color="auto"/>
          <w:color w:val="202E39"/>
        </w:rPr>
        <w:t>Non-Qualified Stock Option</w:t>
      </w:r>
      <w:r>
        <w:rPr>
          <w:rFonts w:ascii="Arial" w:cs="Arial" w:eastAsia="Arial" w:hAnsi="Arial"/>
          <w:sz w:val="16"/>
          <w:szCs w:val="16"/>
          <w:color w:val="202E39"/>
        </w:rPr>
        <w:t>.  “Non-Qualified Stock Option” shall mean an Option which is not designated as an Incentive Stock Option by the Committee.</w:t>
      </w:r>
    </w:p>
    <w:p>
      <w:pPr>
        <w:spacing w:after="0" w:line="61" w:lineRule="exact"/>
        <w:rPr>
          <w:sz w:val="20"/>
          <w:szCs w:val="20"/>
          <w:color w:val="auto"/>
        </w:rPr>
      </w:pPr>
    </w:p>
    <w:p>
      <w:pPr>
        <w:ind w:left="260" w:right="180"/>
        <w:spacing w:after="0" w:line="254" w:lineRule="auto"/>
        <w:rPr>
          <w:sz w:val="20"/>
          <w:szCs w:val="20"/>
          <w:color w:val="auto"/>
        </w:rPr>
      </w:pPr>
      <w:r>
        <w:rPr>
          <w:rFonts w:ascii="Arial" w:cs="Arial" w:eastAsia="Arial" w:hAnsi="Arial"/>
          <w:sz w:val="16"/>
          <w:szCs w:val="16"/>
          <w:color w:val="202E39"/>
        </w:rPr>
        <w:t xml:space="preserve">1.21 </w:t>
      </w:r>
      <w:r>
        <w:rPr>
          <w:rFonts w:ascii="Arial" w:cs="Arial" w:eastAsia="Arial" w:hAnsi="Arial"/>
          <w:sz w:val="16"/>
          <w:szCs w:val="16"/>
          <w:u w:val="single" w:color="auto"/>
          <w:color w:val="202E39"/>
        </w:rPr>
        <w:t>Option</w:t>
      </w:r>
      <w:r>
        <w:rPr>
          <w:rFonts w:ascii="Arial" w:cs="Arial" w:eastAsia="Arial" w:hAnsi="Arial"/>
          <w:sz w:val="16"/>
          <w:szCs w:val="16"/>
          <w:color w:val="202E39"/>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Options granted to Independent Directors and consultants shall be Non-Qualified Stock Options.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1.22 </w:t>
      </w:r>
      <w:r>
        <w:rPr>
          <w:rFonts w:ascii="Arial" w:cs="Arial" w:eastAsia="Arial" w:hAnsi="Arial"/>
          <w:sz w:val="16"/>
          <w:szCs w:val="16"/>
          <w:u w:val="single" w:color="auto"/>
          <w:color w:val="202E39"/>
        </w:rPr>
        <w:t>Optionee</w:t>
      </w:r>
      <w:r>
        <w:rPr>
          <w:rFonts w:ascii="Arial" w:cs="Arial" w:eastAsia="Arial" w:hAnsi="Arial"/>
          <w:sz w:val="16"/>
          <w:szCs w:val="16"/>
          <w:color w:val="202E39"/>
        </w:rPr>
        <w:t>.   “Optionee” shall mean an Employee, Director or consultant granted an Option under this Plan.</w:t>
      </w:r>
    </w:p>
    <w:p>
      <w:pPr>
        <w:spacing w:after="0" w:line="105" w:lineRule="exact"/>
        <w:rPr>
          <w:sz w:val="20"/>
          <w:szCs w:val="20"/>
          <w:color w:val="auto"/>
        </w:rPr>
      </w:pPr>
    </w:p>
    <w:p>
      <w:pPr>
        <w:ind w:left="260" w:right="320"/>
        <w:spacing w:after="0" w:line="269" w:lineRule="auto"/>
        <w:rPr>
          <w:sz w:val="20"/>
          <w:szCs w:val="20"/>
          <w:color w:val="auto"/>
        </w:rPr>
      </w:pPr>
      <w:r>
        <w:rPr>
          <w:rFonts w:ascii="Arial" w:cs="Arial" w:eastAsia="Arial" w:hAnsi="Arial"/>
          <w:sz w:val="16"/>
          <w:szCs w:val="16"/>
          <w:color w:val="202E39"/>
        </w:rPr>
        <w:t xml:space="preserve">1.23 </w:t>
      </w:r>
      <w:r>
        <w:rPr>
          <w:rFonts w:ascii="Arial" w:cs="Arial" w:eastAsia="Arial" w:hAnsi="Arial"/>
          <w:sz w:val="16"/>
          <w:szCs w:val="16"/>
          <w:u w:val="single" w:color="auto"/>
          <w:color w:val="202E39"/>
        </w:rPr>
        <w:t>Performance Award</w:t>
      </w:r>
      <w:r>
        <w:rPr>
          <w:rFonts w:ascii="Arial" w:cs="Arial" w:eastAsia="Arial" w:hAnsi="Arial"/>
          <w:sz w:val="16"/>
          <w:szCs w:val="16"/>
          <w:color w:val="202E39"/>
        </w:rPr>
        <w:t>.  “Performance Award” shall mean a cash bonus, stock bonus or other performance or incentive award that is paid in cash, Common Stock or a combination of both, awarded under Article VII of this Plan.</w:t>
      </w:r>
    </w:p>
    <w:p>
      <w:pPr>
        <w:spacing w:after="0" w:line="61" w:lineRule="exact"/>
        <w:rPr>
          <w:sz w:val="20"/>
          <w:szCs w:val="20"/>
          <w:color w:val="auto"/>
        </w:rPr>
      </w:pPr>
    </w:p>
    <w:p>
      <w:pPr>
        <w:ind w:left="260" w:right="420"/>
        <w:spacing w:after="0" w:line="254" w:lineRule="auto"/>
        <w:rPr>
          <w:sz w:val="20"/>
          <w:szCs w:val="20"/>
          <w:color w:val="auto"/>
        </w:rPr>
      </w:pPr>
      <w:r>
        <w:rPr>
          <w:rFonts w:ascii="Arial" w:cs="Arial" w:eastAsia="Arial" w:hAnsi="Arial"/>
          <w:sz w:val="16"/>
          <w:szCs w:val="16"/>
          <w:color w:val="202E39"/>
        </w:rPr>
        <w:t>1.24 “</w:t>
      </w:r>
      <w:r>
        <w:rPr>
          <w:rFonts w:ascii="Arial" w:cs="Arial" w:eastAsia="Arial" w:hAnsi="Arial"/>
          <w:sz w:val="16"/>
          <w:szCs w:val="16"/>
          <w:u w:val="single" w:color="auto"/>
          <w:color w:val="202E39"/>
        </w:rPr>
        <w:t>Permanent Disability</w:t>
      </w:r>
      <w:r>
        <w:rPr>
          <w:rFonts w:ascii="Arial" w:cs="Arial" w:eastAsia="Arial" w:hAnsi="Arial"/>
          <w:sz w:val="16"/>
          <w:szCs w:val="16"/>
          <w:color w:val="202E39"/>
        </w:rPr>
        <w:t>”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1.25 </w:t>
      </w:r>
      <w:r>
        <w:rPr>
          <w:rFonts w:ascii="Arial" w:cs="Arial" w:eastAsia="Arial" w:hAnsi="Arial"/>
          <w:sz w:val="16"/>
          <w:szCs w:val="16"/>
          <w:u w:val="single" w:color="auto"/>
          <w:color w:val="202E39"/>
        </w:rPr>
        <w:t>Plan</w:t>
      </w:r>
      <w:r>
        <w:rPr>
          <w:rFonts w:ascii="Arial" w:cs="Arial" w:eastAsia="Arial" w:hAnsi="Arial"/>
          <w:sz w:val="16"/>
          <w:szCs w:val="16"/>
          <w:color w:val="202E39"/>
        </w:rPr>
        <w:t>.   “Plan” shall mean The 1996 Equity Participation Plan of Viasat, Inc.,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99695</wp:posOffset>
            </wp:positionV>
            <wp:extent cx="425450" cy="150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A-2       </w:t>
      </w:r>
    </w:p>
    <w:p>
      <w:pPr>
        <w:sectPr>
          <w:pgSz w:w="11900" w:h="16838" w:orient="portrait"/>
          <w:cols w:equalWidth="0" w:num="1">
            <w:col w:w="10980"/>
          </w:cols>
          <w:pgMar w:left="320" w:top="474" w:right="5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260" w:right="100"/>
        <w:spacing w:after="0" w:line="269" w:lineRule="auto"/>
        <w:rPr>
          <w:sz w:val="20"/>
          <w:szCs w:val="20"/>
          <w:color w:val="auto"/>
        </w:rPr>
      </w:pPr>
      <w:r>
        <w:rPr>
          <w:rFonts w:ascii="Arial" w:cs="Arial" w:eastAsia="Arial" w:hAnsi="Arial"/>
          <w:sz w:val="16"/>
          <w:szCs w:val="16"/>
          <w:color w:val="202E39"/>
        </w:rPr>
        <w:t xml:space="preserve">1.26 </w:t>
      </w:r>
      <w:r>
        <w:rPr>
          <w:rFonts w:ascii="Arial" w:cs="Arial" w:eastAsia="Arial" w:hAnsi="Arial"/>
          <w:sz w:val="16"/>
          <w:szCs w:val="16"/>
          <w:u w:val="single" w:color="auto"/>
          <w:color w:val="202E39"/>
        </w:rPr>
        <w:t>QDRO</w:t>
      </w:r>
      <w:r>
        <w:rPr>
          <w:rFonts w:ascii="Arial" w:cs="Arial" w:eastAsia="Arial" w:hAnsi="Arial"/>
          <w:sz w:val="16"/>
          <w:szCs w:val="16"/>
          <w:color w:val="202E39"/>
        </w:rPr>
        <w:t>.  “QDRO” shall mean a qualified domestic relations order as defined by the Code or Title I of the Employee Retirement Income Security Act of 1974, as amended, or the rules thereunder.</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1.27 </w:t>
      </w:r>
      <w:r>
        <w:rPr>
          <w:rFonts w:ascii="Arial" w:cs="Arial" w:eastAsia="Arial" w:hAnsi="Arial"/>
          <w:sz w:val="16"/>
          <w:szCs w:val="16"/>
          <w:u w:val="single" w:color="auto"/>
          <w:color w:val="202E39"/>
        </w:rPr>
        <w:t>Restricted Stock</w:t>
      </w:r>
      <w:r>
        <w:rPr>
          <w:rFonts w:ascii="Arial" w:cs="Arial" w:eastAsia="Arial" w:hAnsi="Arial"/>
          <w:sz w:val="16"/>
          <w:szCs w:val="16"/>
          <w:color w:val="202E39"/>
        </w:rPr>
        <w:t>.   “Restricted Stock” shall mean Common Stock awarded under Article VI of this Plan.</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1.28 </w:t>
      </w:r>
      <w:r>
        <w:rPr>
          <w:rFonts w:ascii="Arial" w:cs="Arial" w:eastAsia="Arial" w:hAnsi="Arial"/>
          <w:sz w:val="16"/>
          <w:szCs w:val="16"/>
          <w:u w:val="single" w:color="auto"/>
          <w:color w:val="202E39"/>
        </w:rPr>
        <w:t>Restricted Stock Unit</w:t>
      </w:r>
      <w:r>
        <w:rPr>
          <w:rFonts w:ascii="Arial" w:cs="Arial" w:eastAsia="Arial" w:hAnsi="Arial"/>
          <w:sz w:val="16"/>
          <w:szCs w:val="16"/>
          <w:color w:val="202E39"/>
        </w:rPr>
        <w:t>.   “Restricted Stock Unit” shall mean a right to receive Common Stock awarded under Article VII of this Plan.</w:t>
      </w:r>
    </w:p>
    <w:p>
      <w:pPr>
        <w:spacing w:after="0" w:line="105" w:lineRule="exact"/>
        <w:rPr>
          <w:sz w:val="20"/>
          <w:szCs w:val="20"/>
          <w:color w:val="auto"/>
        </w:rPr>
      </w:pPr>
    </w:p>
    <w:p>
      <w:pPr>
        <w:ind w:left="260" w:right="440"/>
        <w:spacing w:after="0" w:line="269" w:lineRule="auto"/>
        <w:rPr>
          <w:sz w:val="20"/>
          <w:szCs w:val="20"/>
          <w:color w:val="auto"/>
        </w:rPr>
      </w:pPr>
      <w:r>
        <w:rPr>
          <w:rFonts w:ascii="Arial" w:cs="Arial" w:eastAsia="Arial" w:hAnsi="Arial"/>
          <w:sz w:val="16"/>
          <w:szCs w:val="16"/>
          <w:color w:val="202E39"/>
        </w:rPr>
        <w:t xml:space="preserve">1.29 </w:t>
      </w:r>
      <w:r>
        <w:rPr>
          <w:rFonts w:ascii="Arial" w:cs="Arial" w:eastAsia="Arial" w:hAnsi="Arial"/>
          <w:sz w:val="16"/>
          <w:szCs w:val="16"/>
          <w:u w:val="single" w:color="auto"/>
          <w:color w:val="202E39"/>
        </w:rPr>
        <w:t>Restricted Stockholder</w:t>
      </w:r>
      <w:r>
        <w:rPr>
          <w:rFonts w:ascii="Arial" w:cs="Arial" w:eastAsia="Arial" w:hAnsi="Arial"/>
          <w:sz w:val="16"/>
          <w:szCs w:val="16"/>
          <w:color w:val="202E39"/>
        </w:rPr>
        <w:t>.  “Restricted Stockholder” shall mean an Employee, Director or consultant granted an award of Restricted Stock under Article VI of this Plan.</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1.30 </w:t>
      </w:r>
      <w:r>
        <w:rPr>
          <w:rFonts w:ascii="Arial" w:cs="Arial" w:eastAsia="Arial" w:hAnsi="Arial"/>
          <w:sz w:val="16"/>
          <w:szCs w:val="16"/>
          <w:u w:val="single" w:color="auto"/>
          <w:color w:val="202E39"/>
        </w:rPr>
        <w:t>Rule 16b-3</w:t>
      </w:r>
      <w:r>
        <w:rPr>
          <w:rFonts w:ascii="Arial" w:cs="Arial" w:eastAsia="Arial" w:hAnsi="Arial"/>
          <w:sz w:val="16"/>
          <w:szCs w:val="16"/>
          <w:color w:val="202E39"/>
        </w:rPr>
        <w:t>.   “Rule 16b-3” shall mean that certain Rule 16b-3 under the Exchange Act, as such Rule may be amended from time to time.</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1.31 </w:t>
      </w:r>
      <w:r>
        <w:rPr>
          <w:rFonts w:ascii="Arial" w:cs="Arial" w:eastAsia="Arial" w:hAnsi="Arial"/>
          <w:sz w:val="16"/>
          <w:szCs w:val="16"/>
          <w:u w:val="single" w:color="auto"/>
          <w:color w:val="202E39"/>
        </w:rPr>
        <w:t>Stock Appreciation Right</w:t>
      </w:r>
      <w:r>
        <w:rPr>
          <w:rFonts w:ascii="Arial" w:cs="Arial" w:eastAsia="Arial" w:hAnsi="Arial"/>
          <w:sz w:val="16"/>
          <w:szCs w:val="16"/>
          <w:color w:val="202E39"/>
        </w:rPr>
        <w:t>.   “Stock Appreciation Right” shall mean a stock appreciation right granted under Article VIII of this Plan.</w:t>
      </w:r>
    </w:p>
    <w:p>
      <w:pPr>
        <w:spacing w:after="0" w:line="105" w:lineRule="exact"/>
        <w:rPr>
          <w:sz w:val="20"/>
          <w:szCs w:val="20"/>
          <w:color w:val="auto"/>
        </w:rPr>
      </w:pPr>
    </w:p>
    <w:p>
      <w:pPr>
        <w:ind w:left="260" w:right="320"/>
        <w:spacing w:after="0" w:line="249" w:lineRule="auto"/>
        <w:rPr>
          <w:sz w:val="20"/>
          <w:szCs w:val="20"/>
          <w:color w:val="auto"/>
        </w:rPr>
      </w:pPr>
      <w:r>
        <w:rPr>
          <w:rFonts w:ascii="Arial" w:cs="Arial" w:eastAsia="Arial" w:hAnsi="Arial"/>
          <w:sz w:val="16"/>
          <w:szCs w:val="16"/>
          <w:color w:val="202E39"/>
        </w:rPr>
        <w:t xml:space="preserve">1.32 </w:t>
      </w:r>
      <w:r>
        <w:rPr>
          <w:rFonts w:ascii="Arial" w:cs="Arial" w:eastAsia="Arial" w:hAnsi="Arial"/>
          <w:sz w:val="16"/>
          <w:szCs w:val="16"/>
          <w:u w:val="single" w:color="auto"/>
          <w:color w:val="202E39"/>
        </w:rPr>
        <w:t>Stock Payment</w:t>
      </w:r>
      <w:r>
        <w:rPr>
          <w:rFonts w:ascii="Arial" w:cs="Arial" w:eastAsia="Arial" w:hAnsi="Arial"/>
          <w:sz w:val="16"/>
          <w:szCs w:val="16"/>
          <w:color w:val="202E39"/>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78" w:lineRule="exact"/>
        <w:rPr>
          <w:sz w:val="20"/>
          <w:szCs w:val="20"/>
          <w:color w:val="auto"/>
        </w:rPr>
      </w:pPr>
    </w:p>
    <w:p>
      <w:pPr>
        <w:ind w:left="260" w:right="160"/>
        <w:spacing w:after="0" w:line="254" w:lineRule="auto"/>
        <w:rPr>
          <w:sz w:val="20"/>
          <w:szCs w:val="20"/>
          <w:color w:val="auto"/>
        </w:rPr>
      </w:pPr>
      <w:r>
        <w:rPr>
          <w:rFonts w:ascii="Arial" w:cs="Arial" w:eastAsia="Arial" w:hAnsi="Arial"/>
          <w:sz w:val="16"/>
          <w:szCs w:val="16"/>
          <w:color w:val="202E39"/>
        </w:rPr>
        <w:t xml:space="preserve">1.33 </w:t>
      </w:r>
      <w:r>
        <w:rPr>
          <w:rFonts w:ascii="Arial" w:cs="Arial" w:eastAsia="Arial" w:hAnsi="Arial"/>
          <w:sz w:val="16"/>
          <w:szCs w:val="16"/>
          <w:u w:val="single" w:color="auto"/>
          <w:color w:val="202E39"/>
        </w:rPr>
        <w:t>Subsidiary</w:t>
      </w:r>
      <w:r>
        <w:rPr>
          <w:rFonts w:ascii="Arial" w:cs="Arial" w:eastAsia="Arial" w:hAnsi="Arial"/>
          <w:sz w:val="16"/>
          <w:szCs w:val="16"/>
          <w:color w:val="202E39"/>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73" w:lineRule="exact"/>
        <w:rPr>
          <w:sz w:val="20"/>
          <w:szCs w:val="20"/>
          <w:color w:val="auto"/>
        </w:rPr>
      </w:pPr>
    </w:p>
    <w:p>
      <w:pPr>
        <w:jc w:val="both"/>
        <w:ind w:left="260" w:right="320"/>
        <w:spacing w:after="0" w:line="254" w:lineRule="auto"/>
        <w:rPr>
          <w:sz w:val="20"/>
          <w:szCs w:val="20"/>
          <w:color w:val="auto"/>
        </w:rPr>
      </w:pPr>
      <w:r>
        <w:rPr>
          <w:rFonts w:ascii="Arial" w:cs="Arial" w:eastAsia="Arial" w:hAnsi="Arial"/>
          <w:sz w:val="16"/>
          <w:szCs w:val="16"/>
          <w:color w:val="202E39"/>
        </w:rPr>
        <w:t xml:space="preserve">1.34 </w:t>
      </w:r>
      <w:r>
        <w:rPr>
          <w:rFonts w:ascii="Arial" w:cs="Arial" w:eastAsia="Arial" w:hAnsi="Arial"/>
          <w:sz w:val="16"/>
          <w:szCs w:val="16"/>
          <w:u w:val="single" w:color="auto"/>
          <w:color w:val="202E39"/>
        </w:rPr>
        <w:t>Substitute Awards</w:t>
      </w:r>
      <w:r>
        <w:rPr>
          <w:rFonts w:ascii="Arial" w:cs="Arial" w:eastAsia="Arial" w:hAnsi="Arial"/>
          <w:sz w:val="16"/>
          <w:szCs w:val="16"/>
          <w:color w:val="202E39"/>
        </w:rPr>
        <w:t>.  “Substitute Awards” shall mean awards granted or shares of Common Stock issued by the Company in assumption of, or in substitution or exchange for, awards previously granted, or the right or obligation to make future awards, in each case by a company acquired by the Company or any of its Subsidiaries or with which the Company or any of its Subsidiaries combines.</w:t>
      </w:r>
    </w:p>
    <w:p>
      <w:pPr>
        <w:spacing w:after="0" w:line="73" w:lineRule="exact"/>
        <w:rPr>
          <w:sz w:val="20"/>
          <w:szCs w:val="20"/>
          <w:color w:val="auto"/>
        </w:rPr>
      </w:pPr>
    </w:p>
    <w:p>
      <w:pPr>
        <w:ind w:left="260" w:right="40"/>
        <w:spacing w:after="0" w:line="244"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Consultancy</w:t>
      </w:r>
      <w:r>
        <w:rPr>
          <w:rFonts w:ascii="Arial" w:cs="Arial" w:eastAsia="Arial" w:hAnsi="Arial"/>
          <w:sz w:val="16"/>
          <w:szCs w:val="16"/>
          <w:color w:val="202E39"/>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81"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Directorship</w:t>
      </w:r>
      <w:r>
        <w:rPr>
          <w:rFonts w:ascii="Arial" w:cs="Arial" w:eastAsia="Arial" w:hAnsi="Arial"/>
          <w:sz w:val="16"/>
          <w:szCs w:val="16"/>
          <w:color w:val="202E39"/>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78" w:lineRule="exact"/>
        <w:rPr>
          <w:sz w:val="20"/>
          <w:szCs w:val="20"/>
          <w:color w:val="auto"/>
        </w:rPr>
      </w:pPr>
    </w:p>
    <w:p>
      <w:pPr>
        <w:ind w:left="260" w:right="20"/>
        <w:spacing w:after="0" w:line="242" w:lineRule="auto"/>
        <w:rPr>
          <w:sz w:val="20"/>
          <w:szCs w:val="20"/>
          <w:color w:val="auto"/>
        </w:rPr>
      </w:pPr>
      <w:r>
        <w:rPr>
          <w:rFonts w:ascii="Arial" w:cs="Arial" w:eastAsia="Arial" w:hAnsi="Arial"/>
          <w:sz w:val="16"/>
          <w:szCs w:val="16"/>
          <w:color w:val="202E39"/>
        </w:rPr>
        <w:t xml:space="preserve">1.36 </w:t>
      </w:r>
      <w:r>
        <w:rPr>
          <w:rFonts w:ascii="Arial" w:cs="Arial" w:eastAsia="Arial" w:hAnsi="Arial"/>
          <w:sz w:val="16"/>
          <w:szCs w:val="16"/>
          <w:u w:val="single" w:color="auto"/>
          <w:color w:val="202E39"/>
        </w:rPr>
        <w:t>Termination of Employment</w:t>
      </w:r>
      <w:r>
        <w:rPr>
          <w:rFonts w:ascii="Arial" w:cs="Arial" w:eastAsia="Arial" w:hAnsi="Arial"/>
          <w:sz w:val="16"/>
          <w:szCs w:val="16"/>
          <w:color w:val="202E39"/>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II. SHARES SUBJECT TO PLAN</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2.1 </w:t>
      </w:r>
      <w:r>
        <w:rPr>
          <w:rFonts w:ascii="Arial" w:cs="Arial" w:eastAsia="Arial" w:hAnsi="Arial"/>
          <w:sz w:val="16"/>
          <w:szCs w:val="16"/>
          <w:u w:val="single" w:color="auto"/>
          <w:color w:val="202E39"/>
        </w:rPr>
        <w:t>Shares Subject to Plan</w:t>
      </w:r>
      <w:r>
        <w:rPr>
          <w:rFonts w:ascii="Arial" w:cs="Arial" w:eastAsia="Arial" w:hAnsi="Arial"/>
          <w:sz w:val="16"/>
          <w:szCs w:val="16"/>
          <w:color w:val="202E39"/>
        </w:rPr>
        <w:t>.</w:t>
      </w:r>
    </w:p>
    <w:p>
      <w:pPr>
        <w:spacing w:after="0" w:line="105" w:lineRule="exact"/>
        <w:rPr>
          <w:sz w:val="20"/>
          <w:szCs w:val="20"/>
          <w:color w:val="auto"/>
        </w:rPr>
      </w:pPr>
    </w:p>
    <w:p>
      <w:pPr>
        <w:ind w:left="700" w:right="320" w:hanging="10"/>
        <w:spacing w:after="0" w:line="269" w:lineRule="auto"/>
        <w:tabs>
          <w:tab w:leader="none" w:pos="937"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The shares of stock subject to Options, awards of Restricted Stock, Performance Awards, Dividend Equivalents, awards of Restricted Stock Units, Stock Payments or Stock Appreciation Rights shall be Common Stock, initially shares</w:t>
      </w:r>
    </w:p>
    <w:p>
      <w:pPr>
        <w:spacing w:after="0" w:line="103"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A-3</w:t>
      </w:r>
    </w:p>
    <w:p>
      <w:pPr>
        <w:sectPr>
          <w:pgSz w:w="11900" w:h="16838" w:orient="portrait"/>
          <w:cols w:equalWidth="0" w:num="1">
            <w:col w:w="10980"/>
          </w:cols>
          <w:pgMar w:left="320" w:top="474" w:right="5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700"/>
        <w:spacing w:after="0" w:line="244" w:lineRule="auto"/>
        <w:rPr>
          <w:sz w:val="20"/>
          <w:szCs w:val="20"/>
          <w:color w:val="auto"/>
        </w:rPr>
      </w:pPr>
      <w:r>
        <w:rPr>
          <w:rFonts w:ascii="Arial" w:cs="Arial" w:eastAsia="Arial" w:hAnsi="Arial"/>
          <w:sz w:val="16"/>
          <w:szCs w:val="16"/>
          <w:color w:val="202E39"/>
        </w:rPr>
        <w:t>of the Company’s Common Stock, par value $0.0001 per share. Subject to Section 2.3 below, the aggregate number of such shares which may be issued upon exercise of such options or rights or upon any such awards under the Plan shall not exceed the sum of (i) 59,401,000 shares (consisting of 55,971,000 shares available for issuance under the Plan prior to the Restatement Effective Date, plus 3,430,000 shares added to the share reserve under the Plan as of the Restatement Effective Date), plus (ii) any shares subject to a RigNet Share Reserve Award granted under the Plan on or after the RigNet Closing but prior to June 8, 2022 pursuant to Section 2.3 that are recycled back into the Plan pursuant to Section 2.2 (together, the “Overall Share Limit”). The shares of Common Stock issuable upon exercise of such options or rights or upon any such awards may be either previously authorized but unissued shares or treasury shares. Notwithstanding anything to the contrary herein, no more than 59,401,000 shares of Common Stock may be issued pursuant to the exercise of Incentive Stock Options.</w:t>
      </w:r>
    </w:p>
    <w:p>
      <w:pPr>
        <w:spacing w:after="0" w:line="81" w:lineRule="exact"/>
        <w:rPr>
          <w:sz w:val="20"/>
          <w:szCs w:val="20"/>
          <w:color w:val="auto"/>
        </w:rPr>
      </w:pPr>
    </w:p>
    <w:p>
      <w:pPr>
        <w:ind w:left="700" w:right="160" w:hanging="10"/>
        <w:spacing w:after="0" w:line="263" w:lineRule="auto"/>
        <w:tabs>
          <w:tab w:leader="none" w:pos="937" w:val="left"/>
        </w:tabs>
        <w:numPr>
          <w:ilvl w:val="0"/>
          <w:numId w:val="77"/>
        </w:numPr>
        <w:rPr>
          <w:rFonts w:ascii="Arial" w:cs="Arial" w:eastAsia="Arial" w:hAnsi="Arial"/>
          <w:sz w:val="15"/>
          <w:szCs w:val="15"/>
          <w:color w:val="202E39"/>
        </w:rPr>
      </w:pPr>
      <w:r>
        <w:rPr>
          <w:rFonts w:ascii="Arial" w:cs="Arial" w:eastAsia="Arial" w:hAnsi="Arial"/>
          <w:sz w:val="15"/>
          <w:szCs w:val="15"/>
          <w:color w:val="202E39"/>
        </w:rPr>
        <w:t>Any shares subject to Options or Stock Appreciation Rights shall be counted against the Overall Share Limit as one (1) share for every share subject thereto. Any shares subject to Full Value Awards will be counted against the Overall Share Limit as two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 (or, in the case of a RigNet Share Reserve Award that was a Full Value Award, two (2) shares for each share subject to such recycled award). To the extent that a share that was subject to a RigNet Share Reserve Award that was not a Full Value Award is recycled back into the Plan under Section 2.2, the Plan will be credited with one (1) share for every share subject thereto.</w:t>
      </w:r>
    </w:p>
    <w:p>
      <w:pPr>
        <w:spacing w:after="0" w:line="70" w:lineRule="exact"/>
        <w:rPr>
          <w:rFonts w:ascii="Arial" w:cs="Arial" w:eastAsia="Arial" w:hAnsi="Arial"/>
          <w:sz w:val="15"/>
          <w:szCs w:val="15"/>
          <w:color w:val="202E39"/>
        </w:rPr>
      </w:pPr>
    </w:p>
    <w:p>
      <w:pPr>
        <w:ind w:left="700" w:right="140" w:hanging="10"/>
        <w:spacing w:after="0" w:line="254" w:lineRule="auto"/>
        <w:tabs>
          <w:tab w:leader="none" w:pos="928"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w:t>
      </w:r>
    </w:p>
    <w:p>
      <w:pPr>
        <w:spacing w:after="0" w:line="73" w:lineRule="exact"/>
        <w:rPr>
          <w:sz w:val="20"/>
          <w:szCs w:val="20"/>
          <w:color w:val="auto"/>
        </w:rPr>
      </w:pPr>
    </w:p>
    <w:p>
      <w:pPr>
        <w:ind w:left="260"/>
        <w:spacing w:after="0" w:line="257" w:lineRule="auto"/>
        <w:rPr>
          <w:sz w:val="20"/>
          <w:szCs w:val="20"/>
          <w:color w:val="auto"/>
        </w:rPr>
      </w:pPr>
      <w:r>
        <w:rPr>
          <w:rFonts w:ascii="Arial" w:cs="Arial" w:eastAsia="Arial" w:hAnsi="Arial"/>
          <w:sz w:val="15"/>
          <w:szCs w:val="15"/>
          <w:color w:val="202E39"/>
        </w:rPr>
        <w:t xml:space="preserve">2.2 </w:t>
      </w:r>
      <w:r>
        <w:rPr>
          <w:rFonts w:ascii="Arial" w:cs="Arial" w:eastAsia="Arial" w:hAnsi="Arial"/>
          <w:sz w:val="15"/>
          <w:szCs w:val="15"/>
          <w:u w:val="single" w:color="auto"/>
          <w:color w:val="202E39"/>
        </w:rPr>
        <w:t>Add-Back of Shares</w:t>
      </w:r>
      <w:r>
        <w:rPr>
          <w:rFonts w:ascii="Arial" w:cs="Arial" w:eastAsia="Arial" w:hAnsi="Arial"/>
          <w:sz w:val="15"/>
          <w:szCs w:val="15"/>
          <w:color w:val="202E39"/>
        </w:rPr>
        <w:t>.  If any award under this Plan (including any RigNet Share Reserve Award)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(or, in the case of a RigNet Share Reserve Award that was a Full Value Award, two (2) shares for each share subject to such award).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 (iii) 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(including any RigNet Share Reserve Award that is a Full Value Award) shall be available for future grants of awards under the Plan in an amount corresponding to the reduction in the share reserve previously made in accordance with Section 2.1(b) above (or, in the case of a RigNet Share Reserve Award that was a Full Value Award, two (2) shares for each share subject to such award); provided, however, that, notwithstanding the foregoing, in the event shares of Common Stock subject to any such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(or, in the case of a RigNet Share Reserve Award that was a Full Value Award, two (2) shares for each share subject to such award).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204470</wp:posOffset>
            </wp:positionV>
            <wp:extent cx="425450" cy="150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39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A-4       </w:t>
      </w:r>
    </w:p>
    <w:p>
      <w:pPr>
        <w:sectPr>
          <w:pgSz w:w="11900" w:h="16838" w:orient="portrait"/>
          <w:cols w:equalWidth="0" w:num="1">
            <w:col w:w="10980"/>
          </w:cols>
          <w:pgMar w:left="320" w:top="474" w:right="5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260" w:right="20"/>
        <w:spacing w:after="0" w:line="241" w:lineRule="auto"/>
        <w:rPr>
          <w:sz w:val="20"/>
          <w:szCs w:val="20"/>
          <w:color w:val="auto"/>
        </w:rPr>
      </w:pPr>
      <w:r>
        <w:rPr>
          <w:rFonts w:ascii="Arial" w:cs="Arial" w:eastAsia="Arial" w:hAnsi="Arial"/>
          <w:sz w:val="16"/>
          <w:szCs w:val="16"/>
          <w:color w:val="202E39"/>
        </w:rPr>
        <w:t xml:space="preserve">2.3 </w:t>
      </w:r>
      <w:r>
        <w:rPr>
          <w:rFonts w:ascii="Arial" w:cs="Arial" w:eastAsia="Arial" w:hAnsi="Arial"/>
          <w:sz w:val="16"/>
          <w:szCs w:val="16"/>
          <w:u w:val="single" w:color="auto"/>
          <w:color w:val="202E39"/>
        </w:rPr>
        <w:t>Substitute Awards</w:t>
      </w:r>
      <w:r>
        <w:rPr>
          <w:rFonts w:ascii="Arial" w:cs="Arial" w:eastAsia="Arial" w:hAnsi="Arial"/>
          <w:sz w:val="16"/>
          <w:szCs w:val="16"/>
          <w:color w:val="202E39"/>
        </w:rPr>
        <w:t>.  In connection with an entity’s merger or consolidation with the Company or any Subsidiary or the Company’s acquisition, or any Subsidiary’s acquisition, of an entity’s property or stock, the Committee may grant awards in substitution for any options or other stock or stock-based awards granted before such merger or consolidation by such entity or its affiliate. Substitute Awards may be granted on such terms as the Committee deems appropriate, notwithstanding limitations on awards in the Plan. Substitute Awards will not count against the Overall Share Limit (nor shall shares of Common Stock subject to a Substitute Award be added to the Overall Share Limit as provided above), except that shares of Common Stock acquired by exercise of substitute Incentive Stock Options will count against the maximum number of shares of Common Stock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shares of Common Stock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of the Company or any Subsidiary immediately prior to such acquisition or combination and to the extent that grants of awards using such available shares are permitted without stockholder approval under the rules of the principal securities exchange on which the Common Stock is then listed.</w:t>
      </w:r>
    </w:p>
    <w:p>
      <w:pPr>
        <w:spacing w:after="0" w:line="93" w:lineRule="exact"/>
        <w:rPr>
          <w:sz w:val="20"/>
          <w:szCs w:val="20"/>
          <w:color w:val="auto"/>
        </w:rPr>
      </w:pPr>
    </w:p>
    <w:p>
      <w:pPr>
        <w:ind w:left="260" w:right="40"/>
        <w:spacing w:after="0" w:line="260" w:lineRule="auto"/>
        <w:rPr>
          <w:sz w:val="20"/>
          <w:szCs w:val="20"/>
          <w:color w:val="auto"/>
        </w:rPr>
      </w:pPr>
      <w:r>
        <w:rPr>
          <w:rFonts w:ascii="Arial" w:cs="Arial" w:eastAsia="Arial" w:hAnsi="Arial"/>
          <w:sz w:val="15"/>
          <w:szCs w:val="15"/>
          <w:color w:val="202E39"/>
        </w:rPr>
        <w:t>In furtherance of the foregoing, a total of 242,900 shares were assumed by the Company pursuant to this Section 2.3 under the RigNet, Inc. Omnibus Incentive Plan (as adopted May 8, 2019) (the “RigNet Shares,” and such plan, the “RigNet Plan”) in connection with the closing of the Company’s acquisition of RigNet, Inc. (the “RigNet Closing”) (after appropriate adjustment of the number of shares to reflect the transaction). As of June 8, 2022, awards with respect to a total of 88,374 shares that were granted out of the RigNet Shares under the Plan in accordance with this Section 2.3 on or after the RigNet Closing but prior to June 8, 2022 (the “RigNet Share Reserve Awards”) remained outstanding under the Plan. The RigNet Share Reserve Awards did not reduce the shares of Common Stock authorized for grant under the Plan and were not granted (i) to individuals who were employed by or providing services to the Company or any of its Subsidiaries immediately prior to the closing of the Company’s acquisition of RigNet, Inc., (ii) following the tenth (10th) anniversary of the Effective Date (as defined in the RigNet Plan) of the RigNet Plan, or (iii) in any other manner that would violate the exception under Nasdaq Stock Market Rule 5635(c)(3) relied upon by the Company in connection with the assumption of the RigNet Shares and the reservation of such RigNet Shares for issuance under this Plan. Shares subject to RigNet Share Reserve Awards (whether or not subject to Full Value Awards) were counted against the total number of RigNet Shares issuable pursuant to awards under the Plan pursuant to this Section 2.3 as one share for every share subject thereto. Effective June 8, 2022, no additional RigNet Share Reserve Awards may be granted pursuant to this Section 2.3.</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III. GRANTING OF OPTIONS</w:t>
      </w:r>
    </w:p>
    <w:p>
      <w:pPr>
        <w:spacing w:after="0" w:line="108" w:lineRule="exact"/>
        <w:rPr>
          <w:sz w:val="20"/>
          <w:szCs w:val="20"/>
          <w:color w:val="auto"/>
        </w:rPr>
      </w:pPr>
    </w:p>
    <w:p>
      <w:pPr>
        <w:ind w:left="260" w:right="500"/>
        <w:spacing w:after="0" w:line="269" w:lineRule="auto"/>
        <w:rPr>
          <w:sz w:val="20"/>
          <w:szCs w:val="20"/>
          <w:color w:val="auto"/>
        </w:rPr>
      </w:pPr>
      <w:r>
        <w:rPr>
          <w:rFonts w:ascii="Arial" w:cs="Arial" w:eastAsia="Arial" w:hAnsi="Arial"/>
          <w:sz w:val="16"/>
          <w:szCs w:val="16"/>
          <w:color w:val="202E39"/>
        </w:rPr>
        <w:t xml:space="preserve">3.1 </w:t>
      </w:r>
      <w:r>
        <w:rPr>
          <w:rFonts w:ascii="Arial" w:cs="Arial" w:eastAsia="Arial" w:hAnsi="Arial"/>
          <w:sz w:val="16"/>
          <w:szCs w:val="16"/>
          <w:u w:val="single" w:color="auto"/>
          <w:color w:val="202E39"/>
        </w:rPr>
        <w:t>Eligibility</w:t>
      </w:r>
      <w:r>
        <w:rPr>
          <w:rFonts w:ascii="Arial" w:cs="Arial" w:eastAsia="Arial" w:hAnsi="Arial"/>
          <w:sz w:val="16"/>
          <w:szCs w:val="16"/>
          <w:color w:val="202E39"/>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61"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 xml:space="preserve">3.2 </w:t>
      </w:r>
      <w:r>
        <w:rPr>
          <w:rFonts w:ascii="Arial" w:cs="Arial" w:eastAsia="Arial" w:hAnsi="Arial"/>
          <w:sz w:val="16"/>
          <w:szCs w:val="16"/>
          <w:u w:val="single" w:color="auto"/>
          <w:color w:val="202E39"/>
        </w:rPr>
        <w:t>Disqualification for Stock Ownership</w:t>
      </w:r>
      <w:r>
        <w:rPr>
          <w:rFonts w:ascii="Arial" w:cs="Arial" w:eastAsia="Arial" w:hAnsi="Arial"/>
          <w:sz w:val="16"/>
          <w:szCs w:val="16"/>
          <w:color w:val="202E39"/>
        </w:rPr>
        <w:t>.  No person may be granted an Incentive Stock Option under this Plan if such person, at the time the Incentive Stock Option is granted, owns stock possessing more than ten percent (10%) of the total combined voting power of all classes of stock of the Company or any then-existing Subsidiary or parent corporation (within the meaning of Section 422 of the Code) unless such Incentive Stock Option conforms to the applicable provisions of Section 422 of the Code.</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3.3 </w:t>
      </w:r>
      <w:r>
        <w:rPr>
          <w:rFonts w:ascii="Arial" w:cs="Arial" w:eastAsia="Arial" w:hAnsi="Arial"/>
          <w:sz w:val="16"/>
          <w:szCs w:val="16"/>
          <w:u w:val="single" w:color="auto"/>
          <w:color w:val="202E39"/>
        </w:rPr>
        <w:t>Qualification of Incentive Stock Options</w:t>
      </w:r>
      <w:r>
        <w:rPr>
          <w:rFonts w:ascii="Arial" w:cs="Arial" w:eastAsia="Arial" w:hAnsi="Arial"/>
          <w:sz w:val="16"/>
          <w:szCs w:val="16"/>
          <w:color w:val="202E39"/>
        </w:rPr>
        <w:t>.   No Incentive Stock Option shall be granted to any person who is not an Employee.</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3.4 </w:t>
      </w:r>
      <w:r>
        <w:rPr>
          <w:rFonts w:ascii="Arial" w:cs="Arial" w:eastAsia="Arial" w:hAnsi="Arial"/>
          <w:sz w:val="16"/>
          <w:szCs w:val="16"/>
          <w:u w:val="single" w:color="auto"/>
          <w:color w:val="202E39"/>
        </w:rPr>
        <w:t>Granting of Options</w:t>
      </w:r>
      <w:r>
        <w:rPr>
          <w:rFonts w:ascii="Arial" w:cs="Arial" w:eastAsia="Arial" w:hAnsi="Arial"/>
          <w:sz w:val="16"/>
          <w:szCs w:val="16"/>
          <w:color w:val="202E39"/>
        </w:rPr>
        <w:t>.</w:t>
      </w:r>
    </w:p>
    <w:p>
      <w:pPr>
        <w:spacing w:after="0" w:line="105" w:lineRule="exact"/>
        <w:rPr>
          <w:sz w:val="20"/>
          <w:szCs w:val="20"/>
          <w:color w:val="auto"/>
        </w:rPr>
      </w:pPr>
    </w:p>
    <w:p>
      <w:pPr>
        <w:ind w:left="920" w:hanging="230"/>
        <w:spacing w:after="0"/>
        <w:tabs>
          <w:tab w:leader="none" w:pos="920"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The Committee shall from time to time, in its absolute discretion, and subject to applicable limitations of this Plan:</w:t>
      </w:r>
    </w:p>
    <w:p>
      <w:pPr>
        <w:spacing w:after="0" w:line="105" w:lineRule="exact"/>
        <w:rPr>
          <w:rFonts w:ascii="Arial" w:cs="Arial" w:eastAsia="Arial" w:hAnsi="Arial"/>
          <w:sz w:val="16"/>
          <w:szCs w:val="16"/>
          <w:color w:val="202E39"/>
        </w:rPr>
      </w:pPr>
    </w:p>
    <w:p>
      <w:pPr>
        <w:ind w:left="1120" w:right="60" w:hanging="1"/>
        <w:spacing w:after="0" w:line="303" w:lineRule="auto"/>
        <w:tabs>
          <w:tab w:leader="none" w:pos="1304" w:val="left"/>
        </w:tabs>
        <w:numPr>
          <w:ilvl w:val="1"/>
          <w:numId w:val="78"/>
        </w:numPr>
        <w:rPr>
          <w:rFonts w:ascii="Arial" w:cs="Arial" w:eastAsia="Arial" w:hAnsi="Arial"/>
          <w:sz w:val="15"/>
          <w:szCs w:val="15"/>
          <w:color w:val="202E39"/>
        </w:rPr>
      </w:pPr>
      <w:r>
        <w:rPr>
          <w:rFonts w:ascii="Arial" w:cs="Arial" w:eastAsia="Arial" w:hAnsi="Arial"/>
          <w:sz w:val="15"/>
          <w:szCs w:val="15"/>
          <w:color w:val="202E39"/>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37" w:lineRule="exact"/>
        <w:rPr>
          <w:rFonts w:ascii="Arial" w:cs="Arial" w:eastAsia="Arial" w:hAnsi="Arial"/>
          <w:sz w:val="15"/>
          <w:szCs w:val="15"/>
          <w:color w:val="202E39"/>
        </w:rPr>
      </w:pPr>
    </w:p>
    <w:p>
      <w:pPr>
        <w:ind w:left="1120" w:right="460" w:hanging="1"/>
        <w:spacing w:after="0" w:line="269" w:lineRule="auto"/>
        <w:tabs>
          <w:tab w:leader="none" w:pos="1339" w:val="left"/>
        </w:tabs>
        <w:numPr>
          <w:ilvl w:val="1"/>
          <w:numId w:val="78"/>
        </w:numPr>
        <w:rPr>
          <w:rFonts w:ascii="Arial" w:cs="Arial" w:eastAsia="Arial" w:hAnsi="Arial"/>
          <w:sz w:val="16"/>
          <w:szCs w:val="16"/>
          <w:color w:val="202E39"/>
        </w:rPr>
      </w:pPr>
      <w:r>
        <w:rPr>
          <w:rFonts w:ascii="Arial" w:cs="Arial" w:eastAsia="Arial" w:hAnsi="Arial"/>
          <w:sz w:val="16"/>
          <w:szCs w:val="16"/>
          <w:color w:val="202E39"/>
        </w:rPr>
        <w:t>Subject to the Award Limit, determine the number of shares to be subject to such Options granted to the selected key Employees or consultants;</w:t>
      </w:r>
    </w:p>
    <w:p>
      <w:pPr>
        <w:spacing w:after="0" w:line="103"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A-5</w:t>
      </w:r>
    </w:p>
    <w:p>
      <w:pPr>
        <w:sectPr>
          <w:pgSz w:w="11900" w:h="16838" w:orient="portrait"/>
          <w:cols w:equalWidth="0" w:num="1">
            <w:col w:w="10980"/>
          </w:cols>
          <w:pgMar w:left="320" w:top="474" w:right="5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1380" w:hanging="261"/>
        <w:spacing w:after="0"/>
        <w:tabs>
          <w:tab w:leader="none" w:pos="1380"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Subject to Section 3.3, determine whether such Options are to be Incentive Stock Options or Non-Qualified Stock Options; and</w:t>
      </w:r>
    </w:p>
    <w:p>
      <w:pPr>
        <w:spacing w:after="0" w:line="105" w:lineRule="exact"/>
        <w:rPr>
          <w:rFonts w:ascii="Arial" w:cs="Arial" w:eastAsia="Arial" w:hAnsi="Arial"/>
          <w:sz w:val="16"/>
          <w:szCs w:val="16"/>
          <w:color w:val="202E39"/>
        </w:rPr>
      </w:pPr>
    </w:p>
    <w:p>
      <w:pPr>
        <w:ind w:left="1380" w:hanging="261"/>
        <w:spacing w:after="0"/>
        <w:tabs>
          <w:tab w:leader="none" w:pos="1380"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Determine the terms and conditions of such Options, consistent with this Plan.</w:t>
      </w:r>
    </w:p>
    <w:p>
      <w:pPr>
        <w:spacing w:after="0" w:line="105" w:lineRule="exact"/>
        <w:rPr>
          <w:rFonts w:ascii="Arial" w:cs="Arial" w:eastAsia="Arial" w:hAnsi="Arial"/>
          <w:sz w:val="16"/>
          <w:szCs w:val="16"/>
          <w:color w:val="202E39"/>
        </w:rPr>
      </w:pPr>
    </w:p>
    <w:p>
      <w:pPr>
        <w:ind w:left="700" w:hanging="10"/>
        <w:spacing w:after="0" w:line="242" w:lineRule="auto"/>
        <w:tabs>
          <w:tab w:leader="none" w:pos="937"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85" w:lineRule="exact"/>
        <w:rPr>
          <w:rFonts w:ascii="Arial" w:cs="Arial" w:eastAsia="Arial" w:hAnsi="Arial"/>
          <w:sz w:val="16"/>
          <w:szCs w:val="16"/>
          <w:color w:val="202E39"/>
        </w:rPr>
      </w:pPr>
    </w:p>
    <w:p>
      <w:pPr>
        <w:ind w:left="700" w:right="60" w:hanging="10"/>
        <w:spacing w:after="0" w:line="269" w:lineRule="auto"/>
        <w:tabs>
          <w:tab w:leader="none" w:pos="928"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Any Incentive Stock Option granted under this Plan may be modified by the Committee to disqualify such option from treatment as an “incentive stock option” under Section 422 of the Code.</w:t>
      </w:r>
    </w:p>
    <w:p>
      <w:pPr>
        <w:spacing w:after="0" w:line="60" w:lineRule="exact"/>
        <w:rPr>
          <w:rFonts w:ascii="Arial" w:cs="Arial" w:eastAsia="Arial" w:hAnsi="Arial"/>
          <w:sz w:val="16"/>
          <w:szCs w:val="16"/>
          <w:color w:val="202E39"/>
        </w:rPr>
      </w:pPr>
    </w:p>
    <w:p>
      <w:pPr>
        <w:ind w:left="700" w:hanging="10"/>
        <w:spacing w:after="0" w:line="242" w:lineRule="auto"/>
        <w:tabs>
          <w:tab w:leader="none" w:pos="937"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In addition, all Options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IV. TERMS OF OPTIONS</w:t>
      </w:r>
    </w:p>
    <w:p>
      <w:pPr>
        <w:spacing w:after="0" w:line="108" w:lineRule="exact"/>
        <w:rPr>
          <w:sz w:val="20"/>
          <w:szCs w:val="20"/>
          <w:color w:val="auto"/>
        </w:rPr>
      </w:pPr>
    </w:p>
    <w:p>
      <w:pPr>
        <w:ind w:left="260" w:right="120"/>
        <w:spacing w:after="0" w:line="249" w:lineRule="auto"/>
        <w:rPr>
          <w:sz w:val="20"/>
          <w:szCs w:val="20"/>
          <w:color w:val="auto"/>
        </w:rPr>
      </w:pPr>
      <w:r>
        <w:rPr>
          <w:rFonts w:ascii="Arial" w:cs="Arial" w:eastAsia="Arial" w:hAnsi="Arial"/>
          <w:sz w:val="16"/>
          <w:szCs w:val="16"/>
          <w:color w:val="202E39"/>
        </w:rPr>
        <w:t xml:space="preserve">4.1 </w:t>
      </w:r>
      <w:r>
        <w:rPr>
          <w:rFonts w:ascii="Arial" w:cs="Arial" w:eastAsia="Arial" w:hAnsi="Arial"/>
          <w:sz w:val="16"/>
          <w:szCs w:val="16"/>
          <w:u w:val="single" w:color="auto"/>
          <w:color w:val="202E39"/>
        </w:rPr>
        <w:t>Option Agreement</w:t>
      </w:r>
      <w:r>
        <w:rPr>
          <w:rFonts w:ascii="Arial" w:cs="Arial" w:eastAsia="Arial" w:hAnsi="Arial"/>
          <w:sz w:val="16"/>
          <w:szCs w:val="16"/>
          <w:color w:val="202E39"/>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w:t>
      </w:r>
    </w:p>
    <w:p>
      <w:pPr>
        <w:spacing w:after="0" w:line="78" w:lineRule="exact"/>
        <w:rPr>
          <w:sz w:val="20"/>
          <w:szCs w:val="20"/>
          <w:color w:val="auto"/>
        </w:rPr>
      </w:pPr>
    </w:p>
    <w:p>
      <w:pPr>
        <w:ind w:left="260" w:right="100"/>
        <w:spacing w:after="0" w:line="245" w:lineRule="auto"/>
        <w:rPr>
          <w:sz w:val="20"/>
          <w:szCs w:val="20"/>
          <w:color w:val="auto"/>
        </w:rPr>
      </w:pPr>
      <w:r>
        <w:rPr>
          <w:rFonts w:ascii="Arial" w:cs="Arial" w:eastAsia="Arial" w:hAnsi="Arial"/>
          <w:sz w:val="16"/>
          <w:szCs w:val="16"/>
          <w:color w:val="202E39"/>
        </w:rPr>
        <w:t xml:space="preserve">4.2 </w:t>
      </w:r>
      <w:r>
        <w:rPr>
          <w:rFonts w:ascii="Arial" w:cs="Arial" w:eastAsia="Arial" w:hAnsi="Arial"/>
          <w:sz w:val="16"/>
          <w:szCs w:val="16"/>
          <w:u w:val="single" w:color="auto"/>
          <w:color w:val="202E39"/>
        </w:rPr>
        <w:t>Option Price</w:t>
      </w:r>
      <w:r>
        <w:rPr>
          <w:rFonts w:ascii="Arial" w:cs="Arial" w:eastAsia="Arial" w:hAnsi="Arial"/>
          <w:sz w:val="16"/>
          <w:szCs w:val="16"/>
          <w:color w:val="202E39"/>
        </w:rPr>
        <w:t xml:space="preserve">.  The price per share of the shares subject to each Option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w:t>
      </w:r>
    </w:p>
    <w:p>
      <w:pPr>
        <w:spacing w:after="0" w:line="82" w:lineRule="exact"/>
        <w:rPr>
          <w:sz w:val="20"/>
          <w:szCs w:val="20"/>
          <w:color w:val="auto"/>
        </w:rPr>
      </w:pPr>
    </w:p>
    <w:p>
      <w:pPr>
        <w:ind w:left="260" w:right="120"/>
        <w:spacing w:after="0" w:line="254" w:lineRule="auto"/>
        <w:rPr>
          <w:sz w:val="20"/>
          <w:szCs w:val="20"/>
          <w:color w:val="auto"/>
        </w:rPr>
      </w:pPr>
      <w:r>
        <w:rPr>
          <w:rFonts w:ascii="Arial" w:cs="Arial" w:eastAsia="Arial" w:hAnsi="Arial"/>
          <w:sz w:val="16"/>
          <w:szCs w:val="16"/>
          <w:color w:val="202E39"/>
        </w:rPr>
        <w:t xml:space="preserve">4.3 </w:t>
      </w:r>
      <w:r>
        <w:rPr>
          <w:rFonts w:ascii="Arial" w:cs="Arial" w:eastAsia="Arial" w:hAnsi="Arial"/>
          <w:sz w:val="16"/>
          <w:szCs w:val="16"/>
          <w:u w:val="single" w:color="auto"/>
          <w:color w:val="202E39"/>
        </w:rPr>
        <w:t>Option Term</w:t>
      </w:r>
      <w:r>
        <w:rPr>
          <w:rFonts w:ascii="Arial" w:cs="Arial" w:eastAsia="Arial" w:hAnsi="Arial"/>
          <w:sz w:val="16"/>
          <w:szCs w:val="16"/>
          <w:color w:val="202E39"/>
        </w:rPr>
        <w:t xml:space="preserve">.  The term of an Option shall be set by the Committee in its discretion;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no Option shall have a term longer than six (6) years from the date the Option is granted and in the case of Incentive Stock Options granted to an individual then owning (within the meaning of Section 424(d) of the Code) more than ten percent (10%)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79375</wp:posOffset>
            </wp:positionV>
            <wp:extent cx="425450" cy="150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A-6       </w:t>
      </w:r>
    </w:p>
    <w:p>
      <w:pPr>
        <w:sectPr>
          <w:pgSz w:w="11900" w:h="16838" w:orient="portrait"/>
          <w:cols w:equalWidth="0" w:num="1">
            <w:col w:w="10980"/>
          </w:cols>
          <w:pgMar w:left="320" w:top="474" w:right="5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260" w:right="80"/>
        <w:spacing w:after="0" w:line="247" w:lineRule="auto"/>
        <w:rPr>
          <w:sz w:val="20"/>
          <w:szCs w:val="20"/>
          <w:color w:val="auto"/>
        </w:rPr>
      </w:pPr>
      <w:r>
        <w:rPr>
          <w:rFonts w:ascii="Arial" w:cs="Arial" w:eastAsia="Arial" w:hAnsi="Arial"/>
          <w:sz w:val="16"/>
          <w:szCs w:val="16"/>
          <w:color w:val="202E39"/>
        </w:rPr>
        <w:t>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4.4 </w:t>
      </w:r>
      <w:r>
        <w:rPr>
          <w:rFonts w:ascii="Arial" w:cs="Arial" w:eastAsia="Arial" w:hAnsi="Arial"/>
          <w:sz w:val="16"/>
          <w:szCs w:val="16"/>
          <w:u w:val="single" w:color="auto"/>
          <w:color w:val="202E39"/>
        </w:rPr>
        <w:t>Option Vesting</w:t>
      </w:r>
      <w:r>
        <w:rPr>
          <w:rFonts w:ascii="Arial" w:cs="Arial" w:eastAsia="Arial" w:hAnsi="Arial"/>
          <w:sz w:val="16"/>
          <w:szCs w:val="16"/>
          <w:color w:val="202E39"/>
        </w:rPr>
        <w:t>.</w:t>
      </w:r>
    </w:p>
    <w:p>
      <w:pPr>
        <w:spacing w:after="0" w:line="105" w:lineRule="exact"/>
        <w:rPr>
          <w:sz w:val="20"/>
          <w:szCs w:val="20"/>
          <w:color w:val="auto"/>
        </w:rPr>
      </w:pPr>
    </w:p>
    <w:p>
      <w:pPr>
        <w:ind w:left="700" w:right="40" w:hanging="10"/>
        <w:spacing w:after="0" w:line="249" w:lineRule="auto"/>
        <w:tabs>
          <w:tab w:leader="none" w:pos="937"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77" w:lineRule="exact"/>
        <w:rPr>
          <w:rFonts w:ascii="Arial" w:cs="Arial" w:eastAsia="Arial" w:hAnsi="Arial"/>
          <w:sz w:val="16"/>
          <w:szCs w:val="16"/>
          <w:color w:val="202E39"/>
        </w:rPr>
      </w:pPr>
    </w:p>
    <w:p>
      <w:pPr>
        <w:ind w:left="700" w:right="100" w:hanging="10"/>
        <w:spacing w:after="0" w:line="249" w:lineRule="auto"/>
        <w:tabs>
          <w:tab w:leader="none" w:pos="937"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77" w:lineRule="exact"/>
        <w:rPr>
          <w:rFonts w:ascii="Arial" w:cs="Arial" w:eastAsia="Arial" w:hAnsi="Arial"/>
          <w:sz w:val="16"/>
          <w:szCs w:val="16"/>
          <w:color w:val="202E39"/>
        </w:rPr>
      </w:pPr>
    </w:p>
    <w:p>
      <w:pPr>
        <w:ind w:left="700" w:right="80" w:hanging="10"/>
        <w:spacing w:after="0" w:line="245" w:lineRule="auto"/>
        <w:tabs>
          <w:tab w:leader="none" w:pos="928"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Stock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82" w:lineRule="exact"/>
        <w:rPr>
          <w:sz w:val="20"/>
          <w:szCs w:val="20"/>
          <w:color w:val="auto"/>
        </w:rPr>
      </w:pPr>
    </w:p>
    <w:p>
      <w:pPr>
        <w:ind w:left="260" w:right="120"/>
        <w:spacing w:after="0" w:line="244" w:lineRule="auto"/>
        <w:rPr>
          <w:sz w:val="20"/>
          <w:szCs w:val="20"/>
          <w:color w:val="auto"/>
        </w:rPr>
      </w:pPr>
      <w:r>
        <w:rPr>
          <w:rFonts w:ascii="Arial" w:cs="Arial" w:eastAsia="Arial" w:hAnsi="Arial"/>
          <w:sz w:val="16"/>
          <w:szCs w:val="16"/>
          <w:color w:val="202E39"/>
        </w:rPr>
        <w:t xml:space="preserve">4.5 </w:t>
      </w:r>
      <w:r>
        <w:rPr>
          <w:rFonts w:ascii="Arial" w:cs="Arial" w:eastAsia="Arial" w:hAnsi="Arial"/>
          <w:sz w:val="16"/>
          <w:szCs w:val="16"/>
          <w:u w:val="single" w:color="auto"/>
          <w:color w:val="202E39"/>
        </w:rPr>
        <w:t>Consideration</w:t>
      </w:r>
      <w:r>
        <w:rPr>
          <w:rFonts w:ascii="Arial" w:cs="Arial" w:eastAsia="Arial" w:hAnsi="Arial"/>
          <w:sz w:val="16"/>
          <w:szCs w:val="16"/>
          <w:color w:val="202E39"/>
        </w:rPr>
        <w:t>. 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V. EXERCISE OF OPTIONS</w:t>
      </w:r>
    </w:p>
    <w:p>
      <w:pPr>
        <w:spacing w:after="0" w:line="108" w:lineRule="exact"/>
        <w:rPr>
          <w:sz w:val="20"/>
          <w:szCs w:val="20"/>
          <w:color w:val="auto"/>
        </w:rPr>
      </w:pPr>
    </w:p>
    <w:p>
      <w:pPr>
        <w:jc w:val="both"/>
        <w:ind w:left="260" w:right="140"/>
        <w:spacing w:after="0" w:line="254" w:lineRule="auto"/>
        <w:rPr>
          <w:sz w:val="20"/>
          <w:szCs w:val="20"/>
          <w:color w:val="auto"/>
        </w:rPr>
      </w:pPr>
      <w:r>
        <w:rPr>
          <w:rFonts w:ascii="Arial" w:cs="Arial" w:eastAsia="Arial" w:hAnsi="Arial"/>
          <w:sz w:val="16"/>
          <w:szCs w:val="16"/>
          <w:color w:val="202E39"/>
        </w:rPr>
        <w:t xml:space="preserve">5.1 </w:t>
      </w:r>
      <w:r>
        <w:rPr>
          <w:rFonts w:ascii="Arial" w:cs="Arial" w:eastAsia="Arial" w:hAnsi="Arial"/>
          <w:sz w:val="16"/>
          <w:szCs w:val="16"/>
          <w:u w:val="single" w:color="auto"/>
          <w:color w:val="202E39"/>
        </w:rPr>
        <w:t>Partial Exercise</w:t>
      </w:r>
      <w:r>
        <w:rPr>
          <w:rFonts w:ascii="Arial" w:cs="Arial" w:eastAsia="Arial" w:hAnsi="Arial"/>
          <w:sz w:val="16"/>
          <w:szCs w:val="16"/>
          <w:color w:val="202E39"/>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5"/>
          <w:szCs w:val="15"/>
          <w:color w:val="202E39"/>
        </w:rPr>
        <w:t xml:space="preserve">5.2 </w:t>
      </w:r>
      <w:r>
        <w:rPr>
          <w:rFonts w:ascii="Arial" w:cs="Arial" w:eastAsia="Arial" w:hAnsi="Arial"/>
          <w:sz w:val="15"/>
          <w:szCs w:val="15"/>
          <w:u w:val="single" w:color="auto"/>
          <w:color w:val="202E39"/>
        </w:rPr>
        <w:t>Manner of Exercise</w:t>
      </w:r>
      <w:r>
        <w:rPr>
          <w:rFonts w:ascii="Arial" w:cs="Arial" w:eastAsia="Arial" w:hAnsi="Arial"/>
          <w:sz w:val="15"/>
          <w:szCs w:val="15"/>
          <w:i w:val="1"/>
          <w:iCs w:val="1"/>
          <w:color w:val="202E39"/>
        </w:rPr>
        <w:t>. </w:t>
      </w:r>
      <w:r>
        <w:rPr>
          <w:rFonts w:ascii="Arial" w:cs="Arial" w:eastAsia="Arial" w:hAnsi="Arial"/>
          <w:sz w:val="15"/>
          <w:szCs w:val="15"/>
          <w:color w:val="202E39"/>
        </w:rPr>
        <w:t xml:space="preserve">  All or a portion of an exercisable Option shall be deemed exercised upon delivery of all of the following to the Secretary of the</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Company or his office:</w:t>
      </w:r>
    </w:p>
    <w:p>
      <w:pPr>
        <w:spacing w:after="0" w:line="91" w:lineRule="exact"/>
        <w:rPr>
          <w:sz w:val="20"/>
          <w:szCs w:val="20"/>
          <w:color w:val="auto"/>
        </w:rPr>
      </w:pPr>
    </w:p>
    <w:p>
      <w:pPr>
        <w:ind w:left="700" w:right="120" w:hanging="10"/>
        <w:spacing w:after="0" w:line="254" w:lineRule="auto"/>
        <w:tabs>
          <w:tab w:leader="none" w:pos="937"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73" w:lineRule="exact"/>
        <w:rPr>
          <w:rFonts w:ascii="Arial" w:cs="Arial" w:eastAsia="Arial" w:hAnsi="Arial"/>
          <w:sz w:val="16"/>
          <w:szCs w:val="16"/>
          <w:color w:val="202E39"/>
        </w:rPr>
      </w:pPr>
    </w:p>
    <w:p>
      <w:pPr>
        <w:ind w:left="700" w:right="60" w:hanging="10"/>
        <w:spacing w:after="0" w:line="247" w:lineRule="auto"/>
        <w:tabs>
          <w:tab w:leader="none" w:pos="937"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78" w:lineRule="exact"/>
        <w:rPr>
          <w:rFonts w:ascii="Arial" w:cs="Arial" w:eastAsia="Arial" w:hAnsi="Arial"/>
          <w:sz w:val="16"/>
          <w:szCs w:val="16"/>
          <w:color w:val="202E39"/>
        </w:rPr>
      </w:pPr>
    </w:p>
    <w:p>
      <w:pPr>
        <w:ind w:left="700" w:right="120" w:hanging="10"/>
        <w:spacing w:after="0" w:line="269" w:lineRule="auto"/>
        <w:tabs>
          <w:tab w:leader="none" w:pos="928"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In the event that the Option shall be exercised pursuant to Section 10.1 by any person or persons other than the Optionee, appropriate proof of the right of such person or persons to exercise the Option; and</w:t>
      </w:r>
    </w:p>
    <w:p>
      <w:pPr>
        <w:spacing w:after="0" w:line="60" w:lineRule="exact"/>
        <w:rPr>
          <w:rFonts w:ascii="Arial" w:cs="Arial" w:eastAsia="Arial" w:hAnsi="Arial"/>
          <w:sz w:val="16"/>
          <w:szCs w:val="16"/>
          <w:color w:val="202E39"/>
        </w:rPr>
      </w:pPr>
    </w:p>
    <w:p>
      <w:pPr>
        <w:ind w:left="700" w:right="40" w:hanging="10"/>
        <w:spacing w:after="0" w:line="254" w:lineRule="auto"/>
        <w:tabs>
          <w:tab w:leader="none" w:pos="937"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w:t>
      </w:r>
    </w:p>
    <w:p>
      <w:pPr>
        <w:spacing w:after="0" w:line="115"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A-7</w:t>
      </w:r>
    </w:p>
    <w:p>
      <w:pPr>
        <w:sectPr>
          <w:pgSz w:w="11900" w:h="16838" w:orient="portrait"/>
          <w:cols w:equalWidth="0" w:num="1">
            <w:col w:w="10980"/>
          </w:cols>
          <w:pgMar w:left="320" w:top="474" w:right="5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700" w:right="40" w:hanging="10"/>
        <w:spacing w:after="0" w:line="242" w:lineRule="auto"/>
        <w:tabs>
          <w:tab w:leader="none" w:pos="919" w:val="left"/>
        </w:tabs>
        <w:numPr>
          <w:ilvl w:val="0"/>
          <w:numId w:val="83"/>
        </w:numPr>
        <w:rPr>
          <w:rFonts w:ascii="Arial" w:cs="Arial" w:eastAsia="Arial" w:hAnsi="Arial"/>
          <w:sz w:val="16"/>
          <w:szCs w:val="16"/>
          <w:color w:val="202E39"/>
        </w:rPr>
      </w:pPr>
      <w:r>
        <w:rPr>
          <w:rFonts w:ascii="Arial" w:cs="Arial" w:eastAsia="Arial" w:hAnsi="Arial"/>
          <w:sz w:val="16"/>
          <w:szCs w:val="16"/>
          <w:color w:val="202E39"/>
        </w:rPr>
        <w:t>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84"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color w:val="202E39"/>
        </w:rPr>
        <w:t xml:space="preserve">5.3 </w:t>
      </w:r>
      <w:r>
        <w:rPr>
          <w:rFonts w:ascii="Arial" w:cs="Arial" w:eastAsia="Arial" w:hAnsi="Arial"/>
          <w:sz w:val="16"/>
          <w:szCs w:val="16"/>
          <w:u w:val="single" w:color="auto"/>
          <w:color w:val="202E39"/>
        </w:rPr>
        <w:t>Conditions to Issuance of Shares</w:t>
      </w:r>
      <w:r>
        <w:rPr>
          <w:rFonts w:ascii="Arial" w:cs="Arial" w:eastAsia="Arial" w:hAnsi="Arial"/>
          <w:sz w:val="16"/>
          <w:szCs w:val="16"/>
          <w:i w:val="1"/>
          <w:iCs w:val="1"/>
          <w:color w:val="202E39"/>
        </w:rPr>
        <w:t>. </w:t>
      </w:r>
      <w:r>
        <w:rPr>
          <w:rFonts w:ascii="Arial" w:cs="Arial" w:eastAsia="Arial" w:hAnsi="Arial"/>
          <w:sz w:val="16"/>
          <w:szCs w:val="16"/>
          <w:color w:val="202E39"/>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61" w:lineRule="exact"/>
        <w:rPr>
          <w:sz w:val="20"/>
          <w:szCs w:val="20"/>
          <w:color w:val="auto"/>
        </w:rPr>
      </w:pPr>
    </w:p>
    <w:p>
      <w:pPr>
        <w:ind w:left="920" w:hanging="230"/>
        <w:spacing w:after="0"/>
        <w:tabs>
          <w:tab w:leader="none" w:pos="92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on which such class of stock is then listed;</w:t>
      </w:r>
    </w:p>
    <w:p>
      <w:pPr>
        <w:spacing w:after="0" w:line="105" w:lineRule="exact"/>
        <w:rPr>
          <w:rFonts w:ascii="Arial" w:cs="Arial" w:eastAsia="Arial" w:hAnsi="Arial"/>
          <w:sz w:val="16"/>
          <w:szCs w:val="16"/>
          <w:color w:val="202E39"/>
        </w:rPr>
      </w:pPr>
    </w:p>
    <w:p>
      <w:pPr>
        <w:ind w:left="700" w:right="140" w:hanging="10"/>
        <w:spacing w:after="0" w:line="254" w:lineRule="auto"/>
        <w:tabs>
          <w:tab w:leader="none" w:pos="937"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73" w:lineRule="exact"/>
        <w:rPr>
          <w:rFonts w:ascii="Arial" w:cs="Arial" w:eastAsia="Arial" w:hAnsi="Arial"/>
          <w:sz w:val="16"/>
          <w:szCs w:val="16"/>
          <w:color w:val="202E39"/>
        </w:rPr>
      </w:pPr>
    </w:p>
    <w:p>
      <w:pPr>
        <w:ind w:left="700" w:right="120" w:hanging="10"/>
        <w:spacing w:after="0" w:line="269" w:lineRule="auto"/>
        <w:tabs>
          <w:tab w:leader="none" w:pos="928"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60" w:lineRule="exact"/>
        <w:rPr>
          <w:rFonts w:ascii="Arial" w:cs="Arial" w:eastAsia="Arial" w:hAnsi="Arial"/>
          <w:sz w:val="16"/>
          <w:szCs w:val="16"/>
          <w:color w:val="202E39"/>
        </w:rPr>
      </w:pPr>
    </w:p>
    <w:p>
      <w:pPr>
        <w:ind w:left="700" w:right="140" w:hanging="10"/>
        <w:spacing w:after="0" w:line="269" w:lineRule="auto"/>
        <w:tabs>
          <w:tab w:leader="none" w:pos="937"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60" w:lineRule="exact"/>
        <w:rPr>
          <w:rFonts w:ascii="Arial" w:cs="Arial" w:eastAsia="Arial" w:hAnsi="Arial"/>
          <w:sz w:val="16"/>
          <w:szCs w:val="16"/>
          <w:color w:val="202E39"/>
        </w:rPr>
      </w:pPr>
    </w:p>
    <w:p>
      <w:pPr>
        <w:ind w:left="920" w:hanging="230"/>
        <w:spacing w:after="0"/>
        <w:tabs>
          <w:tab w:leader="none" w:pos="92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The receipt by the Company of full payment for such shares, including payment of any applicable withholding tax.</w:t>
      </w:r>
    </w:p>
    <w:p>
      <w:pPr>
        <w:spacing w:after="0" w:line="105" w:lineRule="exact"/>
        <w:rPr>
          <w:sz w:val="20"/>
          <w:szCs w:val="20"/>
          <w:color w:val="auto"/>
        </w:rPr>
      </w:pPr>
    </w:p>
    <w:p>
      <w:pPr>
        <w:ind w:left="260" w:right="20"/>
        <w:spacing w:after="0" w:line="249" w:lineRule="auto"/>
        <w:rPr>
          <w:sz w:val="20"/>
          <w:szCs w:val="20"/>
          <w:color w:val="auto"/>
        </w:rPr>
      </w:pPr>
      <w:r>
        <w:rPr>
          <w:rFonts w:ascii="Arial" w:cs="Arial" w:eastAsia="Arial" w:hAnsi="Arial"/>
          <w:sz w:val="16"/>
          <w:szCs w:val="16"/>
          <w:color w:val="202E39"/>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78" w:lineRule="exact"/>
        <w:rPr>
          <w:sz w:val="20"/>
          <w:szCs w:val="20"/>
          <w:color w:val="auto"/>
        </w:rPr>
      </w:pPr>
    </w:p>
    <w:p>
      <w:pPr>
        <w:ind w:left="260" w:right="220"/>
        <w:spacing w:after="0" w:line="254" w:lineRule="auto"/>
        <w:rPr>
          <w:sz w:val="20"/>
          <w:szCs w:val="20"/>
          <w:color w:val="auto"/>
        </w:rPr>
      </w:pPr>
      <w:r>
        <w:rPr>
          <w:rFonts w:ascii="Arial" w:cs="Arial" w:eastAsia="Arial" w:hAnsi="Arial"/>
          <w:sz w:val="16"/>
          <w:szCs w:val="16"/>
          <w:color w:val="202E39"/>
        </w:rPr>
        <w:t xml:space="preserve">5.4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73" w:lineRule="exact"/>
        <w:rPr>
          <w:sz w:val="20"/>
          <w:szCs w:val="20"/>
          <w:color w:val="auto"/>
        </w:rPr>
      </w:pPr>
    </w:p>
    <w:p>
      <w:pPr>
        <w:ind w:left="260"/>
        <w:spacing w:after="0" w:line="244" w:lineRule="auto"/>
        <w:rPr>
          <w:sz w:val="20"/>
          <w:szCs w:val="20"/>
          <w:color w:val="auto"/>
        </w:rPr>
      </w:pPr>
      <w:r>
        <w:rPr>
          <w:rFonts w:ascii="Arial" w:cs="Arial" w:eastAsia="Arial" w:hAnsi="Arial"/>
          <w:sz w:val="16"/>
          <w:szCs w:val="16"/>
          <w:color w:val="202E39"/>
        </w:rPr>
        <w:t xml:space="preserve">5.5 </w:t>
      </w:r>
      <w:r>
        <w:rPr>
          <w:rFonts w:ascii="Arial" w:cs="Arial" w:eastAsia="Arial" w:hAnsi="Arial"/>
          <w:sz w:val="16"/>
          <w:szCs w:val="16"/>
          <w:u w:val="single" w:color="auto"/>
          <w:color w:val="202E39"/>
        </w:rPr>
        <w:t>Ownership and Transfer Restrictions</w:t>
      </w:r>
      <w:r>
        <w:rPr>
          <w:rFonts w:ascii="Arial" w:cs="Arial" w:eastAsia="Arial" w:hAnsi="Arial"/>
          <w:sz w:val="16"/>
          <w:szCs w:val="16"/>
          <w:color w:val="202E39"/>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84" w:lineRule="exact"/>
        <w:rPr>
          <w:sz w:val="20"/>
          <w:szCs w:val="20"/>
          <w:color w:val="auto"/>
        </w:rPr>
      </w:pPr>
    </w:p>
    <w:p>
      <w:pPr>
        <w:ind w:left="260" w:right="60"/>
        <w:spacing w:after="0" w:line="269" w:lineRule="auto"/>
        <w:rPr>
          <w:sz w:val="20"/>
          <w:szCs w:val="20"/>
          <w:color w:val="auto"/>
        </w:rPr>
      </w:pPr>
      <w:r>
        <w:rPr>
          <w:rFonts w:ascii="Arial" w:cs="Arial" w:eastAsia="Arial" w:hAnsi="Arial"/>
          <w:sz w:val="16"/>
          <w:szCs w:val="16"/>
          <w:color w:val="202E39"/>
        </w:rPr>
        <w:t xml:space="preserve">5.6 </w:t>
      </w:r>
      <w:r>
        <w:rPr>
          <w:rFonts w:ascii="Arial" w:cs="Arial" w:eastAsia="Arial" w:hAnsi="Arial"/>
          <w:sz w:val="16"/>
          <w:szCs w:val="16"/>
          <w:u w:val="single" w:color="auto"/>
          <w:color w:val="202E39"/>
        </w:rPr>
        <w:t>Limitations on Exercise of Options Granted to Independent Directors</w:t>
      </w:r>
      <w:r>
        <w:rPr>
          <w:rFonts w:ascii="Arial" w:cs="Arial" w:eastAsia="Arial" w:hAnsi="Arial"/>
          <w:sz w:val="16"/>
          <w:szCs w:val="16"/>
          <w:color w:val="202E39"/>
        </w:rPr>
        <w:t>.  No Option granted to an Independent Director may be exercised to any extent by anyone after the first to occur of the following events:</w:t>
      </w:r>
    </w:p>
    <w:p>
      <w:pPr>
        <w:spacing w:after="0" w:line="61" w:lineRule="exact"/>
        <w:rPr>
          <w:sz w:val="20"/>
          <w:szCs w:val="20"/>
          <w:color w:val="auto"/>
        </w:rPr>
      </w:pPr>
    </w:p>
    <w:p>
      <w:pPr>
        <w:ind w:left="920" w:hanging="230"/>
        <w:spacing w:after="0"/>
        <w:tabs>
          <w:tab w:leader="none" w:pos="920" w:val="left"/>
        </w:tabs>
        <w:numPr>
          <w:ilvl w:val="0"/>
          <w:numId w:val="85"/>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death;</w:t>
      </w:r>
    </w:p>
    <w:p>
      <w:pPr>
        <w:spacing w:after="0" w:line="105" w:lineRule="exact"/>
        <w:rPr>
          <w:rFonts w:ascii="Arial" w:cs="Arial" w:eastAsia="Arial" w:hAnsi="Arial"/>
          <w:sz w:val="16"/>
          <w:szCs w:val="16"/>
          <w:color w:val="202E39"/>
        </w:rPr>
      </w:pPr>
    </w:p>
    <w:p>
      <w:pPr>
        <w:ind w:left="700" w:right="160" w:hanging="10"/>
        <w:spacing w:after="0" w:line="269" w:lineRule="auto"/>
        <w:tabs>
          <w:tab w:leader="none" w:pos="937" w:val="left"/>
        </w:tabs>
        <w:numPr>
          <w:ilvl w:val="0"/>
          <w:numId w:val="85"/>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71120</wp:posOffset>
            </wp:positionV>
            <wp:extent cx="425450" cy="150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A-8       </w:t>
      </w:r>
    </w:p>
    <w:p>
      <w:pPr>
        <w:sectPr>
          <w:pgSz w:w="11900" w:h="16838" w:orient="portrait"/>
          <w:cols w:equalWidth="0" w:num="1">
            <w:col w:w="10980"/>
          </w:cols>
          <w:pgMar w:left="320" w:top="474" w:right="5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39" w:lineRule="exact"/>
        <w:rPr>
          <w:sz w:val="20"/>
          <w:szCs w:val="20"/>
          <w:color w:val="auto"/>
        </w:rPr>
      </w:pPr>
    </w:p>
    <w:p>
      <w:pPr>
        <w:ind w:left="700" w:right="840" w:hanging="10"/>
        <w:spacing w:after="0" w:line="269" w:lineRule="auto"/>
        <w:tabs>
          <w:tab w:leader="none" w:pos="928" w:val="left"/>
        </w:tabs>
        <w:numPr>
          <w:ilvl w:val="0"/>
          <w:numId w:val="86"/>
        </w:numPr>
        <w:rPr>
          <w:rFonts w:ascii="Arial" w:cs="Arial" w:eastAsia="Arial" w:hAnsi="Arial"/>
          <w:sz w:val="16"/>
          <w:szCs w:val="16"/>
          <w:color w:val="202E39"/>
        </w:rPr>
      </w:pPr>
      <w:r>
        <w:rPr>
          <w:rFonts w:ascii="Arial" w:cs="Arial" w:eastAsia="Arial" w:hAnsi="Arial"/>
          <w:sz w:val="16"/>
          <w:szCs w:val="16"/>
          <w:color w:val="202E39"/>
        </w:rPr>
        <w:t>The expiration of three (3) months from the last to occur of the Optionee’s Termination of Directorship, Termination of Consultancy or Termination of Employment, unless the Optionee dies within said three-month period; or</w:t>
      </w:r>
    </w:p>
    <w:p>
      <w:pPr>
        <w:spacing w:after="0" w:line="60" w:lineRule="exact"/>
        <w:rPr>
          <w:rFonts w:ascii="Arial" w:cs="Arial" w:eastAsia="Arial" w:hAnsi="Arial"/>
          <w:sz w:val="16"/>
          <w:szCs w:val="16"/>
          <w:color w:val="202E39"/>
        </w:rPr>
      </w:pPr>
    </w:p>
    <w:p>
      <w:pPr>
        <w:ind w:left="920" w:hanging="230"/>
        <w:spacing w:after="0"/>
        <w:tabs>
          <w:tab w:leader="none" w:pos="920" w:val="left"/>
        </w:tabs>
        <w:numPr>
          <w:ilvl w:val="0"/>
          <w:numId w:val="86"/>
        </w:numPr>
        <w:rPr>
          <w:rFonts w:ascii="Arial" w:cs="Arial" w:eastAsia="Arial" w:hAnsi="Arial"/>
          <w:sz w:val="16"/>
          <w:szCs w:val="16"/>
          <w:color w:val="202E39"/>
        </w:rPr>
      </w:pPr>
      <w:r>
        <w:rPr>
          <w:rFonts w:ascii="Arial" w:cs="Arial" w:eastAsia="Arial" w:hAnsi="Arial"/>
          <w:sz w:val="16"/>
          <w:szCs w:val="16"/>
          <w:color w:val="202E39"/>
        </w:rPr>
        <w:t>The expiration of six (6) years from the date the Option was granted.</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VI. AWARD OF RESTRICTED STOCK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6.1 </w:t>
      </w:r>
      <w:r>
        <w:rPr>
          <w:rFonts w:ascii="Arial" w:cs="Arial" w:eastAsia="Arial" w:hAnsi="Arial"/>
          <w:sz w:val="16"/>
          <w:szCs w:val="16"/>
          <w:u w:val="single" w:color="auto"/>
          <w:color w:val="202E39"/>
        </w:rPr>
        <w:t>Award of Restricted Stock</w:t>
      </w:r>
      <w:r>
        <w:rPr>
          <w:rFonts w:ascii="Arial" w:cs="Arial" w:eastAsia="Arial" w:hAnsi="Arial"/>
          <w:sz w:val="16"/>
          <w:szCs w:val="16"/>
          <w:color w:val="202E39"/>
        </w:rPr>
        <w:t>.</w:t>
      </w:r>
    </w:p>
    <w:p>
      <w:pPr>
        <w:spacing w:after="0" w:line="105" w:lineRule="exact"/>
        <w:rPr>
          <w:sz w:val="20"/>
          <w:szCs w:val="20"/>
          <w:color w:val="auto"/>
        </w:rPr>
      </w:pPr>
    </w:p>
    <w:p>
      <w:pPr>
        <w:ind w:left="700" w:right="700" w:hanging="10"/>
        <w:spacing w:after="0" w:line="269" w:lineRule="auto"/>
        <w:tabs>
          <w:tab w:leader="none" w:pos="937"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The Committee (or the Board, in the case of Restricted Stock awarded to Independent Directors) may from time to time, in its absolute discretion:</w:t>
      </w:r>
    </w:p>
    <w:p>
      <w:pPr>
        <w:spacing w:after="0" w:line="60" w:lineRule="exact"/>
        <w:rPr>
          <w:rFonts w:ascii="Arial" w:cs="Arial" w:eastAsia="Arial" w:hAnsi="Arial"/>
          <w:sz w:val="16"/>
          <w:szCs w:val="16"/>
          <w:color w:val="202E39"/>
        </w:rPr>
      </w:pPr>
    </w:p>
    <w:p>
      <w:pPr>
        <w:ind w:left="1120" w:right="100" w:hanging="1"/>
        <w:spacing w:after="0" w:line="303" w:lineRule="auto"/>
        <w:tabs>
          <w:tab w:leader="none" w:pos="1304" w:val="left"/>
        </w:tabs>
        <w:numPr>
          <w:ilvl w:val="1"/>
          <w:numId w:val="87"/>
        </w:numPr>
        <w:rPr>
          <w:rFonts w:ascii="Arial" w:cs="Arial" w:eastAsia="Arial" w:hAnsi="Arial"/>
          <w:sz w:val="15"/>
          <w:szCs w:val="15"/>
          <w:color w:val="202E39"/>
        </w:rPr>
      </w:pPr>
      <w:r>
        <w:rPr>
          <w:rFonts w:ascii="Arial" w:cs="Arial" w:eastAsia="Arial" w:hAnsi="Arial"/>
          <w:sz w:val="15"/>
          <w:szCs w:val="15"/>
          <w:color w:val="202E39"/>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37" w:lineRule="exact"/>
        <w:rPr>
          <w:rFonts w:ascii="Arial" w:cs="Arial" w:eastAsia="Arial" w:hAnsi="Arial"/>
          <w:sz w:val="15"/>
          <w:szCs w:val="15"/>
          <w:color w:val="202E39"/>
        </w:rPr>
      </w:pPr>
    </w:p>
    <w:p>
      <w:pPr>
        <w:ind w:left="1340" w:hanging="221"/>
        <w:spacing w:after="0"/>
        <w:tabs>
          <w:tab w:leader="none" w:pos="1340" w:val="left"/>
        </w:tabs>
        <w:numPr>
          <w:ilvl w:val="1"/>
          <w:numId w:val="87"/>
        </w:numPr>
        <w:rPr>
          <w:rFonts w:ascii="Arial" w:cs="Arial" w:eastAsia="Arial" w:hAnsi="Arial"/>
          <w:sz w:val="16"/>
          <w:szCs w:val="16"/>
          <w:color w:val="202E39"/>
        </w:rPr>
      </w:pPr>
      <w:r>
        <w:rPr>
          <w:rFonts w:ascii="Arial" w:cs="Arial" w:eastAsia="Arial" w:hAnsi="Arial"/>
          <w:sz w:val="16"/>
          <w:szCs w:val="16"/>
          <w:color w:val="202E39"/>
        </w:rPr>
        <w:t>Determine the purchase price, if any, and other terms and conditions applicable to such Restricted Stock, consistent with this Plan.</w:t>
      </w:r>
    </w:p>
    <w:p>
      <w:pPr>
        <w:spacing w:after="0" w:line="105" w:lineRule="exact"/>
        <w:rPr>
          <w:rFonts w:ascii="Arial" w:cs="Arial" w:eastAsia="Arial" w:hAnsi="Arial"/>
          <w:sz w:val="16"/>
          <w:szCs w:val="16"/>
          <w:color w:val="202E39"/>
        </w:rPr>
      </w:pPr>
    </w:p>
    <w:p>
      <w:pPr>
        <w:jc w:val="both"/>
        <w:ind w:left="700" w:right="140" w:hanging="10"/>
        <w:spacing w:after="0" w:line="249" w:lineRule="auto"/>
        <w:tabs>
          <w:tab w:leader="none" w:pos="937"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 xml:space="preserve">The Committee (or the Board, in the case of Restricted Stock awarded to Independent Directors) shall establish the purchase price, if any, and form of payment for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77" w:lineRule="exact"/>
        <w:rPr>
          <w:rFonts w:ascii="Arial" w:cs="Arial" w:eastAsia="Arial" w:hAnsi="Arial"/>
          <w:sz w:val="16"/>
          <w:szCs w:val="16"/>
          <w:color w:val="202E39"/>
        </w:rPr>
      </w:pPr>
    </w:p>
    <w:p>
      <w:pPr>
        <w:ind w:left="700" w:right="120" w:hanging="10"/>
        <w:spacing w:after="0" w:line="254" w:lineRule="auto"/>
        <w:tabs>
          <w:tab w:leader="none" w:pos="928"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73"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202E39"/>
        </w:rPr>
        <w:t xml:space="preserve">6.2 </w:t>
      </w:r>
      <w:r>
        <w:rPr>
          <w:rFonts w:ascii="Arial" w:cs="Arial" w:eastAsia="Arial" w:hAnsi="Arial"/>
          <w:sz w:val="16"/>
          <w:szCs w:val="16"/>
          <w:u w:val="single" w:color="auto"/>
          <w:color w:val="202E39"/>
        </w:rPr>
        <w:t>Restricted Stock Agreement</w:t>
      </w:r>
      <w:r>
        <w:rPr>
          <w:rFonts w:ascii="Arial" w:cs="Arial" w:eastAsia="Arial" w:hAnsi="Arial"/>
          <w:sz w:val="16"/>
          <w:szCs w:val="16"/>
          <w:color w:val="202E39"/>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78" w:lineRule="exact"/>
        <w:rPr>
          <w:sz w:val="20"/>
          <w:szCs w:val="20"/>
          <w:color w:val="auto"/>
        </w:rPr>
      </w:pPr>
    </w:p>
    <w:p>
      <w:pPr>
        <w:ind w:left="260" w:right="80"/>
        <w:spacing w:after="0" w:line="262" w:lineRule="auto"/>
        <w:rPr>
          <w:sz w:val="20"/>
          <w:szCs w:val="20"/>
          <w:color w:val="auto"/>
        </w:rPr>
      </w:pPr>
      <w:r>
        <w:rPr>
          <w:rFonts w:ascii="Arial" w:cs="Arial" w:eastAsia="Arial" w:hAnsi="Arial"/>
          <w:sz w:val="15"/>
          <w:szCs w:val="15"/>
          <w:color w:val="202E39"/>
        </w:rPr>
        <w:t xml:space="preserve">6.3 </w:t>
      </w:r>
      <w:r>
        <w:rPr>
          <w:rFonts w:ascii="Arial" w:cs="Arial" w:eastAsia="Arial" w:hAnsi="Arial"/>
          <w:sz w:val="15"/>
          <w:szCs w:val="15"/>
          <w:u w:val="single" w:color="auto"/>
          <w:color w:val="202E39"/>
        </w:rPr>
        <w:t>Consideration</w:t>
      </w:r>
      <w:r>
        <w:rPr>
          <w:rFonts w:ascii="Arial" w:cs="Arial" w:eastAsia="Arial" w:hAnsi="Arial"/>
          <w:sz w:val="15"/>
          <w:szCs w:val="15"/>
          <w:color w:val="202E39"/>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71" w:lineRule="exact"/>
        <w:rPr>
          <w:sz w:val="20"/>
          <w:szCs w:val="20"/>
          <w:color w:val="auto"/>
        </w:rPr>
      </w:pPr>
    </w:p>
    <w:p>
      <w:pPr>
        <w:ind w:left="260" w:right="80"/>
        <w:spacing w:after="0" w:line="244" w:lineRule="auto"/>
        <w:rPr>
          <w:sz w:val="20"/>
          <w:szCs w:val="20"/>
          <w:color w:val="auto"/>
        </w:rPr>
      </w:pPr>
      <w:r>
        <w:rPr>
          <w:rFonts w:ascii="Arial" w:cs="Arial" w:eastAsia="Arial" w:hAnsi="Arial"/>
          <w:sz w:val="16"/>
          <w:szCs w:val="16"/>
          <w:color w:val="202E39"/>
        </w:rPr>
        <w:t xml:space="preserve">6.4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81" w:lineRule="exact"/>
        <w:rPr>
          <w:sz w:val="20"/>
          <w:szCs w:val="20"/>
          <w:color w:val="auto"/>
        </w:rPr>
      </w:pPr>
    </w:p>
    <w:p>
      <w:pPr>
        <w:ind w:left="260" w:right="20"/>
        <w:spacing w:after="0" w:line="244" w:lineRule="auto"/>
        <w:rPr>
          <w:sz w:val="20"/>
          <w:szCs w:val="20"/>
          <w:color w:val="auto"/>
        </w:rPr>
      </w:pPr>
      <w:r>
        <w:rPr>
          <w:rFonts w:ascii="Arial" w:cs="Arial" w:eastAsia="Arial" w:hAnsi="Arial"/>
          <w:sz w:val="16"/>
          <w:szCs w:val="16"/>
          <w:color w:val="202E39"/>
        </w:rPr>
        <w:t xml:space="preserve">6.5 </w:t>
      </w:r>
      <w:r>
        <w:rPr>
          <w:rFonts w:ascii="Arial" w:cs="Arial" w:eastAsia="Arial" w:hAnsi="Arial"/>
          <w:sz w:val="16"/>
          <w:szCs w:val="16"/>
          <w:u w:val="single" w:color="auto"/>
          <w:color w:val="202E39"/>
        </w:rPr>
        <w:t>Restriction</w:t>
      </w:r>
      <w:r>
        <w:rPr>
          <w:rFonts w:ascii="Arial" w:cs="Arial" w:eastAsia="Arial" w:hAnsi="Arial"/>
          <w:sz w:val="16"/>
          <w:szCs w:val="16"/>
          <w:color w:val="202E39"/>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202E39"/>
        </w:rPr>
        <w:t>provided, further</w:t>
      </w:r>
      <w:r>
        <w:rPr>
          <w:rFonts w:ascii="Arial" w:cs="Arial" w:eastAsia="Arial" w:hAnsi="Arial"/>
          <w:sz w:val="16"/>
          <w:szCs w:val="16"/>
          <w:color w:val="202E39"/>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w:t>
      </w:r>
    </w:p>
    <w:p>
      <w:pPr>
        <w:spacing w:after="0" w:line="126"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A-9</w:t>
      </w:r>
    </w:p>
    <w:p>
      <w:pPr>
        <w:sectPr>
          <w:pgSz w:w="11900" w:h="16838" w:orient="portrait"/>
          <w:cols w:equalWidth="0" w:num="1">
            <w:col w:w="10980"/>
          </w:cols>
          <w:pgMar w:left="320" w:top="474" w:right="5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260" w:right="20"/>
        <w:spacing w:after="0" w:line="247" w:lineRule="auto"/>
        <w:rPr>
          <w:sz w:val="20"/>
          <w:szCs w:val="20"/>
          <w:color w:val="auto"/>
        </w:rPr>
      </w:pPr>
      <w:r>
        <w:rPr>
          <w:rFonts w:ascii="Arial" w:cs="Arial" w:eastAsia="Arial" w:hAnsi="Arial"/>
          <w:sz w:val="16"/>
          <w:szCs w:val="16"/>
          <w:color w:val="202E39"/>
        </w:rPr>
        <w:t>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78" w:lineRule="exact"/>
        <w:rPr>
          <w:sz w:val="20"/>
          <w:szCs w:val="20"/>
          <w:color w:val="auto"/>
        </w:rPr>
      </w:pPr>
    </w:p>
    <w:p>
      <w:pPr>
        <w:ind w:left="260" w:right="80"/>
        <w:spacing w:after="0" w:line="243" w:lineRule="auto"/>
        <w:rPr>
          <w:sz w:val="20"/>
          <w:szCs w:val="20"/>
          <w:color w:val="auto"/>
        </w:rPr>
      </w:pPr>
      <w:r>
        <w:rPr>
          <w:rFonts w:ascii="Arial" w:cs="Arial" w:eastAsia="Arial" w:hAnsi="Arial"/>
          <w:sz w:val="16"/>
          <w:szCs w:val="16"/>
          <w:color w:val="202E39"/>
        </w:rPr>
        <w:t xml:space="preserve">6.6 </w:t>
      </w:r>
      <w:r>
        <w:rPr>
          <w:rFonts w:ascii="Arial" w:cs="Arial" w:eastAsia="Arial" w:hAnsi="Arial"/>
          <w:sz w:val="16"/>
          <w:szCs w:val="16"/>
          <w:u w:val="single" w:color="auto"/>
          <w:color w:val="202E39"/>
        </w:rPr>
        <w:t>Repurchase or Forfeiture of Restricted Stock</w:t>
      </w:r>
      <w:r>
        <w:rPr>
          <w:rFonts w:ascii="Arial" w:cs="Arial" w:eastAsia="Arial" w:hAnsi="Arial"/>
          <w:sz w:val="16"/>
          <w:szCs w:val="16"/>
          <w:color w:val="202E39"/>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82"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202E39"/>
        </w:rPr>
        <w:t xml:space="preserve">6.7 </w:t>
      </w:r>
      <w:r>
        <w:rPr>
          <w:rFonts w:ascii="Arial" w:cs="Arial" w:eastAsia="Arial" w:hAnsi="Arial"/>
          <w:sz w:val="16"/>
          <w:szCs w:val="16"/>
          <w:u w:val="single" w:color="auto"/>
          <w:color w:val="202E39"/>
        </w:rPr>
        <w:t>Escrow</w:t>
      </w:r>
      <w:r>
        <w:rPr>
          <w:rFonts w:ascii="Arial" w:cs="Arial" w:eastAsia="Arial" w:hAnsi="Arial"/>
          <w:sz w:val="16"/>
          <w:szCs w:val="16"/>
          <w:color w:val="202E39"/>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73" w:lineRule="exact"/>
        <w:rPr>
          <w:sz w:val="20"/>
          <w:szCs w:val="20"/>
          <w:color w:val="auto"/>
        </w:rPr>
      </w:pPr>
    </w:p>
    <w:p>
      <w:pPr>
        <w:ind w:left="260" w:right="100"/>
        <w:spacing w:after="0" w:line="249" w:lineRule="auto"/>
        <w:rPr>
          <w:sz w:val="20"/>
          <w:szCs w:val="20"/>
          <w:color w:val="auto"/>
        </w:rPr>
      </w:pPr>
      <w:r>
        <w:rPr>
          <w:rFonts w:ascii="Arial" w:cs="Arial" w:eastAsia="Arial" w:hAnsi="Arial"/>
          <w:sz w:val="16"/>
          <w:szCs w:val="16"/>
          <w:color w:val="202E39"/>
        </w:rPr>
        <w:t xml:space="preserve">6.8 </w:t>
      </w:r>
      <w:r>
        <w:rPr>
          <w:rFonts w:ascii="Arial" w:cs="Arial" w:eastAsia="Arial" w:hAnsi="Arial"/>
          <w:sz w:val="16"/>
          <w:szCs w:val="16"/>
          <w:u w:val="single" w:color="auto"/>
          <w:color w:val="202E39"/>
        </w:rPr>
        <w:t>Legend</w:t>
      </w:r>
      <w:r>
        <w:rPr>
          <w:rFonts w:ascii="Arial" w:cs="Arial" w:eastAsia="Arial" w:hAnsi="Arial"/>
          <w:sz w:val="16"/>
          <w:szCs w:val="16"/>
          <w:color w:val="202E39"/>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VII. PERFORMANCE AWARDS, DIVIDEND EQUIVALENTS, RESTRICTED STOCK UNITS, STOCK PAYMENTS</w:t>
      </w:r>
    </w:p>
    <w:p>
      <w:pPr>
        <w:spacing w:after="0" w:line="108" w:lineRule="exact"/>
        <w:rPr>
          <w:sz w:val="20"/>
          <w:szCs w:val="20"/>
          <w:color w:val="auto"/>
        </w:rPr>
      </w:pPr>
    </w:p>
    <w:p>
      <w:pPr>
        <w:ind w:left="260" w:right="160"/>
        <w:spacing w:after="0" w:line="259" w:lineRule="auto"/>
        <w:rPr>
          <w:sz w:val="20"/>
          <w:szCs w:val="20"/>
          <w:color w:val="auto"/>
        </w:rPr>
      </w:pPr>
      <w:r>
        <w:rPr>
          <w:rFonts w:ascii="Arial" w:cs="Arial" w:eastAsia="Arial" w:hAnsi="Arial"/>
          <w:sz w:val="15"/>
          <w:szCs w:val="15"/>
          <w:color w:val="202E39"/>
        </w:rPr>
        <w:t xml:space="preserve">7.1 </w:t>
      </w:r>
      <w:r>
        <w:rPr>
          <w:rFonts w:ascii="Arial" w:cs="Arial" w:eastAsia="Arial" w:hAnsi="Arial"/>
          <w:sz w:val="15"/>
          <w:szCs w:val="15"/>
          <w:u w:val="single" w:color="auto"/>
          <w:color w:val="202E39"/>
        </w:rPr>
        <w:t>Performance Awards</w:t>
      </w:r>
      <w:r>
        <w:rPr>
          <w:rFonts w:ascii="Arial" w:cs="Arial" w:eastAsia="Arial" w:hAnsi="Arial"/>
          <w:sz w:val="15"/>
          <w:szCs w:val="15"/>
          <w:color w:val="202E39"/>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w:t>
      </w:r>
    </w:p>
    <w:p>
      <w:pPr>
        <w:spacing w:after="0" w:line="3" w:lineRule="exact"/>
        <w:rPr>
          <w:sz w:val="20"/>
          <w:szCs w:val="20"/>
          <w:color w:val="auto"/>
        </w:rPr>
      </w:pPr>
    </w:p>
    <w:p>
      <w:pPr>
        <w:ind w:left="260" w:right="140" w:firstLine="1"/>
        <w:spacing w:after="0" w:line="241" w:lineRule="auto"/>
        <w:tabs>
          <w:tab w:leader="none" w:pos="497" w:val="left"/>
        </w:tabs>
        <w:numPr>
          <w:ilvl w:val="0"/>
          <w:numId w:val="88"/>
        </w:numPr>
        <w:rPr>
          <w:rFonts w:ascii="Arial" w:cs="Arial" w:eastAsia="Arial" w:hAnsi="Arial"/>
          <w:sz w:val="16"/>
          <w:szCs w:val="16"/>
          <w:color w:val="202E39"/>
        </w:rPr>
      </w:pPr>
      <w:r>
        <w:rPr>
          <w:rFonts w:ascii="Arial" w:cs="Arial" w:eastAsia="Arial" w:hAnsi="Arial"/>
          <w:sz w:val="16"/>
          <w:szCs w:val="16"/>
          <w:color w:val="202E39"/>
        </w:rPr>
        <w:t>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w:t>
      </w:r>
    </w:p>
    <w:p>
      <w:pPr>
        <w:spacing w:after="0" w:line="84" w:lineRule="exact"/>
        <w:rPr>
          <w:sz w:val="20"/>
          <w:szCs w:val="20"/>
          <w:color w:val="auto"/>
        </w:rPr>
      </w:pPr>
    </w:p>
    <w:p>
      <w:pPr>
        <w:ind w:left="260" w:right="60"/>
        <w:spacing w:after="0" w:line="244" w:lineRule="auto"/>
        <w:rPr>
          <w:sz w:val="20"/>
          <w:szCs w:val="20"/>
          <w:color w:val="auto"/>
        </w:rPr>
      </w:pPr>
      <w:r>
        <w:rPr>
          <w:rFonts w:ascii="Arial" w:cs="Arial" w:eastAsia="Arial" w:hAnsi="Arial"/>
          <w:sz w:val="16"/>
          <w:szCs w:val="16"/>
          <w:color w:val="202E39"/>
        </w:rPr>
        <w:t xml:space="preserve">7.2 </w:t>
      </w:r>
      <w:r>
        <w:rPr>
          <w:rFonts w:ascii="Arial" w:cs="Arial" w:eastAsia="Arial" w:hAnsi="Arial"/>
          <w:sz w:val="16"/>
          <w:szCs w:val="16"/>
          <w:u w:val="single" w:color="auto"/>
          <w:color w:val="202E39"/>
        </w:rPr>
        <w:t>Dividend Equivalents</w:t>
      </w:r>
      <w:r>
        <w:rPr>
          <w:rFonts w:ascii="Arial" w:cs="Arial" w:eastAsia="Arial" w:hAnsi="Arial"/>
          <w:sz w:val="16"/>
          <w:szCs w:val="16"/>
          <w:color w:val="202E39"/>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83820</wp:posOffset>
            </wp:positionV>
            <wp:extent cx="425450" cy="150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A-10       </w:t>
      </w:r>
    </w:p>
    <w:p>
      <w:pPr>
        <w:sectPr>
          <w:pgSz w:w="11900" w:h="16838" w:orient="portrait"/>
          <w:cols w:equalWidth="0" w:num="1">
            <w:col w:w="10960"/>
          </w:cols>
          <w:pgMar w:left="320" w:top="474" w:right="6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260" w:right="100"/>
        <w:spacing w:after="0" w:line="247" w:lineRule="auto"/>
        <w:rPr>
          <w:sz w:val="20"/>
          <w:szCs w:val="20"/>
          <w:color w:val="auto"/>
        </w:rPr>
      </w:pPr>
      <w:r>
        <w:rPr>
          <w:rFonts w:ascii="Arial" w:cs="Arial" w:eastAsia="Arial" w:hAnsi="Arial"/>
          <w:sz w:val="16"/>
          <w:szCs w:val="16"/>
          <w:color w:val="202E39"/>
        </w:rPr>
        <w:t xml:space="preserve">7.3 </w:t>
      </w:r>
      <w:r>
        <w:rPr>
          <w:rFonts w:ascii="Arial" w:cs="Arial" w:eastAsia="Arial" w:hAnsi="Arial"/>
          <w:sz w:val="16"/>
          <w:szCs w:val="16"/>
          <w:u w:val="single" w:color="auto"/>
          <w:color w:val="202E39"/>
        </w:rPr>
        <w:t>Stock Payments</w:t>
      </w:r>
      <w:r>
        <w:rPr>
          <w:rFonts w:ascii="Arial" w:cs="Arial" w:eastAsia="Arial" w:hAnsi="Arial"/>
          <w:sz w:val="16"/>
          <w:szCs w:val="16"/>
          <w:color w:val="202E39"/>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7.4 </w:t>
      </w:r>
      <w:r>
        <w:rPr>
          <w:rFonts w:ascii="Arial" w:cs="Arial" w:eastAsia="Arial" w:hAnsi="Arial"/>
          <w:sz w:val="16"/>
          <w:szCs w:val="16"/>
          <w:u w:val="single" w:color="auto"/>
          <w:color w:val="202E39"/>
        </w:rPr>
        <w:t>Restricted Stock Units</w:t>
      </w:r>
      <w:r>
        <w:rPr>
          <w:rFonts w:ascii="Arial" w:cs="Arial" w:eastAsia="Arial" w:hAnsi="Arial"/>
          <w:sz w:val="16"/>
          <w:szCs w:val="16"/>
          <w:color w:val="202E39"/>
        </w:rPr>
        <w:t>.</w:t>
      </w:r>
    </w:p>
    <w:p>
      <w:pPr>
        <w:spacing w:after="0" w:line="105" w:lineRule="exact"/>
        <w:rPr>
          <w:sz w:val="20"/>
          <w:szCs w:val="20"/>
          <w:color w:val="auto"/>
        </w:rPr>
      </w:pPr>
    </w:p>
    <w:p>
      <w:pPr>
        <w:ind w:left="700" w:right="100" w:hanging="10"/>
        <w:spacing w:after="0" w:line="244" w:lineRule="auto"/>
        <w:tabs>
          <w:tab w:leader="none" w:pos="937"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83" w:lineRule="exact"/>
        <w:rPr>
          <w:rFonts w:ascii="Arial" w:cs="Arial" w:eastAsia="Arial" w:hAnsi="Arial"/>
          <w:sz w:val="16"/>
          <w:szCs w:val="16"/>
          <w:color w:val="202E39"/>
        </w:rPr>
      </w:pPr>
    </w:p>
    <w:p>
      <w:pPr>
        <w:ind w:left="700" w:right="40" w:hanging="10"/>
        <w:spacing w:after="0" w:line="241" w:lineRule="auto"/>
        <w:tabs>
          <w:tab w:leader="none" w:pos="937"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In addition, all Restricted Stock Unit awards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93" w:lineRule="exact"/>
        <w:rPr>
          <w:sz w:val="20"/>
          <w:szCs w:val="20"/>
          <w:color w:val="auto"/>
        </w:rPr>
      </w:pPr>
    </w:p>
    <w:p>
      <w:pPr>
        <w:ind w:left="260" w:right="60"/>
        <w:spacing w:after="0" w:line="249" w:lineRule="auto"/>
        <w:rPr>
          <w:sz w:val="20"/>
          <w:szCs w:val="20"/>
          <w:color w:val="auto"/>
        </w:rPr>
      </w:pPr>
      <w:r>
        <w:rPr>
          <w:rFonts w:ascii="Arial" w:cs="Arial" w:eastAsia="Arial" w:hAnsi="Arial"/>
          <w:sz w:val="16"/>
          <w:szCs w:val="16"/>
          <w:color w:val="202E39"/>
        </w:rPr>
        <w:t xml:space="preserve">7.5 </w:t>
      </w:r>
      <w:r>
        <w:rPr>
          <w:rFonts w:ascii="Arial" w:cs="Arial" w:eastAsia="Arial" w:hAnsi="Arial"/>
          <w:sz w:val="16"/>
          <w:szCs w:val="16"/>
          <w:u w:val="single" w:color="auto"/>
          <w:color w:val="202E39"/>
        </w:rPr>
        <w:t>Performance Award Agreement, Dividend Equivalent Agreement, Restricted Stock Unit Agreement, Stock Payment Agreement</w:t>
      </w:r>
      <w:r>
        <w:rPr>
          <w:rFonts w:ascii="Arial" w:cs="Arial" w:eastAsia="Arial" w:hAnsi="Arial"/>
          <w:sz w:val="16"/>
          <w:szCs w:val="16"/>
          <w:color w:val="202E39"/>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78" w:lineRule="exact"/>
        <w:rPr>
          <w:sz w:val="20"/>
          <w:szCs w:val="20"/>
          <w:color w:val="auto"/>
        </w:rPr>
      </w:pPr>
    </w:p>
    <w:p>
      <w:pPr>
        <w:ind w:left="260" w:right="120"/>
        <w:spacing w:after="0" w:line="269" w:lineRule="auto"/>
        <w:rPr>
          <w:sz w:val="20"/>
          <w:szCs w:val="20"/>
          <w:color w:val="auto"/>
        </w:rPr>
      </w:pPr>
      <w:r>
        <w:rPr>
          <w:rFonts w:ascii="Arial" w:cs="Arial" w:eastAsia="Arial" w:hAnsi="Arial"/>
          <w:sz w:val="16"/>
          <w:szCs w:val="16"/>
          <w:color w:val="202E39"/>
        </w:rPr>
        <w:t xml:space="preserve">7.6 </w:t>
      </w:r>
      <w:r>
        <w:rPr>
          <w:rFonts w:ascii="Arial" w:cs="Arial" w:eastAsia="Arial" w:hAnsi="Arial"/>
          <w:sz w:val="16"/>
          <w:szCs w:val="16"/>
          <w:u w:val="single" w:color="auto"/>
          <w:color w:val="202E39"/>
        </w:rPr>
        <w:t>Term</w:t>
      </w:r>
      <w:r>
        <w:rPr>
          <w:rFonts w:ascii="Arial" w:cs="Arial" w:eastAsia="Arial" w:hAnsi="Arial"/>
          <w:sz w:val="16"/>
          <w:szCs w:val="16"/>
          <w:color w:val="202E39"/>
        </w:rPr>
        <w:t>.  The term of a Performance Award, Dividend Equivalent, award of Restricted Stock Unit and/or Stock Payment shall be set by the Committee (or the Board, in the case of an award to an Independent Director) in its discretion.</w:t>
      </w:r>
    </w:p>
    <w:p>
      <w:pPr>
        <w:spacing w:after="0" w:line="61" w:lineRule="exact"/>
        <w:rPr>
          <w:sz w:val="20"/>
          <w:szCs w:val="20"/>
          <w:color w:val="auto"/>
        </w:rPr>
      </w:pPr>
    </w:p>
    <w:p>
      <w:pPr>
        <w:ind w:left="260" w:right="40"/>
        <w:spacing w:after="0" w:line="247" w:lineRule="auto"/>
        <w:rPr>
          <w:sz w:val="20"/>
          <w:szCs w:val="20"/>
          <w:color w:val="auto"/>
        </w:rPr>
      </w:pPr>
      <w:r>
        <w:rPr>
          <w:rFonts w:ascii="Arial" w:cs="Arial" w:eastAsia="Arial" w:hAnsi="Arial"/>
          <w:sz w:val="16"/>
          <w:szCs w:val="16"/>
          <w:color w:val="202E39"/>
        </w:rPr>
        <w:t xml:space="preserve">7.7 </w:t>
      </w:r>
      <w:r>
        <w:rPr>
          <w:rFonts w:ascii="Arial" w:cs="Arial" w:eastAsia="Arial" w:hAnsi="Arial"/>
          <w:sz w:val="16"/>
          <w:szCs w:val="16"/>
          <w:u w:val="single" w:color="auto"/>
          <w:color w:val="202E39"/>
        </w:rPr>
        <w:t>Exercise Upon Termination of Employment</w:t>
      </w:r>
      <w:r>
        <w:rPr>
          <w:rFonts w:ascii="Arial" w:cs="Arial" w:eastAsia="Arial" w:hAnsi="Arial"/>
          <w:sz w:val="16"/>
          <w:szCs w:val="16"/>
          <w:color w:val="202E39"/>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78"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202E39"/>
        </w:rPr>
        <w:t xml:space="preserve">7.8 </w:t>
      </w:r>
      <w:r>
        <w:rPr>
          <w:rFonts w:ascii="Arial" w:cs="Arial" w:eastAsia="Arial" w:hAnsi="Arial"/>
          <w:sz w:val="16"/>
          <w:szCs w:val="16"/>
          <w:u w:val="single" w:color="auto"/>
          <w:color w:val="202E39"/>
        </w:rPr>
        <w:t>Payment on Exercise</w:t>
      </w:r>
      <w:r>
        <w:rPr>
          <w:rFonts w:ascii="Arial" w:cs="Arial" w:eastAsia="Arial" w:hAnsi="Arial"/>
          <w:sz w:val="16"/>
          <w:szCs w:val="16"/>
          <w:color w:val="202E39"/>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73" w:lineRule="exact"/>
        <w:rPr>
          <w:sz w:val="20"/>
          <w:szCs w:val="20"/>
          <w:color w:val="auto"/>
        </w:rPr>
      </w:pPr>
    </w:p>
    <w:p>
      <w:pPr>
        <w:ind w:left="260" w:right="400"/>
        <w:spacing w:after="0" w:line="249" w:lineRule="auto"/>
        <w:rPr>
          <w:sz w:val="20"/>
          <w:szCs w:val="20"/>
          <w:color w:val="auto"/>
        </w:rPr>
      </w:pPr>
      <w:r>
        <w:rPr>
          <w:rFonts w:ascii="Arial" w:cs="Arial" w:eastAsia="Arial" w:hAnsi="Arial"/>
          <w:sz w:val="16"/>
          <w:szCs w:val="16"/>
          <w:color w:val="202E39"/>
        </w:rPr>
        <w:t xml:space="preserve">7.9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w:t>
      </w:r>
    </w:p>
    <w:p>
      <w:pPr>
        <w:spacing w:after="0" w:line="120"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A-11</w:t>
      </w:r>
    </w:p>
    <w:p>
      <w:pPr>
        <w:sectPr>
          <w:pgSz w:w="11900" w:h="16838" w:orient="portrait"/>
          <w:cols w:equalWidth="0" w:num="1">
            <w:col w:w="10980"/>
          </w:cols>
          <w:pgMar w:left="320" w:top="474" w:right="5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260" w:right="120"/>
        <w:spacing w:after="0" w:line="247" w:lineRule="auto"/>
        <w:rPr>
          <w:sz w:val="20"/>
          <w:szCs w:val="20"/>
          <w:color w:val="auto"/>
        </w:rPr>
      </w:pPr>
      <w:r>
        <w:rPr>
          <w:rFonts w:ascii="Arial" w:cs="Arial" w:eastAsia="Arial" w:hAnsi="Arial"/>
          <w:sz w:val="16"/>
          <w:szCs w:val="16"/>
          <w:color w:val="202E39"/>
        </w:rPr>
        <w:t>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VIII. STOCK APPRECIATION RIGHTS</w:t>
      </w:r>
    </w:p>
    <w:p>
      <w:pPr>
        <w:spacing w:after="0" w:line="108" w:lineRule="exact"/>
        <w:rPr>
          <w:sz w:val="20"/>
          <w:szCs w:val="20"/>
          <w:color w:val="auto"/>
        </w:rPr>
      </w:pPr>
    </w:p>
    <w:p>
      <w:pPr>
        <w:ind w:left="260" w:right="40"/>
        <w:spacing w:after="0" w:line="257" w:lineRule="auto"/>
        <w:rPr>
          <w:sz w:val="20"/>
          <w:szCs w:val="20"/>
          <w:color w:val="auto"/>
        </w:rPr>
      </w:pPr>
      <w:r>
        <w:rPr>
          <w:rFonts w:ascii="Arial" w:cs="Arial" w:eastAsia="Arial" w:hAnsi="Arial"/>
          <w:sz w:val="15"/>
          <w:szCs w:val="15"/>
          <w:color w:val="202E39"/>
        </w:rPr>
        <w:t xml:space="preserve">8.1 </w:t>
      </w:r>
      <w:r>
        <w:rPr>
          <w:rFonts w:ascii="Arial" w:cs="Arial" w:eastAsia="Arial" w:hAnsi="Arial"/>
          <w:sz w:val="15"/>
          <w:szCs w:val="15"/>
          <w:u w:val="single" w:color="auto"/>
          <w:color w:val="202E39"/>
        </w:rPr>
        <w:t>Grant of Stock Appreciation Rights</w:t>
      </w:r>
      <w:r>
        <w:rPr>
          <w:rFonts w:ascii="Arial" w:cs="Arial" w:eastAsia="Arial" w:hAnsi="Arial"/>
          <w:sz w:val="15"/>
          <w:szCs w:val="15"/>
          <w:color w:val="202E39"/>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5"/>
          <w:szCs w:val="15"/>
          <w:u w:val="single" w:color="auto"/>
          <w:color w:val="202E39"/>
        </w:rPr>
        <w:t>provided</w:t>
      </w:r>
      <w:r>
        <w:rPr>
          <w:rFonts w:ascii="Arial" w:cs="Arial" w:eastAsia="Arial" w:hAnsi="Arial"/>
          <w:sz w:val="15"/>
          <w:szCs w:val="15"/>
          <w:color w:val="202E39"/>
        </w:rPr>
        <w:t xml:space="preserve">, </w:t>
      </w:r>
      <w:r>
        <w:rPr>
          <w:rFonts w:ascii="Arial" w:cs="Arial" w:eastAsia="Arial" w:hAnsi="Arial"/>
          <w:sz w:val="15"/>
          <w:szCs w:val="15"/>
          <w:u w:val="single" w:color="auto"/>
          <w:color w:val="202E39"/>
        </w:rPr>
        <w:t>however</w:t>
      </w:r>
      <w:r>
        <w:rPr>
          <w:rFonts w:ascii="Arial" w:cs="Arial" w:eastAsia="Arial" w:hAnsi="Arial"/>
          <w:sz w:val="15"/>
          <w:szCs w:val="15"/>
          <w:color w:val="202E39"/>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5"/>
          <w:szCs w:val="15"/>
          <w:u w:val="single" w:color="auto"/>
          <w:color w:val="202E39"/>
        </w:rPr>
        <w:t>provided, however</w:t>
      </w:r>
      <w:r>
        <w:rPr>
          <w:rFonts w:ascii="Arial" w:cs="Arial" w:eastAsia="Arial" w:hAnsi="Arial"/>
          <w:sz w:val="15"/>
          <w:szCs w:val="15"/>
          <w:color w:val="202E39"/>
        </w:rPr>
        <w:t>, except as permitted under Section 10.3 of the Plan, no Stock Appreciation Right shall, without stockholder approval, be</w:t>
      </w:r>
    </w:p>
    <w:p>
      <w:pPr>
        <w:spacing w:after="0" w:line="4" w:lineRule="exact"/>
        <w:rPr>
          <w:sz w:val="20"/>
          <w:szCs w:val="20"/>
          <w:color w:val="auto"/>
        </w:rPr>
      </w:pPr>
    </w:p>
    <w:p>
      <w:pPr>
        <w:ind w:left="260" w:right="520" w:firstLine="1"/>
        <w:spacing w:after="0" w:line="251" w:lineRule="auto"/>
        <w:tabs>
          <w:tab w:leader="none" w:pos="444"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8.2 </w:t>
      </w:r>
      <w:r>
        <w:rPr>
          <w:rFonts w:ascii="Arial" w:cs="Arial" w:eastAsia="Arial" w:hAnsi="Arial"/>
          <w:sz w:val="16"/>
          <w:szCs w:val="16"/>
          <w:u w:val="single" w:color="auto"/>
          <w:color w:val="202E39"/>
        </w:rPr>
        <w:t>Coupled Stock Appreciation Rights</w:t>
      </w:r>
      <w:r>
        <w:rPr>
          <w:rFonts w:ascii="Arial" w:cs="Arial" w:eastAsia="Arial" w:hAnsi="Arial"/>
          <w:sz w:val="16"/>
          <w:szCs w:val="16"/>
          <w:color w:val="202E39"/>
        </w:rPr>
        <w:t>.</w:t>
      </w:r>
    </w:p>
    <w:p>
      <w:pPr>
        <w:spacing w:after="0" w:line="105" w:lineRule="exact"/>
        <w:rPr>
          <w:sz w:val="20"/>
          <w:szCs w:val="20"/>
          <w:color w:val="auto"/>
        </w:rPr>
      </w:pPr>
    </w:p>
    <w:p>
      <w:pPr>
        <w:ind w:left="700" w:right="200" w:hanging="10"/>
        <w:spacing w:after="0" w:line="269" w:lineRule="auto"/>
        <w:tabs>
          <w:tab w:leader="none" w:pos="937"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A Coupled Stock Appreciation Right (“CSAR”) shall be related to a particular Option and shall be exercisable only when and to the extent the related Option is exercisable.</w:t>
      </w:r>
    </w:p>
    <w:p>
      <w:pPr>
        <w:spacing w:after="0" w:line="60" w:lineRule="exact"/>
        <w:rPr>
          <w:rFonts w:ascii="Arial" w:cs="Arial" w:eastAsia="Arial" w:hAnsi="Arial"/>
          <w:sz w:val="16"/>
          <w:szCs w:val="16"/>
          <w:color w:val="202E39"/>
        </w:rPr>
      </w:pPr>
    </w:p>
    <w:p>
      <w:pPr>
        <w:ind w:left="700" w:right="200" w:hanging="10"/>
        <w:spacing w:after="0" w:line="269" w:lineRule="auto"/>
        <w:tabs>
          <w:tab w:leader="none" w:pos="937"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A CSAR may be granted to the Grantee for no more than the number of shares subject to the simultaneously or previously granted Option to which it is coupled.</w:t>
      </w:r>
    </w:p>
    <w:p>
      <w:pPr>
        <w:spacing w:after="0" w:line="60" w:lineRule="exact"/>
        <w:rPr>
          <w:rFonts w:ascii="Arial" w:cs="Arial" w:eastAsia="Arial" w:hAnsi="Arial"/>
          <w:sz w:val="16"/>
          <w:szCs w:val="16"/>
          <w:color w:val="202E39"/>
        </w:rPr>
      </w:pPr>
    </w:p>
    <w:p>
      <w:pPr>
        <w:ind w:left="700" w:right="60" w:hanging="10"/>
        <w:spacing w:after="0" w:line="247" w:lineRule="auto"/>
        <w:tabs>
          <w:tab w:leader="none" w:pos="928"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8.3 </w:t>
      </w:r>
      <w:r>
        <w:rPr>
          <w:rFonts w:ascii="Arial" w:cs="Arial" w:eastAsia="Arial" w:hAnsi="Arial"/>
          <w:sz w:val="16"/>
          <w:szCs w:val="16"/>
          <w:u w:val="single" w:color="auto"/>
          <w:color w:val="202E39"/>
        </w:rPr>
        <w:t>Independent Stock Appreciation Rights</w:t>
      </w:r>
      <w:r>
        <w:rPr>
          <w:rFonts w:ascii="Arial" w:cs="Arial" w:eastAsia="Arial" w:hAnsi="Arial"/>
          <w:sz w:val="16"/>
          <w:szCs w:val="16"/>
          <w:color w:val="202E39"/>
        </w:rPr>
        <w:t>.</w:t>
      </w:r>
    </w:p>
    <w:p>
      <w:pPr>
        <w:spacing w:after="0" w:line="105" w:lineRule="exact"/>
        <w:rPr>
          <w:sz w:val="20"/>
          <w:szCs w:val="20"/>
          <w:color w:val="auto"/>
        </w:rPr>
      </w:pPr>
    </w:p>
    <w:p>
      <w:pPr>
        <w:ind w:left="700" w:right="20" w:hanging="10"/>
        <w:spacing w:after="0" w:line="243" w:lineRule="auto"/>
        <w:tabs>
          <w:tab w:leader="none" w:pos="937" w:val="left"/>
        </w:tabs>
        <w:numPr>
          <w:ilvl w:val="0"/>
          <w:numId w:val="92"/>
        </w:numPr>
        <w:rPr>
          <w:rFonts w:ascii="Arial" w:cs="Arial" w:eastAsia="Arial" w:hAnsi="Arial"/>
          <w:sz w:val="16"/>
          <w:szCs w:val="16"/>
          <w:color w:val="202E39"/>
        </w:rPr>
      </w:pPr>
      <w:r>
        <w:rPr>
          <w:rFonts w:ascii="Arial" w:cs="Arial" w:eastAsia="Arial" w:hAnsi="Arial"/>
          <w:sz w:val="16"/>
          <w:szCs w:val="16"/>
          <w:color w:val="202E39"/>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82" w:lineRule="exact"/>
        <w:rPr>
          <w:rFonts w:ascii="Arial" w:cs="Arial" w:eastAsia="Arial" w:hAnsi="Arial"/>
          <w:sz w:val="16"/>
          <w:szCs w:val="16"/>
          <w:color w:val="202E39"/>
        </w:rPr>
      </w:pPr>
    </w:p>
    <w:p>
      <w:pPr>
        <w:ind w:left="700" w:hanging="10"/>
        <w:spacing w:after="0" w:line="254" w:lineRule="auto"/>
        <w:tabs>
          <w:tab w:leader="none" w:pos="937" w:val="left"/>
        </w:tabs>
        <w:numPr>
          <w:ilvl w:val="0"/>
          <w:numId w:val="92"/>
        </w:numPr>
        <w:rPr>
          <w:rFonts w:ascii="Arial" w:cs="Arial" w:eastAsia="Arial" w:hAnsi="Arial"/>
          <w:sz w:val="16"/>
          <w:szCs w:val="16"/>
          <w:color w:val="202E39"/>
        </w:rPr>
      </w:pPr>
      <w:r>
        <w:rPr>
          <w:rFonts w:ascii="Arial" w:cs="Arial" w:eastAsia="Arial" w:hAnsi="Arial"/>
          <w:sz w:val="16"/>
          <w:szCs w:val="16"/>
          <w:color w:val="202E39"/>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79375</wp:posOffset>
            </wp:positionV>
            <wp:extent cx="425450" cy="150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A-12       </w:t>
      </w:r>
    </w:p>
    <w:p>
      <w:pPr>
        <w:sectPr>
          <w:pgSz w:w="11900" w:h="16838" w:orient="portrait"/>
          <w:cols w:equalWidth="0" w:num="1">
            <w:col w:w="10920"/>
          </w:cols>
          <w:pgMar w:left="320" w:top="474" w:right="6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700" w:right="160"/>
        <w:spacing w:after="0" w:line="269" w:lineRule="auto"/>
        <w:rPr>
          <w:sz w:val="20"/>
          <w:szCs w:val="20"/>
          <w:color w:val="auto"/>
        </w:rPr>
      </w:pPr>
      <w:r>
        <w:rPr>
          <w:rFonts w:ascii="Arial" w:cs="Arial" w:eastAsia="Arial" w:hAnsi="Arial"/>
          <w:sz w:val="16"/>
          <w:szCs w:val="16"/>
          <w:color w:val="202E39"/>
        </w:rPr>
        <w:t>the Fair Market Value of a share of Common Stock on the date of exercise of the ISAR by the number of shares of Common Stock with respect to which the ISAR shall have been exercised, subject to any limitations the Committee may impose.</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8.4 </w:t>
      </w:r>
      <w:r>
        <w:rPr>
          <w:rFonts w:ascii="Arial" w:cs="Arial" w:eastAsia="Arial" w:hAnsi="Arial"/>
          <w:sz w:val="16"/>
          <w:szCs w:val="16"/>
          <w:u w:val="single" w:color="auto"/>
          <w:color w:val="202E39"/>
        </w:rPr>
        <w:t>Payment and Limitations on Exercise</w:t>
      </w:r>
      <w:r>
        <w:rPr>
          <w:rFonts w:ascii="Arial" w:cs="Arial" w:eastAsia="Arial" w:hAnsi="Arial"/>
          <w:sz w:val="16"/>
          <w:szCs w:val="16"/>
          <w:color w:val="202E39"/>
        </w:rPr>
        <w:t>.</w:t>
      </w:r>
    </w:p>
    <w:p>
      <w:pPr>
        <w:spacing w:after="0" w:line="105" w:lineRule="exact"/>
        <w:rPr>
          <w:sz w:val="20"/>
          <w:szCs w:val="20"/>
          <w:color w:val="auto"/>
        </w:rPr>
      </w:pPr>
    </w:p>
    <w:p>
      <w:pPr>
        <w:jc w:val="both"/>
        <w:ind w:left="700" w:right="100" w:hanging="10"/>
        <w:spacing w:after="0" w:line="254" w:lineRule="auto"/>
        <w:tabs>
          <w:tab w:leader="none" w:pos="937" w:val="left"/>
        </w:tabs>
        <w:numPr>
          <w:ilvl w:val="0"/>
          <w:numId w:val="93"/>
        </w:numPr>
        <w:rPr>
          <w:rFonts w:ascii="Arial" w:cs="Arial" w:eastAsia="Arial" w:hAnsi="Arial"/>
          <w:sz w:val="16"/>
          <w:szCs w:val="16"/>
          <w:color w:val="202E39"/>
        </w:rPr>
      </w:pPr>
      <w:r>
        <w:rPr>
          <w:rFonts w:ascii="Arial" w:cs="Arial" w:eastAsia="Arial" w:hAnsi="Arial"/>
          <w:sz w:val="16"/>
          <w:szCs w:val="16"/>
          <w:color w:val="202E39"/>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73" w:lineRule="exact"/>
        <w:rPr>
          <w:rFonts w:ascii="Arial" w:cs="Arial" w:eastAsia="Arial" w:hAnsi="Arial"/>
          <w:sz w:val="16"/>
          <w:szCs w:val="16"/>
          <w:color w:val="202E39"/>
        </w:rPr>
      </w:pPr>
    </w:p>
    <w:p>
      <w:pPr>
        <w:ind w:left="700" w:right="80" w:hanging="10"/>
        <w:spacing w:after="0" w:line="269" w:lineRule="auto"/>
        <w:tabs>
          <w:tab w:leader="none" w:pos="937" w:val="left"/>
        </w:tabs>
        <w:numPr>
          <w:ilvl w:val="0"/>
          <w:numId w:val="93"/>
        </w:numPr>
        <w:rPr>
          <w:rFonts w:ascii="Arial" w:cs="Arial" w:eastAsia="Arial" w:hAnsi="Arial"/>
          <w:sz w:val="16"/>
          <w:szCs w:val="16"/>
          <w:color w:val="202E39"/>
        </w:rPr>
      </w:pPr>
      <w:r>
        <w:rPr>
          <w:rFonts w:ascii="Arial" w:cs="Arial" w:eastAsia="Arial" w:hAnsi="Arial"/>
          <w:sz w:val="16"/>
          <w:szCs w:val="16"/>
          <w:color w:val="202E39"/>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61" w:lineRule="exact"/>
        <w:rPr>
          <w:sz w:val="20"/>
          <w:szCs w:val="20"/>
          <w:color w:val="auto"/>
        </w:rPr>
      </w:pPr>
    </w:p>
    <w:p>
      <w:pPr>
        <w:ind w:left="260"/>
        <w:spacing w:after="0" w:line="243" w:lineRule="auto"/>
        <w:rPr>
          <w:sz w:val="20"/>
          <w:szCs w:val="20"/>
          <w:color w:val="auto"/>
        </w:rPr>
      </w:pPr>
      <w:r>
        <w:rPr>
          <w:rFonts w:ascii="Arial" w:cs="Arial" w:eastAsia="Arial" w:hAnsi="Arial"/>
          <w:sz w:val="16"/>
          <w:szCs w:val="16"/>
          <w:color w:val="202E39"/>
        </w:rPr>
        <w:t xml:space="preserve">8.5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IX. ADMINISTRATION</w:t>
      </w:r>
    </w:p>
    <w:p>
      <w:pPr>
        <w:spacing w:after="0" w:line="108" w:lineRule="exact"/>
        <w:rPr>
          <w:sz w:val="20"/>
          <w:szCs w:val="20"/>
          <w:color w:val="auto"/>
        </w:rPr>
      </w:pPr>
    </w:p>
    <w:p>
      <w:pPr>
        <w:ind w:left="260" w:right="160"/>
        <w:spacing w:after="0" w:line="245" w:lineRule="auto"/>
        <w:rPr>
          <w:sz w:val="20"/>
          <w:szCs w:val="20"/>
          <w:color w:val="auto"/>
        </w:rPr>
      </w:pPr>
      <w:r>
        <w:rPr>
          <w:rFonts w:ascii="Arial" w:cs="Arial" w:eastAsia="Arial" w:hAnsi="Arial"/>
          <w:sz w:val="16"/>
          <w:szCs w:val="16"/>
          <w:color w:val="202E39"/>
        </w:rPr>
        <w:t xml:space="preserve">9.1 </w:t>
      </w:r>
      <w:r>
        <w:rPr>
          <w:rFonts w:ascii="Arial" w:cs="Arial" w:eastAsia="Arial" w:hAnsi="Arial"/>
          <w:sz w:val="16"/>
          <w:szCs w:val="16"/>
          <w:u w:val="single" w:color="auto"/>
          <w:color w:val="202E39"/>
        </w:rPr>
        <w:t>Compensation Committee</w:t>
      </w:r>
      <w:r>
        <w:rPr>
          <w:rFonts w:ascii="Arial" w:cs="Arial" w:eastAsia="Arial" w:hAnsi="Arial"/>
          <w:sz w:val="16"/>
          <w:szCs w:val="16"/>
          <w:color w:val="202E39"/>
        </w:rPr>
        <w:t>. 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w:t>
      </w:r>
    </w:p>
    <w:p>
      <w:pPr>
        <w:spacing w:after="0" w:line="82" w:lineRule="exact"/>
        <w:rPr>
          <w:sz w:val="20"/>
          <w:szCs w:val="20"/>
          <w:color w:val="auto"/>
        </w:rPr>
      </w:pPr>
    </w:p>
    <w:p>
      <w:pPr>
        <w:ind w:left="260" w:right="20"/>
        <w:spacing w:after="0" w:line="260" w:lineRule="auto"/>
        <w:rPr>
          <w:sz w:val="20"/>
          <w:szCs w:val="20"/>
          <w:color w:val="auto"/>
        </w:rPr>
      </w:pPr>
      <w:r>
        <w:rPr>
          <w:rFonts w:ascii="Arial" w:cs="Arial" w:eastAsia="Arial" w:hAnsi="Arial"/>
          <w:sz w:val="15"/>
          <w:szCs w:val="15"/>
          <w:color w:val="202E39"/>
        </w:rPr>
        <w:t xml:space="preserve">9.2 </w:t>
      </w:r>
      <w:r>
        <w:rPr>
          <w:rFonts w:ascii="Arial" w:cs="Arial" w:eastAsia="Arial" w:hAnsi="Arial"/>
          <w:sz w:val="15"/>
          <w:szCs w:val="15"/>
          <w:u w:val="single" w:color="auto"/>
          <w:color w:val="202E39"/>
        </w:rPr>
        <w:t>Duties and Powers of Committee</w:t>
      </w:r>
      <w:r>
        <w:rPr>
          <w:rFonts w:ascii="Arial" w:cs="Arial" w:eastAsia="Arial" w:hAnsi="Arial"/>
          <w:sz w:val="15"/>
          <w:szCs w:val="15"/>
          <w:color w:val="202E39"/>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Optionees, Grantees or Restricted Stockholders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68" w:lineRule="exact"/>
        <w:rPr>
          <w:sz w:val="20"/>
          <w:szCs w:val="20"/>
          <w:color w:val="auto"/>
        </w:rPr>
      </w:pPr>
    </w:p>
    <w:p>
      <w:pPr>
        <w:ind w:left="260" w:right="180"/>
        <w:spacing w:after="0" w:line="269" w:lineRule="auto"/>
        <w:rPr>
          <w:sz w:val="20"/>
          <w:szCs w:val="20"/>
          <w:color w:val="auto"/>
        </w:rPr>
      </w:pPr>
      <w:r>
        <w:rPr>
          <w:rFonts w:ascii="Arial" w:cs="Arial" w:eastAsia="Arial" w:hAnsi="Arial"/>
          <w:sz w:val="16"/>
          <w:szCs w:val="16"/>
          <w:color w:val="202E39"/>
        </w:rPr>
        <w:t xml:space="preserve">9.3 </w:t>
      </w:r>
      <w:r>
        <w:rPr>
          <w:rFonts w:ascii="Arial" w:cs="Arial" w:eastAsia="Arial" w:hAnsi="Arial"/>
          <w:sz w:val="16"/>
          <w:szCs w:val="16"/>
          <w:u w:val="single" w:color="auto"/>
          <w:color w:val="202E39"/>
        </w:rPr>
        <w:t>Majority Rule; Unanimous Written Consent</w:t>
      </w:r>
      <w:r>
        <w:rPr>
          <w:rFonts w:ascii="Arial" w:cs="Arial" w:eastAsia="Arial" w:hAnsi="Arial"/>
          <w:sz w:val="16"/>
          <w:szCs w:val="16"/>
          <w:color w:val="202E39"/>
        </w:rPr>
        <w:t>.  The Committee shall act by a majority of its members in attendance at a meeting at which a quorum is present or by a memorandum or other written instrument signed by all members of the Committee.</w:t>
      </w:r>
    </w:p>
    <w:p>
      <w:pPr>
        <w:spacing w:after="0" w:line="61" w:lineRule="exact"/>
        <w:rPr>
          <w:sz w:val="20"/>
          <w:szCs w:val="20"/>
          <w:color w:val="auto"/>
        </w:rPr>
      </w:pPr>
    </w:p>
    <w:p>
      <w:pPr>
        <w:ind w:left="260" w:right="60"/>
        <w:spacing w:after="0" w:line="247" w:lineRule="auto"/>
        <w:rPr>
          <w:sz w:val="20"/>
          <w:szCs w:val="20"/>
          <w:color w:val="auto"/>
        </w:rPr>
      </w:pPr>
      <w:r>
        <w:rPr>
          <w:rFonts w:ascii="Arial" w:cs="Arial" w:eastAsia="Arial" w:hAnsi="Arial"/>
          <w:sz w:val="16"/>
          <w:szCs w:val="16"/>
          <w:color w:val="202E39"/>
        </w:rPr>
        <w:t xml:space="preserve">9.4 </w:t>
      </w: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w:t>
      </w:r>
    </w:p>
    <w:p>
      <w:pPr>
        <w:spacing w:after="0" w:line="121"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A-13</w:t>
      </w:r>
    </w:p>
    <w:p>
      <w:pPr>
        <w:sectPr>
          <w:pgSz w:w="11900" w:h="16838" w:orient="portrait"/>
          <w:cols w:equalWidth="0" w:num="1">
            <w:col w:w="10980"/>
          </w:cols>
          <w:pgMar w:left="320" w:top="474" w:right="5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260"/>
        <w:spacing w:after="0" w:line="271" w:lineRule="auto"/>
        <w:rPr>
          <w:sz w:val="20"/>
          <w:szCs w:val="20"/>
          <w:color w:val="auto"/>
        </w:rPr>
      </w:pPr>
      <w:r>
        <w:rPr>
          <w:rFonts w:ascii="Arial" w:cs="Arial" w:eastAsia="Arial" w:hAnsi="Arial"/>
          <w:sz w:val="15"/>
          <w:szCs w:val="15"/>
          <w:color w:val="202E39"/>
        </w:rPr>
        <w:t>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202E39"/>
        </w:rPr>
        <w:t>ARTICLE X. MISCELLANEOUS PROVISIONS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10.1 </w:t>
      </w:r>
      <w:r>
        <w:rPr>
          <w:rFonts w:ascii="Arial" w:cs="Arial" w:eastAsia="Arial" w:hAnsi="Arial"/>
          <w:sz w:val="16"/>
          <w:szCs w:val="16"/>
          <w:u w:val="single" w:color="auto"/>
          <w:color w:val="202E39"/>
        </w:rPr>
        <w:t>Not Transferable</w:t>
      </w:r>
      <w:r>
        <w:rPr>
          <w:rFonts w:ascii="Arial" w:cs="Arial" w:eastAsia="Arial" w:hAnsi="Arial"/>
          <w:sz w:val="16"/>
          <w:szCs w:val="16"/>
          <w:color w:val="202E39"/>
        </w:rPr>
        <w:t>.</w:t>
      </w:r>
    </w:p>
    <w:p>
      <w:pPr>
        <w:spacing w:after="0" w:line="105" w:lineRule="exact"/>
        <w:rPr>
          <w:sz w:val="20"/>
          <w:szCs w:val="20"/>
          <w:color w:val="auto"/>
        </w:rPr>
      </w:pPr>
    </w:p>
    <w:p>
      <w:pPr>
        <w:ind w:left="700" w:right="80" w:hanging="10"/>
        <w:spacing w:after="0" w:line="261" w:lineRule="auto"/>
        <w:tabs>
          <w:tab w:leader="none" w:pos="937" w:val="left"/>
        </w:tabs>
        <w:numPr>
          <w:ilvl w:val="0"/>
          <w:numId w:val="94"/>
        </w:numPr>
        <w:rPr>
          <w:rFonts w:ascii="Arial" w:cs="Arial" w:eastAsia="Arial" w:hAnsi="Arial"/>
          <w:sz w:val="15"/>
          <w:szCs w:val="15"/>
          <w:color w:val="202E39"/>
        </w:rPr>
      </w:pPr>
      <w:r>
        <w:rPr>
          <w:rFonts w:ascii="Arial" w:cs="Arial" w:eastAsia="Arial" w:hAnsi="Arial"/>
          <w:sz w:val="15"/>
          <w:szCs w:val="15"/>
          <w:color w:val="202E39"/>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73" w:lineRule="exact"/>
        <w:rPr>
          <w:rFonts w:ascii="Arial" w:cs="Arial" w:eastAsia="Arial" w:hAnsi="Arial"/>
          <w:sz w:val="15"/>
          <w:szCs w:val="15"/>
          <w:color w:val="202E39"/>
        </w:rPr>
      </w:pPr>
    </w:p>
    <w:p>
      <w:pPr>
        <w:ind w:left="700" w:right="80" w:hanging="10"/>
        <w:spacing w:after="0" w:line="247" w:lineRule="auto"/>
        <w:tabs>
          <w:tab w:leader="none" w:pos="937" w:val="left"/>
        </w:tabs>
        <w:numPr>
          <w:ilvl w:val="0"/>
          <w:numId w:val="94"/>
        </w:numPr>
        <w:rPr>
          <w:rFonts w:ascii="Arial" w:cs="Arial" w:eastAsia="Arial" w:hAnsi="Arial"/>
          <w:sz w:val="16"/>
          <w:szCs w:val="16"/>
          <w:color w:val="202E39"/>
        </w:rPr>
      </w:pPr>
      <w:r>
        <w:rPr>
          <w:rFonts w:ascii="Arial" w:cs="Arial" w:eastAsia="Arial" w:hAnsi="Arial"/>
          <w:sz w:val="16"/>
          <w:szCs w:val="16"/>
          <w:color w:val="202E39"/>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78" w:lineRule="exact"/>
        <w:rPr>
          <w:sz w:val="20"/>
          <w:szCs w:val="20"/>
          <w:color w:val="auto"/>
        </w:rPr>
      </w:pPr>
    </w:p>
    <w:p>
      <w:pPr>
        <w:ind w:left="260" w:right="100"/>
        <w:spacing w:after="0" w:line="243" w:lineRule="auto"/>
        <w:rPr>
          <w:sz w:val="20"/>
          <w:szCs w:val="20"/>
          <w:color w:val="auto"/>
        </w:rPr>
      </w:pPr>
      <w:r>
        <w:rPr>
          <w:rFonts w:ascii="Arial" w:cs="Arial" w:eastAsia="Arial" w:hAnsi="Arial"/>
          <w:sz w:val="16"/>
          <w:szCs w:val="16"/>
          <w:color w:val="202E39"/>
        </w:rPr>
        <w:t xml:space="preserve">10.2 </w:t>
      </w:r>
      <w:r>
        <w:rPr>
          <w:rFonts w:ascii="Arial" w:cs="Arial" w:eastAsia="Arial" w:hAnsi="Arial"/>
          <w:sz w:val="16"/>
          <w:szCs w:val="16"/>
          <w:u w:val="single" w:color="auto"/>
          <w:color w:val="202E39"/>
        </w:rPr>
        <w:t>Amendment, Suspension or Termination of this Plan</w:t>
      </w:r>
      <w:r>
        <w:rPr>
          <w:rFonts w:ascii="Arial" w:cs="Arial" w:eastAsia="Arial" w:hAnsi="Arial"/>
          <w:sz w:val="16"/>
          <w:szCs w:val="16"/>
          <w:color w:val="202E39"/>
        </w:rPr>
        <w:t>.  Except as otherwise provided in this Section 10.2, this Plan may be wholly or partially amended or otherwise modified, suspended or terminated at any time or from time to time by the Board or the Committee. However, the Board or the Committee will obtain stockholder approval of any Plan amendment to the extent necessary to comply with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July 14, 2034.</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10.3 </w:t>
      </w:r>
      <w:r>
        <w:rPr>
          <w:rFonts w:ascii="Arial" w:cs="Arial" w:eastAsia="Arial" w:hAnsi="Arial"/>
          <w:sz w:val="16"/>
          <w:szCs w:val="16"/>
          <w:u w:val="single" w:color="auto"/>
          <w:color w:val="202E39"/>
        </w:rPr>
        <w:t>Changes in Common Stock or Assets of the Company, Acquisition or Liquidation of the Company and Other Corporate Events</w:t>
      </w:r>
      <w:r>
        <w:rPr>
          <w:rFonts w:ascii="Arial" w:cs="Arial" w:eastAsia="Arial" w:hAnsi="Arial"/>
          <w:sz w:val="16"/>
          <w:szCs w:val="16"/>
          <w:color w:val="202E39"/>
        </w:rPr>
        <w:t>.</w:t>
      </w:r>
    </w:p>
    <w:p>
      <w:pPr>
        <w:spacing w:after="0" w:line="105" w:lineRule="exact"/>
        <w:rPr>
          <w:sz w:val="20"/>
          <w:szCs w:val="20"/>
          <w:color w:val="auto"/>
        </w:rPr>
      </w:pPr>
    </w:p>
    <w:p>
      <w:pPr>
        <w:ind w:left="700" w:right="20" w:hanging="10"/>
        <w:spacing w:after="0" w:line="242" w:lineRule="auto"/>
        <w:tabs>
          <w:tab w:leader="none" w:pos="937" w:val="left"/>
        </w:tabs>
        <w:numPr>
          <w:ilvl w:val="0"/>
          <w:numId w:val="95"/>
        </w:numPr>
        <w:rPr>
          <w:rFonts w:ascii="Arial" w:cs="Arial" w:eastAsia="Arial" w:hAnsi="Arial"/>
          <w:sz w:val="16"/>
          <w:szCs w:val="16"/>
          <w:color w:val="202E39"/>
        </w:rPr>
      </w:pPr>
      <w:r>
        <w:rPr>
          <w:rFonts w:ascii="Arial" w:cs="Arial" w:eastAsia="Arial" w:hAnsi="Arial"/>
          <w:sz w:val="16"/>
          <w:szCs w:val="16"/>
          <w:color w:val="202E39"/>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88" w:lineRule="exact"/>
        <w:rPr>
          <w:rFonts w:ascii="Arial" w:cs="Arial" w:eastAsia="Arial" w:hAnsi="Arial"/>
          <w:sz w:val="16"/>
          <w:szCs w:val="16"/>
          <w:color w:val="202E39"/>
        </w:rPr>
      </w:pPr>
    </w:p>
    <w:p>
      <w:pPr>
        <w:ind w:left="1120" w:right="120" w:hanging="1"/>
        <w:spacing w:after="0" w:line="254" w:lineRule="auto"/>
        <w:tabs>
          <w:tab w:leader="none" w:pos="1304" w:val="left"/>
        </w:tabs>
        <w:numPr>
          <w:ilvl w:val="1"/>
          <w:numId w:val="95"/>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79375</wp:posOffset>
            </wp:positionV>
            <wp:extent cx="425450" cy="150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A-14       </w:t>
      </w:r>
    </w:p>
    <w:p>
      <w:pPr>
        <w:sectPr>
          <w:pgSz w:w="11900" w:h="16838" w:orient="portrait"/>
          <w:cols w:equalWidth="0" w:num="1">
            <w:col w:w="10980"/>
          </w:cols>
          <w:pgMar w:left="320" w:top="474" w:right="5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1120" w:right="340"/>
        <w:spacing w:after="0" w:line="269" w:lineRule="auto"/>
        <w:rPr>
          <w:sz w:val="20"/>
          <w:szCs w:val="20"/>
          <w:color w:val="auto"/>
        </w:rPr>
      </w:pPr>
      <w:r>
        <w:rPr>
          <w:rFonts w:ascii="Arial" w:cs="Arial" w:eastAsia="Arial" w:hAnsi="Arial"/>
          <w:sz w:val="16"/>
          <w:szCs w:val="16"/>
          <w:color w:val="202E39"/>
        </w:rPr>
        <w:t>adjustments of the limitations in Section 2.1 on the maximum number and kind of shares which may be issued, adjustments of the Award Limit and adjustments of the manner in which shares subject to Full Value Awards will be counted),</w:t>
      </w:r>
    </w:p>
    <w:p>
      <w:pPr>
        <w:spacing w:after="0" w:line="61" w:lineRule="exact"/>
        <w:rPr>
          <w:sz w:val="20"/>
          <w:szCs w:val="20"/>
          <w:color w:val="auto"/>
        </w:rPr>
      </w:pPr>
    </w:p>
    <w:p>
      <w:pPr>
        <w:ind w:left="1120" w:right="160" w:hanging="1"/>
        <w:spacing w:after="0" w:line="254" w:lineRule="auto"/>
        <w:tabs>
          <w:tab w:leader="none" w:pos="1339" w:val="left"/>
        </w:tabs>
        <w:numPr>
          <w:ilvl w:val="1"/>
          <w:numId w:val="96"/>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spacing w:after="0" w:line="73" w:lineRule="exact"/>
        <w:rPr>
          <w:rFonts w:ascii="Arial" w:cs="Arial" w:eastAsia="Arial" w:hAnsi="Arial"/>
          <w:sz w:val="16"/>
          <w:szCs w:val="16"/>
          <w:color w:val="202E39"/>
        </w:rPr>
      </w:pPr>
    </w:p>
    <w:p>
      <w:pPr>
        <w:ind w:left="1120" w:right="360" w:hanging="1"/>
        <w:spacing w:after="0" w:line="269" w:lineRule="auto"/>
        <w:tabs>
          <w:tab w:leader="none" w:pos="1374" w:val="left"/>
        </w:tabs>
        <w:numPr>
          <w:ilvl w:val="1"/>
          <w:numId w:val="96"/>
        </w:numPr>
        <w:rPr>
          <w:rFonts w:ascii="Arial" w:cs="Arial" w:eastAsia="Arial" w:hAnsi="Arial"/>
          <w:sz w:val="16"/>
          <w:szCs w:val="16"/>
          <w:color w:val="202E39"/>
        </w:rPr>
      </w:pPr>
      <w:r>
        <w:rPr>
          <w:rFonts w:ascii="Arial" w:cs="Arial" w:eastAsia="Arial" w:hAnsi="Arial"/>
          <w:sz w:val="16"/>
          <w:szCs w:val="16"/>
          <w:color w:val="202E39"/>
        </w:rPr>
        <w:t>the grant or exercise price with respect to any Option, Restricted Stock Unit, Performance Award, Stock Appreciation Right, Dividend Equivalent or Stock Payment, and</w:t>
      </w:r>
    </w:p>
    <w:p>
      <w:pPr>
        <w:spacing w:after="0" w:line="60" w:lineRule="exact"/>
        <w:rPr>
          <w:rFonts w:ascii="Arial" w:cs="Arial" w:eastAsia="Arial" w:hAnsi="Arial"/>
          <w:sz w:val="16"/>
          <w:szCs w:val="16"/>
          <w:color w:val="202E39"/>
        </w:rPr>
      </w:pPr>
    </w:p>
    <w:p>
      <w:pPr>
        <w:ind w:left="1120" w:right="260" w:hanging="1"/>
        <w:spacing w:after="0" w:line="254" w:lineRule="auto"/>
        <w:tabs>
          <w:tab w:leader="none" w:pos="1383" w:val="left"/>
        </w:tabs>
        <w:numPr>
          <w:ilvl w:val="1"/>
          <w:numId w:val="96"/>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spacing w:after="0" w:line="73" w:lineRule="exact"/>
        <w:rPr>
          <w:rFonts w:ascii="Arial" w:cs="Arial" w:eastAsia="Arial" w:hAnsi="Arial"/>
          <w:sz w:val="16"/>
          <w:szCs w:val="16"/>
          <w:color w:val="202E39"/>
        </w:rPr>
      </w:pPr>
    </w:p>
    <w:p>
      <w:pPr>
        <w:ind w:left="700" w:right="40" w:hanging="10"/>
        <w:spacing w:after="0" w:line="263" w:lineRule="auto"/>
        <w:tabs>
          <w:tab w:leader="none" w:pos="937" w:val="left"/>
        </w:tabs>
        <w:numPr>
          <w:ilvl w:val="0"/>
          <w:numId w:val="97"/>
        </w:numPr>
        <w:rPr>
          <w:rFonts w:ascii="Arial" w:cs="Arial" w:eastAsia="Arial" w:hAnsi="Arial"/>
          <w:sz w:val="15"/>
          <w:szCs w:val="15"/>
          <w:color w:val="202E39"/>
        </w:rPr>
      </w:pPr>
      <w:r>
        <w:rPr>
          <w:rFonts w:ascii="Arial" w:cs="Arial" w:eastAsia="Arial" w:hAnsi="Arial"/>
          <w:sz w:val="15"/>
          <w:szCs w:val="15"/>
          <w:color w:val="202E39"/>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70" w:lineRule="exact"/>
        <w:rPr>
          <w:rFonts w:ascii="Arial" w:cs="Arial" w:eastAsia="Arial" w:hAnsi="Arial"/>
          <w:sz w:val="15"/>
          <w:szCs w:val="15"/>
          <w:color w:val="202E39"/>
        </w:rPr>
      </w:pPr>
    </w:p>
    <w:p>
      <w:pPr>
        <w:ind w:left="1120" w:right="100" w:hanging="1"/>
        <w:spacing w:after="0" w:line="244" w:lineRule="auto"/>
        <w:tabs>
          <w:tab w:leader="none" w:pos="1304" w:val="left"/>
        </w:tabs>
        <w:numPr>
          <w:ilvl w:val="1"/>
          <w:numId w:val="97"/>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80" w:lineRule="exact"/>
        <w:rPr>
          <w:rFonts w:ascii="Arial" w:cs="Arial" w:eastAsia="Arial" w:hAnsi="Arial"/>
          <w:sz w:val="16"/>
          <w:szCs w:val="16"/>
          <w:color w:val="202E39"/>
        </w:rPr>
      </w:pPr>
    </w:p>
    <w:p>
      <w:pPr>
        <w:ind w:left="1120" w:right="160" w:hanging="1"/>
        <w:spacing w:after="0" w:line="249" w:lineRule="auto"/>
        <w:tabs>
          <w:tab w:leader="none" w:pos="1339" w:val="left"/>
        </w:tabs>
        <w:numPr>
          <w:ilvl w:val="1"/>
          <w:numId w:val="97"/>
        </w:numPr>
        <w:rPr>
          <w:rFonts w:ascii="Arial" w:cs="Arial" w:eastAsia="Arial" w:hAnsi="Arial"/>
          <w:sz w:val="16"/>
          <w:szCs w:val="16"/>
          <w:color w:val="202E39"/>
        </w:rPr>
      </w:pPr>
      <w:r>
        <w:rPr>
          <w:rFonts w:ascii="Arial" w:cs="Arial" w:eastAsia="Arial" w:hAnsi="Arial"/>
          <w:sz w:val="16"/>
          <w:szCs w:val="16"/>
          <w:color w:val="202E39"/>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77" w:lineRule="exact"/>
        <w:rPr>
          <w:rFonts w:ascii="Arial" w:cs="Arial" w:eastAsia="Arial" w:hAnsi="Arial"/>
          <w:sz w:val="16"/>
          <w:szCs w:val="16"/>
          <w:color w:val="202E39"/>
        </w:rPr>
      </w:pPr>
    </w:p>
    <w:p>
      <w:pPr>
        <w:ind w:left="1120" w:right="40" w:hanging="1"/>
        <w:spacing w:after="0" w:line="265" w:lineRule="auto"/>
        <w:tabs>
          <w:tab w:leader="none" w:pos="1374" w:val="left"/>
        </w:tabs>
        <w:numPr>
          <w:ilvl w:val="1"/>
          <w:numId w:val="97"/>
        </w:numPr>
        <w:rPr>
          <w:rFonts w:ascii="Arial" w:cs="Arial" w:eastAsia="Arial" w:hAnsi="Arial"/>
          <w:sz w:val="15"/>
          <w:szCs w:val="15"/>
          <w:color w:val="202E39"/>
        </w:rPr>
      </w:pPr>
      <w:r>
        <w:rPr>
          <w:rFonts w:ascii="Arial" w:cs="Arial" w:eastAsia="Arial" w:hAnsi="Arial"/>
          <w:sz w:val="15"/>
          <w:szCs w:val="15"/>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66" w:lineRule="exact"/>
        <w:rPr>
          <w:rFonts w:ascii="Arial" w:cs="Arial" w:eastAsia="Arial" w:hAnsi="Arial"/>
          <w:sz w:val="15"/>
          <w:szCs w:val="15"/>
          <w:color w:val="202E39"/>
        </w:rPr>
      </w:pPr>
    </w:p>
    <w:p>
      <w:pPr>
        <w:ind w:left="1120" w:right="20" w:hanging="1"/>
        <w:spacing w:after="0" w:line="245" w:lineRule="auto"/>
        <w:tabs>
          <w:tab w:leader="none" w:pos="1383" w:val="left"/>
        </w:tabs>
        <w:numPr>
          <w:ilvl w:val="1"/>
          <w:numId w:val="97"/>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82" w:lineRule="exact"/>
        <w:rPr>
          <w:rFonts w:ascii="Arial" w:cs="Arial" w:eastAsia="Arial" w:hAnsi="Arial"/>
          <w:sz w:val="16"/>
          <w:szCs w:val="16"/>
          <w:color w:val="202E39"/>
        </w:rPr>
      </w:pPr>
    </w:p>
    <w:p>
      <w:pPr>
        <w:ind w:left="1120" w:right="60" w:hanging="1"/>
        <w:spacing w:after="0" w:line="245" w:lineRule="auto"/>
        <w:tabs>
          <w:tab w:leader="none" w:pos="1348" w:val="left"/>
        </w:tabs>
        <w:numPr>
          <w:ilvl w:val="1"/>
          <w:numId w:val="97"/>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125"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A-15</w:t>
      </w:r>
    </w:p>
    <w:p>
      <w:pPr>
        <w:sectPr>
          <w:pgSz w:w="11900" w:h="16838" w:orient="portrait"/>
          <w:cols w:equalWidth="0" w:num="1">
            <w:col w:w="10980"/>
          </w:cols>
          <w:pgMar w:left="320" w:top="474" w:right="5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1120" w:right="200" w:hanging="1"/>
        <w:spacing w:after="0" w:line="247" w:lineRule="auto"/>
        <w:tabs>
          <w:tab w:leader="none" w:pos="1383" w:val="left"/>
        </w:tabs>
        <w:numPr>
          <w:ilvl w:val="1"/>
          <w:numId w:val="98"/>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78" w:lineRule="exact"/>
        <w:rPr>
          <w:rFonts w:ascii="Arial" w:cs="Arial" w:eastAsia="Arial" w:hAnsi="Arial"/>
          <w:sz w:val="16"/>
          <w:szCs w:val="16"/>
          <w:color w:val="202E39"/>
        </w:rPr>
      </w:pPr>
    </w:p>
    <w:p>
      <w:pPr>
        <w:ind w:left="1120" w:right="60" w:hanging="1"/>
        <w:spacing w:after="0" w:line="260" w:lineRule="auto"/>
        <w:tabs>
          <w:tab w:leader="none" w:pos="1418" w:val="left"/>
        </w:tabs>
        <w:numPr>
          <w:ilvl w:val="1"/>
          <w:numId w:val="98"/>
        </w:numPr>
        <w:rPr>
          <w:rFonts w:ascii="Arial" w:cs="Arial" w:eastAsia="Arial" w:hAnsi="Arial"/>
          <w:sz w:val="15"/>
          <w:szCs w:val="15"/>
          <w:color w:val="202E39"/>
        </w:rPr>
      </w:pPr>
      <w:r>
        <w:rPr>
          <w:rFonts w:ascii="Arial" w:cs="Arial" w:eastAsia="Arial" w:hAnsi="Arial"/>
          <w:sz w:val="15"/>
          <w:szCs w:val="15"/>
          <w:color w:val="202E39"/>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73" w:lineRule="exact"/>
        <w:rPr>
          <w:rFonts w:ascii="Arial" w:cs="Arial" w:eastAsia="Arial" w:hAnsi="Arial"/>
          <w:sz w:val="15"/>
          <w:szCs w:val="15"/>
          <w:color w:val="202E39"/>
        </w:rPr>
      </w:pPr>
    </w:p>
    <w:p>
      <w:pPr>
        <w:ind w:left="700" w:right="360" w:hanging="10"/>
        <w:spacing w:after="0" w:line="249" w:lineRule="auto"/>
        <w:tabs>
          <w:tab w:leader="none" w:pos="928" w:val="left"/>
        </w:tabs>
        <w:numPr>
          <w:ilvl w:val="0"/>
          <w:numId w:val="99"/>
        </w:numPr>
        <w:rPr>
          <w:rFonts w:ascii="Arial" w:cs="Arial" w:eastAsia="Arial" w:hAnsi="Arial"/>
          <w:sz w:val="16"/>
          <w:szCs w:val="16"/>
          <w:color w:val="202E39"/>
        </w:rPr>
      </w:pPr>
      <w:r>
        <w:rPr>
          <w:rFonts w:ascii="Arial" w:cs="Arial" w:eastAsia="Arial" w:hAnsi="Arial"/>
          <w:sz w:val="16"/>
          <w:szCs w:val="16"/>
          <w:color w:val="202E39"/>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77" w:lineRule="exact"/>
        <w:rPr>
          <w:rFonts w:ascii="Arial" w:cs="Arial" w:eastAsia="Arial" w:hAnsi="Arial"/>
          <w:sz w:val="16"/>
          <w:szCs w:val="16"/>
          <w:color w:val="202E39"/>
        </w:rPr>
      </w:pPr>
    </w:p>
    <w:p>
      <w:pPr>
        <w:ind w:left="700" w:right="240" w:hanging="10"/>
        <w:spacing w:after="0" w:line="245" w:lineRule="auto"/>
        <w:tabs>
          <w:tab w:leader="none" w:pos="937" w:val="left"/>
        </w:tabs>
        <w:numPr>
          <w:ilvl w:val="0"/>
          <w:numId w:val="99"/>
        </w:numPr>
        <w:rPr>
          <w:rFonts w:ascii="Arial" w:cs="Arial" w:eastAsia="Arial" w:hAnsi="Arial"/>
          <w:sz w:val="16"/>
          <w:szCs w:val="16"/>
          <w:color w:val="202E39"/>
        </w:rPr>
      </w:pPr>
      <w:r>
        <w:rPr>
          <w:rFonts w:ascii="Arial" w:cs="Arial" w:eastAsia="Arial" w:hAnsi="Arial"/>
          <w:sz w:val="16"/>
          <w:szCs w:val="16"/>
          <w:color w:val="202E39"/>
        </w:rPr>
        <w:t>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82" w:lineRule="exact"/>
        <w:rPr>
          <w:rFonts w:ascii="Arial" w:cs="Arial" w:eastAsia="Arial" w:hAnsi="Arial"/>
          <w:sz w:val="16"/>
          <w:szCs w:val="16"/>
          <w:color w:val="202E39"/>
        </w:rPr>
      </w:pPr>
    </w:p>
    <w:p>
      <w:pPr>
        <w:ind w:left="920" w:hanging="230"/>
        <w:spacing w:after="0"/>
        <w:tabs>
          <w:tab w:leader="none" w:pos="920" w:val="left"/>
        </w:tabs>
        <w:numPr>
          <w:ilvl w:val="0"/>
          <w:numId w:val="99"/>
        </w:numPr>
        <w:rPr>
          <w:rFonts w:ascii="Arial" w:cs="Arial" w:eastAsia="Arial" w:hAnsi="Arial"/>
          <w:sz w:val="16"/>
          <w:szCs w:val="16"/>
          <w:color w:val="202E39"/>
        </w:rPr>
      </w:pPr>
      <w:r>
        <w:rPr>
          <w:rFonts w:ascii="Arial" w:cs="Arial" w:eastAsia="Arial" w:hAnsi="Arial"/>
          <w:sz w:val="16"/>
          <w:szCs w:val="16"/>
          <w:color w:val="202E39"/>
        </w:rPr>
        <w:t>In connection with the occurrence of any Equity Restructuring, and notwithstanding anything to the contrary in Sections 10.3(a) and 10.3(b):</w:t>
      </w:r>
    </w:p>
    <w:p>
      <w:pPr>
        <w:spacing w:after="0" w:line="105" w:lineRule="exact"/>
        <w:rPr>
          <w:rFonts w:ascii="Arial" w:cs="Arial" w:eastAsia="Arial" w:hAnsi="Arial"/>
          <w:sz w:val="16"/>
          <w:szCs w:val="16"/>
          <w:color w:val="202E39"/>
        </w:rPr>
      </w:pPr>
    </w:p>
    <w:p>
      <w:pPr>
        <w:ind w:left="1120" w:hanging="1"/>
        <w:spacing w:after="0" w:line="254" w:lineRule="auto"/>
        <w:tabs>
          <w:tab w:leader="none" w:pos="1304" w:val="left"/>
        </w:tabs>
        <w:numPr>
          <w:ilvl w:val="1"/>
          <w:numId w:val="99"/>
        </w:numPr>
        <w:rPr>
          <w:rFonts w:ascii="Arial" w:cs="Arial" w:eastAsia="Arial" w:hAnsi="Arial"/>
          <w:sz w:val="16"/>
          <w:szCs w:val="16"/>
          <w:color w:val="202E39"/>
        </w:rPr>
      </w:pPr>
      <w:r>
        <w:rPr>
          <w:rFonts w:ascii="Arial" w:cs="Arial" w:eastAsia="Arial" w:hAnsi="Arial"/>
          <w:sz w:val="16"/>
          <w:szCs w:val="16"/>
          <w:color w:val="202E39"/>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73" w:lineRule="exact"/>
        <w:rPr>
          <w:rFonts w:ascii="Arial" w:cs="Arial" w:eastAsia="Arial" w:hAnsi="Arial"/>
          <w:sz w:val="16"/>
          <w:szCs w:val="16"/>
          <w:color w:val="202E39"/>
        </w:rPr>
      </w:pPr>
    </w:p>
    <w:p>
      <w:pPr>
        <w:ind w:left="1120" w:right="80" w:hanging="1"/>
        <w:spacing w:after="0" w:line="247" w:lineRule="auto"/>
        <w:tabs>
          <w:tab w:leader="none" w:pos="1339" w:val="left"/>
        </w:tabs>
        <w:numPr>
          <w:ilvl w:val="1"/>
          <w:numId w:val="99"/>
        </w:numPr>
        <w:rPr>
          <w:rFonts w:ascii="Arial" w:cs="Arial" w:eastAsia="Arial" w:hAnsi="Arial"/>
          <w:sz w:val="16"/>
          <w:szCs w:val="16"/>
          <w:color w:val="202E39"/>
        </w:rPr>
      </w:pPr>
      <w:r>
        <w:rPr>
          <w:rFonts w:ascii="Arial" w:cs="Arial" w:eastAsia="Arial" w:hAnsi="Arial"/>
          <w:sz w:val="16"/>
          <w:szCs w:val="16"/>
          <w:color w:val="202E39"/>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78" w:lineRule="exact"/>
        <w:rPr>
          <w:sz w:val="20"/>
          <w:szCs w:val="20"/>
          <w:color w:val="auto"/>
        </w:rPr>
      </w:pPr>
    </w:p>
    <w:p>
      <w:pPr>
        <w:ind w:left="260"/>
        <w:spacing w:after="0" w:line="242" w:lineRule="auto"/>
        <w:rPr>
          <w:sz w:val="20"/>
          <w:szCs w:val="20"/>
          <w:color w:val="auto"/>
        </w:rPr>
      </w:pPr>
      <w:r>
        <w:rPr>
          <w:rFonts w:ascii="Arial" w:cs="Arial" w:eastAsia="Arial" w:hAnsi="Arial"/>
          <w:sz w:val="16"/>
          <w:szCs w:val="16"/>
          <w:color w:val="202E39"/>
        </w:rPr>
        <w:t xml:space="preserve">10.4 </w:t>
      </w:r>
      <w:r>
        <w:rPr>
          <w:rFonts w:ascii="Arial" w:cs="Arial" w:eastAsia="Arial" w:hAnsi="Arial"/>
          <w:sz w:val="16"/>
          <w:szCs w:val="16"/>
          <w:u w:val="single" w:color="auto"/>
          <w:color w:val="202E39"/>
        </w:rPr>
        <w:t>Tax Withholding</w:t>
      </w:r>
      <w:r>
        <w:rPr>
          <w:rFonts w:ascii="Arial" w:cs="Arial" w:eastAsia="Arial" w:hAnsi="Arial"/>
          <w:sz w:val="16"/>
          <w:szCs w:val="16"/>
          <w:color w:val="202E39"/>
        </w:rPr>
        <w:t>.  Each Optionee, Grantee or Restricted Stockholder must pay the Company, or make provision satisfactory to the Committee, for payment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86360</wp:posOffset>
            </wp:positionV>
            <wp:extent cx="425450" cy="150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A-16       </w:t>
      </w:r>
    </w:p>
    <w:p>
      <w:pPr>
        <w:sectPr>
          <w:pgSz w:w="11900" w:h="16838" w:orient="portrait"/>
          <w:cols w:equalWidth="0" w:num="1">
            <w:col w:w="10980"/>
          </w:cols>
          <w:pgMar w:left="320" w:top="474" w:right="5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10140"/>
        <w:spacing w:after="0"/>
        <w:rPr>
          <w:sz w:val="20"/>
          <w:szCs w:val="20"/>
          <w:color w:val="auto"/>
        </w:rPr>
      </w:pPr>
      <w:r>
        <w:rPr>
          <w:rFonts w:ascii="Arial" w:cs="Arial" w:eastAsia="Arial" w:hAnsi="Arial"/>
          <w:sz w:val="13"/>
          <w:szCs w:val="13"/>
          <w:color w:val="009FE3"/>
        </w:rPr>
        <w:t>APPENDIX A</w:t>
      </w:r>
    </w:p>
    <w:p>
      <w:pPr>
        <w:spacing w:after="0" w:line="150" w:lineRule="exact"/>
        <w:rPr>
          <w:sz w:val="20"/>
          <w:szCs w:val="20"/>
          <w:color w:val="auto"/>
        </w:rPr>
      </w:pPr>
    </w:p>
    <w:p>
      <w:pPr>
        <w:ind w:left="260" w:right="20"/>
        <w:spacing w:after="0" w:line="241" w:lineRule="auto"/>
        <w:rPr>
          <w:sz w:val="20"/>
          <w:szCs w:val="20"/>
          <w:color w:val="auto"/>
        </w:rPr>
      </w:pPr>
      <w:r>
        <w:rPr>
          <w:rFonts w:ascii="Arial" w:cs="Arial" w:eastAsia="Arial" w:hAnsi="Arial"/>
          <w:sz w:val="16"/>
          <w:szCs w:val="16"/>
          <w:color w:val="202E39"/>
        </w:rPr>
        <w:t>electronically or telephonically to the extent permitted by the Company) of an irrevocable and unconditional undertaking by a broker acceptable to the Company to deliver promptly to the Company sufficient funds to satisfy the tax obligations, or (ii) delivery by the Optionee, Grantee or Restricted Stockholder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w:t>
      </w:r>
    </w:p>
    <w:p>
      <w:pPr>
        <w:spacing w:after="0" w:line="90" w:lineRule="exact"/>
        <w:rPr>
          <w:sz w:val="20"/>
          <w:szCs w:val="20"/>
          <w:color w:val="auto"/>
        </w:rPr>
      </w:pPr>
    </w:p>
    <w:p>
      <w:pPr>
        <w:ind w:left="260" w:right="60"/>
        <w:spacing w:after="0" w:line="247" w:lineRule="auto"/>
        <w:rPr>
          <w:sz w:val="20"/>
          <w:szCs w:val="20"/>
          <w:color w:val="auto"/>
        </w:rPr>
      </w:pPr>
      <w:r>
        <w:rPr>
          <w:rFonts w:ascii="Arial" w:cs="Arial" w:eastAsia="Arial" w:hAnsi="Arial"/>
          <w:sz w:val="16"/>
          <w:szCs w:val="16"/>
          <w:color w:val="202E39"/>
        </w:rPr>
        <w:t xml:space="preserve">10.5 </w:t>
      </w:r>
      <w:r>
        <w:rPr>
          <w:rFonts w:ascii="Arial" w:cs="Arial" w:eastAsia="Arial" w:hAnsi="Arial"/>
          <w:sz w:val="16"/>
          <w:szCs w:val="16"/>
          <w:u w:val="single" w:color="auto"/>
          <w:color w:val="202E39"/>
        </w:rPr>
        <w:t>Loans</w:t>
      </w:r>
      <w:r>
        <w:rPr>
          <w:rFonts w:ascii="Arial" w:cs="Arial" w:eastAsia="Arial" w:hAnsi="Arial"/>
          <w:sz w:val="16"/>
          <w:szCs w:val="16"/>
          <w:color w:val="202E39"/>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78" w:lineRule="exact"/>
        <w:rPr>
          <w:sz w:val="20"/>
          <w:szCs w:val="20"/>
          <w:color w:val="auto"/>
        </w:rPr>
      </w:pPr>
    </w:p>
    <w:p>
      <w:pPr>
        <w:ind w:left="260" w:right="60"/>
        <w:spacing w:after="0" w:line="243" w:lineRule="auto"/>
        <w:rPr>
          <w:sz w:val="20"/>
          <w:szCs w:val="20"/>
          <w:color w:val="auto"/>
        </w:rPr>
      </w:pPr>
      <w:r>
        <w:rPr>
          <w:rFonts w:ascii="Arial" w:cs="Arial" w:eastAsia="Arial" w:hAnsi="Arial"/>
          <w:sz w:val="16"/>
          <w:szCs w:val="16"/>
          <w:color w:val="202E39"/>
        </w:rPr>
        <w:t xml:space="preserve">10.6 </w:t>
      </w:r>
      <w:r>
        <w:rPr>
          <w:rFonts w:ascii="Arial" w:cs="Arial" w:eastAsia="Arial" w:hAnsi="Arial"/>
          <w:sz w:val="16"/>
          <w:szCs w:val="16"/>
          <w:u w:val="single" w:color="auto"/>
          <w:color w:val="202E39"/>
        </w:rPr>
        <w:t>Forfeiture Provisions</w:t>
      </w:r>
      <w:r>
        <w:rPr>
          <w:rFonts w:ascii="Arial" w:cs="Arial" w:eastAsia="Arial" w:hAnsi="Arial"/>
          <w:sz w:val="16"/>
          <w:szCs w:val="16"/>
          <w:color w:val="202E39"/>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85" w:lineRule="exact"/>
        <w:rPr>
          <w:sz w:val="20"/>
          <w:szCs w:val="20"/>
          <w:color w:val="auto"/>
        </w:rPr>
      </w:pPr>
    </w:p>
    <w:p>
      <w:pPr>
        <w:ind w:left="260" w:right="40"/>
        <w:spacing w:after="0" w:line="244" w:lineRule="auto"/>
        <w:rPr>
          <w:sz w:val="20"/>
          <w:szCs w:val="20"/>
          <w:color w:val="auto"/>
        </w:rPr>
      </w:pPr>
      <w:r>
        <w:rPr>
          <w:rFonts w:ascii="Arial" w:cs="Arial" w:eastAsia="Arial" w:hAnsi="Arial"/>
          <w:sz w:val="16"/>
          <w:szCs w:val="16"/>
          <w:color w:val="202E39"/>
        </w:rPr>
        <w:t xml:space="preserve">10.7 </w:t>
      </w:r>
      <w:r>
        <w:rPr>
          <w:rFonts w:ascii="Arial" w:cs="Arial" w:eastAsia="Arial" w:hAnsi="Arial"/>
          <w:sz w:val="16"/>
          <w:szCs w:val="16"/>
          <w:u w:val="single" w:color="auto"/>
          <w:color w:val="202E39"/>
        </w:rPr>
        <w:t>Limitations Applicable to Section 16 Persons and Performance-Based Compensation</w:t>
      </w:r>
      <w:r>
        <w:rPr>
          <w:rFonts w:ascii="Arial" w:cs="Arial" w:eastAsia="Arial" w:hAnsi="Arial"/>
          <w:sz w:val="16"/>
          <w:szCs w:val="16"/>
          <w:color w:val="202E39"/>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To the extent permitted by applicable law, the Plan and any such awards shall be deemed amended to the extent necessary to conform to such requirements.</w:t>
      </w:r>
    </w:p>
    <w:p>
      <w:pPr>
        <w:spacing w:after="0" w:line="81" w:lineRule="exact"/>
        <w:rPr>
          <w:sz w:val="20"/>
          <w:szCs w:val="20"/>
          <w:color w:val="auto"/>
        </w:rPr>
      </w:pPr>
    </w:p>
    <w:p>
      <w:pPr>
        <w:ind w:left="260" w:right="20"/>
        <w:spacing w:after="0" w:line="245" w:lineRule="auto"/>
        <w:rPr>
          <w:sz w:val="20"/>
          <w:szCs w:val="20"/>
          <w:color w:val="auto"/>
        </w:rPr>
      </w:pPr>
      <w:r>
        <w:rPr>
          <w:rFonts w:ascii="Arial" w:cs="Arial" w:eastAsia="Arial" w:hAnsi="Arial"/>
          <w:sz w:val="16"/>
          <w:szCs w:val="16"/>
          <w:color w:val="202E39"/>
        </w:rPr>
        <w:t xml:space="preserve">10.8 </w:t>
      </w:r>
      <w:r>
        <w:rPr>
          <w:rFonts w:ascii="Arial" w:cs="Arial" w:eastAsia="Arial" w:hAnsi="Arial"/>
          <w:sz w:val="16"/>
          <w:szCs w:val="16"/>
          <w:u w:val="single" w:color="auto"/>
          <w:color w:val="202E39"/>
        </w:rPr>
        <w:t>Effect of Plan Upon Options and Compensation Plans</w:t>
      </w:r>
      <w:r>
        <w:rPr>
          <w:rFonts w:ascii="Arial" w:cs="Arial" w:eastAsia="Arial" w:hAnsi="Arial"/>
          <w:sz w:val="16"/>
          <w:szCs w:val="16"/>
          <w:color w:val="202E39"/>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25"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009FE3"/>
        </w:rPr>
        <w:t xml:space="preserve">2024 </w:t>
      </w:r>
      <w:r>
        <w:rPr>
          <w:rFonts w:ascii="Arial" w:cs="Arial" w:eastAsia="Arial" w:hAnsi="Arial"/>
          <w:sz w:val="13"/>
          <w:szCs w:val="13"/>
          <w:b w:val="1"/>
          <w:bCs w:val="1"/>
          <w:color w:val="202E39"/>
        </w:rPr>
        <w:t>Proxy Statement         A-17</w:t>
      </w:r>
    </w:p>
    <w:p>
      <w:pPr>
        <w:sectPr>
          <w:pgSz w:w="11900" w:h="16838" w:orient="portrait"/>
          <w:cols w:equalWidth="0" w:num="1">
            <w:col w:w="10980"/>
          </w:cols>
          <w:pgMar w:left="320" w:top="474" w:right="5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4"/>
          <w:szCs w:val="14"/>
          <w:color w:val="202E39"/>
        </w:rPr>
        <w:t>APPENDIX A</w:t>
      </w:r>
    </w:p>
    <w:p>
      <w:pPr>
        <w:spacing w:after="0" w:line="139" w:lineRule="exact"/>
        <w:rPr>
          <w:sz w:val="20"/>
          <w:szCs w:val="20"/>
          <w:color w:val="auto"/>
        </w:rPr>
      </w:pPr>
    </w:p>
    <w:p>
      <w:pPr>
        <w:ind w:left="260" w:right="60"/>
        <w:spacing w:after="0" w:line="242" w:lineRule="auto"/>
        <w:rPr>
          <w:sz w:val="20"/>
          <w:szCs w:val="20"/>
          <w:color w:val="auto"/>
        </w:rPr>
      </w:pPr>
      <w:r>
        <w:rPr>
          <w:rFonts w:ascii="Arial" w:cs="Arial" w:eastAsia="Arial" w:hAnsi="Arial"/>
          <w:sz w:val="16"/>
          <w:szCs w:val="16"/>
          <w:color w:val="202E39"/>
        </w:rPr>
        <w:t xml:space="preserve">10.9 </w:t>
      </w:r>
      <w:r>
        <w:rPr>
          <w:rFonts w:ascii="Arial" w:cs="Arial" w:eastAsia="Arial" w:hAnsi="Arial"/>
          <w:sz w:val="16"/>
          <w:szCs w:val="16"/>
          <w:u w:val="single" w:color="auto"/>
          <w:color w:val="202E39"/>
        </w:rPr>
        <w:t>Compliance with Laws</w:t>
      </w:r>
      <w:r>
        <w:rPr>
          <w:rFonts w:ascii="Arial" w:cs="Arial" w:eastAsia="Arial" w:hAnsi="Arial"/>
          <w:sz w:val="16"/>
          <w:szCs w:val="16"/>
          <w:color w:val="202E39"/>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color w:val="202E39"/>
        </w:rPr>
        <w:t xml:space="preserve">10.10 </w:t>
      </w:r>
      <w:r>
        <w:rPr>
          <w:rFonts w:ascii="Arial" w:cs="Arial" w:eastAsia="Arial" w:hAnsi="Arial"/>
          <w:sz w:val="16"/>
          <w:szCs w:val="16"/>
          <w:u w:val="single" w:color="auto"/>
          <w:color w:val="202E39"/>
        </w:rPr>
        <w:t>Titles</w:t>
      </w:r>
      <w:r>
        <w:rPr>
          <w:rFonts w:ascii="Arial" w:cs="Arial" w:eastAsia="Arial" w:hAnsi="Arial"/>
          <w:sz w:val="16"/>
          <w:szCs w:val="16"/>
          <w:color w:val="202E39"/>
        </w:rPr>
        <w:t>.   Titles are provided herein for convenience only and are not to serve as a basis for interpretation or construction of this Plan.</w:t>
      </w:r>
    </w:p>
    <w:p>
      <w:pPr>
        <w:spacing w:after="0" w:line="105" w:lineRule="exact"/>
        <w:rPr>
          <w:sz w:val="20"/>
          <w:szCs w:val="20"/>
          <w:color w:val="auto"/>
        </w:rPr>
      </w:pPr>
    </w:p>
    <w:p>
      <w:pPr>
        <w:ind w:left="260" w:right="140"/>
        <w:spacing w:after="0" w:line="269" w:lineRule="auto"/>
        <w:rPr>
          <w:sz w:val="20"/>
          <w:szCs w:val="20"/>
          <w:color w:val="auto"/>
        </w:rPr>
      </w:pPr>
      <w:r>
        <w:rPr>
          <w:rFonts w:ascii="Arial" w:cs="Arial" w:eastAsia="Arial" w:hAnsi="Arial"/>
          <w:sz w:val="16"/>
          <w:szCs w:val="16"/>
          <w:color w:val="202E39"/>
        </w:rPr>
        <w:t xml:space="preserve">10.11 </w:t>
      </w:r>
      <w:r>
        <w:rPr>
          <w:rFonts w:ascii="Arial" w:cs="Arial" w:eastAsia="Arial" w:hAnsi="Arial"/>
          <w:sz w:val="16"/>
          <w:szCs w:val="16"/>
          <w:u w:val="single" w:color="auto"/>
          <w:color w:val="202E39"/>
        </w:rPr>
        <w:t>Governing Law</w:t>
      </w:r>
      <w:r>
        <w:rPr>
          <w:rFonts w:ascii="Arial" w:cs="Arial" w:eastAsia="Arial" w:hAnsi="Arial"/>
          <w:sz w:val="16"/>
          <w:szCs w:val="16"/>
          <w:color w:val="202E39"/>
        </w:rPr>
        <w:t>.  This Plan and any agreements hereunder shall be administered, interpreted and enforced under the internal laws of the State of California without regard to conflicts of laws thereof.</w:t>
      </w:r>
    </w:p>
    <w:p>
      <w:pPr>
        <w:spacing w:after="0" w:line="61" w:lineRule="exact"/>
        <w:rPr>
          <w:sz w:val="20"/>
          <w:szCs w:val="20"/>
          <w:color w:val="auto"/>
        </w:rPr>
      </w:pPr>
    </w:p>
    <w:p>
      <w:pPr>
        <w:ind w:left="260" w:right="20"/>
        <w:spacing w:after="0" w:line="242" w:lineRule="auto"/>
        <w:rPr>
          <w:sz w:val="20"/>
          <w:szCs w:val="20"/>
          <w:color w:val="auto"/>
        </w:rPr>
      </w:pPr>
      <w:r>
        <w:rPr>
          <w:rFonts w:ascii="Arial" w:cs="Arial" w:eastAsia="Arial" w:hAnsi="Arial"/>
          <w:sz w:val="16"/>
          <w:szCs w:val="16"/>
          <w:color w:val="202E39"/>
        </w:rPr>
        <w:t xml:space="preserve">10.12 </w:t>
      </w:r>
      <w:r>
        <w:rPr>
          <w:rFonts w:ascii="Arial" w:cs="Arial" w:eastAsia="Arial" w:hAnsi="Arial"/>
          <w:sz w:val="16"/>
          <w:szCs w:val="16"/>
          <w:u w:val="single" w:color="auto"/>
          <w:color w:val="202E39"/>
        </w:rPr>
        <w:t>Section 409A</w:t>
      </w:r>
      <w:r>
        <w:rPr>
          <w:rFonts w:ascii="Arial" w:cs="Arial" w:eastAsia="Arial" w:hAnsi="Arial"/>
          <w:sz w:val="16"/>
          <w:szCs w:val="16"/>
          <w:color w:val="202E39"/>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89" w:lineRule="exact"/>
        <w:rPr>
          <w:sz w:val="20"/>
          <w:szCs w:val="20"/>
          <w:color w:val="auto"/>
        </w:rPr>
      </w:pPr>
    </w:p>
    <w:p>
      <w:pPr>
        <w:ind w:left="260" w:right="120"/>
        <w:spacing w:after="0" w:line="242" w:lineRule="auto"/>
        <w:rPr>
          <w:sz w:val="20"/>
          <w:szCs w:val="20"/>
          <w:color w:val="auto"/>
        </w:rPr>
      </w:pPr>
      <w:r>
        <w:rPr>
          <w:rFonts w:ascii="Arial" w:cs="Arial" w:eastAsia="Arial" w:hAnsi="Arial"/>
          <w:sz w:val="16"/>
          <w:szCs w:val="16"/>
          <w:color w:val="202E39"/>
        </w:rPr>
        <w:t xml:space="preserve">10.13 </w:t>
      </w:r>
      <w:r>
        <w:rPr>
          <w:rFonts w:ascii="Arial" w:cs="Arial" w:eastAsia="Arial" w:hAnsi="Arial"/>
          <w:sz w:val="16"/>
          <w:szCs w:val="16"/>
          <w:u w:val="single" w:color="auto"/>
          <w:color w:val="202E39"/>
        </w:rPr>
        <w:t>Award Vesting Limitations</w:t>
      </w:r>
      <w:r>
        <w:rPr>
          <w:rFonts w:ascii="Arial" w:cs="Arial" w:eastAsia="Arial" w:hAnsi="Arial"/>
          <w:sz w:val="16"/>
          <w:szCs w:val="16"/>
          <w:color w:val="202E39"/>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notwithstanding the foregoing, the minimum vesting requirement of this Section 10.13 shall not apply to: (a) any awards delivered in lieu of fully-vested cash-based awards under the Plan (or other fully-vested cash awards or payments), (b) any awards to Independent Directors for which the vesting period runs from the date of one annual meeting of the Company’s stockholders to the next annual meeting of the Company’s stockholders which is at least fifty (50) weeks after the immediately preceding year’s annual meeting, or (c) any other awards that result in the issuance of an aggregate of up to five percent (5%) of the Overall Share Limit as of the Restatement Effective Date.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w:t>
      </w:r>
    </w:p>
    <w:p>
      <w:pPr>
        <w:spacing w:after="0" w:line="87"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202E39"/>
        </w:rPr>
        <w:t xml:space="preserve">10.14 </w:t>
      </w:r>
      <w:r>
        <w:rPr>
          <w:rFonts w:ascii="Arial" w:cs="Arial" w:eastAsia="Arial" w:hAnsi="Arial"/>
          <w:sz w:val="16"/>
          <w:szCs w:val="16"/>
          <w:u w:val="single" w:color="auto"/>
          <w:color w:val="202E39"/>
        </w:rPr>
        <w:t>Dividend Limitations</w:t>
      </w:r>
      <w:r>
        <w:rPr>
          <w:rFonts w:ascii="Arial" w:cs="Arial" w:eastAsia="Arial" w:hAnsi="Arial"/>
          <w:sz w:val="16"/>
          <w:szCs w:val="16"/>
          <w:color w:val="202E39"/>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73" w:lineRule="exact"/>
        <w:rPr>
          <w:sz w:val="20"/>
          <w:szCs w:val="20"/>
          <w:color w:val="auto"/>
        </w:rPr>
      </w:pPr>
    </w:p>
    <w:p>
      <w:pPr>
        <w:ind w:left="260" w:right="60"/>
        <w:spacing w:after="0" w:line="244" w:lineRule="auto"/>
        <w:rPr>
          <w:sz w:val="20"/>
          <w:szCs w:val="20"/>
          <w:color w:val="auto"/>
        </w:rPr>
      </w:pPr>
      <w:r>
        <w:rPr>
          <w:rFonts w:ascii="Arial" w:cs="Arial" w:eastAsia="Arial" w:hAnsi="Arial"/>
          <w:sz w:val="16"/>
          <w:szCs w:val="16"/>
          <w:color w:val="202E39"/>
        </w:rPr>
        <w:t xml:space="preserve">10.15 </w:t>
      </w:r>
      <w:r>
        <w:rPr>
          <w:rFonts w:ascii="Arial" w:cs="Arial" w:eastAsia="Arial" w:hAnsi="Arial"/>
          <w:sz w:val="16"/>
          <w:szCs w:val="16"/>
          <w:u w:val="single" w:color="auto"/>
          <w:color w:val="202E39"/>
        </w:rPr>
        <w:t>Clawback Provisions</w:t>
      </w:r>
      <w:r>
        <w:rPr>
          <w:rFonts w:ascii="Arial" w:cs="Arial" w:eastAsia="Arial" w:hAnsi="Arial"/>
          <w:sz w:val="16"/>
          <w:szCs w:val="16"/>
          <w:color w:val="202E39"/>
        </w:rPr>
        <w:t>.  All awards (including, without limitation, any proceeds, gains or other economic benefit actually or constructively received by an Optionee, Grantee or Restricted Stockholder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 (including the Dodd-Frank Wall Street Reform and Consumer Protection Act and any rules or regulations promulgated thereunder), as and to the extent set forth in such clawback policy or the applicable award agreement. No recovery of compensation under such a clawback policy will be an event giving rise to a right to resign for “good reason” or “constructive termination” (or similar term) under any agreement between an Optionee, Grantee or Restricted Stockholder and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85725</wp:posOffset>
            </wp:positionV>
            <wp:extent cx="425450" cy="1504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0" cy="150495"/>
                    </a:xfrm>
                    <a:prstGeom prst="rect">
                      <a:avLst/>
                    </a:prstGeom>
                    <a:noFill/>
                  </pic:spPr>
                </pic:pic>
              </a:graphicData>
            </a:graphic>
          </wp:anchor>
        </w:drawing>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02E39"/>
        </w:rPr>
        <w:t xml:space="preserve">A-18       </w:t>
      </w:r>
    </w:p>
    <w:p>
      <w:pPr>
        <w:sectPr>
          <w:pgSz w:w="11900" w:h="16838" w:orient="portrait"/>
          <w:cols w:equalWidth="0" w:num="1">
            <w:col w:w="10980"/>
          </w:cols>
          <w:pgMar w:left="320" w:top="474"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9"/>
          <w:szCs w:val="9"/>
          <w:i w:val="1"/>
          <w:iCs w:val="1"/>
          <w:color w:val="auto"/>
        </w:rPr>
        <w:t>VIASAT, INC.</w:t>
      </w:r>
    </w:p>
    <w:p>
      <w:pPr>
        <w:ind w:left="520"/>
        <w:spacing w:after="0"/>
        <w:rPr>
          <w:sz w:val="20"/>
          <w:szCs w:val="20"/>
          <w:color w:val="auto"/>
        </w:rPr>
      </w:pPr>
      <w:r>
        <w:rPr>
          <w:rFonts w:ascii="Arial" w:cs="Arial" w:eastAsia="Arial" w:hAnsi="Arial"/>
          <w:sz w:val="8"/>
          <w:szCs w:val="8"/>
          <w:i w:val="1"/>
          <w:iCs w:val="1"/>
          <w:color w:val="auto"/>
        </w:rPr>
        <w:t>6155 EL CAMINO REAL</w:t>
      </w:r>
    </w:p>
    <w:p>
      <w:pPr>
        <w:ind w:left="520"/>
        <w:spacing w:after="0" w:line="213" w:lineRule="auto"/>
        <w:rPr>
          <w:sz w:val="20"/>
          <w:szCs w:val="20"/>
          <w:color w:val="auto"/>
        </w:rPr>
      </w:pPr>
      <w:r>
        <w:rPr>
          <w:rFonts w:ascii="Arial" w:cs="Arial" w:eastAsia="Arial" w:hAnsi="Arial"/>
          <w:sz w:val="9"/>
          <w:szCs w:val="9"/>
          <w:i w:val="1"/>
          <w:iCs w:val="1"/>
          <w:color w:val="auto"/>
        </w:rPr>
        <w:t>CARLSBAD, CA 92009</w:t>
      </w:r>
    </w:p>
    <w:p>
      <w:pPr>
        <w:ind w:left="520"/>
        <w:spacing w:after="0"/>
        <w:rPr>
          <w:sz w:val="20"/>
          <w:szCs w:val="20"/>
          <w:color w:val="auto"/>
        </w:rPr>
      </w:pPr>
      <w:r>
        <w:rPr>
          <w:rFonts w:ascii="Arial" w:cs="Arial" w:eastAsia="Arial" w:hAnsi="Arial"/>
          <w:sz w:val="8"/>
          <w:szCs w:val="8"/>
          <w:color w:val="auto"/>
        </w:rPr>
        <w:t>ATTN: BRETT CHURCH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-1297940</wp:posOffset>
            </wp:positionV>
            <wp:extent cx="7178040" cy="54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46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-747395</wp:posOffset>
            </wp:positionV>
            <wp:extent cx="1827530" cy="45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27530" cy="4508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www.virtualshareholdermeeting.com/VSAT2024</w:t>
      </w:r>
    </w:p>
    <w:p>
      <w:pPr>
        <w:spacing w:after="0" w:line="136" w:lineRule="exact"/>
        <w:rPr>
          <w:sz w:val="20"/>
          <w:szCs w:val="20"/>
          <w:color w:val="auto"/>
        </w:rPr>
      </w:pPr>
    </w:p>
    <w:p>
      <w:pPr>
        <w:jc w:val="both"/>
        <w:ind w:right="20"/>
        <w:spacing w:after="0" w:line="248"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140"/>
          </w:cols>
          <w:pgMar w:left="320" w:top="47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5" w:lineRule="exact"/>
        <w:rPr>
          <w:sz w:val="20"/>
          <w:szCs w:val="20"/>
          <w:color w:val="auto"/>
        </w:rPr>
      </w:pPr>
    </w:p>
    <w:p>
      <w:pPr>
        <w:ind w:left="6400"/>
        <w:spacing w:after="0"/>
        <w:rPr>
          <w:sz w:val="20"/>
          <w:szCs w:val="20"/>
          <w:color w:val="auto"/>
        </w:rPr>
      </w:pPr>
      <w:r>
        <w:rPr>
          <w:rFonts w:ascii="Arial" w:cs="Arial" w:eastAsia="Arial" w:hAnsi="Arial"/>
          <w:sz w:val="12"/>
          <w:szCs w:val="12"/>
          <w:color w:val="auto"/>
        </w:rPr>
        <w:t>V54489-P16150                            KEEP THIS PORTION FOR YOUR RECORDS</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 — — — — — — — — — — — — — — — — — — — — — — — — — — — — — — — — — — — — — — — — — — — — — — — — — — — — — — — — — — — — — –</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DETACH AND RETURN THIS PORTION ONLY</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111760</wp:posOffset>
            </wp:positionV>
            <wp:extent cx="6735445" cy="1917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5445" cy="191770"/>
                    </a:xfrm>
                    <a:prstGeom prst="rect">
                      <a:avLst/>
                    </a:prstGeom>
                    <a:noFill/>
                  </pic:spPr>
                </pic:pic>
              </a:graphicData>
            </a:graphic>
          </wp:anchor>
        </w:drawing>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  VIASAT, INC.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24130</wp:posOffset>
            </wp:positionV>
            <wp:extent cx="6735445" cy="3463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5445" cy="3463925"/>
                    </a:xfrm>
                    <a:prstGeom prst="rect">
                      <a:avLst/>
                    </a:prstGeom>
                    <a:noFill/>
                  </pic:spPr>
                </pic:pic>
              </a:graphicData>
            </a:graphic>
          </wp:anchor>
        </w:drawing>
      </w:r>
    </w:p>
    <w:p>
      <w:pPr>
        <w:sectPr>
          <w:pgSz w:w="11900" w:h="16838" w:orient="portrait"/>
          <w:cols w:equalWidth="0" w:num="1">
            <w:col w:w="10980"/>
          </w:cols>
          <w:pgMar w:left="320" w:top="474" w:right="599" w:bottom="1440" w:gutter="0" w:footer="0" w:header="0"/>
          <w:type w:val="continuous"/>
        </w:sectPr>
      </w:pPr>
    </w:p>
    <w:p>
      <w:pPr>
        <w:spacing w:after="0" w:line="296" w:lineRule="exact"/>
        <w:rPr>
          <w:sz w:val="20"/>
          <w:szCs w:val="20"/>
          <w:color w:val="auto"/>
        </w:rPr>
      </w:pPr>
    </w:p>
    <w:p>
      <w:pPr>
        <w:ind w:left="640"/>
        <w:spacing w:after="0" w:line="279" w:lineRule="auto"/>
        <w:rPr>
          <w:sz w:val="20"/>
          <w:szCs w:val="20"/>
          <w:color w:val="auto"/>
        </w:rPr>
      </w:pPr>
      <w:r>
        <w:rPr>
          <w:rFonts w:ascii="Arial" w:cs="Arial" w:eastAsia="Arial" w:hAnsi="Arial"/>
          <w:sz w:val="12"/>
          <w:szCs w:val="12"/>
          <w:b w:val="1"/>
          <w:bCs w:val="1"/>
          <w:color w:val="auto"/>
        </w:rPr>
        <w:t>The Viasat Board of Directors unanimously recommends that stockholders vote “FOR” all the director nominees listed in Proposal 1 and “FOR” Proposals 2, 3 and 4.</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2960" w:type="dxa"/>
            <w:vAlign w:val="bottom"/>
            <w:gridSpan w:val="2"/>
          </w:tcPr>
          <w:p>
            <w:pPr>
              <w:spacing w:after="0"/>
              <w:rPr>
                <w:sz w:val="20"/>
                <w:szCs w:val="20"/>
                <w:color w:val="auto"/>
              </w:rPr>
            </w:pPr>
            <w:r>
              <w:rPr>
                <w:rFonts w:ascii="Arial" w:cs="Arial" w:eastAsia="Arial" w:hAnsi="Arial"/>
                <w:sz w:val="12"/>
                <w:szCs w:val="12"/>
                <w:color w:val="auto"/>
              </w:rPr>
              <w:t>1.    Election of Directors:</w:t>
            </w:r>
          </w:p>
        </w:tc>
        <w:tc>
          <w:tcPr>
            <w:tcW w:w="2020" w:type="dxa"/>
            <w:vAlign w:val="bottom"/>
          </w:tcPr>
          <w:p>
            <w:pPr>
              <w:jc w:val="center"/>
              <w:ind w:left="839"/>
              <w:spacing w:after="0"/>
              <w:rPr>
                <w:sz w:val="20"/>
                <w:szCs w:val="20"/>
                <w:color w:val="auto"/>
              </w:rPr>
            </w:pPr>
            <w:r>
              <w:rPr>
                <w:rFonts w:ascii="Arial" w:cs="Arial" w:eastAsia="Arial" w:hAnsi="Arial"/>
                <w:sz w:val="12"/>
                <w:szCs w:val="12"/>
                <w:b w:val="1"/>
                <w:bCs w:val="1"/>
                <w:color w:val="auto"/>
              </w:rPr>
              <w:t>For</w:t>
            </w:r>
          </w:p>
        </w:tc>
        <w:tc>
          <w:tcPr>
            <w:tcW w:w="960" w:type="dxa"/>
            <w:vAlign w:val="bottom"/>
          </w:tcPr>
          <w:p>
            <w:pPr>
              <w:jc w:val="center"/>
              <w:ind w:left="379"/>
              <w:spacing w:after="0"/>
              <w:rPr>
                <w:sz w:val="20"/>
                <w:szCs w:val="20"/>
                <w:color w:val="auto"/>
              </w:rPr>
            </w:pPr>
            <w:r>
              <w:rPr>
                <w:rFonts w:ascii="Arial" w:cs="Arial" w:eastAsia="Arial" w:hAnsi="Arial"/>
                <w:sz w:val="12"/>
                <w:szCs w:val="12"/>
                <w:b w:val="1"/>
                <w:bCs w:val="1"/>
                <w:color w:val="auto"/>
              </w:rPr>
              <w:t>Withhold</w:t>
            </w:r>
          </w:p>
        </w:tc>
      </w:tr>
      <w:tr>
        <w:trPr>
          <w:trHeight w:val="380"/>
        </w:trPr>
        <w:tc>
          <w:tcPr>
            <w:tcW w:w="560" w:type="dxa"/>
            <w:vAlign w:val="bottom"/>
          </w:tcPr>
          <w:p>
            <w:pPr>
              <w:ind w:left="260"/>
              <w:spacing w:after="0"/>
              <w:rPr>
                <w:sz w:val="20"/>
                <w:szCs w:val="20"/>
                <w:color w:val="auto"/>
              </w:rPr>
            </w:pPr>
            <w:r>
              <w:rPr>
                <w:rFonts w:ascii="Arial" w:cs="Arial" w:eastAsia="Arial" w:hAnsi="Arial"/>
                <w:sz w:val="12"/>
                <w:szCs w:val="12"/>
                <w:color w:val="auto"/>
                <w:w w:val="71"/>
              </w:rPr>
              <w:t>1a.    </w:t>
            </w:r>
          </w:p>
        </w:tc>
        <w:tc>
          <w:tcPr>
            <w:tcW w:w="2400" w:type="dxa"/>
            <w:vAlign w:val="bottom"/>
          </w:tcPr>
          <w:p>
            <w:pPr>
              <w:ind w:left="60"/>
              <w:spacing w:after="0"/>
              <w:rPr>
                <w:sz w:val="20"/>
                <w:szCs w:val="20"/>
                <w:color w:val="auto"/>
              </w:rPr>
            </w:pPr>
            <w:r>
              <w:rPr>
                <w:rFonts w:ascii="Arial" w:cs="Arial" w:eastAsia="Arial" w:hAnsi="Arial"/>
                <w:sz w:val="12"/>
                <w:szCs w:val="12"/>
                <w:color w:val="auto"/>
              </w:rPr>
              <w:t>John Stenbit</w:t>
            </w:r>
          </w:p>
        </w:tc>
        <w:tc>
          <w:tcPr>
            <w:tcW w:w="2020" w:type="dxa"/>
            <w:vAlign w:val="bottom"/>
          </w:tcPr>
          <w:p>
            <w:pPr>
              <w:jc w:val="center"/>
              <w:ind w:left="859"/>
              <w:spacing w:after="0" w:line="121" w:lineRule="exact"/>
              <w:rPr>
                <w:sz w:val="20"/>
                <w:szCs w:val="20"/>
                <w:color w:val="auto"/>
              </w:rPr>
            </w:pPr>
            <w:r>
              <w:rPr>
                <w:rFonts w:ascii="MS PGothic" w:cs="MS PGothic" w:eastAsia="MS PGothic" w:hAnsi="MS PGothic"/>
                <w:sz w:val="12"/>
                <w:szCs w:val="12"/>
                <w:color w:val="auto"/>
                <w:w w:val="82"/>
              </w:rPr>
              <w:t>☐</w:t>
            </w:r>
          </w:p>
        </w:tc>
        <w:tc>
          <w:tcPr>
            <w:tcW w:w="960" w:type="dxa"/>
            <w:vAlign w:val="bottom"/>
          </w:tcPr>
          <w:p>
            <w:pPr>
              <w:jc w:val="center"/>
              <w:ind w:left="399"/>
              <w:spacing w:after="0" w:line="121" w:lineRule="exact"/>
              <w:rPr>
                <w:sz w:val="20"/>
                <w:szCs w:val="20"/>
                <w:color w:val="auto"/>
              </w:rPr>
            </w:pPr>
            <w:r>
              <w:rPr>
                <w:rFonts w:ascii="MS PGothic" w:cs="MS PGothic" w:eastAsia="MS PGothic" w:hAnsi="MS PGothic"/>
                <w:sz w:val="12"/>
                <w:szCs w:val="12"/>
                <w:color w:val="auto"/>
                <w:w w:val="82"/>
              </w:rPr>
              <w:t>☐</w:t>
            </w:r>
          </w:p>
        </w:tc>
      </w:tr>
      <w:tr>
        <w:trPr>
          <w:trHeight w:val="368"/>
        </w:trPr>
        <w:tc>
          <w:tcPr>
            <w:tcW w:w="560" w:type="dxa"/>
            <w:vAlign w:val="bottom"/>
          </w:tcPr>
          <w:p>
            <w:pPr>
              <w:ind w:left="260"/>
              <w:spacing w:after="0"/>
              <w:rPr>
                <w:sz w:val="20"/>
                <w:szCs w:val="20"/>
                <w:color w:val="auto"/>
              </w:rPr>
            </w:pPr>
            <w:r>
              <w:rPr>
                <w:rFonts w:ascii="Arial" w:cs="Arial" w:eastAsia="Arial" w:hAnsi="Arial"/>
                <w:sz w:val="12"/>
                <w:szCs w:val="12"/>
                <w:color w:val="auto"/>
                <w:w w:val="71"/>
              </w:rPr>
              <w:t>1b.    </w:t>
            </w:r>
          </w:p>
        </w:tc>
        <w:tc>
          <w:tcPr>
            <w:tcW w:w="2400" w:type="dxa"/>
            <w:vAlign w:val="bottom"/>
          </w:tcPr>
          <w:p>
            <w:pPr>
              <w:ind w:left="40"/>
              <w:spacing w:after="0"/>
              <w:rPr>
                <w:sz w:val="20"/>
                <w:szCs w:val="20"/>
                <w:color w:val="auto"/>
              </w:rPr>
            </w:pPr>
            <w:r>
              <w:rPr>
                <w:rFonts w:ascii="Arial" w:cs="Arial" w:eastAsia="Arial" w:hAnsi="Arial"/>
                <w:sz w:val="12"/>
                <w:szCs w:val="12"/>
                <w:color w:val="auto"/>
              </w:rPr>
              <w:t>Andrew Sukawaty</w:t>
            </w:r>
          </w:p>
        </w:tc>
        <w:tc>
          <w:tcPr>
            <w:tcW w:w="2020" w:type="dxa"/>
            <w:vAlign w:val="bottom"/>
          </w:tcPr>
          <w:p>
            <w:pPr>
              <w:jc w:val="center"/>
              <w:ind w:left="859"/>
              <w:spacing w:after="0" w:line="121" w:lineRule="exact"/>
              <w:rPr>
                <w:sz w:val="20"/>
                <w:szCs w:val="20"/>
                <w:color w:val="auto"/>
              </w:rPr>
            </w:pPr>
            <w:r>
              <w:rPr>
                <w:rFonts w:ascii="MS PGothic" w:cs="MS PGothic" w:eastAsia="MS PGothic" w:hAnsi="MS PGothic"/>
                <w:sz w:val="12"/>
                <w:szCs w:val="12"/>
                <w:color w:val="auto"/>
                <w:w w:val="82"/>
              </w:rPr>
              <w:t>☐</w:t>
            </w:r>
          </w:p>
        </w:tc>
        <w:tc>
          <w:tcPr>
            <w:tcW w:w="960" w:type="dxa"/>
            <w:vAlign w:val="bottom"/>
          </w:tcPr>
          <w:p>
            <w:pPr>
              <w:jc w:val="center"/>
              <w:ind w:left="399"/>
              <w:spacing w:after="0" w:line="121" w:lineRule="exact"/>
              <w:rPr>
                <w:sz w:val="20"/>
                <w:szCs w:val="20"/>
                <w:color w:val="auto"/>
              </w:rPr>
            </w:pPr>
            <w:r>
              <w:rPr>
                <w:rFonts w:ascii="MS PGothic" w:cs="MS PGothic" w:eastAsia="MS PGothic" w:hAnsi="MS PGothic"/>
                <w:sz w:val="12"/>
                <w:szCs w:val="12"/>
                <w:color w:val="auto"/>
                <w:w w:val="82"/>
              </w:rPr>
              <w:t>☐</w:t>
            </w:r>
          </w:p>
        </w:tc>
      </w:tr>
      <w:tr>
        <w:trPr>
          <w:trHeight w:val="368"/>
        </w:trPr>
        <w:tc>
          <w:tcPr>
            <w:tcW w:w="560" w:type="dxa"/>
            <w:vAlign w:val="bottom"/>
          </w:tcPr>
          <w:p>
            <w:pPr>
              <w:ind w:left="260"/>
              <w:spacing w:after="0"/>
              <w:rPr>
                <w:sz w:val="20"/>
                <w:szCs w:val="20"/>
                <w:color w:val="auto"/>
              </w:rPr>
            </w:pPr>
            <w:r>
              <w:rPr>
                <w:rFonts w:ascii="Arial" w:cs="Arial" w:eastAsia="Arial" w:hAnsi="Arial"/>
                <w:sz w:val="12"/>
                <w:szCs w:val="12"/>
                <w:color w:val="auto"/>
                <w:w w:val="72"/>
              </w:rPr>
              <w:t>1c.    </w:t>
            </w:r>
          </w:p>
        </w:tc>
        <w:tc>
          <w:tcPr>
            <w:tcW w:w="2400" w:type="dxa"/>
            <w:vAlign w:val="bottom"/>
          </w:tcPr>
          <w:p>
            <w:pPr>
              <w:ind w:left="40"/>
              <w:spacing w:after="0"/>
              <w:rPr>
                <w:sz w:val="20"/>
                <w:szCs w:val="20"/>
                <w:color w:val="auto"/>
              </w:rPr>
            </w:pPr>
            <w:r>
              <w:rPr>
                <w:rFonts w:ascii="Arial" w:cs="Arial" w:eastAsia="Arial" w:hAnsi="Arial"/>
                <w:sz w:val="12"/>
                <w:szCs w:val="12"/>
                <w:color w:val="auto"/>
              </w:rPr>
              <w:t>Theresa Wise</w:t>
            </w:r>
          </w:p>
        </w:tc>
        <w:tc>
          <w:tcPr>
            <w:tcW w:w="2020" w:type="dxa"/>
            <w:vAlign w:val="bottom"/>
          </w:tcPr>
          <w:p>
            <w:pPr>
              <w:jc w:val="center"/>
              <w:ind w:left="859"/>
              <w:spacing w:after="0" w:line="121" w:lineRule="exact"/>
              <w:rPr>
                <w:sz w:val="20"/>
                <w:szCs w:val="20"/>
                <w:color w:val="auto"/>
              </w:rPr>
            </w:pPr>
            <w:r>
              <w:rPr>
                <w:rFonts w:ascii="MS PGothic" w:cs="MS PGothic" w:eastAsia="MS PGothic" w:hAnsi="MS PGothic"/>
                <w:sz w:val="12"/>
                <w:szCs w:val="12"/>
                <w:color w:val="auto"/>
                <w:w w:val="82"/>
              </w:rPr>
              <w:t>☐</w:t>
            </w:r>
          </w:p>
        </w:tc>
        <w:tc>
          <w:tcPr>
            <w:tcW w:w="960" w:type="dxa"/>
            <w:vAlign w:val="bottom"/>
          </w:tcPr>
          <w:p>
            <w:pPr>
              <w:jc w:val="center"/>
              <w:ind w:left="399"/>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6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2.    Ratification of Appointment of PricewaterhouseCoopers LLP as Viasat’s Independent Registered Public Accounting Firm for fiscal year 2025</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3.    Advisory Vote on Executive Compensation</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4.    Amendment and Restatement of the 1996 Equity Participation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20" w:val="left"/>
          <w:tab w:leader="none" w:pos="92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203" w:lineRule="exact"/>
        <w:rPr>
          <w:sz w:val="20"/>
          <w:szCs w:val="20"/>
          <w:color w:val="auto"/>
        </w:rPr>
      </w:pPr>
    </w:p>
    <w:p>
      <w:pPr>
        <w:ind w:left="60"/>
        <w:spacing w:after="0" w:line="121" w:lineRule="exact"/>
        <w:tabs>
          <w:tab w:leader="none" w:pos="500" w:val="left"/>
          <w:tab w:leader="none" w:pos="10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8" w:lineRule="exact"/>
        <w:rPr>
          <w:sz w:val="20"/>
          <w:szCs w:val="20"/>
          <w:color w:val="auto"/>
        </w:rPr>
      </w:pPr>
    </w:p>
    <w:p>
      <w:pPr>
        <w:ind w:left="60"/>
        <w:spacing w:after="0" w:line="121" w:lineRule="exact"/>
        <w:tabs>
          <w:tab w:leader="none" w:pos="500" w:val="left"/>
          <w:tab w:leader="none" w:pos="10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8" w:lineRule="exact"/>
        <w:rPr>
          <w:sz w:val="20"/>
          <w:szCs w:val="20"/>
          <w:color w:val="auto"/>
        </w:rPr>
      </w:pPr>
    </w:p>
    <w:p>
      <w:pPr>
        <w:ind w:left="60"/>
        <w:spacing w:after="0" w:line="121" w:lineRule="exact"/>
        <w:tabs>
          <w:tab w:leader="none" w:pos="500" w:val="left"/>
          <w:tab w:leader="none" w:pos="10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18" w:lineRule="exact"/>
        <w:rPr>
          <w:sz w:val="20"/>
          <w:szCs w:val="20"/>
          <w:color w:val="auto"/>
        </w:rPr>
      </w:pPr>
    </w:p>
    <w:p>
      <w:pPr>
        <w:sectPr>
          <w:pgSz w:w="11900" w:h="16838" w:orient="portrait"/>
          <w:cols w:equalWidth="0" w:num="2">
            <w:col w:w="9060" w:space="220"/>
            <w:col w:w="1700"/>
          </w:cols>
          <w:pgMar w:left="320" w:top="474"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3520"/>
        <w:spacing w:after="0" w:line="268" w:lineRule="auto"/>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200" w:lineRule="exact"/>
        <w:rPr>
          <w:sz w:val="20"/>
          <w:szCs w:val="20"/>
          <w:color w:val="auto"/>
        </w:rPr>
      </w:pPr>
    </w:p>
    <w:p>
      <w:pPr>
        <w:ind w:left="4560"/>
        <w:spacing w:after="0"/>
        <w:rPr>
          <w:sz w:val="20"/>
          <w:szCs w:val="20"/>
          <w:color w:val="auto"/>
        </w:rPr>
      </w:pPr>
      <w:r>
        <w:rPr>
          <w:rFonts w:ascii="Arial" w:cs="Arial" w:eastAsia="Arial" w:hAnsi="Arial"/>
          <w:sz w:val="35"/>
          <w:szCs w:val="3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-240665</wp:posOffset>
            </wp:positionV>
            <wp:extent cx="6084570" cy="283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84570" cy="283845"/>
                    </a:xfrm>
                    <a:prstGeom prst="rect">
                      <a:avLst/>
                    </a:prstGeom>
                    <a:noFill/>
                  </pic:spPr>
                </pic:pic>
              </a:graphicData>
            </a:graphic>
          </wp:anchor>
        </w:drawing>
      </w:r>
    </w:p>
    <w:p>
      <w:pPr>
        <w:spacing w:after="0" w:line="41" w:lineRule="exact"/>
        <w:rPr>
          <w:sz w:val="20"/>
          <w:szCs w:val="20"/>
          <w:color w:val="auto"/>
        </w:rPr>
      </w:pPr>
    </w:p>
    <w:p>
      <w:pPr>
        <w:ind w:left="600"/>
        <w:spacing w:after="0"/>
        <w:tabs>
          <w:tab w:leader="none" w:pos="4520" w:val="left"/>
          <w:tab w:leader="none" w:pos="6280" w:val="left"/>
          <w:tab w:leader="none" w:pos="9460" w:val="left"/>
          <w:tab w:leader="none" w:pos="107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-83185</wp:posOffset>
            </wp:positionV>
            <wp:extent cx="6735445" cy="1917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5445" cy="191770"/>
                    </a:xfrm>
                    <a:prstGeom prst="rect">
                      <a:avLst/>
                    </a:prstGeom>
                    <a:noFill/>
                  </pic:spPr>
                </pic:pic>
              </a:graphicData>
            </a:graphic>
          </wp:anchor>
        </w:drawing>
      </w:r>
    </w:p>
    <w:p>
      <w:pPr>
        <w:sectPr>
          <w:pgSz w:w="11900" w:h="16838" w:orient="portrait"/>
          <w:cols w:equalWidth="0" w:num="1">
            <w:col w:w="10980"/>
          </w:cols>
          <w:pgMar w:left="320" w:top="474" w:right="5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proxy materials for the Viasat Annual Meeting of Stockholders, including the proxy statement and annual</w:t>
      </w:r>
    </w:p>
    <w:p>
      <w:pPr>
        <w:jc w:val="center"/>
        <w:ind w:right="-279"/>
        <w:spacing w:after="0" w:line="235" w:lineRule="auto"/>
        <w:rPr>
          <w:sz w:val="20"/>
          <w:szCs w:val="20"/>
          <w:color w:val="auto"/>
        </w:rPr>
      </w:pPr>
      <w:r>
        <w:rPr>
          <w:rFonts w:ascii="Arial" w:cs="Arial" w:eastAsia="Arial" w:hAnsi="Arial"/>
          <w:sz w:val="18"/>
          <w:szCs w:val="18"/>
          <w:color w:val="auto"/>
        </w:rPr>
        <w:t>report to stockholders, are available over the internet on the Investor Relations section of our website at</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investors.viasat.com.</w:t>
      </w: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8" w:lineRule="exact"/>
        <w:rPr>
          <w:sz w:val="20"/>
          <w:szCs w:val="20"/>
          <w:color w:val="auto"/>
        </w:rPr>
      </w:pPr>
    </w:p>
    <w:p>
      <w:pPr>
        <w:jc w:val="both"/>
        <w:ind w:left="1220" w:right="940"/>
        <w:spacing w:after="0" w:line="270"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on the reverse side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 — — — — — — — — — — — — — — — — — — — — — — — — — — — — — — — — — — — — — — — — — — — —— — — — — —</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V54490-P16150 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74930</wp:posOffset>
            </wp:positionV>
            <wp:extent cx="6810375" cy="4921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10375" cy="49212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14605</wp:posOffset>
            </wp:positionV>
            <wp:extent cx="6810375" cy="1518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0375" cy="1518920"/>
                    </a:xfrm>
                    <a:prstGeom prst="rect">
                      <a:avLst/>
                    </a:prstGeom>
                    <a:noFill/>
                  </pic:spPr>
                </pic:pic>
              </a:graphicData>
            </a:graphic>
          </wp:anchor>
        </w:drawing>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ANNUAL MEETING OF STOCKHOLDERS - SEPTEMBER 5, 2024</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THIS PROXY IS SOLICITED ON BEHALF OF THE VIASAT BOARD OF DIRECTORS</w:t>
      </w:r>
    </w:p>
    <w:p>
      <w:pPr>
        <w:spacing w:after="0" w:line="256" w:lineRule="exact"/>
        <w:rPr>
          <w:sz w:val="20"/>
          <w:szCs w:val="20"/>
          <w:color w:val="auto"/>
        </w:rPr>
      </w:pPr>
    </w:p>
    <w:p>
      <w:pPr>
        <w:jc w:val="both"/>
        <w:ind w:left="600" w:right="280"/>
        <w:spacing w:after="0" w:line="234" w:lineRule="auto"/>
        <w:rPr>
          <w:sz w:val="20"/>
          <w:szCs w:val="20"/>
          <w:color w:val="auto"/>
        </w:rPr>
      </w:pPr>
      <w:r>
        <w:rPr>
          <w:rFonts w:ascii="Arial" w:cs="Arial" w:eastAsia="Arial" w:hAnsi="Arial"/>
          <w:sz w:val="18"/>
          <w:szCs w:val="18"/>
          <w:color w:val="auto"/>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www.virtualshareholdermeeting.com/VSAT2024 on September 5, 2024, at 8:30 a.m. Pacific Time, and at any adjournments and postponements thereof, with the same force and effect as the undersigned might or could do if personally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-1270</wp:posOffset>
            </wp:positionV>
            <wp:extent cx="150495" cy="1702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0495" cy="1702435"/>
                    </a:xfrm>
                    <a:prstGeom prst="rect">
                      <a:avLst/>
                    </a:prstGeom>
                    <a:noFill/>
                  </pic:spPr>
                </pic:pic>
              </a:graphicData>
            </a:graphic>
          </wp:anchor>
        </w:drawing>
        <w:drawing>
          <wp:anchor simplePos="0" relativeHeight="251657728" behindDoc="1" locked="0" layoutInCell="0" allowOverlap="1">
            <wp:simplePos x="0" y="0"/>
            <wp:positionH relativeFrom="column">
              <wp:posOffset>6847205</wp:posOffset>
            </wp:positionH>
            <wp:positionV relativeFrom="paragraph">
              <wp:posOffset>-1270</wp:posOffset>
            </wp:positionV>
            <wp:extent cx="133350" cy="1702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3350" cy="1702435"/>
                    </a:xfrm>
                    <a:prstGeom prst="rect">
                      <a:avLst/>
                    </a:prstGeom>
                    <a:noFill/>
                  </pic:spPr>
                </pic:pic>
              </a:graphicData>
            </a:graphic>
          </wp:anchor>
        </w:drawing>
      </w:r>
    </w:p>
    <w:p>
      <w:pPr>
        <w:spacing w:after="0" w:line="195" w:lineRule="exact"/>
        <w:rPr>
          <w:sz w:val="20"/>
          <w:szCs w:val="20"/>
          <w:color w:val="auto"/>
        </w:rPr>
      </w:pPr>
    </w:p>
    <w:p>
      <w:pPr>
        <w:jc w:val="both"/>
        <w:ind w:left="600" w:right="300"/>
        <w:spacing w:after="0" w:line="236" w:lineRule="auto"/>
        <w:rPr>
          <w:sz w:val="20"/>
          <w:szCs w:val="20"/>
          <w:color w:val="auto"/>
        </w:rPr>
      </w:pPr>
      <w:r>
        <w:rPr>
          <w:rFonts w:ascii="Arial" w:cs="Arial" w:eastAsia="Arial" w:hAnsi="Arial"/>
          <w:sz w:val="18"/>
          <w:szCs w:val="18"/>
          <w:b w:val="1"/>
          <w:bCs w:val="1"/>
          <w:color w:val="auto"/>
        </w:rPr>
        <w:t>THE SHARES REPRESENTED BY THIS PROXY CARD WILL BE VOTED AS INSTRUCTED BY THE STOCKHOLDER. IF NO INSTRUCTIONS ARE SPECIFIED, THE SHARES WILL BE VOTED “FOR” ALL THE DIRECTOR NOMINEES LISTED IN PROPOSAL 1 AND “FOR” PROPOSALS 2, 3 AND 4.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772160</wp:posOffset>
            </wp:positionV>
            <wp:extent cx="652653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26530" cy="16510"/>
                    </a:xfrm>
                    <a:prstGeom prst="rect">
                      <a:avLst/>
                    </a:prstGeom>
                    <a:noFill/>
                  </pic:spPr>
                </pic:pic>
              </a:graphicData>
            </a:graphic>
          </wp:anchor>
        </w:drawing>
      </w:r>
    </w:p>
    <w:sectPr>
      <w:pgSz w:w="11900" w:h="16838" w:orient="portrait"/>
      <w:cols w:equalWidth="0" w:num="1">
        <w:col w:w="10960"/>
      </w:cols>
      <w:pgMar w:left="320" w:top="4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lvl w:ilvl="1">
      <w:lvlJc w:val="left"/>
      <w:lvlText w:val="-"/>
      <w:numFmt w:val="bullet"/>
      <w:start w:val="1"/>
    </w:lvl>
  </w:abstractNum>
  <w:abstractNum w:abstractNumId="12">
    <w:nsid w:val="275AC794"/>
    <w:multiLevelType w:val="hybridMultilevel"/>
    <w:lvl w:ilvl="0">
      <w:lvlJc w:val="left"/>
      <w:lvlText w:val="%1."/>
      <w:numFmt w:val="decimal"/>
      <w:start w:val="1"/>
    </w:lvl>
    <w:lvl w:ilvl="1">
      <w:lvlJc w:val="left"/>
      <w:lvlText w:val="•"/>
      <w:numFmt w:val="bullet"/>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 "/>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7"/>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2"/>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3"/>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decimal"/>
      <w:start w:val="4"/>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1)"/>
      <w:numFmt w:val="decimal"/>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lvl w:ilvl="1">
      <w:lvlJc w:val="left"/>
      <w:lvlText w:val="¡"/>
      <w:numFmt w:val="bullet"/>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 "/>
      <w:numFmt w:val="bullet"/>
      <w:start w:val="1"/>
    </w:lvl>
  </w:abstractNum>
  <w:abstractNum w:abstractNumId="49">
    <w:nsid w:val="540A471C"/>
    <w:multiLevelType w:val="hybridMultilevel"/>
    <w:lvl w:ilvl="0">
      <w:lvlJc w:val="left"/>
      <w:lvlText w:val="(%1)"/>
      <w:numFmt w:val="decimal"/>
      <w:start w:val="3"/>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decimal"/>
      <w:start w:val="4"/>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lowerRoman"/>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1)"/>
      <w:numFmt w:val="decimal"/>
      <w:start w:val="3"/>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2"/>
    </w:lvl>
  </w:abstractNum>
  <w:abstractNum w:abstractNumId="61">
    <w:nsid w:val="4962813B"/>
    <w:multiLevelType w:val="hybridMultilevel"/>
    <w:lvl w:ilvl="0">
      <w:lvlJc w:val="left"/>
      <w:lvlText w:val="%1"/>
      <w:numFmt w:val="decimal"/>
      <w:start w:val="1"/>
    </w:lvl>
    <w:lvl w:ilvl="1">
      <w:lvlJc w:val="left"/>
      <w:lvlText w:val="(%2)"/>
      <w:numFmt w:val="lowerLetter"/>
      <w:start w:val="1"/>
    </w:lvl>
  </w:abstractNum>
  <w:abstractNum w:abstractNumId="62">
    <w:nsid w:val="60B6DF70"/>
    <w:multiLevelType w:val="hybridMultilevel"/>
    <w:lvl w:ilvl="0">
      <w:lvlJc w:val="left"/>
      <w:lvlText w:val="(%1)"/>
      <w:numFmt w:val="decimal"/>
      <w:start w:val="3"/>
    </w:lvl>
    <w:lvl w:ilvl="1">
      <w:lvlJc w:val="left"/>
      <w:lvlText w:val="%2"/>
      <w:numFmt w:val="lowerLetter"/>
      <w:start w:val="1"/>
    </w:lvl>
  </w:abstractNum>
  <w:abstractNum w:abstractNumId="63">
    <w:nsid w:val="6A5EE64"/>
    <w:multiLevelType w:val="hybridMultilevel"/>
    <w:lvl w:ilvl="0">
      <w:lvlJc w:val="left"/>
      <w:lvlText w:val="(%1)"/>
      <w:numFmt w:val="decimal"/>
      <w:start w:val="4"/>
    </w:lvl>
  </w:abstractNum>
  <w:abstractNum w:abstractNumId="64">
    <w:nsid w:val="14330624"/>
    <w:multiLevelType w:val="hybridMultilevel"/>
    <w:lvl w:ilvl="0">
      <w:lvlJc w:val="left"/>
      <w:lvlText w:val="%1"/>
      <w:numFmt w:val="decimal"/>
      <w:start w:val="1"/>
    </w:lvl>
    <w:lvl w:ilvl="1">
      <w:lvlJc w:val="left"/>
      <w:lvlText w:val="(%2)"/>
      <w:numFmt w:val="decimal"/>
      <w:start w:val="1"/>
    </w:lvl>
  </w:abstractNum>
  <w:abstractNum w:abstractNumId="65">
    <w:nsid w:val="7FFFCA11"/>
    <w:multiLevelType w:val="hybridMultilevel"/>
    <w:lvl w:ilvl="0">
      <w:lvlJc w:val="left"/>
      <w:lvlText w:val="(%1)"/>
      <w:numFmt w:val="decimal"/>
      <w:start w:val="6"/>
    </w:lvl>
    <w:lvl w:ilvl="1">
      <w:lvlJc w:val="left"/>
      <w:lvlText w:val="%2"/>
      <w:numFmt w:val="decimal"/>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decimal"/>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1"/>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2"/>
    </w:lvl>
  </w:abstractNum>
  <w:abstractNum w:abstractNumId="77">
    <w:nsid w:val="14E17E33"/>
    <w:multiLevelType w:val="hybridMultilevel"/>
    <w:lvl w:ilvl="0">
      <w:lvlJc w:val="left"/>
      <w:lvlText w:val="(%1)"/>
      <w:numFmt w:val="lowerLetter"/>
      <w:start w:val="1"/>
    </w:lvl>
    <w:lvl w:ilvl="1">
      <w:lvlJc w:val="left"/>
      <w:lvlText w:val="(%2)"/>
      <w:numFmt w:val="lowerRoman"/>
      <w:start w:val="1"/>
    </w:lvl>
  </w:abstractNum>
  <w:abstractNum w:abstractNumId="78">
    <w:nsid w:val="3222E7CD"/>
    <w:multiLevelType w:val="hybridMultilevel"/>
    <w:lvl w:ilvl="0">
      <w:lvlJc w:val="left"/>
      <w:lvlText w:val="%1"/>
      <w:numFmt w:val="lowerLetter"/>
      <w:start w:val="1"/>
    </w:lvl>
    <w:lvl w:ilvl="1">
      <w:lvlJc w:val="left"/>
      <w:lvlText w:val="(%2)"/>
      <w:numFmt w:val="lowerRoman"/>
      <w:start w:val="3"/>
    </w:lvl>
  </w:abstractNum>
  <w:abstractNum w:abstractNumId="79">
    <w:nsid w:val="74DE0EE3"/>
    <w:multiLevelType w:val="hybridMultilevel"/>
    <w:lvl w:ilvl="0">
      <w:lvlJc w:val="left"/>
      <w:lvlText w:val="(%1)"/>
      <w:numFmt w:val="lowerLetter"/>
      <w:start w:val="2"/>
    </w:lvl>
    <w:lvl w:ilvl="1">
      <w:lvlJc w:val="left"/>
      <w:lvlText w:val="%2"/>
      <w:numFmt w:val="lowerRoman"/>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Roman"/>
      <w:start w:val="2"/>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3"/>
    </w:lvl>
  </w:abstractNum>
  <w:abstractNum w:abstractNumId="86">
    <w:nsid w:val="CC1016F"/>
    <w:multiLevelType w:val="hybridMultilevel"/>
    <w:lvl w:ilvl="0">
      <w:lvlJc w:val="left"/>
      <w:lvlText w:val="(%1)"/>
      <w:numFmt w:val="lowerLetter"/>
      <w:start w:val="1"/>
    </w:lvl>
    <w:lvl w:ilvl="1">
      <w:lvlJc w:val="left"/>
      <w:lvlText w:val="(%2)"/>
      <w:numFmt w:val="lowerRoman"/>
      <w:start w:val="1"/>
    </w:lvl>
  </w:abstractNum>
  <w:abstractNum w:abstractNumId="87">
    <w:nsid w:val="43F18422"/>
    <w:multiLevelType w:val="hybridMultilevel"/>
    <w:lvl w:ilvl="0">
      <w:lvlJc w:val="left"/>
      <w:lvlText w:val="(%1)"/>
      <w:numFmt w:val="lowerLetter"/>
      <w:start w:val="2"/>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Roman"/>
      <w:start w:val="1"/>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1"/>
    </w:lvl>
  </w:abstractNum>
  <w:abstractNum w:abstractNumId="94">
    <w:nsid w:val="50801EE1"/>
    <w:multiLevelType w:val="hybridMultilevel"/>
    <w:lvl w:ilvl="0">
      <w:lvlJc w:val="left"/>
      <w:lvlText w:val="(%1)"/>
      <w:numFmt w:val="lowerLetter"/>
      <w:start w:val="1"/>
    </w:lvl>
    <w:lvl w:ilvl="1">
      <w:lvlJc w:val="left"/>
      <w:lvlText w:val="(%2)"/>
      <w:numFmt w:val="lowerLetter"/>
      <w:start w:val="9"/>
    </w:lvl>
  </w:abstractNum>
  <w:abstractNum w:abstractNumId="95">
    <w:nsid w:val="488AC1A"/>
    <w:multiLevelType w:val="hybridMultilevel"/>
    <w:lvl w:ilvl="0">
      <w:lvlJc w:val="left"/>
      <w:lvlText w:val="%1"/>
      <w:numFmt w:val="lowerLetter"/>
      <w:start w:val="1"/>
    </w:lvl>
    <w:lvl w:ilvl="1">
      <w:lvlJc w:val="left"/>
      <w:lvlText w:val="(%2)"/>
      <w:numFmt w:val="lowerRoman"/>
      <w:start w:val="2"/>
    </w:lvl>
  </w:abstractNum>
  <w:abstractNum w:abstractNumId="96">
    <w:nsid w:val="5FB8011C"/>
    <w:multiLevelType w:val="hybridMultilevel"/>
    <w:lvl w:ilvl="0">
      <w:lvlJc w:val="left"/>
      <w:lvlText w:val="(%1)"/>
      <w:numFmt w:val="lowerLetter"/>
      <w:start w:val="2"/>
    </w:lvl>
    <w:lvl w:ilvl="1">
      <w:lvlJc w:val="left"/>
      <w:lvlText w:val="(%2)"/>
      <w:numFmt w:val="lowerRoman"/>
      <w:start w:val="1"/>
    </w:lvl>
  </w:abstractNum>
  <w:abstractNum w:abstractNumId="97">
    <w:nsid w:val="6AA78F7F"/>
    <w:multiLevelType w:val="hybridMultilevel"/>
    <w:lvl w:ilvl="0">
      <w:lvlJc w:val="left"/>
      <w:lvlText w:val="%1"/>
      <w:numFmt w:val="lowerLetter"/>
      <w:start w:val="1"/>
    </w:lvl>
    <w:lvl w:ilvl="1">
      <w:lvlJc w:val="left"/>
      <w:lvlText w:val="(%2)"/>
      <w:numFmt w:val="lowerRoman"/>
      <w:start w:val="6"/>
    </w:lvl>
  </w:abstractNum>
  <w:abstractNum w:abstractNumId="98">
    <w:nsid w:val="7672BD2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2024-07-26T15:20:57Z</dcterms:created>
  <dcterms:modified xsi:type="dcterms:W3CDTF">2024-07-26T15:20:57Z</dcterms:modified>
</cp:coreProperties>
</file>