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132080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7" w:lineRule="exact"/>
        <w:rPr>
          <w:sz w:val="24"/>
          <w:szCs w:val="24"/>
          <w:color w:val="auto"/>
        </w:rPr>
      </w:pPr>
    </w:p>
    <w:p>
      <w:pPr>
        <w:ind w:left="460" w:right="360" w:hanging="452"/>
        <w:spacing w:after="0" w:line="261"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460" w:right="360" w:hanging="452"/>
        <w:spacing w:after="0" w:line="261"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112"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58" w:lineRule="exact"/>
        <w:rPr>
          <w:sz w:val="24"/>
          <w:szCs w:val="24"/>
          <w:color w:val="auto"/>
        </w:rPr>
      </w:pPr>
    </w:p>
    <w:p>
      <w:pPr>
        <w:sectPr>
          <w:pgSz w:w="11900" w:h="16838" w:orient="portrait"/>
          <w:cols w:equalWidth="0" w:num="3">
            <w:col w:w="6180" w:space="680"/>
            <w:col w:w="180" w:space="620"/>
            <w:col w:w="3700"/>
          </w:cols>
          <w:pgMar w:left="240" w:top="230"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VIASAT, INC.</w:t>
      </w:r>
    </w:p>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94"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33-0174996</w:t>
      </w:r>
    </w:p>
    <w:p>
      <w:pPr>
        <w:spacing w:after="0" w:line="24" w:lineRule="exact"/>
        <w:rPr>
          <w:sz w:val="24"/>
          <w:szCs w:val="24"/>
          <w:color w:val="auto"/>
        </w:rPr>
      </w:pPr>
    </w:p>
    <w:p>
      <w:pPr>
        <w:sectPr>
          <w:pgSz w:w="11900" w:h="16838" w:orient="portrait"/>
          <w:cols w:equalWidth="0" w:num="2">
            <w:col w:w="7460" w:space="720"/>
            <w:col w:w="3180"/>
          </w:cols>
          <w:pgMar w:left="240" w:top="230" w:right="299" w:bottom="1440" w:gutter="0" w:footer="0" w:header="0"/>
          <w:type w:val="continuous"/>
        </w:sectPr>
      </w:pPr>
    </w:p>
    <w:p>
      <w:pPr>
        <w:spacing w:after="0" w:line="23"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4"/>
          <w:szCs w:val="14"/>
          <w:b w:val="1"/>
          <w:bCs w:val="1"/>
          <w:color w:val="auto"/>
        </w:rPr>
        <w:t>(I.R.S. Employer</w:t>
      </w:r>
    </w:p>
    <w:p>
      <w:pPr>
        <w:jc w:val="center"/>
        <w:ind w:right="2140"/>
        <w:spacing w:after="0"/>
        <w:rPr>
          <w:sz w:val="20"/>
          <w:szCs w:val="20"/>
          <w:color w:val="auto"/>
        </w:rPr>
      </w:pPr>
      <w:r>
        <w:rPr>
          <w:rFonts w:ascii="Arial" w:cs="Arial" w:eastAsia="Arial" w:hAnsi="Arial"/>
          <w:sz w:val="12"/>
          <w:szCs w:val="12"/>
          <w:b w:val="1"/>
          <w:bCs w:val="1"/>
          <w:color w:val="auto"/>
        </w:rPr>
        <w:t>Identification No.)</w:t>
      </w:r>
    </w:p>
    <w:p>
      <w:pPr>
        <w:spacing w:after="0" w:line="168" w:lineRule="exact"/>
        <w:rPr>
          <w:sz w:val="24"/>
          <w:szCs w:val="24"/>
          <w:color w:val="auto"/>
        </w:rPr>
      </w:pPr>
    </w:p>
    <w:p>
      <w:pPr>
        <w:sectPr>
          <w:pgSz w:w="11900" w:h="16838" w:orient="portrait"/>
          <w:cols w:equalWidth="0" w:num="2">
            <w:col w:w="7360" w:space="720"/>
            <w:col w:w="3280"/>
          </w:cols>
          <w:pgMar w:left="240" w:top="230"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6155 El Camino Real</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Carlsbad, California 92009</w:t>
      </w:r>
    </w:p>
    <w:p>
      <w:pPr>
        <w:jc w:val="center"/>
        <w:ind w:right="-79"/>
        <w:spacing w:after="0" w:line="230" w:lineRule="auto"/>
        <w:rPr>
          <w:sz w:val="20"/>
          <w:szCs w:val="20"/>
          <w:color w:val="auto"/>
        </w:rPr>
      </w:pPr>
      <w:r>
        <w:rPr>
          <w:rFonts w:ascii="Arial" w:cs="Arial" w:eastAsia="Arial" w:hAnsi="Arial"/>
          <w:sz w:val="18"/>
          <w:szCs w:val="18"/>
          <w:b w:val="1"/>
          <w:bCs w:val="1"/>
          <w:color w:val="auto"/>
        </w:rPr>
        <w:t>(760) 476-2200</w:t>
      </w:r>
    </w:p>
    <w:p>
      <w:pPr>
        <w:jc w:val="center"/>
        <w:ind w:right="-79"/>
        <w:spacing w:after="0"/>
        <w:rPr>
          <w:sz w:val="20"/>
          <w:szCs w:val="20"/>
          <w:color w:val="auto"/>
        </w:rPr>
      </w:pPr>
      <w:r>
        <w:rPr>
          <w:rFonts w:ascii="Arial" w:cs="Arial" w:eastAsia="Arial" w:hAnsi="Arial"/>
          <w:sz w:val="12"/>
          <w:szCs w:val="12"/>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352" w:lineRule="exact"/>
        <w:rPr>
          <w:sz w:val="24"/>
          <w:szCs w:val="24"/>
          <w:color w:val="auto"/>
        </w:rPr>
      </w:pPr>
    </w:p>
    <w:p>
      <w:pPr>
        <w:ind w:right="160" w:firstLine="456"/>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9" w:lineRule="exact"/>
        <w:rPr>
          <w:sz w:val="24"/>
          <w:szCs w:val="24"/>
          <w:color w:val="auto"/>
        </w:rPr>
      </w:pPr>
    </w:p>
    <w:p>
      <w:pPr>
        <w:ind w:right="120" w:firstLine="456"/>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9" w:lineRule="exact"/>
        <w:rPr>
          <w:sz w:val="24"/>
          <w:szCs w:val="24"/>
          <w:color w:val="auto"/>
        </w:rPr>
      </w:pPr>
    </w:p>
    <w:p>
      <w:pPr>
        <w:ind w:right="380" w:firstLine="456"/>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30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8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680" w:type="dxa"/>
            <w:vAlign w:val="bottom"/>
          </w:tcPr>
          <w:p>
            <w:pPr>
              <w:ind w:left="134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7" w:lineRule="exact"/>
        <w:rPr>
          <w:sz w:val="24"/>
          <w:szCs w:val="24"/>
          <w:color w:val="auto"/>
        </w:rPr>
      </w:pPr>
    </w:p>
    <w:p>
      <w:pPr>
        <w:ind w:right="140" w:firstLine="456"/>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4" w:lineRule="exact"/>
        <w:rPr>
          <w:sz w:val="24"/>
          <w:szCs w:val="24"/>
          <w:color w:val="auto"/>
        </w:rPr>
      </w:pPr>
    </w:p>
    <w:p>
      <w:pPr>
        <w:ind w:left="460" w:right="72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$0.0001 par value, as of January 26, 2018 was 58,885,592.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4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1040" w:type="dxa"/>
            <w:vAlign w:val="bottom"/>
            <w:gridSpan w:val="18"/>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Item 1. Financial Statements (Unaudited)</w:t>
              </w:r>
            </w:hyperlink>
          </w:p>
        </w:tc>
        <w:tc>
          <w:tcPr>
            <w:tcW w:w="7840" w:type="dxa"/>
            <w:vAlign w:val="bottom"/>
            <w:gridSpan w:val="8"/>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26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Balance Sheets</w:t>
              </w:r>
            </w:hyperlink>
          </w:p>
        </w:tc>
        <w:tc>
          <w:tcPr>
            <w:tcW w:w="7340" w:type="dxa"/>
            <w:vAlign w:val="bottom"/>
            <w:gridSpan w:val="7"/>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680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Operations and Comprehensive Income (Loss)</w:t>
              </w:r>
            </w:hyperlink>
          </w:p>
        </w:tc>
        <w:tc>
          <w:tcPr>
            <w:tcW w:w="3800" w:type="dxa"/>
            <w:vAlign w:val="bottom"/>
            <w:gridSpan w:val="2"/>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0600" w:type="dxa"/>
            <w:vAlign w:val="bottom"/>
            <w:gridSpan w:val="1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 of Equity</w:t>
              </w:r>
            </w:hyperlink>
          </w:p>
        </w:tc>
        <w:tc>
          <w:tcPr>
            <w:tcW w:w="500" w:type="dxa"/>
            <w:vAlign w:val="bottom"/>
            <w:tcBorders>
              <w:top w:val="single" w:sz="8" w:color="0000EE"/>
            </w:tcBorders>
          </w:tcPr>
          <w:p>
            <w:pPr>
              <w:spacing w:after="0"/>
              <w:rPr>
                <w:sz w:val="15"/>
                <w:szCs w:val="15"/>
                <w:color w:val="auto"/>
              </w:rPr>
            </w:pPr>
          </w:p>
        </w:tc>
        <w:tc>
          <w:tcPr>
            <w:tcW w:w="6540" w:type="dxa"/>
            <w:vAlign w:val="bottom"/>
            <w:gridSpan w:val="5"/>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66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Notes to the Condensed Consolidated Financial Statements</w:t>
              </w:r>
            </w:hyperlink>
          </w:p>
        </w:tc>
        <w:tc>
          <w:tcPr>
            <w:tcW w:w="5940" w:type="dxa"/>
            <w:vAlign w:val="bottom"/>
            <w:gridSpan w:val="4"/>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Item 2. Management’s Discussion and Analysis of Financial Condition and Results of Operations</w:t>
              </w:r>
            </w:hyperlink>
          </w:p>
        </w:tc>
        <w:tc>
          <w:tcPr>
            <w:tcW w:w="354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560" w:type="dxa"/>
            <w:vAlign w:val="bottom"/>
            <w:gridSpan w:val="2"/>
          </w:tcPr>
          <w:p>
            <w:pPr>
              <w:spacing w:after="0" w:line="182" w:lineRule="exact"/>
              <w:rPr>
                <w:rFonts w:ascii="Arial" w:cs="Arial" w:eastAsia="Arial" w:hAnsi="Arial"/>
                <w:sz w:val="18"/>
                <w:szCs w:val="18"/>
                <w:color w:val="0000EE"/>
                <w:w w:val="98"/>
              </w:rPr>
            </w:pPr>
            <w:hyperlink w:anchor="page53">
              <w:r>
                <w:rPr>
                  <w:rFonts w:ascii="Arial" w:cs="Arial" w:eastAsia="Arial" w:hAnsi="Arial"/>
                  <w:sz w:val="18"/>
                  <w:szCs w:val="18"/>
                  <w:color w:val="0000EE"/>
                  <w:w w:val="98"/>
                </w:rPr>
                <w:t>Item 3.</w:t>
              </w:r>
            </w:hyperlink>
          </w:p>
        </w:tc>
        <w:tc>
          <w:tcPr>
            <w:tcW w:w="10480" w:type="dxa"/>
            <w:vAlign w:val="bottom"/>
            <w:gridSpan w:val="16"/>
          </w:tcPr>
          <w:p>
            <w:pPr>
              <w:ind w:left="40"/>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tcBorders>
            <w:gridSpan w:val="2"/>
          </w:tcPr>
          <w:p>
            <w:pPr>
              <w:spacing w:after="0" w:line="182" w:lineRule="exact"/>
              <w:rPr>
                <w:rFonts w:ascii="Arial" w:cs="Arial" w:eastAsia="Arial" w:hAnsi="Arial"/>
                <w:sz w:val="18"/>
                <w:szCs w:val="18"/>
                <w:color w:val="0000EE"/>
                <w:w w:val="98"/>
              </w:rPr>
            </w:pPr>
            <w:hyperlink w:anchor="page53">
              <w:r>
                <w:rPr>
                  <w:rFonts w:ascii="Arial" w:cs="Arial" w:eastAsia="Arial" w:hAnsi="Arial"/>
                  <w:sz w:val="18"/>
                  <w:szCs w:val="18"/>
                  <w:color w:val="0000EE"/>
                  <w:w w:val="98"/>
                </w:rPr>
                <w:t>Item 4.</w:t>
              </w:r>
            </w:hyperlink>
          </w:p>
        </w:tc>
        <w:tc>
          <w:tcPr>
            <w:tcW w:w="4620" w:type="dxa"/>
            <w:vAlign w:val="bottom"/>
            <w:tcBorders>
              <w:top w:val="single" w:sz="8" w:color="0000EE"/>
            </w:tcBorders>
            <w:gridSpan w:val="13"/>
          </w:tcPr>
          <w:p>
            <w:pPr>
              <w:ind w:left="40"/>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5860" w:type="dxa"/>
            <w:vAlign w:val="bottom"/>
            <w:gridSpan w:val="3"/>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25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b w:val="1"/>
                <w:bCs w:val="1"/>
                <w:color w:val="0000EE"/>
                <w:w w:val="93"/>
              </w:rPr>
            </w:pPr>
            <w:hyperlink w:anchor="page55">
              <w:r>
                <w:rPr>
                  <w:rFonts w:ascii="Arial" w:cs="Arial" w:eastAsia="Arial" w:hAnsi="Arial"/>
                  <w:sz w:val="18"/>
                  <w:szCs w:val="18"/>
                  <w:b w:val="1"/>
                  <w:bCs w:val="1"/>
                  <w:color w:val="0000EE"/>
                  <w:w w:val="93"/>
                </w:rPr>
                <w:t>PART II. OTHER INFORMATION</w:t>
              </w:r>
            </w:hyperlink>
          </w:p>
        </w:tc>
        <w:tc>
          <w:tcPr>
            <w:tcW w:w="60" w:type="dxa"/>
            <w:vAlign w:val="bottom"/>
            <w:tcBorders>
              <w:bottom w:val="single" w:sz="8" w:color="0000EE"/>
            </w:tcBorders>
          </w:tcPr>
          <w:p>
            <w:pPr>
              <w:spacing w:after="0"/>
              <w:rPr>
                <w:sz w:val="15"/>
                <w:szCs w:val="15"/>
                <w:color w:val="auto"/>
              </w:rPr>
            </w:pPr>
          </w:p>
        </w:tc>
        <w:tc>
          <w:tcPr>
            <w:tcW w:w="8440" w:type="dxa"/>
            <w:vAlign w:val="bottom"/>
            <w:gridSpan w:val="10"/>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gridSpan w:val="2"/>
          </w:tcPr>
          <w:p>
            <w:pPr>
              <w:spacing w:after="0" w:line="182"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Item 1.</w:t>
              </w:r>
            </w:hyperlink>
          </w:p>
        </w:tc>
        <w:tc>
          <w:tcPr>
            <w:tcW w:w="10480" w:type="dxa"/>
            <w:vAlign w:val="bottom"/>
            <w:gridSpan w:val="16"/>
          </w:tcPr>
          <w:p>
            <w:pPr>
              <w:ind w:left="40"/>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20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Item 1A. Risk Factors</w:t>
              </w:r>
            </w:hyperlink>
          </w:p>
        </w:tc>
        <w:tc>
          <w:tcPr>
            <w:tcW w:w="9000" w:type="dxa"/>
            <w:vAlign w:val="bottom"/>
            <w:gridSpan w:val="12"/>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tcBorders>
            <w:gridSpan w:val="2"/>
          </w:tcPr>
          <w:p>
            <w:pPr>
              <w:spacing w:after="0" w:line="182"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Item 6.</w:t>
              </w:r>
            </w:hyperlink>
          </w:p>
        </w:tc>
        <w:tc>
          <w:tcPr>
            <w:tcW w:w="1120" w:type="dxa"/>
            <w:vAlign w:val="bottom"/>
            <w:tcBorders>
              <w:top w:val="single" w:sz="8" w:color="0000EE"/>
            </w:tcBorders>
            <w:gridSpan w:val="3"/>
          </w:tcPr>
          <w:p>
            <w:pPr>
              <w:ind w:left="40"/>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9360" w:type="dxa"/>
            <w:vAlign w:val="bottom"/>
            <w:gridSpan w:val="13"/>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120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9840" w:type="dxa"/>
            <w:vAlign w:val="bottom"/>
            <w:gridSpan w:val="14"/>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5"/>
        </w:trPr>
        <w:tc>
          <w:tcPr>
            <w:tcW w:w="852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3640"/>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161,821</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440"/>
              <w:spacing w:after="0" w:line="202" w:lineRule="exact"/>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228,037</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263,721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182,059</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163,201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20" w:type="dxa"/>
            <w:vAlign w:val="bottom"/>
          </w:tcPr>
          <w:p>
            <w:pPr>
              <w:ind w:left="4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5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76,356</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57,836</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648,273</w:t>
            </w: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614,856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520" w:type="dxa"/>
            <w:vAlign w:val="bottom"/>
          </w:tcPr>
          <w:p>
            <w:pPr>
              <w:spacing w:after="0"/>
              <w:rPr>
                <w:sz w:val="20"/>
                <w:szCs w:val="20"/>
                <w:color w:val="auto"/>
              </w:rPr>
            </w:pPr>
            <w:r>
              <w:rPr>
                <w:rFonts w:ascii="Arial" w:cs="Arial" w:eastAsia="Arial" w:hAnsi="Arial"/>
                <w:sz w:val="18"/>
                <w:szCs w:val="18"/>
                <w:color w:val="auto"/>
              </w:rPr>
              <w:t>Satellites, net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1,194,824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1,108,270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659,153</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540,608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Other acquired intangible assets, net</w:t>
            </w:r>
          </w:p>
        </w:tc>
        <w:tc>
          <w:tcPr>
            <w:tcW w:w="260" w:type="dxa"/>
            <w:vAlign w:val="bottom"/>
          </w:tcPr>
          <w:p>
            <w:pPr>
              <w:spacing w:after="0"/>
              <w:rPr>
                <w:sz w:val="17"/>
                <w:szCs w:val="17"/>
                <w:color w:val="auto"/>
              </w:rPr>
            </w:pPr>
          </w:p>
        </w:tc>
        <w:tc>
          <w:tcPr>
            <w:tcW w:w="15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33,862</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41,677</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120,682</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119,876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2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658,813</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529,366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3,315,607</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2,954,653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20" w:type="dxa"/>
            <w:vAlign w:val="bottom"/>
            <w:vMerge w:val="restart"/>
          </w:tcPr>
          <w:p>
            <w:pPr>
              <w:ind w:left="29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115,112</w:t>
            </w:r>
          </w:p>
        </w:tc>
        <w:tc>
          <w:tcPr>
            <w:tcW w:w="60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100,270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225,868</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224,959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20" w:type="dxa"/>
            <w:vAlign w:val="bottom"/>
          </w:tcPr>
          <w:p>
            <w:pPr>
              <w:ind w:left="440"/>
              <w:spacing w:after="0" w:line="202" w:lineRule="exact"/>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5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45,599</w:t>
            </w:r>
          </w:p>
        </w:tc>
        <w:tc>
          <w:tcPr>
            <w:tcW w:w="140" w:type="dxa"/>
            <w:vAlign w:val="bottom"/>
          </w:tcPr>
          <w:p>
            <w:pPr>
              <w:spacing w:after="0"/>
              <w:rPr>
                <w:sz w:val="18"/>
                <w:szCs w:val="18"/>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386,579</w:t>
            </w: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325,517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520" w:type="dxa"/>
            <w:vAlign w:val="bottom"/>
          </w:tcPr>
          <w:p>
            <w:pPr>
              <w:spacing w:after="0"/>
              <w:rPr>
                <w:sz w:val="20"/>
                <w:szCs w:val="20"/>
                <w:color w:val="auto"/>
              </w:rPr>
            </w:pPr>
            <w:r>
              <w:rPr>
                <w:rFonts w:ascii="Arial" w:cs="Arial" w:eastAsia="Arial" w:hAnsi="Arial"/>
                <w:sz w:val="18"/>
                <w:szCs w:val="18"/>
                <w:color w:val="auto"/>
              </w:rPr>
              <w:t>Senior notes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690,581</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575,380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debt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285,557</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273,103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2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117,838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42,722</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1,480,555</w:t>
            </w: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1,216,722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8)</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Viasat, Inc. stockholders’ equity</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440"/>
              <w:spacing w:after="0" w:line="202" w:lineRule="exact"/>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7"/>
                <w:szCs w:val="17"/>
                <w:color w:val="auto"/>
              </w:rPr>
            </w:pPr>
          </w:p>
        </w:tc>
        <w:tc>
          <w:tcPr>
            <w:tcW w:w="15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Paid-in capital</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1,513,990</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1,439,645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440"/>
              <w:spacing w:after="0" w:line="202" w:lineRule="exact"/>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308,123</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297,471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11,042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0"/>
        </w:trPr>
        <w:tc>
          <w:tcPr>
            <w:tcW w:w="8520" w:type="dxa"/>
            <w:vAlign w:val="bottom"/>
          </w:tcPr>
          <w:p>
            <w:pPr>
              <w:ind w:left="440"/>
              <w:spacing w:after="0"/>
              <w:rPr>
                <w:sz w:val="20"/>
                <w:szCs w:val="20"/>
                <w:color w:val="auto"/>
              </w:rPr>
            </w:pPr>
            <w:r>
              <w:rPr>
                <w:rFonts w:ascii="Arial" w:cs="Arial" w:eastAsia="Arial" w:hAnsi="Arial"/>
                <w:sz w:val="18"/>
                <w:szCs w:val="18"/>
                <w:color w:val="auto"/>
              </w:rPr>
              <w:t>Total Viasat, Inc. stockholders’ equity</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1,833,161</w:t>
            </w: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 in subsidiaries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1,891</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520" w:type="dxa"/>
            <w:vAlign w:val="bottom"/>
          </w:tcPr>
          <w:p>
            <w:pPr>
              <w:ind w:left="88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1,835,052</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3,315,607</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2,954,653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5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December 31, 2016</w:t>
            </w:r>
          </w:p>
        </w:tc>
        <w:tc>
          <w:tcPr>
            <w:tcW w:w="6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31, 2017</w:t>
            </w:r>
          </w:p>
        </w:tc>
        <w:tc>
          <w:tcPr>
            <w:tcW w:w="12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December 31,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gridSpan w:val="5"/>
          </w:tcPr>
          <w:p>
            <w:pPr>
              <w:jc w:val="right"/>
              <w:ind w:right="1000"/>
              <w:spacing w:after="0" w:line="142" w:lineRule="exact"/>
              <w:rPr>
                <w:sz w:val="20"/>
                <w:szCs w:val="20"/>
                <w:color w:val="auto"/>
              </w:rPr>
            </w:pPr>
            <w:r>
              <w:rPr>
                <w:rFonts w:ascii="Arial" w:cs="Arial" w:eastAsia="Arial" w:hAnsi="Arial"/>
                <w:sz w:val="14"/>
                <w:szCs w:val="14"/>
                <w:b w:val="1"/>
                <w:bCs w:val="1"/>
                <w:color w:val="auto"/>
                <w:w w:val="95"/>
              </w:rPr>
              <w:t>(In thousands, except per share data)</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Product revenues</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175,957</w:t>
            </w:r>
          </w:p>
        </w:tc>
        <w:tc>
          <w:tcPr>
            <w:tcW w:w="360" w:type="dxa"/>
            <w:vAlign w:val="bottom"/>
          </w:tcPr>
          <w:p>
            <w:pPr>
              <w:spacing w:after="0"/>
              <w:rPr>
                <w:sz w:val="17"/>
                <w:szCs w:val="17"/>
                <w:color w:val="auto"/>
              </w:rPr>
            </w:pPr>
          </w:p>
        </w:tc>
        <w:tc>
          <w:tcPr>
            <w:tcW w:w="6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169,574</w:t>
            </w:r>
          </w:p>
        </w:tc>
        <w:tc>
          <w:tcPr>
            <w:tcW w:w="640" w:type="dxa"/>
            <w:vAlign w:val="bottom"/>
          </w:tcPr>
          <w:p>
            <w:pPr>
              <w:spacing w:after="0"/>
              <w:rPr>
                <w:sz w:val="17"/>
                <w:szCs w:val="17"/>
                <w:color w:val="auto"/>
              </w:rPr>
            </w:pP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523,858</w:t>
            </w:r>
          </w:p>
        </w:tc>
        <w:tc>
          <w:tcPr>
            <w:tcW w:w="640" w:type="dxa"/>
            <w:vAlign w:val="bottom"/>
          </w:tcPr>
          <w:p>
            <w:pPr>
              <w:spacing w:after="0"/>
              <w:rPr>
                <w:sz w:val="17"/>
                <w:szCs w:val="17"/>
                <w:color w:val="auto"/>
              </w:rPr>
            </w:pPr>
          </w:p>
        </w:tc>
        <w:tc>
          <w:tcPr>
            <w:tcW w:w="3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517,485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Service revenues</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205,880</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211,056</w:t>
            </w:r>
          </w:p>
        </w:tc>
        <w:tc>
          <w:tcPr>
            <w:tcW w:w="6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631,097</w:t>
            </w:r>
          </w:p>
        </w:tc>
        <w:tc>
          <w:tcPr>
            <w:tcW w:w="6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625,433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381,837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380,630</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1,154,955</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1,142,918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Cost of product revenues</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126,437</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124,579</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382,932</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382,084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Cost of service revenues</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137,275</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130,967</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410,538</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392,790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100,125</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80,282</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279,382</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236,906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Independent research and development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40,149</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34,436</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131,482</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89,790</w:t>
            </w:r>
          </w:p>
        </w:tc>
        <w:tc>
          <w:tcPr>
            <w:tcW w:w="0" w:type="dxa"/>
            <w:vAlign w:val="bottom"/>
          </w:tcPr>
          <w:p>
            <w:pPr>
              <w:spacing w:after="0"/>
              <w:rPr>
                <w:sz w:val="1"/>
                <w:szCs w:val="1"/>
                <w:color w:val="auto"/>
              </w:rPr>
            </w:pPr>
          </w:p>
        </w:tc>
      </w:tr>
      <w:tr>
        <w:trPr>
          <w:trHeight w:val="210"/>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Amortization of acquired intangible assets</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3,177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2,775</w:t>
            </w:r>
          </w:p>
        </w:tc>
        <w:tc>
          <w:tcPr>
            <w:tcW w:w="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9,757</w:t>
            </w:r>
          </w:p>
        </w:tc>
        <w:tc>
          <w:tcPr>
            <w:tcW w:w="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income from operations</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(25,326)</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7,591</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(59,136)</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33,783</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7"/>
                <w:szCs w:val="17"/>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(2,362)</w:t>
            </w:r>
          </w:p>
        </w:tc>
        <w:tc>
          <w:tcPr>
            <w:tcW w:w="280" w:type="dxa"/>
            <w:vAlign w:val="bottom"/>
          </w:tcPr>
          <w:p>
            <w:pPr>
              <w:spacing w:after="0"/>
              <w:rPr>
                <w:sz w:val="17"/>
                <w:szCs w:val="17"/>
                <w:color w:val="auto"/>
              </w:rPr>
            </w:pPr>
          </w:p>
        </w:tc>
        <w:tc>
          <w:tcPr>
            <w:tcW w:w="16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(253)</w:t>
            </w:r>
          </w:p>
        </w:tc>
        <w:tc>
          <w:tcPr>
            <w:tcW w:w="3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(11,804)</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(10,217)</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3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(24,814)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(68,824)</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22,774</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(2,172)</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(850)</w:t>
            </w:r>
          </w:p>
        </w:tc>
        <w:tc>
          <w:tcPr>
            <w:tcW w:w="2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18,472</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10"/>
        </w:trPr>
        <w:tc>
          <w:tcPr>
            <w:tcW w:w="4460" w:type="dxa"/>
            <w:vAlign w:val="bottom"/>
          </w:tcPr>
          <w:p>
            <w:pPr>
              <w:spacing w:after="0" w:line="202" w:lineRule="exact"/>
              <w:rPr>
                <w:sz w:val="20"/>
                <w:szCs w:val="20"/>
                <w:color w:val="auto"/>
              </w:rPr>
            </w:pPr>
            <w:r>
              <w:rPr>
                <w:rFonts w:ascii="Arial" w:cs="Arial" w:eastAsia="Arial" w:hAnsi="Arial"/>
                <w:sz w:val="18"/>
                <w:szCs w:val="18"/>
                <w:color w:val="auto"/>
              </w:rPr>
              <w:t>Equity in income of unconsolidated affiliate, net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1,593</w:t>
            </w:r>
          </w:p>
        </w:tc>
        <w:tc>
          <w:tcPr>
            <w:tcW w:w="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(25,621)</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4,622</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(48,759)</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06"/>
        </w:trPr>
        <w:tc>
          <w:tcPr>
            <w:tcW w:w="4460" w:type="dxa"/>
            <w:vAlign w:val="bottom"/>
          </w:tcPr>
          <w:p>
            <w:pPr>
              <w:spacing w:after="0" w:line="206" w:lineRule="exact"/>
              <w:rPr>
                <w:sz w:val="20"/>
                <w:szCs w:val="20"/>
                <w:color w:val="auto"/>
              </w:rPr>
            </w:pPr>
            <w:r>
              <w:rPr>
                <w:rFonts w:ascii="Arial" w:cs="Arial" w:eastAsia="Arial" w:hAnsi="Arial"/>
                <w:sz w:val="18"/>
                <w:szCs w:val="18"/>
                <w:color w:val="auto"/>
              </w:rPr>
              <w:t>Less: net (loss) income attributable to</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220"/>
              <w:spacing w:after="0" w:line="200" w:lineRule="exact"/>
              <w:rPr>
                <w:sz w:val="20"/>
                <w:szCs w:val="20"/>
                <w:color w:val="auto"/>
              </w:rPr>
            </w:pPr>
            <w:r>
              <w:rPr>
                <w:rFonts w:ascii="Arial" w:cs="Arial" w:eastAsia="Arial" w:hAnsi="Arial"/>
                <w:sz w:val="18"/>
                <w:szCs w:val="18"/>
                <w:color w:val="auto"/>
              </w:rPr>
              <w:t>noncontrolling interests, net of tax</w:t>
            </w:r>
          </w:p>
        </w:tc>
        <w:tc>
          <w:tcPr>
            <w:tcW w:w="340" w:type="dxa"/>
            <w:vAlign w:val="bottom"/>
          </w:tcPr>
          <w:p>
            <w:pPr>
              <w:spacing w:after="0"/>
              <w:rPr>
                <w:sz w:val="17"/>
                <w:szCs w:val="17"/>
                <w:color w:val="auto"/>
              </w:rPr>
            </w:pPr>
          </w:p>
        </w:tc>
        <w:tc>
          <w:tcPr>
            <w:tcW w:w="124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(990)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379</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right"/>
              <w:ind w:right="580"/>
              <w:spacing w:after="0" w:line="200" w:lineRule="exact"/>
              <w:rPr>
                <w:sz w:val="20"/>
                <w:szCs w:val="20"/>
                <w:color w:val="auto"/>
              </w:rPr>
            </w:pPr>
            <w:r>
              <w:rPr>
                <w:rFonts w:ascii="Arial" w:cs="Arial" w:eastAsia="Arial" w:hAnsi="Arial"/>
                <w:sz w:val="18"/>
                <w:szCs w:val="18"/>
                <w:color w:val="auto"/>
              </w:rPr>
              <w:t>(1,400)</w:t>
            </w:r>
          </w:p>
        </w:tc>
        <w:tc>
          <w:tcPr>
            <w:tcW w:w="38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 attributable to Viasat, Inc.</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(24,631)</w:t>
            </w:r>
          </w:p>
        </w:tc>
        <w:tc>
          <w:tcPr>
            <w:tcW w:w="6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4,243</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(47,359)</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17,117</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Basic net (loss) income per share attributable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220"/>
              <w:spacing w:after="0" w:line="200" w:lineRule="exact"/>
              <w:rPr>
                <w:sz w:val="20"/>
                <w:szCs w:val="20"/>
                <w:color w:val="auto"/>
              </w:rPr>
            </w:pPr>
            <w:r>
              <w:rPr>
                <w:rFonts w:ascii="Arial" w:cs="Arial" w:eastAsia="Arial" w:hAnsi="Arial"/>
                <w:sz w:val="18"/>
                <w:szCs w:val="18"/>
                <w:color w:val="auto"/>
              </w:rPr>
              <w:t>Viasat, Inc. common stockholders</w:t>
            </w:r>
          </w:p>
        </w:tc>
        <w:tc>
          <w:tcPr>
            <w:tcW w:w="34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(0.42)</w:t>
            </w:r>
          </w:p>
        </w:tc>
        <w:tc>
          <w:tcPr>
            <w:tcW w:w="640" w:type="dxa"/>
            <w:vAlign w:val="bottom"/>
            <w:gridSpan w:val="2"/>
          </w:tcPr>
          <w:p>
            <w:pPr>
              <w:ind w:left="280"/>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0.08</w:t>
            </w:r>
          </w:p>
        </w:tc>
        <w:tc>
          <w:tcPr>
            <w:tcW w:w="640" w:type="dxa"/>
            <w:vAlign w:val="bottom"/>
          </w:tcPr>
          <w:p>
            <w:pPr>
              <w:spacing w:after="0"/>
              <w:rPr>
                <w:sz w:val="17"/>
                <w:szCs w:val="17"/>
                <w:color w:val="auto"/>
              </w:rPr>
            </w:pPr>
          </w:p>
        </w:tc>
        <w:tc>
          <w:tcPr>
            <w:tcW w:w="28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line="200" w:lineRule="exact"/>
              <w:rPr>
                <w:sz w:val="20"/>
                <w:szCs w:val="20"/>
                <w:color w:val="auto"/>
              </w:rPr>
            </w:pPr>
            <w:r>
              <w:rPr>
                <w:rFonts w:ascii="Arial" w:cs="Arial" w:eastAsia="Arial" w:hAnsi="Arial"/>
                <w:sz w:val="18"/>
                <w:szCs w:val="18"/>
                <w:color w:val="auto"/>
              </w:rPr>
              <w:t>(0.81)</w:t>
            </w:r>
          </w:p>
        </w:tc>
        <w:tc>
          <w:tcPr>
            <w:tcW w:w="38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Diluted net (loss) income per share attributable to</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Viasat, Inc. common stockholders</w:t>
            </w:r>
          </w:p>
        </w:tc>
        <w:tc>
          <w:tcPr>
            <w:tcW w:w="3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(0.42)</w:t>
            </w:r>
          </w:p>
        </w:tc>
        <w:tc>
          <w:tcPr>
            <w:tcW w:w="640" w:type="dxa"/>
            <w:vAlign w:val="bottom"/>
            <w:gridSpan w:val="2"/>
            <w:shd w:val="clear" w:color="auto" w:fill="CCEEFF"/>
          </w:tcPr>
          <w:p>
            <w:pPr>
              <w:ind w:left="280"/>
              <w:spacing w:after="0" w:line="200"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0.08</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line="200" w:lineRule="exact"/>
              <w:rPr>
                <w:sz w:val="20"/>
                <w:szCs w:val="20"/>
                <w:color w:val="auto"/>
              </w:rPr>
            </w:pPr>
            <w:r>
              <w:rPr>
                <w:rFonts w:ascii="Arial" w:cs="Arial" w:eastAsia="Arial" w:hAnsi="Arial"/>
                <w:sz w:val="18"/>
                <w:szCs w:val="18"/>
                <w:color w:val="auto"/>
              </w:rPr>
              <w:t>(0.81)</w:t>
            </w:r>
          </w:p>
        </w:tc>
        <w:tc>
          <w:tcPr>
            <w:tcW w:w="3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6"/>
        </w:trPr>
        <w:tc>
          <w:tcPr>
            <w:tcW w:w="4460" w:type="dxa"/>
            <w:vAlign w:val="bottom"/>
          </w:tcPr>
          <w:p>
            <w:pPr>
              <w:spacing w:after="0" w:line="206" w:lineRule="exact"/>
              <w:rPr>
                <w:sz w:val="20"/>
                <w:szCs w:val="20"/>
                <w:color w:val="auto"/>
              </w:rPr>
            </w:pPr>
            <w:r>
              <w:rPr>
                <w:rFonts w:ascii="Arial" w:cs="Arial" w:eastAsia="Arial" w:hAnsi="Arial"/>
                <w:sz w:val="18"/>
                <w:szCs w:val="18"/>
                <w:color w:val="auto"/>
              </w:rPr>
              <w:t>Shares used in computing basic net (loss) income</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220"/>
              <w:spacing w:after="0" w:line="200" w:lineRule="exact"/>
              <w:rPr>
                <w:sz w:val="20"/>
                <w:szCs w:val="20"/>
                <w:color w:val="auto"/>
              </w:rPr>
            </w:pPr>
            <w:r>
              <w:rPr>
                <w:rFonts w:ascii="Arial" w:cs="Arial" w:eastAsia="Arial" w:hAnsi="Arial"/>
                <w:sz w:val="18"/>
                <w:szCs w:val="18"/>
                <w:color w:val="auto"/>
              </w:rPr>
              <w:t>per share</w:t>
            </w:r>
          </w:p>
        </w:tc>
        <w:tc>
          <w:tcPr>
            <w:tcW w:w="34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58,638</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ind w:right="640"/>
              <w:spacing w:after="0" w:line="200" w:lineRule="exact"/>
              <w:rPr>
                <w:sz w:val="20"/>
                <w:szCs w:val="20"/>
                <w:color w:val="auto"/>
              </w:rPr>
            </w:pPr>
            <w:r>
              <w:rPr>
                <w:rFonts w:ascii="Arial" w:cs="Arial" w:eastAsia="Arial" w:hAnsi="Arial"/>
                <w:sz w:val="18"/>
                <w:szCs w:val="18"/>
                <w:color w:val="auto"/>
              </w:rPr>
              <w:t>52,976</w:t>
            </w:r>
          </w:p>
        </w:tc>
        <w:tc>
          <w:tcPr>
            <w:tcW w:w="280" w:type="dxa"/>
            <w:vAlign w:val="bottom"/>
          </w:tcPr>
          <w:p>
            <w:pPr>
              <w:spacing w:after="0"/>
              <w:rPr>
                <w:sz w:val="17"/>
                <w:szCs w:val="17"/>
                <w:color w:val="auto"/>
              </w:rPr>
            </w:pPr>
          </w:p>
        </w:tc>
        <w:tc>
          <w:tcPr>
            <w:tcW w:w="1600" w:type="dxa"/>
            <w:vAlign w:val="bottom"/>
            <w:gridSpan w:val="2"/>
          </w:tcPr>
          <w:p>
            <w:pPr>
              <w:jc w:val="right"/>
              <w:ind w:right="640"/>
              <w:spacing w:after="0" w:line="200" w:lineRule="exact"/>
              <w:rPr>
                <w:sz w:val="20"/>
                <w:szCs w:val="20"/>
                <w:color w:val="auto"/>
              </w:rPr>
            </w:pPr>
            <w:r>
              <w:rPr>
                <w:rFonts w:ascii="Arial" w:cs="Arial" w:eastAsia="Arial" w:hAnsi="Arial"/>
                <w:sz w:val="18"/>
                <w:szCs w:val="18"/>
                <w:color w:val="auto"/>
              </w:rPr>
              <w:t>58,237</w:t>
            </w:r>
          </w:p>
        </w:tc>
        <w:tc>
          <w:tcPr>
            <w:tcW w:w="380" w:type="dxa"/>
            <w:vAlign w:val="bottom"/>
          </w:tcPr>
          <w:p>
            <w:pPr>
              <w:spacing w:after="0"/>
              <w:rPr>
                <w:sz w:val="17"/>
                <w:szCs w:val="17"/>
                <w:color w:val="auto"/>
              </w:rPr>
            </w:pPr>
          </w:p>
        </w:tc>
        <w:tc>
          <w:tcPr>
            <w:tcW w:w="9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50,542</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Shares used in computing diluted net (loss)</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income per share</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58,638</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0" w:lineRule="exact"/>
              <w:rPr>
                <w:sz w:val="20"/>
                <w:szCs w:val="20"/>
                <w:color w:val="auto"/>
              </w:rPr>
            </w:pPr>
            <w:r>
              <w:rPr>
                <w:rFonts w:ascii="Arial" w:cs="Arial" w:eastAsia="Arial" w:hAnsi="Arial"/>
                <w:sz w:val="18"/>
                <w:szCs w:val="18"/>
                <w:color w:val="auto"/>
              </w:rPr>
              <w:t>54,015</w:t>
            </w:r>
          </w:p>
        </w:tc>
        <w:tc>
          <w:tcPr>
            <w:tcW w:w="2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40"/>
              <w:spacing w:after="0" w:line="200" w:lineRule="exact"/>
              <w:rPr>
                <w:sz w:val="20"/>
                <w:szCs w:val="20"/>
                <w:color w:val="auto"/>
              </w:rPr>
            </w:pPr>
            <w:r>
              <w:rPr>
                <w:rFonts w:ascii="Arial" w:cs="Arial" w:eastAsia="Arial" w:hAnsi="Arial"/>
                <w:sz w:val="18"/>
                <w:szCs w:val="18"/>
                <w:color w:val="auto"/>
              </w:rPr>
              <w:t>58,237</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51,647</w:t>
            </w:r>
          </w:p>
        </w:tc>
        <w:tc>
          <w:tcPr>
            <w:tcW w:w="0" w:type="dxa"/>
            <w:vAlign w:val="bottom"/>
          </w:tcPr>
          <w:p>
            <w:pPr>
              <w:spacing w:after="0"/>
              <w:rPr>
                <w:sz w:val="1"/>
                <w:szCs w:val="1"/>
                <w:color w:val="auto"/>
              </w:rPr>
            </w:pPr>
          </w:p>
        </w:tc>
      </w:tr>
      <w:tr>
        <w:trPr>
          <w:trHeight w:val="311"/>
        </w:trPr>
        <w:tc>
          <w:tcPr>
            <w:tcW w:w="44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(25,621)</w:t>
            </w:r>
          </w:p>
        </w:tc>
        <w:tc>
          <w:tcPr>
            <w:tcW w:w="6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4,622</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(48,759)</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Unrealized (loss) gain on hedging, net of tax</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6"/>
        </w:trPr>
        <w:tc>
          <w:tcPr>
            <w:tcW w:w="4460" w:type="dxa"/>
            <w:vAlign w:val="bottom"/>
          </w:tcPr>
          <w:p>
            <w:pPr>
              <w:ind w:left="440"/>
              <w:spacing w:after="0" w:line="206" w:lineRule="exact"/>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660"/>
              <w:spacing w:after="0" w:line="200" w:lineRule="exact"/>
              <w:rPr>
                <w:sz w:val="20"/>
                <w:szCs w:val="20"/>
                <w:color w:val="auto"/>
              </w:rPr>
            </w:pPr>
            <w:r>
              <w:rPr>
                <w:rFonts w:ascii="Arial" w:cs="Arial" w:eastAsia="Arial" w:hAnsi="Arial"/>
                <w:sz w:val="18"/>
                <w:szCs w:val="18"/>
                <w:color w:val="auto"/>
              </w:rPr>
              <w:t>net of tax</w:t>
            </w:r>
          </w:p>
        </w:tc>
        <w:tc>
          <w:tcPr>
            <w:tcW w:w="34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3,619</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ind w:right="580"/>
              <w:spacing w:after="0" w:line="200" w:lineRule="exact"/>
              <w:rPr>
                <w:sz w:val="20"/>
                <w:szCs w:val="20"/>
                <w:color w:val="auto"/>
              </w:rPr>
            </w:pPr>
            <w:r>
              <w:rPr>
                <w:rFonts w:ascii="Arial" w:cs="Arial" w:eastAsia="Arial" w:hAnsi="Arial"/>
                <w:sz w:val="18"/>
                <w:szCs w:val="18"/>
                <w:color w:val="auto"/>
              </w:rPr>
              <w:t>(1,331)</w:t>
            </w:r>
          </w:p>
        </w:tc>
        <w:tc>
          <w:tcPr>
            <w:tcW w:w="280" w:type="dxa"/>
            <w:vAlign w:val="bottom"/>
          </w:tcPr>
          <w:p>
            <w:pPr>
              <w:spacing w:after="0"/>
              <w:rPr>
                <w:sz w:val="17"/>
                <w:szCs w:val="17"/>
                <w:color w:val="auto"/>
              </w:rPr>
            </w:pPr>
          </w:p>
        </w:tc>
        <w:tc>
          <w:tcPr>
            <w:tcW w:w="1600" w:type="dxa"/>
            <w:vAlign w:val="bottom"/>
            <w:gridSpan w:val="2"/>
          </w:tcPr>
          <w:p>
            <w:pPr>
              <w:jc w:val="right"/>
              <w:ind w:right="640"/>
              <w:spacing w:after="0" w:line="200" w:lineRule="exact"/>
              <w:rPr>
                <w:sz w:val="20"/>
                <w:szCs w:val="20"/>
                <w:color w:val="auto"/>
              </w:rPr>
            </w:pPr>
            <w:r>
              <w:rPr>
                <w:rFonts w:ascii="Arial" w:cs="Arial" w:eastAsia="Arial" w:hAnsi="Arial"/>
                <w:sz w:val="18"/>
                <w:szCs w:val="18"/>
                <w:color w:val="auto"/>
              </w:rPr>
              <w:t>13,465</w:t>
            </w:r>
          </w:p>
        </w:tc>
        <w:tc>
          <w:tcPr>
            <w:tcW w:w="380" w:type="dxa"/>
            <w:vAlign w:val="bottom"/>
          </w:tcPr>
          <w:p>
            <w:pPr>
              <w:spacing w:after="0"/>
              <w:rPr>
                <w:sz w:val="17"/>
                <w:szCs w:val="17"/>
                <w:color w:val="auto"/>
              </w:rPr>
            </w:pPr>
          </w:p>
        </w:tc>
        <w:tc>
          <w:tcPr>
            <w:tcW w:w="96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3,591</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(1,455)</w:t>
            </w:r>
          </w:p>
        </w:tc>
        <w:tc>
          <w:tcPr>
            <w:tcW w:w="2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13,546</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3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(22,030)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3,167</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(35,213)</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15,045</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Less: comprehensive (loss) income attributable to</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noncontrolling interests, net of tax</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(990)</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379</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580"/>
              <w:spacing w:after="0" w:line="200" w:lineRule="exact"/>
              <w:rPr>
                <w:sz w:val="20"/>
                <w:szCs w:val="20"/>
                <w:color w:val="auto"/>
              </w:rPr>
            </w:pPr>
            <w:r>
              <w:rPr>
                <w:rFonts w:ascii="Arial" w:cs="Arial" w:eastAsia="Arial" w:hAnsi="Arial"/>
                <w:sz w:val="18"/>
                <w:szCs w:val="18"/>
                <w:color w:val="auto"/>
              </w:rPr>
              <w:t>(1,400)</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8"/>
                <w:szCs w:val="18"/>
                <w:color w:val="auto"/>
              </w:rPr>
              <w:t>Comprehensive (loss) income attributable to</w:t>
            </w: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220"/>
              <w:spacing w:after="0" w:line="200" w:lineRule="exact"/>
              <w:rPr>
                <w:sz w:val="20"/>
                <w:szCs w:val="20"/>
                <w:color w:val="auto"/>
              </w:rPr>
            </w:pPr>
            <w:r>
              <w:rPr>
                <w:rFonts w:ascii="Arial" w:cs="Arial" w:eastAsia="Arial" w:hAnsi="Arial"/>
                <w:sz w:val="18"/>
                <w:szCs w:val="18"/>
                <w:color w:val="auto"/>
              </w:rPr>
              <w:t>Viasat, Inc.</w:t>
            </w:r>
          </w:p>
        </w:tc>
        <w:tc>
          <w:tcPr>
            <w:tcW w:w="34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(21,040)</w:t>
            </w:r>
          </w:p>
        </w:tc>
        <w:tc>
          <w:tcPr>
            <w:tcW w:w="640" w:type="dxa"/>
            <w:vAlign w:val="bottom"/>
            <w:gridSpan w:val="2"/>
          </w:tcPr>
          <w:p>
            <w:pPr>
              <w:ind w:left="280"/>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2,788</w:t>
            </w:r>
          </w:p>
        </w:tc>
        <w:tc>
          <w:tcPr>
            <w:tcW w:w="640" w:type="dxa"/>
            <w:vAlign w:val="bottom"/>
          </w:tcPr>
          <w:p>
            <w:pPr>
              <w:spacing w:after="0"/>
              <w:rPr>
                <w:sz w:val="17"/>
                <w:szCs w:val="17"/>
                <w:color w:val="auto"/>
              </w:rPr>
            </w:pPr>
          </w:p>
        </w:tc>
        <w:tc>
          <w:tcPr>
            <w:tcW w:w="28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line="200" w:lineRule="exact"/>
              <w:rPr>
                <w:sz w:val="20"/>
                <w:szCs w:val="20"/>
                <w:color w:val="auto"/>
              </w:rPr>
            </w:pPr>
            <w:r>
              <w:rPr>
                <w:rFonts w:ascii="Arial" w:cs="Arial" w:eastAsia="Arial" w:hAnsi="Arial"/>
                <w:sz w:val="18"/>
                <w:szCs w:val="18"/>
                <w:color w:val="auto"/>
              </w:rPr>
              <w:t>(33,813)</w:t>
            </w:r>
          </w:p>
        </w:tc>
        <w:tc>
          <w:tcPr>
            <w:tcW w:w="38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14,644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6"/>
              </w:rPr>
              <w:t>Nine Months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60" w:type="dxa"/>
            <w:vAlign w:val="bottom"/>
          </w:tcPr>
          <w:p>
            <w:pPr>
              <w:spacing w:after="0"/>
              <w:rPr>
                <w:sz w:val="12"/>
                <w:szCs w:val="12"/>
                <w:color w:val="auto"/>
              </w:rPr>
            </w:pPr>
          </w:p>
        </w:tc>
        <w:tc>
          <w:tcPr>
            <w:tcW w:w="20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2017</w:t>
            </w:r>
          </w:p>
        </w:tc>
        <w:tc>
          <w:tcPr>
            <w:tcW w:w="12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December 31, 2016</w:t>
            </w:r>
          </w:p>
        </w:tc>
        <w:tc>
          <w:tcPr>
            <w:tcW w:w="100" w:type="dxa"/>
            <w:vAlign w:val="bottom"/>
          </w:tcPr>
          <w:p>
            <w:pPr>
              <w:spacing w:after="0"/>
              <w:rPr>
                <w:sz w:val="12"/>
                <w:szCs w:val="12"/>
                <w:color w:val="auto"/>
              </w:rPr>
            </w:pPr>
          </w:p>
        </w:tc>
      </w:tr>
      <w:tr>
        <w:trPr>
          <w:trHeight w:val="142"/>
        </w:trPr>
        <w:tc>
          <w:tcPr>
            <w:tcW w:w="8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3"/>
          </w:tcPr>
          <w:p>
            <w:pPr>
              <w:jc w:val="center"/>
              <w:ind w:left="433"/>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60" w:type="dxa"/>
            <w:vAlign w:val="bottom"/>
          </w:tcPr>
          <w:p>
            <w:pPr>
              <w:ind w:left="440"/>
              <w:spacing w:after="0" w:line="202" w:lineRule="exact"/>
              <w:rPr>
                <w:sz w:val="20"/>
                <w:szCs w:val="20"/>
                <w:color w:val="auto"/>
              </w:rPr>
            </w:pPr>
            <w:r>
              <w:rPr>
                <w:rFonts w:ascii="Arial" w:cs="Arial" w:eastAsia="Arial" w:hAnsi="Arial"/>
                <w:sz w:val="18"/>
                <w:szCs w:val="18"/>
                <w:color w:val="auto"/>
              </w:rPr>
              <w:t>Net (loss) income</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(48,759)</w:t>
            </w:r>
          </w:p>
        </w:tc>
        <w:tc>
          <w:tcPr>
            <w:tcW w:w="3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17,518</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reconcile net (loss) income to net cash provided by operating activities: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60" w:type="dxa"/>
            <w:vAlign w:val="bottom"/>
          </w:tcPr>
          <w:p>
            <w:pPr>
              <w:ind w:left="88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153,211</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150,881</w:t>
            </w:r>
          </w:p>
        </w:tc>
        <w:tc>
          <w:tcPr>
            <w:tcW w:w="100" w:type="dxa"/>
            <w:vAlign w:val="bottom"/>
          </w:tcPr>
          <w:p>
            <w:pPr>
              <w:spacing w:after="0"/>
              <w:rPr>
                <w:sz w:val="17"/>
                <w:szCs w:val="17"/>
                <w:color w:val="auto"/>
              </w:rPr>
            </w:pPr>
          </w:p>
        </w:tc>
      </w:tr>
      <w:tr>
        <w:trPr>
          <w:trHeight w:val="203"/>
        </w:trPr>
        <w:tc>
          <w:tcPr>
            <w:tcW w:w="8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33,165</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32,517</w:t>
            </w:r>
          </w:p>
        </w:tc>
      </w:tr>
      <w:tr>
        <w:trPr>
          <w:trHeight w:val="203"/>
        </w:trPr>
        <w:tc>
          <w:tcPr>
            <w:tcW w:w="8060" w:type="dxa"/>
            <w:vAlign w:val="bottom"/>
          </w:tcPr>
          <w:p>
            <w:pPr>
              <w:ind w:left="880"/>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7"/>
                <w:szCs w:val="17"/>
                <w:color w:val="auto"/>
              </w:rPr>
            </w:pPr>
          </w:p>
        </w:tc>
        <w:tc>
          <w:tcPr>
            <w:tcW w:w="17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(19,940)</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3,083</w:t>
            </w:r>
          </w:p>
        </w:tc>
        <w:tc>
          <w:tcPr>
            <w:tcW w:w="100" w:type="dxa"/>
            <w:vAlign w:val="bottom"/>
          </w:tcPr>
          <w:p>
            <w:pPr>
              <w:spacing w:after="0"/>
              <w:rPr>
                <w:sz w:val="17"/>
                <w:szCs w:val="17"/>
                <w:color w:val="auto"/>
              </w:rPr>
            </w:pPr>
          </w:p>
        </w:tc>
      </w:tr>
      <w:tr>
        <w:trPr>
          <w:trHeight w:val="203"/>
        </w:trPr>
        <w:tc>
          <w:tcPr>
            <w:tcW w:w="8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Equity in income of unconsolidated affiliate, net</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(1,593)</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60" w:type="dxa"/>
            <w:vAlign w:val="bottom"/>
          </w:tcPr>
          <w:p>
            <w:pPr>
              <w:ind w:left="880"/>
              <w:spacing w:after="0" w:line="202" w:lineRule="exact"/>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7"/>
                <w:szCs w:val="17"/>
                <w:color w:val="auto"/>
              </w:rPr>
            </w:pPr>
          </w:p>
        </w:tc>
        <w:tc>
          <w:tcPr>
            <w:tcW w:w="17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49,132</w:t>
            </w:r>
          </w:p>
        </w:tc>
        <w:tc>
          <w:tcPr>
            <w:tcW w:w="3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39,923</w:t>
            </w:r>
          </w:p>
        </w:tc>
      </w:tr>
      <w:tr>
        <w:trPr>
          <w:trHeight w:val="203"/>
        </w:trPr>
        <w:tc>
          <w:tcPr>
            <w:tcW w:w="8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Loss on disposition of fixed assets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25,768</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26,995</w:t>
            </w:r>
          </w:p>
        </w:tc>
      </w:tr>
      <w:tr>
        <w:trPr>
          <w:trHeight w:val="203"/>
        </w:trPr>
        <w:tc>
          <w:tcPr>
            <w:tcW w:w="8060" w:type="dxa"/>
            <w:vAlign w:val="bottom"/>
          </w:tcPr>
          <w:p>
            <w:pPr>
              <w:ind w:left="880"/>
              <w:spacing w:after="0" w:line="202" w:lineRule="exact"/>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7"/>
                <w:szCs w:val="17"/>
                <w:color w:val="auto"/>
              </w:rPr>
            </w:pPr>
          </w:p>
        </w:tc>
        <w:tc>
          <w:tcPr>
            <w:tcW w:w="17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10,217</w:t>
            </w:r>
          </w:p>
        </w:tc>
        <w:tc>
          <w:tcPr>
            <w:tcW w:w="38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Other non-cash adjustments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6,278</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7,077</w:t>
            </w:r>
          </w:p>
        </w:tc>
        <w:tc>
          <w:tcPr>
            <w:tcW w:w="100" w:type="dxa"/>
            <w:vAlign w:val="bottom"/>
            <w:shd w:val="clear" w:color="auto" w:fill="CCEEFF"/>
          </w:tcPr>
          <w:p>
            <w:pPr>
              <w:spacing w:after="0"/>
              <w:rPr>
                <w:sz w:val="17"/>
                <w:szCs w:val="17"/>
                <w:color w:val="auto"/>
              </w:rPr>
            </w:pPr>
          </w:p>
        </w:tc>
      </w:tr>
      <w:tr>
        <w:trPr>
          <w:trHeight w:val="206"/>
        </w:trPr>
        <w:tc>
          <w:tcPr>
            <w:tcW w:w="8060" w:type="dxa"/>
            <w:vAlign w:val="bottom"/>
          </w:tcPr>
          <w:p>
            <w:pPr>
              <w:ind w:left="440"/>
              <w:spacing w:after="0" w:line="206" w:lineRule="exact"/>
              <w:rPr>
                <w:sz w:val="20"/>
                <w:szCs w:val="20"/>
                <w:color w:val="auto"/>
              </w:rPr>
            </w:pPr>
            <w:r>
              <w:rPr>
                <w:rFonts w:ascii="Arial" w:cs="Arial" w:eastAsia="Arial" w:hAnsi="Arial"/>
                <w:sz w:val="18"/>
                <w:szCs w:val="18"/>
                <w:color w:val="auto"/>
              </w:rPr>
              <w:t>Increase (decrease) in cash resulting from changes in operating assets and liabilities, net</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060" w:type="dxa"/>
            <w:vAlign w:val="bottom"/>
          </w:tcPr>
          <w:p>
            <w:pPr>
              <w:ind w:left="660"/>
              <w:spacing w:after="0" w:line="200" w:lineRule="exact"/>
              <w:rPr>
                <w:sz w:val="20"/>
                <w:szCs w:val="20"/>
                <w:color w:val="auto"/>
              </w:rPr>
            </w:pPr>
            <w:r>
              <w:rPr>
                <w:rFonts w:ascii="Arial" w:cs="Arial" w:eastAsia="Arial" w:hAnsi="Arial"/>
                <w:sz w:val="18"/>
                <w:szCs w:val="18"/>
                <w:color w:val="auto"/>
              </w:rPr>
              <w:t>of effect of acquisition:</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29,626</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26,673</w:t>
            </w:r>
          </w:p>
        </w:tc>
      </w:tr>
      <w:tr>
        <w:trPr>
          <w:trHeight w:val="203"/>
        </w:trPr>
        <w:tc>
          <w:tcPr>
            <w:tcW w:w="8060" w:type="dxa"/>
            <w:vAlign w:val="bottom"/>
          </w:tcPr>
          <w:p>
            <w:pPr>
              <w:ind w:left="880"/>
              <w:spacing w:after="0" w:line="202" w:lineRule="exact"/>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7"/>
                <w:szCs w:val="17"/>
                <w:color w:val="auto"/>
              </w:rPr>
            </w:pPr>
          </w:p>
        </w:tc>
        <w:tc>
          <w:tcPr>
            <w:tcW w:w="17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(24,148)</w:t>
            </w:r>
          </w:p>
        </w:tc>
        <w:tc>
          <w:tcPr>
            <w:tcW w:w="3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(9,752)</w:t>
            </w:r>
          </w:p>
        </w:tc>
      </w:tr>
      <w:tr>
        <w:trPr>
          <w:trHeight w:val="203"/>
        </w:trPr>
        <w:tc>
          <w:tcPr>
            <w:tcW w:w="8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(24,938)</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(11,123)</w:t>
            </w:r>
          </w:p>
        </w:tc>
      </w:tr>
      <w:tr>
        <w:trPr>
          <w:trHeight w:val="203"/>
        </w:trPr>
        <w:tc>
          <w:tcPr>
            <w:tcW w:w="8060" w:type="dxa"/>
            <w:vAlign w:val="bottom"/>
          </w:tcPr>
          <w:p>
            <w:pPr>
              <w:ind w:left="88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5,804</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(7,827)</w:t>
            </w:r>
          </w:p>
        </w:tc>
      </w:tr>
      <w:tr>
        <w:trPr>
          <w:trHeight w:val="203"/>
        </w:trPr>
        <w:tc>
          <w:tcPr>
            <w:tcW w:w="8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16,965</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34,219</w:t>
            </w:r>
          </w:p>
        </w:tc>
      </w:tr>
      <w:tr>
        <w:trPr>
          <w:trHeight w:val="210"/>
        </w:trPr>
        <w:tc>
          <w:tcPr>
            <w:tcW w:w="8060" w:type="dxa"/>
            <w:vAlign w:val="bottom"/>
          </w:tcPr>
          <w:p>
            <w:pPr>
              <w:ind w:left="880"/>
              <w:spacing w:after="0" w:line="202" w:lineRule="exact"/>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17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71,807</w:t>
            </w:r>
          </w:p>
        </w:tc>
        <w:tc>
          <w:tcPr>
            <w:tcW w:w="380" w:type="dxa"/>
            <w:vAlign w:val="bottom"/>
          </w:tcPr>
          <w:p>
            <w:pPr>
              <w:spacing w:after="0"/>
              <w:rPr>
                <w:sz w:val="18"/>
                <w:szCs w:val="18"/>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2,495</w:t>
            </w:r>
          </w:p>
        </w:tc>
        <w:tc>
          <w:tcPr>
            <w:tcW w:w="100" w:type="dxa"/>
            <w:vAlign w:val="bottom"/>
          </w:tcPr>
          <w:p>
            <w:pPr>
              <w:spacing w:after="0"/>
              <w:rPr>
                <w:sz w:val="18"/>
                <w:szCs w:val="18"/>
                <w:color w:val="auto"/>
              </w:rPr>
            </w:pPr>
          </w:p>
        </w:tc>
      </w:tr>
      <w:tr>
        <w:trPr>
          <w:trHeight w:val="203"/>
        </w:trPr>
        <w:tc>
          <w:tcPr>
            <w:tcW w:w="806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282,595</w:t>
            </w:r>
          </w:p>
        </w:tc>
        <w:tc>
          <w:tcPr>
            <w:tcW w:w="8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312,679</w:t>
            </w:r>
          </w:p>
        </w:tc>
        <w:tc>
          <w:tcPr>
            <w:tcW w:w="100" w:type="dxa"/>
            <w:vAlign w:val="bottom"/>
            <w:shd w:val="clear" w:color="auto" w:fill="CCEEFF"/>
          </w:tcPr>
          <w:p>
            <w:pPr>
              <w:spacing w:after="0"/>
              <w:rPr>
                <w:sz w:val="17"/>
                <w:szCs w:val="17"/>
                <w:color w:val="auto"/>
              </w:rPr>
            </w:pP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Purchase of property, equipment and satellites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(354,362)</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(390,223)</w:t>
            </w:r>
          </w:p>
        </w:tc>
      </w:tr>
      <w:tr>
        <w:trPr>
          <w:trHeight w:val="203"/>
        </w:trPr>
        <w:tc>
          <w:tcPr>
            <w:tcW w:w="8060" w:type="dxa"/>
            <w:vAlign w:val="bottom"/>
          </w:tcPr>
          <w:p>
            <w:pPr>
              <w:ind w:left="440"/>
              <w:spacing w:after="0" w:line="202" w:lineRule="exact"/>
              <w:rPr>
                <w:sz w:val="20"/>
                <w:szCs w:val="20"/>
                <w:color w:val="auto"/>
              </w:rPr>
            </w:pPr>
            <w:r>
              <w:rPr>
                <w:rFonts w:ascii="Arial" w:cs="Arial" w:eastAsia="Arial" w:hAnsi="Arial"/>
                <w:sz w:val="18"/>
                <w:szCs w:val="18"/>
                <w:color w:val="auto"/>
              </w:rPr>
              <w:t>Cash paid for patents, licenses and other assets</w:t>
            </w:r>
          </w:p>
        </w:tc>
        <w:tc>
          <w:tcPr>
            <w:tcW w:w="320" w:type="dxa"/>
            <w:vAlign w:val="bottom"/>
          </w:tcPr>
          <w:p>
            <w:pPr>
              <w:spacing w:after="0"/>
              <w:rPr>
                <w:sz w:val="17"/>
                <w:szCs w:val="17"/>
                <w:color w:val="auto"/>
              </w:rPr>
            </w:pPr>
          </w:p>
        </w:tc>
        <w:tc>
          <w:tcPr>
            <w:tcW w:w="17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(55,249)</w:t>
            </w:r>
          </w:p>
        </w:tc>
        <w:tc>
          <w:tcPr>
            <w:tcW w:w="3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(56,013)</w:t>
            </w:r>
          </w:p>
        </w:tc>
      </w:tr>
      <w:tr>
        <w:trPr>
          <w:trHeight w:val="203"/>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Payments related to acquisition of businesses, net of cash acquired</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(16,528)</w:t>
            </w:r>
          </w:p>
        </w:tc>
      </w:tr>
      <w:tr>
        <w:trPr>
          <w:trHeight w:val="203"/>
        </w:trPr>
        <w:tc>
          <w:tcPr>
            <w:tcW w:w="8060" w:type="dxa"/>
            <w:vAlign w:val="bottom"/>
          </w:tcPr>
          <w:p>
            <w:pPr>
              <w:ind w:left="440"/>
              <w:spacing w:after="0" w:line="202" w:lineRule="exact"/>
              <w:rPr>
                <w:sz w:val="20"/>
                <w:szCs w:val="20"/>
                <w:color w:val="auto"/>
              </w:rPr>
            </w:pPr>
            <w:r>
              <w:rPr>
                <w:rFonts w:ascii="Arial" w:cs="Arial" w:eastAsia="Arial" w:hAnsi="Arial"/>
                <w:sz w:val="18"/>
                <w:szCs w:val="18"/>
                <w:color w:val="auto"/>
              </w:rPr>
              <w:t>Other investing activities</w:t>
            </w:r>
          </w:p>
        </w:tc>
        <w:tc>
          <w:tcPr>
            <w:tcW w:w="32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(649)</w:t>
            </w:r>
          </w:p>
        </w:tc>
      </w:tr>
      <w:tr>
        <w:trPr>
          <w:trHeight w:val="27"/>
        </w:trPr>
        <w:tc>
          <w:tcPr>
            <w:tcW w:w="80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06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(409,611)</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(463,413)</w:t>
            </w: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Proceeds from issuance of 2025 Notes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700,000</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60" w:type="dxa"/>
            <w:vAlign w:val="bottom"/>
          </w:tcPr>
          <w:p>
            <w:pPr>
              <w:ind w:left="440"/>
              <w:spacing w:after="0" w:line="202" w:lineRule="exact"/>
              <w:rPr>
                <w:sz w:val="20"/>
                <w:szCs w:val="20"/>
                <w:color w:val="auto"/>
              </w:rPr>
            </w:pPr>
            <w:r>
              <w:rPr>
                <w:rFonts w:ascii="Arial" w:cs="Arial" w:eastAsia="Arial" w:hAnsi="Arial"/>
                <w:sz w:val="18"/>
                <w:szCs w:val="18"/>
                <w:color w:val="auto"/>
              </w:rPr>
              <w:t>Repayment of 2020 Notes</w:t>
            </w:r>
          </w:p>
        </w:tc>
        <w:tc>
          <w:tcPr>
            <w:tcW w:w="320" w:type="dxa"/>
            <w:vAlign w:val="bottom"/>
          </w:tcPr>
          <w:p>
            <w:pPr>
              <w:spacing w:after="0"/>
              <w:rPr>
                <w:sz w:val="17"/>
                <w:szCs w:val="17"/>
                <w:color w:val="auto"/>
              </w:rPr>
            </w:pPr>
          </w:p>
        </w:tc>
        <w:tc>
          <w:tcPr>
            <w:tcW w:w="17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(575,000)</w:t>
            </w:r>
          </w:p>
        </w:tc>
        <w:tc>
          <w:tcPr>
            <w:tcW w:w="38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Payment of debt extinguishment costs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(10,602)</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60" w:type="dxa"/>
            <w:vAlign w:val="bottom"/>
          </w:tcPr>
          <w:p>
            <w:pPr>
              <w:ind w:left="440"/>
              <w:spacing w:after="0" w:line="202" w:lineRule="exact"/>
              <w:rPr>
                <w:sz w:val="20"/>
                <w:szCs w:val="20"/>
                <w:color w:val="auto"/>
              </w:rPr>
            </w:pPr>
            <w:r>
              <w:rPr>
                <w:rFonts w:ascii="Arial" w:cs="Arial" w:eastAsia="Arial" w:hAnsi="Arial"/>
                <w:sz w:val="18"/>
                <w:szCs w:val="18"/>
                <w:color w:val="auto"/>
              </w:rPr>
              <w:t>Proceeds from revolving credit facility borrowings</w:t>
            </w:r>
          </w:p>
        </w:tc>
        <w:tc>
          <w:tcPr>
            <w:tcW w:w="320" w:type="dxa"/>
            <w:vAlign w:val="bottom"/>
          </w:tcPr>
          <w:p>
            <w:pPr>
              <w:spacing w:after="0"/>
              <w:rPr>
                <w:sz w:val="17"/>
                <w:szCs w:val="17"/>
                <w:color w:val="auto"/>
              </w:rPr>
            </w:pPr>
          </w:p>
        </w:tc>
        <w:tc>
          <w:tcPr>
            <w:tcW w:w="17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90,000</w:t>
            </w:r>
          </w:p>
        </w:tc>
      </w:tr>
      <w:tr>
        <w:trPr>
          <w:trHeight w:val="203"/>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Payments of revolving credit facility borrowings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(270,000)</w:t>
            </w:r>
          </w:p>
        </w:tc>
      </w:tr>
      <w:tr>
        <w:trPr>
          <w:trHeight w:val="203"/>
        </w:trPr>
        <w:tc>
          <w:tcPr>
            <w:tcW w:w="8060" w:type="dxa"/>
            <w:vAlign w:val="bottom"/>
          </w:tcPr>
          <w:p>
            <w:pPr>
              <w:ind w:left="440"/>
              <w:spacing w:after="0" w:line="202" w:lineRule="exact"/>
              <w:rPr>
                <w:sz w:val="20"/>
                <w:szCs w:val="20"/>
                <w:color w:val="auto"/>
              </w:rPr>
            </w:pPr>
            <w:r>
              <w:rPr>
                <w:rFonts w:ascii="Arial" w:cs="Arial" w:eastAsia="Arial" w:hAnsi="Arial"/>
                <w:sz w:val="18"/>
                <w:szCs w:val="18"/>
                <w:color w:val="auto"/>
              </w:rPr>
              <w:t>Proceeds from Ex-Im credit facility borrowings, net of discount</w:t>
            </w:r>
          </w:p>
        </w:tc>
        <w:tc>
          <w:tcPr>
            <w:tcW w:w="320" w:type="dxa"/>
            <w:vAlign w:val="bottom"/>
          </w:tcPr>
          <w:p>
            <w:pPr>
              <w:spacing w:after="0"/>
              <w:rPr>
                <w:sz w:val="17"/>
                <w:szCs w:val="17"/>
                <w:color w:val="auto"/>
              </w:rPr>
            </w:pPr>
          </w:p>
        </w:tc>
        <w:tc>
          <w:tcPr>
            <w:tcW w:w="17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52,503</w:t>
            </w:r>
          </w:p>
        </w:tc>
        <w:tc>
          <w:tcPr>
            <w:tcW w:w="3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77,469</w:t>
            </w:r>
          </w:p>
        </w:tc>
      </w:tr>
      <w:tr>
        <w:trPr>
          <w:trHeight w:val="203"/>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Payment of debt issuance costs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(9,759)</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(6,677)</w:t>
            </w:r>
          </w:p>
        </w:tc>
      </w:tr>
      <w:tr>
        <w:trPr>
          <w:trHeight w:val="203"/>
        </w:trPr>
        <w:tc>
          <w:tcPr>
            <w:tcW w:w="8060" w:type="dxa"/>
            <w:vAlign w:val="bottom"/>
          </w:tcPr>
          <w:p>
            <w:pPr>
              <w:ind w:left="440"/>
              <w:spacing w:after="0" w:line="202" w:lineRule="exact"/>
              <w:rPr>
                <w:sz w:val="20"/>
                <w:szCs w:val="20"/>
                <w:color w:val="auto"/>
              </w:rPr>
            </w:pPr>
            <w:r>
              <w:rPr>
                <w:rFonts w:ascii="Arial" w:cs="Arial" w:eastAsia="Arial" w:hAnsi="Arial"/>
                <w:sz w:val="18"/>
                <w:szCs w:val="18"/>
                <w:color w:val="auto"/>
              </w:rPr>
              <w:t>Proceeds from issuance of common stock under equity plans</w:t>
            </w:r>
          </w:p>
        </w:tc>
        <w:tc>
          <w:tcPr>
            <w:tcW w:w="320" w:type="dxa"/>
            <w:vAlign w:val="bottom"/>
          </w:tcPr>
          <w:p>
            <w:pPr>
              <w:spacing w:after="0"/>
              <w:rPr>
                <w:sz w:val="17"/>
                <w:szCs w:val="17"/>
                <w:color w:val="auto"/>
              </w:rPr>
            </w:pPr>
          </w:p>
        </w:tc>
        <w:tc>
          <w:tcPr>
            <w:tcW w:w="17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25,732</w:t>
            </w:r>
          </w:p>
        </w:tc>
        <w:tc>
          <w:tcPr>
            <w:tcW w:w="3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22,403</w:t>
            </w:r>
          </w:p>
        </w:tc>
      </w:tr>
      <w:tr>
        <w:trPr>
          <w:trHeight w:val="206"/>
        </w:trPr>
        <w:tc>
          <w:tcPr>
            <w:tcW w:w="806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Purchase of common stock in treasury (immediately retired) related to tax withholdings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06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for stock-based compensation</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40"/>
              <w:spacing w:after="0" w:line="200" w:lineRule="exact"/>
              <w:rPr>
                <w:sz w:val="20"/>
                <w:szCs w:val="20"/>
                <w:color w:val="auto"/>
              </w:rPr>
            </w:pPr>
            <w:r>
              <w:rPr>
                <w:rFonts w:ascii="Arial" w:cs="Arial" w:eastAsia="Arial" w:hAnsi="Arial"/>
                <w:sz w:val="18"/>
                <w:szCs w:val="18"/>
                <w:color w:val="auto"/>
              </w:rPr>
              <w:t>(23,663)</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(21,150)</w:t>
            </w:r>
          </w:p>
        </w:tc>
      </w:tr>
      <w:tr>
        <w:trPr>
          <w:trHeight w:val="203"/>
        </w:trPr>
        <w:tc>
          <w:tcPr>
            <w:tcW w:w="8060" w:type="dxa"/>
            <w:vAlign w:val="bottom"/>
          </w:tcPr>
          <w:p>
            <w:pPr>
              <w:ind w:left="440"/>
              <w:spacing w:after="0" w:line="202" w:lineRule="exact"/>
              <w:rPr>
                <w:sz w:val="20"/>
                <w:szCs w:val="20"/>
                <w:color w:val="auto"/>
              </w:rPr>
            </w:pPr>
            <w:r>
              <w:rPr>
                <w:rFonts w:ascii="Arial" w:cs="Arial" w:eastAsia="Arial" w:hAnsi="Arial"/>
                <w:sz w:val="18"/>
                <w:szCs w:val="18"/>
                <w:color w:val="auto"/>
              </w:rPr>
              <w:t>Proceeds from common stock issued in public offering, net of issuance costs</w:t>
            </w:r>
          </w:p>
        </w:tc>
        <w:tc>
          <w:tcPr>
            <w:tcW w:w="320" w:type="dxa"/>
            <w:vAlign w:val="bottom"/>
          </w:tcPr>
          <w:p>
            <w:pPr>
              <w:spacing w:after="0"/>
              <w:rPr>
                <w:sz w:val="17"/>
                <w:szCs w:val="17"/>
                <w:color w:val="auto"/>
              </w:rPr>
            </w:pPr>
          </w:p>
        </w:tc>
        <w:tc>
          <w:tcPr>
            <w:tcW w:w="17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503,061</w:t>
            </w:r>
          </w:p>
        </w:tc>
        <w:tc>
          <w:tcPr>
            <w:tcW w:w="100" w:type="dxa"/>
            <w:vAlign w:val="bottom"/>
          </w:tcPr>
          <w:p>
            <w:pPr>
              <w:spacing w:after="0"/>
              <w:rPr>
                <w:sz w:val="17"/>
                <w:szCs w:val="17"/>
                <w:color w:val="auto"/>
              </w:rPr>
            </w:pPr>
          </w:p>
        </w:tc>
      </w:tr>
      <w:tr>
        <w:trPr>
          <w:trHeight w:val="203"/>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financing activities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(1,267)</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(1,146)</w:t>
            </w:r>
          </w:p>
        </w:tc>
      </w:tr>
      <w:tr>
        <w:trPr>
          <w:trHeight w:val="210"/>
        </w:trPr>
        <w:tc>
          <w:tcPr>
            <w:tcW w:w="8060" w:type="dxa"/>
            <w:vAlign w:val="bottom"/>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157,944</w:t>
            </w:r>
          </w:p>
        </w:tc>
        <w:tc>
          <w:tcPr>
            <w:tcW w:w="8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393,960</w:t>
            </w:r>
          </w:p>
        </w:tc>
        <w:tc>
          <w:tcPr>
            <w:tcW w:w="100" w:type="dxa"/>
            <w:vAlign w:val="bottom"/>
          </w:tcPr>
          <w:p>
            <w:pPr>
              <w:spacing w:after="0"/>
              <w:rPr>
                <w:sz w:val="18"/>
                <w:szCs w:val="18"/>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795</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(371)</w:t>
            </w:r>
          </w:p>
        </w:tc>
      </w:tr>
      <w:tr>
        <w:trPr>
          <w:trHeight w:val="20"/>
        </w:trPr>
        <w:tc>
          <w:tcPr>
            <w:tcW w:w="8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31,723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242,855</w:t>
            </w:r>
          </w:p>
        </w:tc>
        <w:tc>
          <w:tcPr>
            <w:tcW w:w="100" w:type="dxa"/>
            <w:vAlign w:val="bottom"/>
          </w:tcPr>
          <w:p>
            <w:pPr>
              <w:spacing w:after="0"/>
              <w:rPr>
                <w:sz w:val="18"/>
                <w:szCs w:val="18"/>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130,098</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42,088</w:t>
            </w:r>
          </w:p>
        </w:tc>
      </w:tr>
      <w:tr>
        <w:trPr>
          <w:trHeight w:val="210"/>
        </w:trPr>
        <w:tc>
          <w:tcPr>
            <w:tcW w:w="80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161,821</w:t>
            </w:r>
          </w:p>
        </w:tc>
        <w:tc>
          <w:tcPr>
            <w:tcW w:w="8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284,943</w:t>
            </w:r>
          </w:p>
        </w:tc>
        <w:tc>
          <w:tcPr>
            <w:tcW w:w="10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060" w:type="dxa"/>
            <w:vAlign w:val="bottom"/>
          </w:tcPr>
          <w:p>
            <w:pPr>
              <w:ind w:left="440"/>
              <w:spacing w:after="0" w:line="206" w:lineRule="exact"/>
              <w:rPr>
                <w:sz w:val="20"/>
                <w:szCs w:val="20"/>
                <w:color w:val="auto"/>
              </w:rPr>
            </w:pPr>
            <w:r>
              <w:rPr>
                <w:rFonts w:ascii="Arial" w:cs="Arial" w:eastAsia="Arial" w:hAnsi="Arial"/>
                <w:sz w:val="18"/>
                <w:szCs w:val="18"/>
                <w:color w:val="auto"/>
              </w:rPr>
              <w:t>Issuance of common stock in satisfaction of certain accrued employee compensation</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060" w:type="dxa"/>
            <w:vAlign w:val="bottom"/>
          </w:tcPr>
          <w:p>
            <w:pPr>
              <w:ind w:left="660"/>
              <w:spacing w:after="0" w:line="200" w:lineRule="exact"/>
              <w:rPr>
                <w:sz w:val="20"/>
                <w:szCs w:val="20"/>
                <w:color w:val="auto"/>
              </w:rPr>
            </w:pPr>
            <w:r>
              <w:rPr>
                <w:rFonts w:ascii="Arial" w:cs="Arial" w:eastAsia="Arial" w:hAnsi="Arial"/>
                <w:sz w:val="18"/>
                <w:szCs w:val="18"/>
                <w:color w:val="auto"/>
              </w:rPr>
              <w:t>liabilities</w:t>
            </w:r>
          </w:p>
        </w:tc>
        <w:tc>
          <w:tcPr>
            <w:tcW w:w="32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00"/>
              <w:spacing w:after="0" w:line="200" w:lineRule="exact"/>
              <w:rPr>
                <w:sz w:val="20"/>
                <w:szCs w:val="20"/>
                <w:color w:val="auto"/>
              </w:rPr>
            </w:pPr>
            <w:r>
              <w:rPr>
                <w:rFonts w:ascii="Arial" w:cs="Arial" w:eastAsia="Arial" w:hAnsi="Arial"/>
                <w:sz w:val="18"/>
                <w:szCs w:val="18"/>
                <w:color w:val="auto"/>
              </w:rPr>
              <w:t>16,409</w:t>
            </w:r>
          </w:p>
        </w:tc>
        <w:tc>
          <w:tcPr>
            <w:tcW w:w="38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13,080</w:t>
            </w:r>
          </w:p>
        </w:tc>
      </w:tr>
      <w:tr>
        <w:trPr>
          <w:trHeight w:val="203"/>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Capital expenditures not paid for</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27,086</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10,918</w:t>
            </w:r>
          </w:p>
        </w:tc>
      </w:tr>
      <w:tr>
        <w:trPr>
          <w:trHeight w:val="203"/>
        </w:trPr>
        <w:tc>
          <w:tcPr>
            <w:tcW w:w="8060" w:type="dxa"/>
            <w:vAlign w:val="bottom"/>
          </w:tcPr>
          <w:p>
            <w:pPr>
              <w:ind w:left="440"/>
              <w:spacing w:after="0" w:line="202" w:lineRule="exact"/>
              <w:rPr>
                <w:sz w:val="20"/>
                <w:szCs w:val="20"/>
                <w:color w:val="auto"/>
              </w:rPr>
            </w:pPr>
            <w:r>
              <w:rPr>
                <w:rFonts w:ascii="Arial" w:cs="Arial" w:eastAsia="Arial" w:hAnsi="Arial"/>
                <w:sz w:val="18"/>
                <w:szCs w:val="18"/>
                <w:color w:val="auto"/>
              </w:rPr>
              <w:t>Exposure fees on Ex-Im credit facility financed through Ex-Im credit facility</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5,764</w:t>
            </w:r>
          </w:p>
        </w:tc>
        <w:tc>
          <w:tcPr>
            <w:tcW w:w="800" w:type="dxa"/>
            <w:vAlign w:val="bottom"/>
          </w:tcPr>
          <w:p>
            <w:pPr>
              <w:spacing w:after="0"/>
              <w:rPr>
                <w:sz w:val="17"/>
                <w:szCs w:val="17"/>
                <w:color w:val="auto"/>
              </w:rPr>
            </w:pPr>
          </w:p>
        </w:tc>
        <w:tc>
          <w:tcPr>
            <w:tcW w:w="3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8,505</w:t>
            </w:r>
          </w:p>
        </w:tc>
        <w:tc>
          <w:tcPr>
            <w:tcW w:w="100" w:type="dxa"/>
            <w:vAlign w:val="bottom"/>
          </w:tcPr>
          <w:p>
            <w:pPr>
              <w:spacing w:after="0"/>
              <w:rPr>
                <w:sz w:val="17"/>
                <w:szCs w:val="17"/>
                <w:color w:val="auto"/>
              </w:rPr>
            </w:pPr>
          </w:p>
        </w:tc>
      </w:tr>
      <w:tr>
        <w:trPr>
          <w:trHeight w:val="203"/>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Issuance of common stock in connection with acquisition</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4,988</w:t>
            </w:r>
          </w:p>
        </w:tc>
        <w:tc>
          <w:tcPr>
            <w:tcW w:w="100" w:type="dxa"/>
            <w:vAlign w:val="bottom"/>
            <w:shd w:val="clear" w:color="auto" w:fill="CCEEFF"/>
          </w:tcPr>
          <w:p>
            <w:pPr>
              <w:spacing w:after="0"/>
              <w:rPr>
                <w:sz w:val="17"/>
                <w:szCs w:val="17"/>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w w:val="98"/>
              </w:rPr>
              <w:t>Viasat, Inc. Stockholders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138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97"/>
              </w:rPr>
              <w:t>Common Stock</w:t>
            </w:r>
          </w:p>
        </w:tc>
        <w:tc>
          <w:tcPr>
            <w:tcW w:w="3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66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center"/>
              <w:ind w:right="400"/>
              <w:spacing w:after="0" w:line="12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Noncontrolling</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6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Interest in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36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Issued</w:t>
            </w:r>
          </w:p>
        </w:tc>
        <w:tc>
          <w:tcPr>
            <w:tcW w:w="24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Income (Loss)</w:t>
            </w:r>
          </w:p>
        </w:tc>
        <w:tc>
          <w:tcPr>
            <w:tcW w:w="120" w:type="dxa"/>
            <w:vAlign w:val="bottom"/>
          </w:tcPr>
          <w:p>
            <w:pPr>
              <w:spacing w:after="0"/>
              <w:rPr>
                <w:sz w:val="14"/>
                <w:szCs w:val="14"/>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Subsidiaries</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42"/>
        </w:trPr>
        <w:tc>
          <w:tcPr>
            <w:tcW w:w="36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8"/>
          </w:tcPr>
          <w:p>
            <w:pPr>
              <w:jc w:val="right"/>
              <w:ind w:right="48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March 31, 2017</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57,600,609</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$1,439,645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$297,471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(2,504)</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3,313</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$1,737,931</w:t>
            </w:r>
          </w:p>
        </w:tc>
        <w:tc>
          <w:tcPr>
            <w:tcW w:w="100" w:type="dxa"/>
            <w:vAlign w:val="bottom"/>
            <w:shd w:val="clear" w:color="auto" w:fill="CCEEFF"/>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278,325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12,938</w:t>
            </w:r>
          </w:p>
        </w:tc>
        <w:tc>
          <w:tcPr>
            <w:tcW w:w="12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12,938</w:t>
            </w:r>
          </w:p>
        </w:tc>
      </w:tr>
      <w:tr>
        <w:trPr>
          <w:trHeight w:val="206"/>
        </w:trPr>
        <w:tc>
          <w:tcPr>
            <w:tcW w:w="36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Issuance of stock under Employee Stock</w:t>
            </w: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36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Purchase Plan</w:t>
            </w: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227,381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line="200"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12,794</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12,794</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54,757</w:t>
            </w:r>
          </w:p>
        </w:tc>
        <w:tc>
          <w:tcPr>
            <w:tcW w:w="12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54,757</w:t>
            </w:r>
          </w:p>
        </w:tc>
      </w:tr>
      <w:tr>
        <w:trPr>
          <w:trHeight w:val="206"/>
        </w:trPr>
        <w:tc>
          <w:tcPr>
            <w:tcW w:w="36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Shares issued in settlement of certain</w:t>
            </w: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employee compensation</w:t>
            </w: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36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liabilities</w:t>
            </w: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228,791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line="200"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16,409</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16,409</w:t>
            </w:r>
          </w:p>
        </w:tc>
      </w:tr>
      <w:tr>
        <w:trPr>
          <w:trHeight w:val="206"/>
        </w:trPr>
        <w:tc>
          <w:tcPr>
            <w:tcW w:w="3660" w:type="dxa"/>
            <w:vAlign w:val="bottom"/>
          </w:tcPr>
          <w:p>
            <w:pPr>
              <w:spacing w:after="0" w:line="206" w:lineRule="exact"/>
              <w:rPr>
                <w:sz w:val="20"/>
                <w:szCs w:val="20"/>
                <w:color w:val="auto"/>
              </w:rPr>
            </w:pPr>
            <w:r>
              <w:rPr>
                <w:rFonts w:ascii="Arial" w:cs="Arial" w:eastAsia="Arial" w:hAnsi="Arial"/>
                <w:sz w:val="18"/>
                <w:szCs w:val="18"/>
                <w:color w:val="auto"/>
              </w:rPr>
              <w:t>RSU awards vesting, net of shares withheld</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660" w:type="dxa"/>
            <w:vAlign w:val="bottom"/>
          </w:tcPr>
          <w:p>
            <w:pPr>
              <w:ind w:left="220"/>
              <w:spacing w:after="0" w:line="200" w:lineRule="exact"/>
              <w:rPr>
                <w:sz w:val="20"/>
                <w:szCs w:val="20"/>
                <w:color w:val="auto"/>
              </w:rPr>
            </w:pPr>
            <w:r>
              <w:rPr>
                <w:rFonts w:ascii="Arial" w:cs="Arial" w:eastAsia="Arial" w:hAnsi="Arial"/>
                <w:sz w:val="18"/>
                <w:szCs w:val="18"/>
                <w:color w:val="auto"/>
              </w:rPr>
              <w:t>for taxes which have been retired</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544,686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ind w:left="40"/>
              <w:spacing w:after="0" w:line="200"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(23,663)</w:t>
            </w:r>
          </w:p>
        </w:tc>
        <w:tc>
          <w:tcPr>
            <w:tcW w:w="120" w:type="dxa"/>
            <w:vAlign w:val="bottom"/>
          </w:tcPr>
          <w:p>
            <w:pPr>
              <w:spacing w:after="0"/>
              <w:rPr>
                <w:sz w:val="17"/>
                <w:szCs w:val="17"/>
                <w:color w:val="auto"/>
              </w:rPr>
            </w:pPr>
          </w:p>
        </w:tc>
        <w:tc>
          <w:tcPr>
            <w:tcW w:w="104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(23,663)</w:t>
            </w:r>
          </w:p>
        </w:tc>
      </w:tr>
      <w:tr>
        <w:trPr>
          <w:trHeight w:val="206"/>
        </w:trPr>
        <w:tc>
          <w:tcPr>
            <w:tcW w:w="36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Cumulative effect adjustment upon adoption</w:t>
            </w: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of new stock compensation guidance</w:t>
            </w: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36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(ASU 2016-09)</w:t>
            </w:r>
          </w:p>
        </w:tc>
        <w:tc>
          <w:tcPr>
            <w:tcW w:w="940" w:type="dxa"/>
            <w:vAlign w:val="bottom"/>
            <w:shd w:val="clear" w:color="auto" w:fill="CCEEFF"/>
          </w:tcPr>
          <w:p>
            <w:pPr>
              <w:jc w:val="right"/>
              <w:ind w:right="18"/>
              <w:spacing w:after="0" w:line="200"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line="200"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1,110</w:t>
            </w:r>
          </w:p>
        </w:tc>
        <w:tc>
          <w:tcPr>
            <w:tcW w:w="16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58,011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59,121</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Other noncontrolling interest activity</w:t>
            </w: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w:t>
            </w: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w:t>
            </w: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(47,359)</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(1,400)</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(48,759)</w:t>
            </w:r>
          </w:p>
        </w:tc>
      </w:tr>
      <w:tr>
        <w:trPr>
          <w:trHeight w:val="210"/>
        </w:trPr>
        <w:tc>
          <w:tcPr>
            <w:tcW w:w="3660" w:type="dxa"/>
            <w:vAlign w:val="bottom"/>
          </w:tcPr>
          <w:p>
            <w:pPr>
              <w:spacing w:after="0" w:line="202" w:lineRule="exact"/>
              <w:rPr>
                <w:sz w:val="20"/>
                <w:szCs w:val="20"/>
                <w:color w:val="auto"/>
              </w:rPr>
            </w:pPr>
            <w:r>
              <w:rPr>
                <w:rFonts w:ascii="Arial" w:cs="Arial" w:eastAsia="Arial" w:hAnsi="Arial"/>
                <w:sz w:val="18"/>
                <w:szCs w:val="18"/>
                <w:color w:val="auto"/>
              </w:rPr>
              <w:t>Other comprehensive income, net of tax</w:t>
            </w:r>
          </w:p>
        </w:tc>
        <w:tc>
          <w:tcPr>
            <w:tcW w:w="940" w:type="dxa"/>
            <w:vAlign w:val="bottom"/>
            <w:tcBorders>
              <w:bottom w:val="single" w:sz="8" w:color="auto"/>
            </w:tcBorders>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13,546</w:t>
            </w:r>
          </w:p>
        </w:tc>
        <w:tc>
          <w:tcPr>
            <w:tcW w:w="100" w:type="dxa"/>
            <w:vAlign w:val="bottom"/>
          </w:tcPr>
          <w:p>
            <w:pPr>
              <w:spacing w:after="0"/>
              <w:rPr>
                <w:sz w:val="18"/>
                <w:szCs w:val="18"/>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58,879,792</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1,513,990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308,123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11,042</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1,891</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1,835,052</w:t>
            </w:r>
          </w:p>
        </w:tc>
        <w:tc>
          <w:tcPr>
            <w:tcW w:w="100" w:type="dxa"/>
            <w:vAlign w:val="bottom"/>
            <w:shd w:val="clear" w:color="auto" w:fill="CCEEFF"/>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accompanying condensed consolidated balance sheet at December 31, 2017, the condensed consolidated statements of operations and comprehensive income (loss) for the three and nine months ended December 31, 2017 and 2016, the condensed consolidated statements of cash flows for the nine months ended December 31, 2017 and 2016 and the condensed consolidated statement of equity for the nine months ended December 31, 2017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2017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2017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61"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subsidiaries, TrellisWare Technologies, Inc. (TrellisWare) and Euro Broadband Retail Sàrl (Euro Retail Co.).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57" w:lineRule="exact"/>
        <w:rPr>
          <w:sz w:val="20"/>
          <w:szCs w:val="20"/>
          <w:color w:val="auto"/>
        </w:rPr>
      </w:pPr>
    </w:p>
    <w:p>
      <w:pPr>
        <w:ind w:right="20" w:firstLine="456"/>
        <w:spacing w:after="0" w:line="268" w:lineRule="auto"/>
        <w:rPr>
          <w:sz w:val="20"/>
          <w:szCs w:val="20"/>
          <w:color w:val="auto"/>
        </w:rPr>
      </w:pPr>
      <w:r>
        <w:rPr>
          <w:rFonts w:ascii="Arial" w:cs="Arial" w:eastAsia="Arial" w:hAnsi="Arial"/>
          <w:sz w:val="16"/>
          <w:szCs w:val="16"/>
          <w:color w:val="auto"/>
        </w:rPr>
        <w:t>During the third quarter of fiscal year 2017, the Company completed the acquisition of Aerodocs Limited (Arconics), a privately held company focused on wireless in-flight entertainment management software services. The Arconics purchase price of approximately $21.6 million was comprised of approximately $16.6 million in cash consideration paid to former Arconics equity holders and $5.0 million related to the fair value of 61,888 shares of the Company’s common stock issued at the closing. The approximately $16.6 million in cash consideration paid to former Arconics equity holders less cash acquired of $0.6 million resulted in a net cash outlay by the Company of approximately $16.0 million. The Arconics purchase price was primarily allocated to acquired technology and customer relationships intangible assets, and goodwill. Through this acquisition, the Company gained broader expertise, aviation-grade software and mobile applications to make flying safer and more efficient for pilots, cabin crews and flight operations teams, as well as applications that are expected to create new opportunities for passenger entertainment and airline services and revenue. This acquisition was accounted for as a purchase and, accordingly, the condensed consolidated financial statements include the operating results of Arconics in the Company’s satellite services segment from the date of the acquisition.</w:t>
      </w:r>
    </w:p>
    <w:p>
      <w:pPr>
        <w:spacing w:after="0" w:line="339"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During the third quarter of fiscal year 2017, the Company also completed the sale of an aggregate of 7,475,000 shares of Viasat common stock in an underwritten public offering. The Company’s net proceeds from the offering were approximately $503.1 million after deducting underwriting discounts and offering expenses. In November 2016, the Company used $225.0 million of the net proceeds from the offering to repay outstanding borrowings under the Company’s revolving credit facility (the Revolving Credit Facility).</w:t>
      </w:r>
    </w:p>
    <w:p>
      <w:pPr>
        <w:spacing w:after="0" w:line="15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7" w:lineRule="exact"/>
        <w:rPr>
          <w:sz w:val="20"/>
          <w:szCs w:val="20"/>
          <w:color w:val="auto"/>
        </w:rPr>
      </w:pPr>
    </w:p>
    <w:p>
      <w:pPr>
        <w:ind w:right="80" w:firstLine="456"/>
        <w:spacing w:after="0" w:line="264"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December 31, 2017 and 2016, the Company recorded losses of approximately</w:t>
      </w:r>
    </w:p>
    <w:p>
      <w:pPr>
        <w:spacing w:after="0" w:line="1"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$2.7 million and $0.8 million, respectively, related to loss contracts. During the nine months ended December 31, 2017 and 2016, the Company recorded losses of approximately $6.4 million and $2.8 million, respectively, related to loss contracts.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61"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61"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Company’s,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61"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54" w:lineRule="exact"/>
        <w:rPr>
          <w:sz w:val="20"/>
          <w:szCs w:val="20"/>
          <w:color w:val="auto"/>
        </w:rPr>
      </w:pPr>
    </w:p>
    <w:p>
      <w:pPr>
        <w:jc w:val="both"/>
        <w:ind w:right="280" w:firstLine="456"/>
        <w:spacing w:after="0" w:line="238"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12 months. Amounts for obligations extending beyond 12 months are recorded within other liabilities in the condensed consolidated financial statements.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2016 and 2017. As of December 31, 2017,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2017 and March 31, 2017, the Company had $1.3 million and $1.8 million, respectively, in contract-related reserves for its estimate of potential refunds to customers for potential cost adjustments on several multi-year U.S. government cost reimbursable contracts (see Note 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7"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(SG&amp;A) expenses. Advertising expenses for the three months ended December 31, 2017 and 2016 were $3.2 million and $1.9 million, respectively, and for the nine months ended December 31, 2017 and 2016 were $6.7 million and $3.5 million,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97"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7"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Costs related to internally developed software for internal uses are capitalized after the preliminary project stage is complete and are amortized over the estimated useful lives of the assets.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24 years. Leasehold improvements are capitalized and amortized using the straight-line method over the shorter of the lease term or the life of the improvement.</w:t>
      </w:r>
    </w:p>
    <w:p>
      <w:pPr>
        <w:spacing w:after="0" w:line="160"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assets under construction, including the ViaSat-2 satellite and related gateway and networking equipment (which commenced construction during the first quarter of fiscal year 2014), and the ViaSat-3 class satellites (which commenced construction during the fourth quarter of fiscal year 2016), the Company capitalized $15.8 million and $13.4 million of interest expense for the three months ended December 31, 2017 and 2016, respectively, and capitalized $46.5 million and $35.2 million of interest expense for the nine months ended December 31, 2017 and 2016, respectively.</w:t>
      </w:r>
    </w:p>
    <w:p>
      <w:pPr>
        <w:spacing w:after="0" w:line="15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Company owns two satellites in service: ViaSat-1 (its first-generation high-capacity Ka-band spot-beam satellite, which was placed into service in January 2012) and WildBlue-1 (which was placed into service in March 2007). On June 1, 2017, the Company’s second-generation ViaSat-2 satellite was successfully launched into orbit. The satellite has successfully completed orbit raising and orbital placement, and the satellite manufacturer will transfer operation of the satellite to the Company following the completion of in-orbit testing. The Company currently has two third-generation ViaSat-3 class satellites under construction.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December 31, 2017 were $312.0 million and $164.4 million, respectively. The total cost and accumulated depreciation of CPE units included in property and equipment, net, as of March 31, 2017 were $271.9 million and $158.2 million, respectively.</w:t>
      </w:r>
    </w:p>
    <w:p>
      <w:pPr>
        <w:spacing w:after="0" w:line="1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Occasionally, the Company may enter into capital lease arrangements for various machinery, equipment, computer-related equipment,</w:t>
      </w:r>
    </w:p>
    <w:p>
      <w:pPr>
        <w:jc w:val="center"/>
        <w:ind w:right="120"/>
        <w:spacing w:after="0"/>
        <w:rPr>
          <w:sz w:val="20"/>
          <w:szCs w:val="20"/>
          <w:color w:val="auto"/>
        </w:rPr>
      </w:pPr>
      <w:r>
        <w:rPr>
          <w:rFonts w:ascii="Arial" w:cs="Arial" w:eastAsia="Arial" w:hAnsi="Arial"/>
          <w:sz w:val="16"/>
          <w:szCs w:val="16"/>
          <w:color w:val="auto"/>
        </w:rPr>
        <w:t>software, furniture or fixtures. The Company records amortization of assets leased under capital lease arrangements within depreciation expense.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have finite lives is provided for by the straight-line method over the shorter of the legal or estimated economic life. Total capitalized costs of</w:t>
      </w:r>
    </w:p>
    <w:p>
      <w:pPr>
        <w:spacing w:after="0" w:line="234" w:lineRule="auto"/>
        <w:rPr>
          <w:sz w:val="20"/>
          <w:szCs w:val="20"/>
          <w:color w:val="auto"/>
        </w:rPr>
      </w:pPr>
      <w:r>
        <w:rPr>
          <w:rFonts w:ascii="Arial" w:cs="Arial" w:eastAsia="Arial" w:hAnsi="Arial"/>
          <w:sz w:val="18"/>
          <w:szCs w:val="18"/>
          <w:color w:val="auto"/>
        </w:rPr>
        <w:t>$3.2 million related to patents were included in other assets as of December 31, 2017 and March 31, 2017. The Company capitalized costs of</w:t>
      </w:r>
    </w:p>
    <w:p>
      <w:pPr>
        <w:spacing w:after="0" w:line="235" w:lineRule="auto"/>
        <w:rPr>
          <w:sz w:val="20"/>
          <w:szCs w:val="20"/>
          <w:color w:val="auto"/>
        </w:rPr>
      </w:pPr>
      <w:r>
        <w:rPr>
          <w:rFonts w:ascii="Arial" w:cs="Arial" w:eastAsia="Arial" w:hAnsi="Arial"/>
          <w:sz w:val="18"/>
          <w:szCs w:val="18"/>
          <w:color w:val="auto"/>
        </w:rPr>
        <w:t>$15.4 million related to acquiring and obtaining orbital slots and other licenses included in other assets as of December 31, 2017 and March 31,</w:t>
      </w:r>
    </w:p>
    <w:p>
      <w:pPr>
        <w:spacing w:after="0" w:line="235" w:lineRule="auto"/>
        <w:rPr>
          <w:sz w:val="20"/>
          <w:szCs w:val="20"/>
          <w:color w:val="auto"/>
        </w:rPr>
      </w:pPr>
      <w:r>
        <w:rPr>
          <w:rFonts w:ascii="Arial" w:cs="Arial" w:eastAsia="Arial" w:hAnsi="Arial"/>
          <w:sz w:val="18"/>
          <w:szCs w:val="18"/>
          <w:color w:val="auto"/>
        </w:rPr>
        <w:t>2017. Accumulated amortization related to these assets was $2.4 million and $2.1 million as of December 31, 2017 and March 31, 2017,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respectively. Amortization expense related to these assets was an insignificant amount for the three and nine months ended December 31, 2017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2016. If a patent, orbital slot or orbital license is rejected, abandoned or otherwise invalidated, the unamortized cost is expensed in that period.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December 31, 2017 and 2016, the Company did not write off any significant costs due to abandonment or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impairment.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6"/>
          <w:szCs w:val="16"/>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December 31, 2017 and 2016, no debt issuance costs were capitalized. During the nine months ended December 31, 2017 and 2016, $9.8 million and $6.1 million, respectively, of debt issuance costs were capitalized. Unamortized debt issuance costs related to extinguished debt are expensed at the time the debt is extinguished and recorded in loss on extinguishment of debt in the condensed consolidated statements of operations and comprehensive income (loss). Debt issuance costs related to the Revolving Credit Facility are recorded in prepaid expenses and other current assets and in other long-term assets in the condensed consolidated balance sheets in accordance with the authoritative guidance for imputation of interest (ASC</w:t>
      </w:r>
    </w:p>
    <w:p>
      <w:pPr>
        <w:spacing w:after="0" w:line="1"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835-30). Debt issuance costs related to the Company’s 5.625% Senior Notes due 2025 (the 2025 Notes) and the Company’s direct loan facility with the Export-Import Bank of the United States for ViaSat-2 (the Ex-Im Credit Facility) are recorded as a direct deduction from the carrying amount of the related debt, consistent with debt discounts, in accordance with the authoritative guidance for imputation of interest (ASC 835-30).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$238.6 million and $203.7 million related to software developed for resale were included in other assets as of December 31, 2017 and March 31, 2017, respectively. The Company capitalized $20.2 million and $58.0 million of costs related to software developed for resale for the three and nine months ended December 31, 2017, respectively. The Company capitalized $17.6 million and $58.3 million of costs related to software developed for resale for the three and nine months ended December 31, 2016, respectively. Amortization expense for capitalized software development costs was $6.8 million and $23.1 million for the three and nine months ended December 31, 2017, respectively, and $8.4 million and $24.8 million for the three and nine months ended December 31, 2016, respectively.</w:t>
      </w:r>
    </w:p>
    <w:p>
      <w:pPr>
        <w:sectPr>
          <w:pgSz w:w="11900" w:h="16838" w:orient="portrait"/>
          <w:cols w:equalWidth="0" w:num="1">
            <w:col w:w="11420"/>
          </w:cols>
          <w:pgMar w:left="240" w:top="45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$4.1 million and $4.2 million in accrued liabilities in the condensed consolidated balance sheets as of December 31, 2017 and March 31, 2017, respectively. The Company’s estimate, which is subject to</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240" w:top="123"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2017 and March 31, 2017, no such amounts were accrued related to the aforementioned provisions.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7"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97" w:lineRule="exact"/>
        <w:rPr>
          <w:sz w:val="20"/>
          <w:szCs w:val="20"/>
          <w:color w:val="auto"/>
        </w:rPr>
      </w:pPr>
    </w:p>
    <w:p>
      <w:pPr>
        <w:ind w:right="200" w:firstLine="456"/>
        <w:spacing w:after="0" w:line="269" w:lineRule="auto"/>
        <w:rPr>
          <w:sz w:val="20"/>
          <w:szCs w:val="20"/>
          <w:color w:val="auto"/>
        </w:rPr>
      </w:pPr>
      <w:r>
        <w:rPr>
          <w:rFonts w:ascii="Arial" w:cs="Arial" w:eastAsia="Arial" w:hAnsi="Arial"/>
          <w:sz w:val="16"/>
          <w:szCs w:val="16"/>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(losses)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2017 and March 31, 2017, the Company had no shares of common stock held in treasury.</w:t>
      </w:r>
    </w:p>
    <w:p>
      <w:pPr>
        <w:spacing w:after="0" w:line="158"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During the nine months ended December 31, 2017 and 2016, the Company issued 872,271 and 773,290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nine months ended December 31, 2017 and 2016, the Company repurchased 327,585 and 286,284 shares of common stock, respectively, at cost and with a total value of $23.7 million and $21.2 million, respectively. The shares of common stock repurchased during the nine months ended December 31, 2017 and 2016 were immediately retired. These retired shares remain as authorized stock; however they are considered to be unissued. The retirement of treasury stock had no impact on the Company’s total consolidated stockholders’ equity.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w:t>
      </w:r>
    </w:p>
    <w:p>
      <w:pPr>
        <w:sectPr>
          <w:pgSz w:w="11900" w:h="16838" w:orient="portrait"/>
          <w:cols w:equalWidth="0" w:num="1">
            <w:col w:w="11380"/>
          </w:cols>
          <w:pgMar w:left="240" w:top="459"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123"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During the three and nine months ended December 31, 2017 and 2016, the Company settled certain foreign exchange contracts and in connection therewith for each period recognized an insignificant gain or loss recorded in cost of revenues based on the nature of the underlying transactions. The fair value of the Company’s foreign currency forward contracts was an insignificant amount recorded as an other current asset as of December 31, 2017 and as an accrued liability as of March 31, 2017. The notional value of foreign currency forward contracts outstanding as of December 31, 2017 and March 31, 2017 was an insignificant amount and $2.6 million, respectively.</w:t>
      </w:r>
    </w:p>
    <w:p>
      <w:pPr>
        <w:spacing w:after="0" w:line="157"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At December 31, 2017, the estimated net amount of unrealized gains or losses related to foreign currency forward contracts that was expected to be reclassified to earnings within the next 12 months was insignificant. The Company’s foreign currency forward contracts outstanding as of December 31, 2017 will mature within approximately 33 to 36 months from their inception. There were no gains or losses from ineffectiveness of these derivative instruments recorded for the three and nine months ended December 31, 2017 and 2016.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7" w:lineRule="exact"/>
        <w:rPr>
          <w:sz w:val="20"/>
          <w:szCs w:val="20"/>
          <w:color w:val="auto"/>
        </w:rPr>
      </w:pPr>
    </w:p>
    <w:p>
      <w:pPr>
        <w:ind w:firstLine="456"/>
        <w:spacing w:after="0" w:line="266"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for restricted stock units and stock options on a straight-line basis over the employee’s requisite service period. During the third quarter of fiscal year 2018, the Company began granting total shareholder return (TSR) performance stock options to executive officers under the 1996 Equity Participation Plan. The number of shares of TSR performance stock options that will become eligible to vest based on the time-based vesting schedule described below is based on a comparison over a four-year performance period of the Company’s TSR to the TSR of the companies included in the S&amp;P Mid Cap 400 Index. The number of options that may become vested and exercisable will range from 0% to 175% of the target number of options based on the Company’s relative TSR ranking for the performance period. The Company estimates the fair value of TSR performance stock options at the grant date using a Monte Carlo simulation. The Company’s TSR performance stock options that become eligible to vest based on the Company’s TSR performance during the performance period are also subject to a four-year time-based vesting schedule and a six year contractual term. The options must be vested under both the time-based vesting schedule and the performance-based vesting conditions in order to become exercisable. Expense for TSR performance stock options that vest is recognized regardless of the actual TSR outcome achieved and is recognized on a graded-vesting basis and totaled approximately $1.0 million for the three and nine months ending December 31, 2017. Effective April 1, 2017, the Company adopted a change in accounting policy in accordance with ASU 2016-09, Compensation — Stock Compensation (ASC 718) to account for forfeitures as they occur. Prior to April 1, 2017, forfeitures were estimated at the date of grant and revised, if necessary, in subsequent periods if actual forfeitures differed from those estimates. The Company recognized $17.6 million and $49.1 million of stock-based compensation expense for the three and nine months ended December 31, 2017, respectively. The Company recognized $14.5 million and $39.9 million of stock-based compensation expense for the three and nine months ended December 31, 2016, respectively.</w:t>
      </w:r>
    </w:p>
    <w:p>
      <w:pPr>
        <w:spacing w:after="0" w:line="200" w:lineRule="exact"/>
        <w:rPr>
          <w:sz w:val="20"/>
          <w:szCs w:val="20"/>
          <w:color w:val="auto"/>
        </w:rPr>
      </w:pPr>
    </w:p>
    <w:p>
      <w:pPr>
        <w:spacing w:after="0" w:line="346" w:lineRule="exact"/>
        <w:rPr>
          <w:sz w:val="20"/>
          <w:szCs w:val="20"/>
          <w:color w:val="auto"/>
        </w:rPr>
      </w:pPr>
    </w:p>
    <w:p>
      <w:pPr>
        <w:ind w:right="100" w:firstLine="456"/>
        <w:spacing w:after="0" w:line="235" w:lineRule="auto"/>
        <w:rPr>
          <w:sz w:val="20"/>
          <w:szCs w:val="20"/>
          <w:color w:val="auto"/>
        </w:rPr>
      </w:pPr>
      <w:r>
        <w:rPr>
          <w:rFonts w:ascii="Arial" w:cs="Arial" w:eastAsia="Arial" w:hAnsi="Arial"/>
          <w:sz w:val="18"/>
          <w:szCs w:val="18"/>
          <w:color w:val="auto"/>
        </w:rPr>
        <w:t>Effective April 1, 2017, in accordance with ASU 2016-09, on a prospective basis, the Company recognizes excess tax benefits or deficiencies on vesting or settlement of awards as discrete items within income tax benefit or provision within net income (loss) and the related cash flows classified within operating activities. Prior to April 1, 2017 any unrealized excess tax benefits were tracked off the balance sheet and recognition of the benefits was deferred until realized through a reduction in taxes payable. When the excess tax benefits or deficiencies were realized, they were recognized in paid-in-capital and the related cash flows were classified as an outflow from operating activities and an inflow from financing activities. For the three and nine months ended December 31, 2017, the Company recorded an income tax benefit of $1.2 million and $1.3 million, respectively, from stock options exercised and restricted stock unit awards released. For the three and nine months ended December 31, 2016, the Company recorded no incremental tax benefits from stock options exercised and restricted stock unit awards released as the excess tax benefit from stock options exercised and restricted stock unit awards released increased the Company’s net operating loss carryforward.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7"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right="440" w:firstLine="456"/>
        <w:spacing w:after="0" w:line="236" w:lineRule="auto"/>
        <w:rPr>
          <w:sz w:val="20"/>
          <w:szCs w:val="20"/>
          <w:color w:val="auto"/>
        </w:rPr>
      </w:pPr>
      <w:r>
        <w:rPr>
          <w:rFonts w:ascii="Arial" w:cs="Arial" w:eastAsia="Arial" w:hAnsi="Arial"/>
          <w:sz w:val="18"/>
          <w:szCs w:val="18"/>
          <w:color w:val="auto"/>
        </w:rPr>
        <w:t>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for the year-to-date period. For the three and nine months ended December 31, 2016, the Company used the actual effective tax rate method in calculating the income tax provision for the period as a reliable estimate of the annual effective tax rate could not be made.</w:t>
      </w:r>
    </w:p>
    <w:p>
      <w:pPr>
        <w:sectPr>
          <w:pgSz w:w="11900" w:h="16838" w:orient="portrait"/>
          <w:cols w:equalWidth="0" w:num="1">
            <w:col w:w="11420"/>
          </w:cols>
          <w:pgMar w:left="240" w:top="459" w:right="2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7" w:lineRule="exact"/>
        <w:rPr>
          <w:sz w:val="20"/>
          <w:szCs w:val="20"/>
          <w:color w:val="auto"/>
        </w:rPr>
      </w:pPr>
    </w:p>
    <w:p>
      <w:pPr>
        <w:ind w:right="20" w:firstLine="456"/>
        <w:spacing w:after="0" w:line="266" w:lineRule="auto"/>
        <w:rPr>
          <w:sz w:val="20"/>
          <w:szCs w:val="20"/>
          <w:color w:val="auto"/>
        </w:rPr>
      </w:pPr>
      <w:r>
        <w:rPr>
          <w:rFonts w:ascii="Arial" w:cs="Arial" w:eastAsia="Arial" w:hAnsi="Arial"/>
          <w:sz w:val="16"/>
          <w:szCs w:val="16"/>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In December 2016, the FASB issued ASU 2016-20, Technical Corrections and Improvements to ASC 606, Revenue from Contracts with Customers, which provides for correction or improvement to the guidance previously issued in ASU 2014-09. These standards permit the use of either the retrospective or cumulative effect transition method. The Company currently plans to adopt the standard in fiscal year 2019 using the “modified retrospective method.” Under that method, the Company will apply the rules to all open contracts existing as of April 1, 2018, recognizing in beginning retained earnings an adjustment for the cumulative effect of the change and providing additional disclosures comparing results to previous accounting standards.</w:t>
      </w:r>
    </w:p>
    <w:p>
      <w:pPr>
        <w:spacing w:after="0" w:line="34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Based upon the Company’s evaluation to date, the Company believes the key changes in the standard that impact its revenue recognition relate to the deferral of commissions in the Company’s satellite service segment, which are currently expensed as incurred under the current standard. The requirement to defer incremental contract acquisition costs and recognize them with the transfer of the related good or service will result in the recognition of a deferred charge on the Company’s consolidated balance sheet and corresponding impact to the Company’s consolidated statement of operations and comprehensive income (loss). The Company has to date reviewed a number of its contracts with regard to the new revenue recognition standard as it continues to evaluate the impacts associated with the new standard and the impact of its adoption on the Company’s financial statements and disclosures.</w:t>
      </w:r>
    </w:p>
    <w:p>
      <w:pPr>
        <w:spacing w:after="0" w:line="15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(ASC 825-10). ASU 2016-01 requires that most equity investments (except those accounted for under the equity method for accounting or those that result in consolidation of the investee) be measured at fair value, with subsequent changes in fair value recognized in net income (loss). The new guidance also impacts financial liabilities under the fair value option and the presentation and disclosure requirements for financial instruments. The new guidance should be applied by means of a cumulative-effect adjustment to the balance sheet as of the beginning of the fiscal year of adoption. ASU 2016-01 will become effective for the Company in fiscal year 2019, with early adoption permitted with certain stipulations. The Company is currently evaluating the impact of this standard on its consolidated financial statements and disclosures.</w:t>
      </w:r>
    </w:p>
    <w:p>
      <w:pPr>
        <w:spacing w:after="0" w:line="155" w:lineRule="exact"/>
        <w:rPr>
          <w:sz w:val="20"/>
          <w:szCs w:val="20"/>
          <w:color w:val="auto"/>
        </w:rPr>
      </w:pPr>
    </w:p>
    <w:p>
      <w:pPr>
        <w:ind w:right="20" w:firstLine="456"/>
        <w:spacing w:after="0" w:line="264" w:lineRule="auto"/>
        <w:rPr>
          <w:sz w:val="20"/>
          <w:szCs w:val="20"/>
          <w:color w:val="auto"/>
        </w:rPr>
      </w:pPr>
      <w:r>
        <w:rPr>
          <w:rFonts w:ascii="Arial" w:cs="Arial" w:eastAsia="Arial" w:hAnsi="Arial"/>
          <w:sz w:val="16"/>
          <w:szCs w:val="16"/>
          <w:color w:val="auto"/>
        </w:rPr>
        <w:t>In February 2016, the FASB issued ASU 2016-02, Leases (ASC 842). ASU 2016-02 requires lessees to recognize most leases on their balance sheets as lease liabilities with corresponding right-of-use assets and eliminates certain real estate-specific provisions. In January 2018 the FASB issued ASU 2018-01, Leases (ASC 842). ASU 2018-01 permits an entity to elect an optional transition practical expedient to not evaluate land easements that exist or expired before the entity’s adoption of ASC 842 and that were not previously accounted for as leases under ASC 840. The new guidance will become effective for the Company beginning in the first quarter of fiscal year 2020, with early adoption permitted.</w:t>
      </w:r>
    </w:p>
    <w:p>
      <w:pPr>
        <w:spacing w:after="0" w:line="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ASU 2016-02 will be adopted on a modified retrospective transition basis for leases existing at, or entered into after, the beginning of the earliest comparative period presented in the financial statements. The Company is currently evaluating the impact of this standard on its consolidated financial statements and disclosures.</w:t>
      </w:r>
    </w:p>
    <w:p>
      <w:pPr>
        <w:spacing w:after="0" w:line="154"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color w:val="auto"/>
        </w:rPr>
        <w:t>In March 2016, the FASB issued ASU 2016-05, Derivatives and Hedging (ASC 815). ASU 2016-05 clarifies that a change in the counterparty to a derivative instrument, in and of itself, does not require dedesignation of a hedging relationship. This guidance became effective for the Company beginning in the first quarter of fiscal year 2018. The Company adopted this guidance in the first quarter of fiscal year 2018 on a prospective basis and the guidance did not have a material impact on the Company’s consolidated financial statements and disclosures.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March 2016, the FASB issued ASU 2016-06, Derivatives and Hedging (ASC 815). ASU 2016-06 clarifies the requirements for assessing whether contingent put or call option in a debt instrument qualifies as a separate derivative. The new guidance is required to be applied on a modified retrospective basis to all existing and future debt instruments of the fiscal year for which the amendments are effective. This guidance became effective for the Company beginning in the first quarter of fiscal year 2018. The Company adopted this guidance in the first quarter of fiscal year 2018 on a modified retrospective basis and the guidance did not have a material impact on the Company’s consolidated financial statements and disclosures.</w:t>
      </w:r>
    </w:p>
    <w:p>
      <w:pPr>
        <w:spacing w:after="0" w:line="156" w:lineRule="exact"/>
        <w:rPr>
          <w:sz w:val="20"/>
          <w:szCs w:val="20"/>
          <w:color w:val="auto"/>
        </w:rPr>
      </w:pPr>
    </w:p>
    <w:p>
      <w:pPr>
        <w:ind w:right="300" w:firstLine="456"/>
        <w:spacing w:after="0" w:line="236" w:lineRule="auto"/>
        <w:rPr>
          <w:sz w:val="20"/>
          <w:szCs w:val="20"/>
          <w:color w:val="auto"/>
        </w:rPr>
      </w:pPr>
      <w:r>
        <w:rPr>
          <w:rFonts w:ascii="Arial" w:cs="Arial" w:eastAsia="Arial" w:hAnsi="Arial"/>
          <w:sz w:val="18"/>
          <w:szCs w:val="18"/>
          <w:color w:val="auto"/>
        </w:rPr>
        <w:t>In March 2016, the FASB issued ASU 2016-07, Investment — Equity Method and Joint Ventures (ASC 323). ASU 2016-07 eliminates the requirement to apply the equity method of accounting retrospectively when a reporting entity obtains significant influence over a previously held investment. This guidance became effective for the Company beginning in the first quarter of fiscal year 2018. The Company adopted this guidance in the first quarter of fiscal year 2018 on a prospective basis and the guidance did not have a material impact on the Company’s consolidated financial statements and disclosures.</w:t>
      </w:r>
    </w:p>
    <w:p>
      <w:pPr>
        <w:spacing w:after="0" w:line="157"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In March 2016, the FASB issued ASU 2016-09, Compensation — Stock Compensation (ASC 718). ASU 2016-09 simplifies various aspects related to how share-based payments are accounted for and presented in the financial statements. The new guidance became effective for the Company beginning in fiscal year 2018. The Company adopted this guidance in the first quarter of fiscal year 2018. On a prospective basis the Company recognizes excess tax benefits or deficiencies on vesting or settlement of awards as discrete items within income tax benefit or provision within net income (loss) and the related cash flows classified within operating activities. With respect to the forfeiture accounting policy election, the Company elected to account for forfeitures as they occur, adopted on a modified retrospective basis as a cumulative effect adjustment to retained earnings. The election to account for forfeitures as they occur did not have a material impact on the Company’s consolidated financial statements and disclosures. See Note 9 for additional information regarding the impact of the adoption of this guidance.</w:t>
      </w:r>
    </w:p>
    <w:p>
      <w:pPr>
        <w:spacing w:after="0" w:line="133"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5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In August 2016, the FASB issued ASU 2016-15, Statement of Cash Flows (ASC 230). ASU 2016-15 makes eight targeted changes to how companies present and classify certain cash receipts and cash payments in the statement of cash flows. The new standard will become effective for the Company beginning in fiscal year 2019, with early adoption permitted. The new standard will require adoption on a retrospective basis unless it is impracticable to apply, in which case the Company would be required to apply the amendments prospectively as of the earliest date practicable. The Company early adopted the guidance on a retrospective basis in the second quarter of fiscal year 2018 and as a result cash payments for debt prepayment and extinguishment are classified as cash outflows for financing activities. Otherwise the adoption of this guidance did not have a material impact on the Company’s consolidated financial statements and disclosures.</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October 2016, the FASB issued ASU 2016-16, Income Taxes (ASC 740). ASU 2016-16 requires that an entity should recognize the income tax consequences of an intra-entity transfer of an asset other than inventory when the transfer occurs as opposed to when the asset has been sold to an outside party. The new standard will become effective for the Company beginning in fiscal year 2019, with early adoption permitted. The new standard will require adoption on a modified retrospective basis through cumulative-effect adjustment directly to retained earnings as of the beginning of the period. The Company is currently evaluating the impact of this standard on its consolidated financial statements and disclosures.</w:t>
      </w:r>
    </w:p>
    <w:p>
      <w:pPr>
        <w:spacing w:after="0" w:line="15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October 2016, the FASB issued ASU 2016-17, Consolidation: Interests Held through Related Parties That Are Under Common Control (ASC 810). The amendments change how a reporting entity that is the single decision maker of a variable interest entity should treat indirect interests in the entity held through related parties that are under common control with the reporting entity when determining whether it is the primary beneficiary of that variable interest entity. The new standard became effective for the Company beginning in the first quarter of fiscal year 2018. The Company adopted this guidance in the first quarter of fiscal year 2018 on a retrospective basis and the guidance did not have a material impact on the Company’s consolidated financial statements and disclosures.</w:t>
      </w:r>
    </w:p>
    <w:p>
      <w:pPr>
        <w:spacing w:after="0" w:line="156"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In January 2017, the FASB issued ASU 2017-01, Business Combinations: Clarifying the Definition of a Business (ASC 805). ASU 2017-01 clarifies the definition of a business with the objective of adding guidance to assist entities with evaluating whether transactions should be accounted for as acquisitions (or disposals) of assets or businesses. The definition of a business affects many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areas of accounting including acquisitions, disposals, goodwill, and consolidation. The new standard will become effective for the Company beginning in fiscal year 2019, with early adoption permitted with limitations. The Company is currently evaluating the impact of this standard on its consolidated financial statements and disclosures.</w:t>
      </w:r>
    </w:p>
    <w:p>
      <w:pPr>
        <w:spacing w:after="0" w:line="154"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15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In February 2017, the FASB issued ASU 2017-05, Other Income — Gains and Losses from the Derecognition of Nonfinancial Assets (ASC 610-20): Clarifying the Scope of Asset Derecognition Guidance and Accounting for Partial Sales of Nonfinancial Assets. ASU 2017-05 clarifies the scope and accounting of a financial asset that meets the definition of an “in-substance nonfinancial asset” and defines the term “in-substance nonfinancial asset.” ASU 2017-05 also adds guidance for partial sales of nonfinancial assets. The standard will become effective for the Company in fiscal year 2019, with early adoption permitted. The Company is currently evaluating the impact of this standard on its consolidated financial statements and disclosures.</w:t>
      </w:r>
    </w:p>
    <w:p>
      <w:pPr>
        <w:spacing w:after="0" w:line="156"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standard will become effective for the Company beginning in fiscal year 2020, with early adoption permitted. The Company is currently evaluating the impact of this standard on its consolidated financial statements and disclosures.</w:t>
      </w:r>
    </w:p>
    <w:p>
      <w:pPr>
        <w:spacing w:after="0" w:line="157"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In May 2017, the FASB issued ASU 2017-09, Compensation — Stock Compensation (ASC 718): Scope of Modification Accounting. ASU 2017-09 provides guidance about which changes to the terms or conditions of a share-based payment award require an entity to apply modification accounting. The standard will become effective for the Company beginning in fiscal year 2019, with early adoption permitted. The Company is currently evaluating the impact of this standard on its consolidated financial statements and disclosures.</w:t>
      </w:r>
    </w:p>
    <w:p>
      <w:pPr>
        <w:spacing w:after="0" w:line="15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6"/>
          <w:szCs w:val="16"/>
          <w:color w:val="auto"/>
        </w:rPr>
        <w:t>In May 2017, the FASB issued ASU 2017-10, Service Concession Arrangements (ASC 853): Determining the Customer of the Operation Services. ASU 2017-10 provides clarity on determining the customer in a service concession arrangement. The standard will become effective for the Company beginning in fiscal year 2019, with early adoption permitted. The new standard will require adoption on a modified retrospective approach by recording a cumulative-effect adjustment to equity, beginning with the earliest period presented, or a retrospective approach. The Company is currently evaluating the impact of this standard on its consolidated financial statements and disclosures.</w:t>
      </w:r>
    </w:p>
    <w:p>
      <w:pPr>
        <w:spacing w:after="0" w:line="12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ASU 2017-12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The standard will become effective for the Company beginning in fiscal year 2020, with early adoption permitted. The Company is currently evaluating the impact of this standard on its consolidated financial statements and disclosures.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5"/>
        </w:trPr>
        <w:tc>
          <w:tcPr>
            <w:tcW w:w="8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4"/>
          </w:tcPr>
          <w:p>
            <w:pPr>
              <w:jc w:val="right"/>
              <w:ind w:right="55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Billed</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131,474</w:t>
            </w:r>
          </w:p>
        </w:tc>
        <w:tc>
          <w:tcPr>
            <w:tcW w:w="4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145,626</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Unbilled</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98,888</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119,565</w:t>
            </w:r>
          </w:p>
        </w:tc>
        <w:tc>
          <w:tcPr>
            <w:tcW w:w="0" w:type="dxa"/>
            <w:vAlign w:val="bottom"/>
          </w:tcPr>
          <w:p>
            <w:pPr>
              <w:spacing w:after="0"/>
              <w:rPr>
                <w:sz w:val="1"/>
                <w:szCs w:val="1"/>
                <w:color w:val="auto"/>
              </w:rPr>
            </w:pPr>
          </w:p>
        </w:tc>
      </w:tr>
      <w:tr>
        <w:trPr>
          <w:trHeight w:val="210"/>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(2,325)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228,037</w:t>
            </w: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263,721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65,223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56,096</w:t>
            </w:r>
          </w:p>
        </w:tc>
        <w:tc>
          <w:tcPr>
            <w:tcW w:w="0" w:type="dxa"/>
            <w:vAlign w:val="bottom"/>
          </w:tcPr>
          <w:p>
            <w:pPr>
              <w:spacing w:after="0"/>
              <w:rPr>
                <w:sz w:val="1"/>
                <w:szCs w:val="1"/>
                <w:color w:val="auto"/>
              </w:rPr>
            </w:pPr>
          </w:p>
        </w:tc>
      </w:tr>
      <w:tr>
        <w:trPr>
          <w:trHeight w:val="203"/>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41,777</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25,820</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75,059</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81,285</w:t>
            </w:r>
          </w:p>
        </w:tc>
        <w:tc>
          <w:tcPr>
            <w:tcW w:w="0" w:type="dxa"/>
            <w:vAlign w:val="bottom"/>
          </w:tcPr>
          <w:p>
            <w:pPr>
              <w:spacing w:after="0"/>
              <w:rPr>
                <w:sz w:val="1"/>
                <w:szCs w:val="1"/>
                <w:color w:val="auto"/>
              </w:rPr>
            </w:pPr>
          </w:p>
        </w:tc>
      </w:tr>
      <w:tr>
        <w:trPr>
          <w:trHeight w:val="210"/>
        </w:trPr>
        <w:tc>
          <w:tcPr>
            <w:tcW w:w="8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182,059</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Prepaid expenses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68,933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51,856</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7,423</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76,356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57,836</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Satellites (estimated useful life of 10-17 years)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551,201</w:t>
            </w:r>
          </w:p>
        </w:tc>
        <w:tc>
          <w:tcPr>
            <w:tcW w:w="4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559,380</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Capital lease of satellite capacity — Anik F2 (estimated useful life of 10 years)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99,090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0"/>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Satellites under construction</w:t>
            </w:r>
          </w:p>
        </w:tc>
        <w:tc>
          <w:tcPr>
            <w:tcW w:w="100" w:type="dxa"/>
            <w:vAlign w:val="bottom"/>
          </w:tcPr>
          <w:p>
            <w:pPr>
              <w:spacing w:after="0"/>
              <w:rPr>
                <w:sz w:val="18"/>
                <w:szCs w:val="18"/>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902,839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776,354</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1,553,130</w:t>
            </w: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1,434,824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(358,306)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(326,554)</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1,194,824</w:t>
            </w: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1,108,270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Equipment and software (estimated useful life of 2-7 years)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773,410</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679,008</w:t>
            </w:r>
          </w:p>
        </w:tc>
        <w:tc>
          <w:tcPr>
            <w:tcW w:w="0" w:type="dxa"/>
            <w:vAlign w:val="bottom"/>
          </w:tcPr>
          <w:p>
            <w:pPr>
              <w:spacing w:after="0"/>
              <w:rPr>
                <w:sz w:val="1"/>
                <w:szCs w:val="1"/>
                <w:color w:val="auto"/>
              </w:rPr>
            </w:pPr>
          </w:p>
        </w:tc>
      </w:tr>
      <w:tr>
        <w:trPr>
          <w:trHeight w:val="203"/>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CPE leased equipment (estimated useful life of 4-5 years)</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312,049</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271,917</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Furniture and fixtures (estimated useful life of 7 years)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33,812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30,539</w:t>
            </w:r>
          </w:p>
        </w:tc>
        <w:tc>
          <w:tcPr>
            <w:tcW w:w="0" w:type="dxa"/>
            <w:vAlign w:val="bottom"/>
          </w:tcPr>
          <w:p>
            <w:pPr>
              <w:spacing w:after="0"/>
              <w:rPr>
                <w:sz w:val="1"/>
                <w:szCs w:val="1"/>
                <w:color w:val="auto"/>
              </w:rPr>
            </w:pPr>
          </w:p>
        </w:tc>
      </w:tr>
      <w:tr>
        <w:trPr>
          <w:trHeight w:val="203"/>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Leasehold improvements (estimated useful life of 2-17 years)</w:t>
            </w:r>
          </w:p>
        </w:tc>
        <w:tc>
          <w:tcPr>
            <w:tcW w:w="1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95,171</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80,727</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Building (estimated useful life of 24 years)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8,923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Land</w:t>
            </w:r>
          </w:p>
        </w:tc>
        <w:tc>
          <w:tcPr>
            <w:tcW w:w="1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14,573</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154,615</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116,902</w:t>
            </w:r>
          </w:p>
        </w:tc>
        <w:tc>
          <w:tcPr>
            <w:tcW w:w="0" w:type="dxa"/>
            <w:vAlign w:val="bottom"/>
          </w:tcPr>
          <w:p>
            <w:pPr>
              <w:spacing w:after="0"/>
              <w:rPr>
                <w:sz w:val="1"/>
                <w:szCs w:val="1"/>
                <w:color w:val="auto"/>
              </w:rPr>
            </w:pPr>
          </w:p>
        </w:tc>
      </w:tr>
      <w:tr>
        <w:trPr>
          <w:trHeight w:val="210"/>
        </w:trPr>
        <w:tc>
          <w:tcPr>
            <w:tcW w:w="8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1,392,553</w:t>
            </w: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1,202,589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(733,400)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(661,981)</w:t>
            </w:r>
          </w:p>
        </w:tc>
        <w:tc>
          <w:tcPr>
            <w:tcW w:w="0" w:type="dxa"/>
            <w:vAlign w:val="bottom"/>
          </w:tcPr>
          <w:p>
            <w:pPr>
              <w:spacing w:after="0"/>
              <w:rPr>
                <w:sz w:val="1"/>
                <w:szCs w:val="1"/>
                <w:color w:val="auto"/>
              </w:rPr>
            </w:pPr>
          </w:p>
        </w:tc>
      </w:tr>
      <w:tr>
        <w:trPr>
          <w:trHeight w:val="210"/>
        </w:trPr>
        <w:tc>
          <w:tcPr>
            <w:tcW w:w="8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659,153</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Technology (weighted average useful life of 6 years)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89,857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87,592</w:t>
            </w: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Contracts and customer relationships (weighted average useful life of 7 years)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103,613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103,034</w:t>
            </w:r>
          </w:p>
        </w:tc>
        <w:tc>
          <w:tcPr>
            <w:tcW w:w="0" w:type="dxa"/>
            <w:vAlign w:val="bottom"/>
          </w:tcPr>
          <w:p>
            <w:pPr>
              <w:spacing w:after="0"/>
              <w:rPr>
                <w:sz w:val="1"/>
                <w:szCs w:val="1"/>
                <w:color w:val="auto"/>
              </w:rPr>
            </w:pPr>
          </w:p>
        </w:tc>
      </w:tr>
      <w:tr>
        <w:trPr>
          <w:trHeight w:val="203"/>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Satellite co-location rights (weighted average useful life of 9 years)</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8,600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Trade name (weighted average useful life of 3 years)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5,940</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Other (weighted average useful life of 6 years)</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10,086</w:t>
            </w:r>
          </w:p>
        </w:tc>
        <w:tc>
          <w:tcPr>
            <w:tcW w:w="100" w:type="dxa"/>
            <w:vAlign w:val="bottom"/>
          </w:tcPr>
          <w:p>
            <w:pPr>
              <w:spacing w:after="0"/>
              <w:rPr>
                <w:sz w:val="18"/>
                <w:szCs w:val="18"/>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218,096</w:t>
            </w: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215,091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440"/>
              <w:spacing w:after="0" w:line="202" w:lineRule="exact"/>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7"/>
                <w:szCs w:val="17"/>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(184,234)</w:t>
            </w:r>
          </w:p>
        </w:tc>
        <w:tc>
          <w:tcPr>
            <w:tcW w:w="1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(173,414)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33,862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41,677</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516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5"/>
        </w:trPr>
        <w:tc>
          <w:tcPr>
            <w:tcW w:w="8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4"/>
          </w:tcPr>
          <w:p>
            <w:pPr>
              <w:jc w:val="right"/>
              <w:ind w:right="494"/>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440"/>
              <w:spacing w:after="0" w:line="202" w:lineRule="exact"/>
              <w:rPr>
                <w:sz w:val="20"/>
                <w:szCs w:val="20"/>
                <w:color w:val="auto"/>
              </w:rPr>
            </w:pPr>
            <w:r>
              <w:rPr>
                <w:rFonts w:ascii="Arial" w:cs="Arial" w:eastAsia="Arial" w:hAnsi="Arial"/>
                <w:sz w:val="18"/>
                <w:szCs w:val="18"/>
                <w:color w:val="auto"/>
              </w:rPr>
              <w:t>Investment in unconsolidated affiliate</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160,975</w:t>
            </w:r>
          </w:p>
        </w:tc>
        <w:tc>
          <w:tcPr>
            <w:tcW w:w="4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141,894</w:t>
            </w: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205,735</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134,764</w:t>
            </w:r>
          </w:p>
        </w:tc>
        <w:tc>
          <w:tcPr>
            <w:tcW w:w="0" w:type="dxa"/>
            <w:vAlign w:val="bottom"/>
          </w:tcPr>
          <w:p>
            <w:pPr>
              <w:spacing w:after="0"/>
              <w:rPr>
                <w:sz w:val="1"/>
                <w:szCs w:val="1"/>
                <w:color w:val="auto"/>
              </w:rPr>
            </w:pPr>
          </w:p>
        </w:tc>
      </w:tr>
      <w:tr>
        <w:trPr>
          <w:trHeight w:val="203"/>
        </w:trPr>
        <w:tc>
          <w:tcPr>
            <w:tcW w:w="8340" w:type="dxa"/>
            <w:vAlign w:val="bottom"/>
          </w:tcPr>
          <w:p>
            <w:pPr>
              <w:ind w:left="440"/>
              <w:spacing w:after="0" w:line="202" w:lineRule="exact"/>
              <w:rPr>
                <w:sz w:val="20"/>
                <w:szCs w:val="20"/>
                <w:color w:val="auto"/>
              </w:rPr>
            </w:pPr>
            <w:r>
              <w:rPr>
                <w:rFonts w:ascii="Arial" w:cs="Arial" w:eastAsia="Arial" w:hAnsi="Arial"/>
                <w:sz w:val="18"/>
                <w:szCs w:val="18"/>
                <w:color w:val="auto"/>
              </w:rPr>
              <w:t>Capitalized software costs, net</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238,642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203,686</w:t>
            </w: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Patents, orbital slots and other licenses, net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16,200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03"/>
        </w:trPr>
        <w:tc>
          <w:tcPr>
            <w:tcW w:w="834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37,261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32,522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658,813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529,366</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Collections in excess of revenues and deferred revenues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77,371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76,682</w:t>
            </w:r>
          </w:p>
        </w:tc>
        <w:tc>
          <w:tcPr>
            <w:tcW w:w="0" w:type="dxa"/>
            <w:vAlign w:val="bottom"/>
          </w:tcPr>
          <w:p>
            <w:pPr>
              <w:spacing w:after="0"/>
              <w:rPr>
                <w:sz w:val="1"/>
                <w:szCs w:val="1"/>
                <w:color w:val="auto"/>
              </w:rPr>
            </w:pPr>
          </w:p>
        </w:tc>
      </w:tr>
      <w:tr>
        <w:trPr>
          <w:trHeight w:val="203"/>
        </w:trPr>
        <w:tc>
          <w:tcPr>
            <w:tcW w:w="8340" w:type="dxa"/>
            <w:vAlign w:val="bottom"/>
          </w:tcPr>
          <w:p>
            <w:pPr>
              <w:ind w:left="440"/>
              <w:spacing w:after="0" w:line="202" w:lineRule="exact"/>
              <w:rPr>
                <w:sz w:val="20"/>
                <w:szCs w:val="20"/>
                <w:color w:val="auto"/>
              </w:rPr>
            </w:pPr>
            <w:r>
              <w:rPr>
                <w:rFonts w:ascii="Arial" w:cs="Arial" w:eastAsia="Arial" w:hAnsi="Arial"/>
                <w:sz w:val="18"/>
                <w:szCs w:val="18"/>
                <w:color w:val="auto"/>
              </w:rPr>
              <w:t>Accrued employee compensation</w:t>
            </w:r>
          </w:p>
        </w:tc>
        <w:tc>
          <w:tcPr>
            <w:tcW w:w="1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48,608</w:t>
            </w:r>
          </w:p>
        </w:tc>
        <w:tc>
          <w:tcPr>
            <w:tcW w:w="1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41,691</w:t>
            </w: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Accrued vacation</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35,381</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33,214</w:t>
            </w:r>
          </w:p>
        </w:tc>
        <w:tc>
          <w:tcPr>
            <w:tcW w:w="0" w:type="dxa"/>
            <w:vAlign w:val="bottom"/>
          </w:tcPr>
          <w:p>
            <w:pPr>
              <w:spacing w:after="0"/>
              <w:rPr>
                <w:sz w:val="1"/>
                <w:szCs w:val="1"/>
                <w:color w:val="auto"/>
              </w:rPr>
            </w:pPr>
          </w:p>
        </w:tc>
      </w:tr>
      <w:tr>
        <w:trPr>
          <w:trHeight w:val="203"/>
        </w:trPr>
        <w:tc>
          <w:tcPr>
            <w:tcW w:w="8340" w:type="dxa"/>
            <w:vAlign w:val="bottom"/>
          </w:tcPr>
          <w:p>
            <w:pPr>
              <w:ind w:left="440"/>
              <w:spacing w:after="0" w:line="202" w:lineRule="exact"/>
              <w:rPr>
                <w:sz w:val="20"/>
                <w:szCs w:val="20"/>
                <w:color w:val="auto"/>
              </w:rPr>
            </w:pPr>
            <w:r>
              <w:rPr>
                <w:rFonts w:ascii="Arial" w:cs="Arial" w:eastAsia="Arial" w:hAnsi="Arial"/>
                <w:sz w:val="18"/>
                <w:szCs w:val="18"/>
                <w:color w:val="auto"/>
              </w:rPr>
              <w:t>Warranty reserve, current portion</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5,514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7,796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58,994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65,576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225,868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224,959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440"/>
              <w:spacing w:after="0" w:line="202" w:lineRule="exact"/>
              <w:rPr>
                <w:sz w:val="20"/>
                <w:szCs w:val="20"/>
                <w:color w:val="auto"/>
              </w:rPr>
            </w:pPr>
            <w:r>
              <w:rPr>
                <w:rFonts w:ascii="Arial" w:cs="Arial" w:eastAsia="Arial" w:hAnsi="Arial"/>
                <w:sz w:val="18"/>
                <w:szCs w:val="18"/>
                <w:color w:val="auto"/>
              </w:rPr>
              <w:t>Deferred revenue, long-term portion</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79,407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4,617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rent, long-term portion</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13,093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10,743</w:t>
            </w:r>
          </w:p>
        </w:tc>
        <w:tc>
          <w:tcPr>
            <w:tcW w:w="0" w:type="dxa"/>
            <w:vAlign w:val="bottom"/>
          </w:tcPr>
          <w:p>
            <w:pPr>
              <w:spacing w:after="0"/>
              <w:rPr>
                <w:sz w:val="1"/>
                <w:szCs w:val="1"/>
                <w:color w:val="auto"/>
              </w:rPr>
            </w:pPr>
          </w:p>
        </w:tc>
      </w:tr>
      <w:tr>
        <w:trPr>
          <w:trHeight w:val="203"/>
        </w:trPr>
        <w:tc>
          <w:tcPr>
            <w:tcW w:w="8340" w:type="dxa"/>
            <w:vAlign w:val="bottom"/>
          </w:tcPr>
          <w:p>
            <w:pPr>
              <w:ind w:left="440"/>
              <w:spacing w:after="0" w:line="202" w:lineRule="exact"/>
              <w:rPr>
                <w:sz w:val="20"/>
                <w:szCs w:val="20"/>
                <w:color w:val="auto"/>
              </w:rPr>
            </w:pPr>
            <w:r>
              <w:rPr>
                <w:rFonts w:ascii="Arial" w:cs="Arial" w:eastAsia="Arial" w:hAnsi="Arial"/>
                <w:sz w:val="18"/>
                <w:szCs w:val="18"/>
                <w:color w:val="auto"/>
              </w:rPr>
              <w:t>Warranty reserve, long-term portion</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1,831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3,262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Satellite performance incentive obligation, long-term portion</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18,445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19,164</w:t>
            </w:r>
          </w:p>
        </w:tc>
        <w:tc>
          <w:tcPr>
            <w:tcW w:w="0" w:type="dxa"/>
            <w:vAlign w:val="bottom"/>
          </w:tcPr>
          <w:p>
            <w:pPr>
              <w:spacing w:after="0"/>
              <w:rPr>
                <w:sz w:val="1"/>
                <w:szCs w:val="1"/>
                <w:color w:val="auto"/>
              </w:rPr>
            </w:pPr>
          </w:p>
        </w:tc>
      </w:tr>
      <w:tr>
        <w:trPr>
          <w:trHeight w:val="203"/>
        </w:trPr>
        <w:tc>
          <w:tcPr>
            <w:tcW w:w="8340" w:type="dxa"/>
            <w:vAlign w:val="bottom"/>
          </w:tcPr>
          <w:p>
            <w:pPr>
              <w:ind w:left="440"/>
              <w:spacing w:after="0" w:line="202" w:lineRule="exact"/>
              <w:rPr>
                <w:sz w:val="20"/>
                <w:szCs w:val="20"/>
                <w:color w:val="auto"/>
              </w:rPr>
            </w:pPr>
            <w:r>
              <w:rPr>
                <w:rFonts w:ascii="Arial" w:cs="Arial" w:eastAsia="Arial" w:hAnsi="Arial"/>
                <w:sz w:val="18"/>
                <w:szCs w:val="18"/>
                <w:color w:val="auto"/>
              </w:rPr>
              <w:t>Deferred income taxes, long-term</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4,762</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117,838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42,722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the authoritative guidance for financial assets and liabilities measured at fair value on a recurring basis (ASC 820),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Company prioritizes the inputs used to measure fair value from market-based assumptions to entity specific assumptions:</w:t>
      </w:r>
    </w:p>
    <w:p>
      <w:pPr>
        <w:spacing w:after="0" w:line="77"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76" w:lineRule="exact"/>
        <w:rPr>
          <w:rFonts w:ascii="Arial" w:cs="Arial" w:eastAsia="Arial" w:hAnsi="Arial"/>
          <w:sz w:val="18"/>
          <w:szCs w:val="18"/>
          <w:color w:val="auto"/>
        </w:rPr>
      </w:pPr>
    </w:p>
    <w:p>
      <w:pPr>
        <w:ind w:left="440" w:hanging="324"/>
        <w:spacing w:after="0" w:line="23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2" w:lineRule="exact"/>
        <w:rPr>
          <w:rFonts w:ascii="Arial" w:cs="Arial" w:eastAsia="Arial" w:hAnsi="Arial"/>
          <w:sz w:val="18"/>
          <w:szCs w:val="18"/>
          <w:color w:val="auto"/>
        </w:rPr>
      </w:pPr>
    </w:p>
    <w:p>
      <w:pPr>
        <w:ind w:left="440" w:right="540" w:hanging="324"/>
        <w:spacing w:after="0" w:line="23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The following tables present the Company’s hierarchy for its assets measured at fair value on a recurring basis as of December 31, 2017 and assets and liabilities measured at fair value on a recurring basis as of March 31, 2017. The Company had no liabilities measured at fair value on a recurring basis as of December 31, 2017:</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 as of</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8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2017</w:t>
            </w:r>
          </w:p>
        </w:tc>
        <w:tc>
          <w:tcPr>
            <w:tcW w:w="64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11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2"/>
              </w:rPr>
              <w:t>Level 2</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ind w:left="62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440"/>
              <w:spacing w:after="0" w:line="202" w:lineRule="exact"/>
              <w:rPr>
                <w:sz w:val="20"/>
                <w:szCs w:val="20"/>
                <w:color w:val="auto"/>
              </w:rPr>
            </w:pPr>
            <w:r>
              <w:rPr>
                <w:rFonts w:ascii="Arial" w:cs="Arial" w:eastAsia="Arial" w:hAnsi="Arial"/>
                <w:sz w:val="18"/>
                <w:szCs w:val="18"/>
                <w:color w:val="auto"/>
              </w:rPr>
              <w:t>Cash equivalents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1,008</w:t>
            </w:r>
          </w:p>
        </w:tc>
        <w:tc>
          <w:tcPr>
            <w:tcW w:w="20" w:type="dxa"/>
            <w:vAlign w:val="bottom"/>
          </w:tcPr>
          <w:p>
            <w:pPr>
              <w:spacing w:after="0"/>
              <w:rPr>
                <w:sz w:val="17"/>
                <w:szCs w:val="17"/>
                <w:color w:val="auto"/>
              </w:rPr>
            </w:pPr>
          </w:p>
        </w:tc>
        <w:tc>
          <w:tcPr>
            <w:tcW w:w="1200" w:type="dxa"/>
            <w:vAlign w:val="bottom"/>
            <w:gridSpan w:val="3"/>
          </w:tcPr>
          <w:p>
            <w:pPr>
              <w:ind w:left="640"/>
              <w:spacing w:after="0" w:line="202" w:lineRule="exact"/>
              <w:rPr>
                <w:sz w:val="20"/>
                <w:szCs w:val="20"/>
                <w:color w:val="auto"/>
              </w:rPr>
            </w:pPr>
            <w:r>
              <w:rPr>
                <w:rFonts w:ascii="Arial" w:cs="Arial" w:eastAsia="Arial" w:hAnsi="Arial"/>
                <w:sz w:val="18"/>
                <w:szCs w:val="18"/>
                <w:color w:val="auto"/>
                <w:w w:val="98"/>
              </w:rPr>
              <w:t>$1,008</w:t>
            </w:r>
          </w:p>
        </w:tc>
        <w:tc>
          <w:tcPr>
            <w:tcW w:w="640" w:type="dxa"/>
            <w:vAlign w:val="bottom"/>
          </w:tcPr>
          <w:p>
            <w:pPr>
              <w:spacing w:after="0"/>
              <w:rPr>
                <w:sz w:val="17"/>
                <w:szCs w:val="17"/>
                <w:color w:val="auto"/>
              </w:rPr>
            </w:pPr>
          </w:p>
        </w:tc>
        <w:tc>
          <w:tcPr>
            <w:tcW w:w="1100" w:type="dxa"/>
            <w:vAlign w:val="bottom"/>
            <w:gridSpan w:val="3"/>
          </w:tcPr>
          <w:p>
            <w:pPr>
              <w:spacing w:after="0" w:line="202" w:lineRule="exact"/>
              <w:rPr>
                <w:sz w:val="20"/>
                <w:szCs w:val="20"/>
                <w:color w:val="auto"/>
              </w:rPr>
            </w:pPr>
            <w:r>
              <w:rPr>
                <w:rFonts w:ascii="Arial" w:cs="Arial" w:eastAsia="Arial" w:hAnsi="Arial"/>
                <w:sz w:val="18"/>
                <w:szCs w:val="18"/>
                <w:color w:val="auto"/>
              </w:rPr>
              <w:t>$ —</w:t>
            </w: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 currency forward contracts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34</w:t>
            </w: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8"/>
                <w:szCs w:val="18"/>
                <w:color w:val="auto"/>
              </w:rPr>
            </w:pPr>
          </w:p>
        </w:tc>
        <w:tc>
          <w:tcPr>
            <w:tcW w:w="1200" w:type="dxa"/>
            <w:vAlign w:val="bottom"/>
            <w:gridSpan w:val="3"/>
          </w:tcPr>
          <w:p>
            <w:pPr>
              <w:ind w:left="6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1,008</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34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 as of</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2017</w:t>
            </w:r>
          </w:p>
        </w:tc>
        <w:tc>
          <w:tcPr>
            <w:tcW w:w="64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11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2"/>
              </w:rPr>
              <w:t>Level 2</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ind w:left="62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440"/>
              <w:spacing w:after="0" w:line="202" w:lineRule="exact"/>
              <w:rPr>
                <w:sz w:val="20"/>
                <w:szCs w:val="20"/>
                <w:color w:val="auto"/>
              </w:rPr>
            </w:pPr>
            <w:r>
              <w:rPr>
                <w:rFonts w:ascii="Arial" w:cs="Arial" w:eastAsia="Arial" w:hAnsi="Arial"/>
                <w:sz w:val="18"/>
                <w:szCs w:val="18"/>
                <w:color w:val="auto"/>
              </w:rPr>
              <w:t>Cash equivalents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2,003</w:t>
            </w:r>
          </w:p>
        </w:tc>
        <w:tc>
          <w:tcPr>
            <w:tcW w:w="20" w:type="dxa"/>
            <w:vAlign w:val="bottom"/>
          </w:tcPr>
          <w:p>
            <w:pPr>
              <w:spacing w:after="0"/>
              <w:rPr>
                <w:sz w:val="17"/>
                <w:szCs w:val="17"/>
                <w:color w:val="auto"/>
              </w:rPr>
            </w:pPr>
          </w:p>
        </w:tc>
        <w:tc>
          <w:tcPr>
            <w:tcW w:w="1200" w:type="dxa"/>
            <w:vAlign w:val="bottom"/>
            <w:gridSpan w:val="3"/>
          </w:tcPr>
          <w:p>
            <w:pPr>
              <w:ind w:left="6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2,003</w:t>
            </w:r>
          </w:p>
        </w:tc>
        <w:tc>
          <w:tcPr>
            <w:tcW w:w="640" w:type="dxa"/>
            <w:vAlign w:val="bottom"/>
          </w:tcPr>
          <w:p>
            <w:pPr>
              <w:spacing w:after="0"/>
              <w:rPr>
                <w:sz w:val="17"/>
                <w:szCs w:val="17"/>
                <w:color w:val="auto"/>
              </w:rPr>
            </w:pPr>
          </w:p>
        </w:tc>
        <w:tc>
          <w:tcPr>
            <w:tcW w:w="1100" w:type="dxa"/>
            <w:vAlign w:val="bottom"/>
            <w:gridSpan w:val="3"/>
          </w:tcPr>
          <w:p>
            <w:pPr>
              <w:spacing w:after="0" w:line="202" w:lineRule="exact"/>
              <w:rPr>
                <w:sz w:val="20"/>
                <w:szCs w:val="20"/>
                <w:color w:val="auto"/>
              </w:rPr>
            </w:pPr>
            <w:r>
              <w:rPr>
                <w:rFonts w:ascii="Arial" w:cs="Arial" w:eastAsia="Arial" w:hAnsi="Arial"/>
                <w:sz w:val="18"/>
                <w:szCs w:val="18"/>
                <w:color w:val="auto"/>
              </w:rPr>
              <w:t>$ —</w:t>
            </w: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 measured at fair value on a recurring basis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2,003</w:t>
            </w:r>
          </w:p>
        </w:tc>
        <w:tc>
          <w:tcPr>
            <w:tcW w:w="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6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2,003</w:t>
            </w:r>
          </w:p>
        </w:tc>
        <w:tc>
          <w:tcPr>
            <w:tcW w:w="6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 currency forward contracts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8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96</w:t>
            </w: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96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00" w:firstLine="456"/>
        <w:spacing w:after="0" w:line="260"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assets in an active market with sufficient volume and frequency of transactions (Level 1).</w:t>
      </w:r>
    </w:p>
    <w:p>
      <w:pPr>
        <w:spacing w:after="0" w:line="119"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41" w:lineRule="exact"/>
        <w:rPr>
          <w:sz w:val="20"/>
          <w:szCs w:val="20"/>
          <w:color w:val="auto"/>
        </w:rPr>
      </w:pPr>
    </w:p>
    <w:p>
      <w:pPr>
        <w:ind w:right="60" w:firstLine="456"/>
        <w:spacing w:after="0" w:line="269"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borrowings under its Revolving Credit Facility and Ex-Im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the Credit Facilities), as well as $700.0 million in aggregate principal amount of 2025 Notes. Long-term debt related to the Revolving Credit Facility is reported at the outstanding principal amount of borrowings, while long-term debt related to the Ex-Im Credit Facility and the Company’s current and former senior notes (including the 2025 Notes) is reported at amortized cost. However, for disclosure purposes, the Company is required to measure the fair value of outstanding debt on a recurring basis. As of December 31, 2017, the estimated fair value of the Company’s outstanding long-term debt related to the 2025 Notes was determined based on actual or estimated bids and offers for the 2025 Notes in an over-the-counter market (Level 2) and was $705.3 million. As of March 31, 2017, the fair value of the Company’s outstanding long-term debt related to its former $575.0 million in aggregate principal amount of 6.875% Notes due 2020 (the 2020 Notes) was determined using quoted prices in active markets (Level 1) and was $587.9 million. The 2020 Notes were repurchased and redeemed in full in connection with the issuance of the 2025 Notes. The fair value of the Company’s long-term debt related to the Revolving Credit Facility approximates its carrying amount due to its variable interest rate, which approximates a market interest rate. As of December 31, 2017 and March 31, 2017, the fair value of the Company’s long-term debt related to the Ex-Im Credit Facility was determined based on a discounted cash flow analysis using observable market interest rates for instruments with similar terms (Level 2) and was approximately $353.5 million and $297.2 million, respectively.</w:t>
      </w:r>
    </w:p>
    <w:p>
      <w:pPr>
        <w:spacing w:after="0" w:line="321" w:lineRule="exact"/>
        <w:rPr>
          <w:sz w:val="20"/>
          <w:szCs w:val="20"/>
          <w:color w:val="auto"/>
        </w:rPr>
      </w:pPr>
    </w:p>
    <w:p>
      <w:pPr>
        <w:ind w:right="140" w:firstLine="456"/>
        <w:spacing w:after="0" w:line="241" w:lineRule="auto"/>
        <w:rPr>
          <w:sz w:val="20"/>
          <w:szCs w:val="20"/>
          <w:color w:val="auto"/>
        </w:rPr>
      </w:pPr>
      <w:r>
        <w:rPr>
          <w:rFonts w:ascii="Arial" w:cs="Arial" w:eastAsia="Arial" w:hAnsi="Arial"/>
          <w:sz w:val="18"/>
          <w:szCs w:val="18"/>
          <w:i w:val="1"/>
          <w:iCs w:val="1"/>
          <w:color w:val="auto"/>
        </w:rPr>
        <w:t xml:space="preserve">Satellite performance incentive obligation </w:t>
      </w:r>
      <w:r>
        <w:rPr>
          <w:rFonts w:ascii="Arial" w:cs="Arial" w:eastAsia="Arial" w:hAnsi="Arial"/>
          <w:sz w:val="18"/>
          <w:szCs w:val="18"/>
          <w:color w:val="auto"/>
        </w:rPr>
        <w:t>— The Company’s contract with the manufacturer of ViaSat-1 requires the Company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in-orbit satellite performance incentive payments, including interest at 7.0%, over a 15-year period from December 2011 to December 2026, subject to the continued satisfactory performance of the satellite. The Company records the net present value of these expected future payments as a liability and as a component of the cost of the satellite. However, for disclosure purposes, the Company is required to measure the fair value of outstanding satellite performance incentive obligations on a recurring</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basis. The fair value of the Company’s outstanding satellite performance incentive obligation relating to the ViaSat-1 satellite is estimated to approximate its carrying value based on current rates (Level 2). As of December 31, 2017 and March 31, 2017, the Company’s estimated satellite performance incentive obligation relating to the ViaSat-1 satellite, including accrued interest, was $21.1 million and $21.8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(Loss) Income Per Share</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160" w:type="dxa"/>
            <w:vAlign w:val="bottom"/>
          </w:tcPr>
          <w:p>
            <w:pPr>
              <w:spacing w:after="0"/>
              <w:rPr>
                <w:sz w:val="14"/>
                <w:szCs w:val="14"/>
                <w:color w:val="auto"/>
              </w:rPr>
            </w:pPr>
          </w:p>
        </w:tc>
        <w:tc>
          <w:tcPr>
            <w:tcW w:w="270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6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160" w:type="dxa"/>
            <w:vAlign w:val="bottom"/>
          </w:tcPr>
          <w:p>
            <w:pPr>
              <w:spacing w:after="0"/>
              <w:rPr>
                <w:sz w:val="12"/>
                <w:szCs w:val="12"/>
                <w:color w:val="auto"/>
              </w:rPr>
            </w:pPr>
          </w:p>
        </w:tc>
        <w:tc>
          <w:tcPr>
            <w:tcW w:w="136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5"/>
              </w:rPr>
              <w:t>December 31, 2017</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December 31, 2016</w:t>
            </w:r>
          </w:p>
        </w:tc>
        <w:tc>
          <w:tcPr>
            <w:tcW w:w="12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December 31, 2017</w:t>
            </w: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December 31, 2016</w:t>
            </w:r>
          </w:p>
        </w:tc>
        <w:tc>
          <w:tcPr>
            <w:tcW w:w="6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3"/>
          </w:tcPr>
          <w:p>
            <w:pPr>
              <w:jc w:val="right"/>
              <w:ind w:right="737"/>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Weighted average:</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6"/>
        </w:trPr>
        <w:tc>
          <w:tcPr>
            <w:tcW w:w="5160" w:type="dxa"/>
            <w:vAlign w:val="bottom"/>
          </w:tcPr>
          <w:p>
            <w:pPr>
              <w:spacing w:after="0" w:line="206" w:lineRule="exact"/>
              <w:rPr>
                <w:sz w:val="20"/>
                <w:szCs w:val="20"/>
                <w:color w:val="auto"/>
              </w:rPr>
            </w:pPr>
            <w:r>
              <w:rPr>
                <w:rFonts w:ascii="Arial" w:cs="Arial" w:eastAsia="Arial" w:hAnsi="Arial"/>
                <w:sz w:val="18"/>
                <w:szCs w:val="18"/>
                <w:color w:val="auto"/>
              </w:rPr>
              <w:t>Common shares outstanding used in calculating basic net (loss)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tcPr>
          <w:p>
            <w:pPr>
              <w:ind w:left="220"/>
              <w:spacing w:after="0" w:line="202" w:lineRule="exact"/>
              <w:rPr>
                <w:sz w:val="20"/>
                <w:szCs w:val="20"/>
                <w:color w:val="auto"/>
              </w:rPr>
            </w:pPr>
            <w:r>
              <w:rPr>
                <w:rFonts w:ascii="Arial" w:cs="Arial" w:eastAsia="Arial" w:hAnsi="Arial"/>
                <w:sz w:val="18"/>
                <w:szCs w:val="18"/>
                <w:color w:val="auto"/>
              </w:rPr>
              <w:t>income per share attributable to Viasat, Inc. common</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5160" w:type="dxa"/>
            <w:vAlign w:val="bottom"/>
          </w:tcPr>
          <w:p>
            <w:pPr>
              <w:ind w:left="220"/>
              <w:spacing w:after="0" w:line="200" w:lineRule="exact"/>
              <w:rPr>
                <w:sz w:val="20"/>
                <w:szCs w:val="20"/>
                <w:color w:val="auto"/>
              </w:rPr>
            </w:pPr>
            <w:r>
              <w:rPr>
                <w:rFonts w:ascii="Arial" w:cs="Arial" w:eastAsia="Arial" w:hAnsi="Arial"/>
                <w:sz w:val="18"/>
                <w:szCs w:val="18"/>
                <w:color w:val="auto"/>
              </w:rPr>
              <w:t>stockholders</w:t>
            </w:r>
          </w:p>
        </w:tc>
        <w:tc>
          <w:tcPr>
            <w:tcW w:w="13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58,638</w:t>
            </w:r>
          </w:p>
        </w:tc>
        <w:tc>
          <w:tcPr>
            <w:tcW w:w="134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52,976</w:t>
            </w: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58,237</w:t>
            </w:r>
          </w:p>
        </w:tc>
        <w:tc>
          <w:tcPr>
            <w:tcW w:w="140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50,542</w:t>
            </w:r>
          </w:p>
        </w:tc>
      </w:tr>
      <w:tr>
        <w:trPr>
          <w:trHeight w:val="206"/>
        </w:trPr>
        <w:tc>
          <w:tcPr>
            <w:tcW w:w="5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Options to purchase common stock as determined by application</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51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of the treasury stock method</w:t>
            </w:r>
          </w:p>
        </w:tc>
        <w:tc>
          <w:tcPr>
            <w:tcW w:w="1360" w:type="dxa"/>
            <w:vAlign w:val="bottom"/>
            <w:gridSpan w:val="2"/>
            <w:shd w:val="clear" w:color="auto" w:fill="CCEEFF"/>
          </w:tcPr>
          <w:p>
            <w:pPr>
              <w:ind w:left="960"/>
              <w:spacing w:after="0" w:line="200"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960"/>
              <w:spacing w:after="0" w:line="200"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265</w:t>
            </w:r>
          </w:p>
        </w:tc>
      </w:tr>
      <w:tr>
        <w:trPr>
          <w:trHeight w:val="206"/>
        </w:trPr>
        <w:tc>
          <w:tcPr>
            <w:tcW w:w="5160" w:type="dxa"/>
            <w:vAlign w:val="bottom"/>
          </w:tcPr>
          <w:p>
            <w:pPr>
              <w:spacing w:after="0" w:line="206" w:lineRule="exact"/>
              <w:rPr>
                <w:sz w:val="20"/>
                <w:szCs w:val="20"/>
                <w:color w:val="auto"/>
              </w:rPr>
            </w:pPr>
            <w:r>
              <w:rPr>
                <w:rFonts w:ascii="Arial" w:cs="Arial" w:eastAsia="Arial" w:hAnsi="Arial"/>
                <w:sz w:val="18"/>
                <w:szCs w:val="18"/>
                <w:color w:val="auto"/>
              </w:rPr>
              <w:t>TSR performance options to purchase common stock as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5160" w:type="dxa"/>
            <w:vAlign w:val="bottom"/>
          </w:tcPr>
          <w:p>
            <w:pPr>
              <w:ind w:left="220"/>
              <w:spacing w:after="0" w:line="200" w:lineRule="exact"/>
              <w:rPr>
                <w:sz w:val="20"/>
                <w:szCs w:val="20"/>
                <w:color w:val="auto"/>
              </w:rPr>
            </w:pPr>
            <w:r>
              <w:rPr>
                <w:rFonts w:ascii="Arial" w:cs="Arial" w:eastAsia="Arial" w:hAnsi="Arial"/>
                <w:sz w:val="18"/>
                <w:szCs w:val="18"/>
                <w:color w:val="auto"/>
              </w:rPr>
              <w:t>determined by application of the treasury stock method</w:t>
            </w:r>
          </w:p>
        </w:tc>
        <w:tc>
          <w:tcPr>
            <w:tcW w:w="1360" w:type="dxa"/>
            <w:vAlign w:val="bottom"/>
            <w:gridSpan w:val="2"/>
          </w:tcPr>
          <w:p>
            <w:pPr>
              <w:ind w:left="960"/>
              <w:spacing w:after="0" w:line="200"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240" w:type="dxa"/>
            <w:vAlign w:val="bottom"/>
          </w:tcPr>
          <w:p>
            <w:pPr>
              <w:ind w:left="960"/>
              <w:spacing w:after="0" w:line="200"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w:t>
            </w:r>
          </w:p>
        </w:tc>
      </w:tr>
      <w:tr>
        <w:trPr>
          <w:trHeight w:val="206"/>
        </w:trPr>
        <w:tc>
          <w:tcPr>
            <w:tcW w:w="5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8"/>
              </w:rPr>
              <w:t>Restricted stock units to acquire common stock as determined by</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51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application of the treasury stock method</w:t>
            </w:r>
          </w:p>
        </w:tc>
        <w:tc>
          <w:tcPr>
            <w:tcW w:w="1360" w:type="dxa"/>
            <w:vAlign w:val="bottom"/>
            <w:gridSpan w:val="2"/>
            <w:shd w:val="clear" w:color="auto" w:fill="CCEEFF"/>
          </w:tcPr>
          <w:p>
            <w:pPr>
              <w:ind w:left="960"/>
              <w:spacing w:after="0" w:line="200"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960"/>
              <w:spacing w:after="0" w:line="200"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656</w:t>
            </w:r>
          </w:p>
        </w:tc>
      </w:tr>
      <w:tr>
        <w:trPr>
          <w:trHeight w:val="206"/>
        </w:trPr>
        <w:tc>
          <w:tcPr>
            <w:tcW w:w="5160" w:type="dxa"/>
            <w:vAlign w:val="bottom"/>
          </w:tcPr>
          <w:p>
            <w:pPr>
              <w:spacing w:after="0" w:line="206" w:lineRule="exact"/>
              <w:rPr>
                <w:sz w:val="20"/>
                <w:szCs w:val="20"/>
                <w:color w:val="auto"/>
              </w:rPr>
            </w:pPr>
            <w:r>
              <w:rPr>
                <w:rFonts w:ascii="Arial" w:cs="Arial" w:eastAsia="Arial" w:hAnsi="Arial"/>
                <w:sz w:val="18"/>
                <w:szCs w:val="18"/>
                <w:color w:val="auto"/>
                <w:w w:val="98"/>
              </w:rPr>
              <w:t>Potentially issuable shares in connection with certain terms of the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tcPr>
          <w:p>
            <w:pPr>
              <w:ind w:left="220"/>
              <w:spacing w:after="0" w:line="202" w:lineRule="exact"/>
              <w:rPr>
                <w:sz w:val="20"/>
                <w:szCs w:val="20"/>
                <w:color w:val="auto"/>
              </w:rPr>
            </w:pPr>
            <w:r>
              <w:rPr>
                <w:rFonts w:ascii="Arial" w:cs="Arial" w:eastAsia="Arial" w:hAnsi="Arial"/>
                <w:sz w:val="18"/>
                <w:szCs w:val="18"/>
                <w:color w:val="auto"/>
              </w:rPr>
              <w:t>ViaSat 401(k) Profit Sharing Plan and Employee Stock</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5160" w:type="dxa"/>
            <w:vAlign w:val="bottom"/>
          </w:tcPr>
          <w:p>
            <w:pPr>
              <w:ind w:left="220"/>
              <w:spacing w:after="0" w:line="200" w:lineRule="exact"/>
              <w:rPr>
                <w:sz w:val="20"/>
                <w:szCs w:val="20"/>
                <w:color w:val="auto"/>
              </w:rPr>
            </w:pPr>
            <w:r>
              <w:rPr>
                <w:rFonts w:ascii="Arial" w:cs="Arial" w:eastAsia="Arial" w:hAnsi="Arial"/>
                <w:sz w:val="18"/>
                <w:szCs w:val="18"/>
                <w:color w:val="auto"/>
              </w:rPr>
              <w:t>Purchase Plan</w:t>
            </w:r>
          </w:p>
        </w:tc>
        <w:tc>
          <w:tcPr>
            <w:tcW w:w="1360" w:type="dxa"/>
            <w:vAlign w:val="bottom"/>
            <w:gridSpan w:val="2"/>
          </w:tcPr>
          <w:p>
            <w:pPr>
              <w:ind w:left="960"/>
              <w:spacing w:after="0" w:line="200"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0" w:lineRule="exact"/>
              <w:rPr>
                <w:sz w:val="20"/>
                <w:szCs w:val="20"/>
                <w:color w:val="auto"/>
              </w:rPr>
            </w:pPr>
            <w:r>
              <w:rPr>
                <w:rFonts w:ascii="Arial" w:cs="Arial" w:eastAsia="Arial" w:hAnsi="Arial"/>
                <w:sz w:val="18"/>
                <w:szCs w:val="18"/>
                <w:color w:val="auto"/>
              </w:rPr>
              <w:t>175</w:t>
            </w:r>
          </w:p>
        </w:tc>
        <w:tc>
          <w:tcPr>
            <w:tcW w:w="120" w:type="dxa"/>
            <w:vAlign w:val="bottom"/>
          </w:tcPr>
          <w:p>
            <w:pPr>
              <w:spacing w:after="0"/>
              <w:rPr>
                <w:sz w:val="17"/>
                <w:szCs w:val="17"/>
                <w:color w:val="auto"/>
              </w:rPr>
            </w:pPr>
          </w:p>
        </w:tc>
        <w:tc>
          <w:tcPr>
            <w:tcW w:w="1240" w:type="dxa"/>
            <w:vAlign w:val="bottom"/>
          </w:tcPr>
          <w:p>
            <w:pPr>
              <w:ind w:left="960"/>
              <w:spacing w:after="0" w:line="200"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184</w:t>
            </w:r>
          </w:p>
        </w:tc>
      </w:tr>
      <w:tr>
        <w:trPr>
          <w:trHeight w:val="186"/>
        </w:trPr>
        <w:tc>
          <w:tcPr>
            <w:tcW w:w="51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8"/>
                <w:szCs w:val="18"/>
                <w:color w:val="auto"/>
              </w:rPr>
              <w:t>Shares used in computing diluted net (loss) income per share</w:t>
            </w: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99"/>
        </w:trPr>
        <w:tc>
          <w:tcPr>
            <w:tcW w:w="51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attributable to Viasat, Inc. common stockholders</w:t>
            </w:r>
          </w:p>
        </w:tc>
        <w:tc>
          <w:tcPr>
            <w:tcW w:w="13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58,638</w:t>
            </w:r>
          </w:p>
        </w:tc>
        <w:tc>
          <w:tcPr>
            <w:tcW w:w="134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54,015</w:t>
            </w: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58,237</w:t>
            </w:r>
          </w:p>
        </w:tc>
        <w:tc>
          <w:tcPr>
            <w:tcW w:w="1400" w:type="dxa"/>
            <w:vAlign w:val="bottom"/>
            <w:gridSpan w:val="3"/>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51,647</w:t>
            </w:r>
          </w:p>
        </w:tc>
      </w:tr>
      <w:tr>
        <w:trPr>
          <w:trHeight w:val="20"/>
        </w:trPr>
        <w:tc>
          <w:tcPr>
            <w:tcW w:w="5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Company began granting TSR performance stock options to executive officers in the third quarter of fiscal year 2018 (see Note 1).</w:t>
      </w:r>
    </w:p>
    <w:p>
      <w:pPr>
        <w:spacing w:after="0" w:line="158"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and nine months ended December 31, 2017, as the Company incurred a net loss attributable to Viasat, Inc. common stockholders for such periods and inclusion of potentially dilutive weighted average shares of common stock would be antidilutive. Potentially dilutive weighted average shares of common stock excluded from the calculation for the three and nine months ended December 31, 2017 were 1,355,232 and 1,376,667 shares relating to stock options (other than TSR performance stock options), respectively, 270,256 and 90,413 shares relating to TSR performance stock options, respectively, 1,208,047 and 811,747 shares relating to restricted stock units, respectively, and 183,537 and 163,440 shares relating to certain terms of the ViaSat 401(k) Profit Sharing Plan and Employee Stock Purchase Plan, respectively.</w:t>
      </w:r>
    </w:p>
    <w:p>
      <w:pPr>
        <w:spacing w:after="0" w:line="154"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Antidilutive shares relating to stock options excluded from the calculation comprised 648,043 and 478,400 shares for the three and nine months ended December 31, 2016, respectively. Antidilutive shares relating to restricted stock units excluded from the calculation comprised 500 and zero shares for the three and nine months ended December 31, 2016,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During the nine months ended December 31, 2017, the slight increase in the Company’s goodwill related to the effects of foreign currency translation recorded within all three of the Company’s segments.</w:t>
      </w:r>
    </w:p>
    <w:p>
      <w:pPr>
        <w:spacing w:after="0" w:line="155"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$3.2 million and $2.8 million for the three months ended December 31, 2017 and 2016, respectively, and $9.8 million and $7.6 million for the nine months ended December 31, 2017 and 2016, respectively.</w:t>
      </w:r>
    </w:p>
    <w:p>
      <w:pPr>
        <w:spacing w:after="0" w:line="154"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For the nine months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-118110</wp:posOffset>
            </wp:positionV>
            <wp:extent cx="49225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spacing w:after="0" w:line="10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Expected for the remainder of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9525</wp:posOffset>
            </wp:positionV>
            <wp:extent cx="49225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Expected for fiscal year 2019</w:t>
      </w:r>
    </w:p>
    <w:p>
      <w:pPr>
        <w:ind w:left="1840"/>
        <w:spacing w:after="0" w:line="234" w:lineRule="auto"/>
        <w:rPr>
          <w:sz w:val="20"/>
          <w:szCs w:val="20"/>
          <w:color w:val="auto"/>
        </w:rPr>
      </w:pPr>
      <w:r>
        <w:rPr>
          <w:rFonts w:ascii="Arial" w:cs="Arial" w:eastAsia="Arial" w:hAnsi="Arial"/>
          <w:sz w:val="18"/>
          <w:szCs w:val="18"/>
          <w:color w:val="auto"/>
        </w:rPr>
        <w:t>Expected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line="235" w:lineRule="auto"/>
        <w:rPr>
          <w:sz w:val="20"/>
          <w:szCs w:val="20"/>
          <w:color w:val="auto"/>
        </w:rPr>
      </w:pPr>
      <w:r>
        <w:rPr>
          <w:rFonts w:ascii="Arial" w:cs="Arial" w:eastAsia="Arial" w:hAnsi="Arial"/>
          <w:sz w:val="18"/>
          <w:szCs w:val="18"/>
          <w:color w:val="auto"/>
        </w:rPr>
        <w:t>Expected for fiscal year 2021</w:t>
      </w:r>
    </w:p>
    <w:p>
      <w:pPr>
        <w:ind w:left="1840"/>
        <w:spacing w:after="0" w:line="235" w:lineRule="auto"/>
        <w:rPr>
          <w:sz w:val="20"/>
          <w:szCs w:val="20"/>
          <w:color w:val="auto"/>
        </w:rPr>
      </w:pPr>
      <w:r>
        <w:rPr>
          <w:rFonts w:ascii="Arial" w:cs="Arial" w:eastAsia="Arial" w:hAnsi="Arial"/>
          <w:sz w:val="18"/>
          <w:szCs w:val="18"/>
          <w:color w:val="auto"/>
        </w:rPr>
        <w:t>Expected for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-1270</wp:posOffset>
            </wp:positionV>
            <wp:extent cx="49225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591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jc w:val="center"/>
        <w:ind w:right="1860"/>
        <w:spacing w:after="0"/>
        <w:rPr>
          <w:sz w:val="20"/>
          <w:szCs w:val="20"/>
          <w:color w:val="auto"/>
        </w:rPr>
      </w:pPr>
      <w:r>
        <w:rPr>
          <w:rFonts w:ascii="Arial" w:cs="Arial" w:eastAsia="Arial" w:hAnsi="Arial"/>
          <w:sz w:val="12"/>
          <w:szCs w:val="12"/>
          <w:b w:val="1"/>
          <w:bCs w:val="1"/>
          <w:color w:val="auto"/>
        </w:rPr>
        <w:t>(In thousands)</w:t>
      </w:r>
    </w:p>
    <w:p>
      <w:pPr>
        <w:spacing w:after="0" w:line="14" w:lineRule="exact"/>
        <w:rPr>
          <w:sz w:val="20"/>
          <w:szCs w:val="20"/>
          <w:color w:val="auto"/>
        </w:rPr>
      </w:pPr>
    </w:p>
    <w:p>
      <w:pPr>
        <w:ind w:left="500" w:hanging="496"/>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9,757</w:t>
      </w:r>
    </w:p>
    <w:p>
      <w:pPr>
        <w:spacing w:after="0" w:line="127" w:lineRule="exact"/>
        <w:rPr>
          <w:sz w:val="20"/>
          <w:szCs w:val="20"/>
          <w:color w:val="auto"/>
        </w:rPr>
      </w:pPr>
    </w:p>
    <w:p>
      <w:pPr>
        <w:ind w:left="500" w:hanging="496"/>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2,402</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9,466</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7,638</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5,218</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3,392</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5,746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591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6" w:lineRule="exact"/>
        <w:rPr>
          <w:sz w:val="20"/>
          <w:szCs w:val="20"/>
          <w:color w:val="auto"/>
        </w:rPr>
      </w:pPr>
    </w:p>
    <w:p>
      <w:pPr>
        <w:ind w:left="400" w:hanging="396"/>
        <w:spacing w:after="0"/>
        <w:tabs>
          <w:tab w:leader="none" w:pos="400" w:val="left"/>
        </w:tabs>
        <w:numPr>
          <w:ilvl w:val="0"/>
          <w:numId w:val="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33,862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591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800"/>
          </w:cols>
          <w:pgMar w:left="240" w:top="459" w:right="259" w:bottom="1440" w:gutter="0" w:footer="0" w:header="0"/>
          <w:type w:val="continuous"/>
        </w:sectPr>
      </w:pP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459" w:right="2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December 31, 2017 and March 31, 2017:</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65"/>
        </w:trPr>
        <w:tc>
          <w:tcPr>
            <w:tcW w:w="5020" w:type="dxa"/>
            <w:vAlign w:val="bottom"/>
          </w:tcPr>
          <w:p>
            <w:pPr>
              <w:spacing w:after="0"/>
              <w:rPr>
                <w:sz w:val="14"/>
                <w:szCs w:val="14"/>
                <w:color w:val="auto"/>
              </w:rPr>
            </w:pPr>
          </w:p>
        </w:tc>
        <w:tc>
          <w:tcPr>
            <w:tcW w:w="2520" w:type="dxa"/>
            <w:vAlign w:val="bottom"/>
            <w:gridSpan w:val="4"/>
          </w:tcPr>
          <w:p>
            <w:pPr>
              <w:ind w:left="500"/>
              <w:spacing w:after="0"/>
              <w:rPr>
                <w:sz w:val="20"/>
                <w:szCs w:val="20"/>
                <w:color w:val="auto"/>
              </w:rPr>
            </w:pPr>
            <w:r>
              <w:rPr>
                <w:rFonts w:ascii="Arial" w:cs="Arial" w:eastAsia="Arial" w:hAnsi="Arial"/>
                <w:sz w:val="14"/>
                <w:szCs w:val="14"/>
                <w:b w:val="1"/>
                <w:bCs w:val="1"/>
                <w:color w:val="auto"/>
              </w:rPr>
              <w:t>December 31, 2017</w:t>
            </w: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 2017</w:t>
            </w:r>
          </w:p>
        </w:tc>
      </w:tr>
      <w:tr>
        <w:trPr>
          <w:trHeight w:val="142"/>
        </w:trPr>
        <w:tc>
          <w:tcPr>
            <w:tcW w:w="5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 Notes</w:t>
            </w:r>
          </w:p>
        </w:tc>
        <w:tc>
          <w:tcPr>
            <w:tcW w:w="7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700,000</w:t>
            </w:r>
          </w:p>
        </w:tc>
        <w:tc>
          <w:tcPr>
            <w:tcW w:w="7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2020 Notes</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575,000</w:t>
            </w:r>
          </w:p>
        </w:tc>
        <w:tc>
          <w:tcPr>
            <w:tcW w:w="12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Ex-Im Credit Facility (1)</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362,401</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304,134</w:t>
            </w:r>
          </w:p>
        </w:tc>
        <w:tc>
          <w:tcPr>
            <w:tcW w:w="12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7"/>
                <w:szCs w:val="17"/>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Total debt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1,062,700</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879,422</w:t>
            </w:r>
          </w:p>
        </w:tc>
        <w:tc>
          <w:tcPr>
            <w:tcW w:w="120" w:type="dxa"/>
            <w:vAlign w:val="bottom"/>
          </w:tcPr>
          <w:p>
            <w:pPr>
              <w:spacing w:after="0"/>
              <w:rPr>
                <w:sz w:val="18"/>
                <w:szCs w:val="18"/>
                <w:color w:val="auto"/>
              </w:rPr>
            </w:pPr>
          </w:p>
        </w:tc>
      </w:tr>
      <w:tr>
        <w:trPr>
          <w:trHeight w:val="206"/>
        </w:trPr>
        <w:tc>
          <w:tcPr>
            <w:tcW w:w="5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Unamortized premium/(discount and debt issuance costs),</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50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net (1)</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740"/>
              <w:spacing w:after="0" w:line="200" w:lineRule="exact"/>
              <w:rPr>
                <w:sz w:val="20"/>
                <w:szCs w:val="20"/>
                <w:color w:val="auto"/>
              </w:rPr>
            </w:pPr>
            <w:r>
              <w:rPr>
                <w:rFonts w:ascii="Arial" w:cs="Arial" w:eastAsia="Arial" w:hAnsi="Arial"/>
                <w:sz w:val="18"/>
                <w:szCs w:val="18"/>
                <w:color w:val="auto"/>
              </w:rPr>
              <w:t>(40,963)</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(30,651)</w:t>
            </w:r>
          </w:p>
        </w:tc>
      </w:tr>
      <w:tr>
        <w:trPr>
          <w:trHeight w:val="210"/>
        </w:trPr>
        <w:tc>
          <w:tcPr>
            <w:tcW w:w="502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45,599</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long-term debt</w:t>
            </w:r>
          </w:p>
        </w:tc>
        <w:tc>
          <w:tcPr>
            <w:tcW w:w="7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976,138</w:t>
            </w:r>
          </w:p>
        </w:tc>
        <w:tc>
          <w:tcPr>
            <w:tcW w:w="7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848,483</w:t>
            </w:r>
          </w:p>
        </w:tc>
        <w:tc>
          <w:tcPr>
            <w:tcW w:w="120" w:type="dxa"/>
            <w:vAlign w:val="bottom"/>
            <w:shd w:val="clear" w:color="auto" w:fill="CCEEFF"/>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9" w:lineRule="exact"/>
        <w:rPr>
          <w:sz w:val="20"/>
          <w:szCs w:val="20"/>
          <w:color w:val="auto"/>
        </w:rPr>
      </w:pPr>
    </w:p>
    <w:p>
      <w:pPr>
        <w:ind w:left="460" w:hanging="452"/>
        <w:spacing w:after="0" w:line="23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31, 2017, included in Ex-Im Credit Facility and in unamortized discount and debt issuance costs on the Ex-Im Credit Facility was $29.5 million and $23.0 million, respectively, relating to the exposure fees accrued as of such date and subsequently financed under the Ex-Im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7"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As of December 31, 2017, the Revolving Credit Facility provided an $800.0 million revolving line of credit (including up to $150.0 million of letters of credit) with a maturity date of May 24, 2021.</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December 31, 2017, none of the Company’s subsidiaries guaranteed the Revolving Credit Facility.</w:t>
      </w:r>
    </w:p>
    <w:p>
      <w:pPr>
        <w:spacing w:after="0" w:line="155"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54"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The Company was in compliance with its financial covenants under the Revolving Credit Facility as of December 31, 2017. At December 31, 2017, the Company had no outstanding borrowings under the Revolving Credit Facility and $29.1 million outstanding under standby letters of credit, leaving borrowing availability under the Revolving Credit Facility as of December 31, 2017 of $770.9 million.</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7"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As of December 31, 2017, the Ex-Im Credit Facility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includes all previously accrued completion exposure fees).</w:t>
      </w:r>
    </w:p>
    <w:p>
      <w:pPr>
        <w:spacing w:after="0" w:line="157"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exposure fees, debt issuance costs and other fees, is 4.6%. Borrowings under the Ex-Im Credit Facility are required to be repaid in 16 approximately equal semi-annual principal installments, commencing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56"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December 31, 2017.</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is amortized to interest expense on an effective interest rate basis over the term of the borrowings under the Ex-Im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Company’s issuance of the 2025 Notes on September 21, 2017, the Company repurchased and redeemed all of its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$575.0 million in aggregate principal amount of 2020 Notes then outstanding through a cash tender offer and redemption, and the indenture</w:t>
      </w:r>
    </w:p>
    <w:p>
      <w:pPr>
        <w:spacing w:after="0" w:line="234" w:lineRule="auto"/>
        <w:rPr>
          <w:sz w:val="20"/>
          <w:szCs w:val="20"/>
          <w:color w:val="auto"/>
        </w:rPr>
      </w:pPr>
      <w:r>
        <w:rPr>
          <w:rFonts w:ascii="Arial" w:cs="Arial" w:eastAsia="Arial" w:hAnsi="Arial"/>
          <w:sz w:val="18"/>
          <w:szCs w:val="18"/>
          <w:color w:val="auto"/>
        </w:rPr>
        <w:t>governing the 2020 Notes was satisfied and discharged in accordance with its terms. On September 21, 2017, the Company repurchased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$298.2 million in aggregate principal amount of the 2020 Notes pursuant to the tender offer. The total cash payment to repurchase the tendered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2020 Notes in the tender offer, including accrued and unpaid interest to, but excluding, the repurchase date, was $309.3 million. Also on</w:t>
      </w:r>
    </w:p>
    <w:p>
      <w:pPr>
        <w:spacing w:after="0"/>
        <w:rPr>
          <w:sz w:val="20"/>
          <w:szCs w:val="20"/>
          <w:color w:val="auto"/>
        </w:rPr>
      </w:pPr>
      <w:r>
        <w:rPr>
          <w:rFonts w:ascii="Arial" w:cs="Arial" w:eastAsia="Arial" w:hAnsi="Arial"/>
          <w:sz w:val="16"/>
          <w:szCs w:val="16"/>
          <w:color w:val="auto"/>
        </w:rPr>
        <w:t>September 21, 2017, in connection with the redemption of the remaining $276.8 million in aggregate principal amount of 2020 Notes,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irrevocably deposited $287.4 million with Wilmington Trust, as trustee, as trust funds solely for the benefit of the holders of such 2020 Notes.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redemption price for the 2020 Notes was 101.719% of the principal amount so redeemed, plus accrued and unpaid interest to, but excluding,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date of October 5, 2017.</w:t>
      </w:r>
    </w:p>
    <w:p>
      <w:pPr>
        <w:spacing w:after="0" w:line="158"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In connection with the satisfaction and discharge of the indenture governing the 2020 Notes, all of the obligations of the Company (other than certain customary provisions of the indenture that expressly survive pursuant to the terms of the indenture) were discharged on September 21, 2017.</w:t>
      </w:r>
    </w:p>
    <w:p>
      <w:pPr>
        <w:spacing w:after="0" w:line="154"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the Company recognized a $10.2 million loss on extinguishment of debt during the second quarter of fiscal year 2018, which was comprised of $10.6 million in cash payments (including tender offer consideration, redemption premium and related professional fees), net of an insignificant amount in non-cash gain (including unamortized premium, net of unamortized debt issuance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On September 21,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will commence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6"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December 31, 2017, none of the Company’s subsidiaries guaranteed the 2025 Notes. The 2025 Notes are the Company’s general senior unsecured obligations and rank equally in right of payment with all</w:t>
      </w:r>
    </w:p>
    <w:p>
      <w:pPr>
        <w:sectPr>
          <w:pgSz w:w="11900" w:h="16838" w:orient="portrait"/>
          <w:cols w:equalWidth="0" w:num="1">
            <w:col w:w="11400"/>
          </w:cols>
          <w:pgMar w:left="240" w:top="459" w:right="259" w:bottom="1440" w:gutter="0" w:footer="0" w:header="0"/>
        </w:sectPr>
      </w:pP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459" w:right="2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of the Company’s existing and future unsecured unsubordinated debt. The 2025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2025 Notes, and are senior in right of payment to all of their existing and future subordinated indebtedness.</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57" w:lineRule="exact"/>
        <w:rPr>
          <w:sz w:val="20"/>
          <w:szCs w:val="20"/>
          <w:color w:val="auto"/>
        </w:rPr>
      </w:pPr>
    </w:p>
    <w:p>
      <w:pPr>
        <w:ind w:right="20" w:firstLine="456"/>
        <w:spacing w:after="0" w:line="268" w:lineRule="auto"/>
        <w:rPr>
          <w:sz w:val="20"/>
          <w:szCs w:val="20"/>
          <w:color w:val="auto"/>
        </w:rPr>
      </w:pPr>
      <w:r>
        <w:rPr>
          <w:rFonts w:ascii="Arial" w:cs="Arial" w:eastAsia="Arial" w:hAnsi="Arial"/>
          <w:sz w:val="16"/>
          <w:szCs w:val="16"/>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336" w:lineRule="exact"/>
        <w:rPr>
          <w:sz w:val="20"/>
          <w:szCs w:val="20"/>
          <w:color w:val="auto"/>
        </w:rPr>
      </w:pPr>
    </w:p>
    <w:p>
      <w:pPr>
        <w:jc w:val="both"/>
        <w:ind w:right="40" w:firstLine="456"/>
        <w:spacing w:after="0" w:line="237"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9" w:lineRule="exact"/>
        <w:rPr>
          <w:sz w:val="20"/>
          <w:szCs w:val="20"/>
          <w:color w:val="auto"/>
        </w:rPr>
      </w:pPr>
    </w:p>
    <w:p>
      <w:pPr>
        <w:ind w:right="100" w:firstLine="456"/>
        <w:spacing w:after="0" w:line="269"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December 31, 2017 and 2016:</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2017</w:t>
            </w:r>
          </w:p>
        </w:tc>
        <w:tc>
          <w:tcPr>
            <w:tcW w:w="124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5"/>
              </w:rPr>
              <w:t>December 31, 2016</w:t>
            </w:r>
          </w:p>
        </w:tc>
        <w:tc>
          <w:tcPr>
            <w:tcW w:w="120" w:type="dxa"/>
            <w:vAlign w:val="bottom"/>
          </w:tcPr>
          <w:p>
            <w:pPr>
              <w:spacing w:after="0"/>
              <w:rPr>
                <w:sz w:val="12"/>
                <w:szCs w:val="12"/>
                <w:color w:val="auto"/>
              </w:rPr>
            </w:pPr>
          </w:p>
        </w:tc>
      </w:tr>
      <w:tr>
        <w:trPr>
          <w:trHeight w:val="142"/>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11,058</w:t>
            </w:r>
          </w:p>
        </w:tc>
        <w:tc>
          <w:tcPr>
            <w:tcW w:w="9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11,434</w:t>
            </w:r>
          </w:p>
        </w:tc>
        <w:tc>
          <w:tcPr>
            <w:tcW w:w="120" w:type="dxa"/>
            <w:vAlign w:val="bottom"/>
            <w:shd w:val="clear" w:color="auto" w:fill="CCEEFF"/>
          </w:tcPr>
          <w:p>
            <w:pPr>
              <w:spacing w:after="0"/>
              <w:rPr>
                <w:sz w:val="17"/>
                <w:szCs w:val="17"/>
                <w:color w:val="auto"/>
              </w:rPr>
            </w:pPr>
          </w:p>
        </w:tc>
      </w:tr>
      <w:tr>
        <w:trPr>
          <w:trHeight w:val="203"/>
        </w:trPr>
        <w:tc>
          <w:tcPr>
            <w:tcW w:w="5140" w:type="dxa"/>
            <w:vAlign w:val="bottom"/>
          </w:tcPr>
          <w:p>
            <w:pPr>
              <w:ind w:left="440"/>
              <w:spacing w:after="0" w:line="202" w:lineRule="exact"/>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6,177</w:t>
            </w:r>
          </w:p>
        </w:tc>
        <w:tc>
          <w:tcPr>
            <w:tcW w:w="120" w:type="dxa"/>
            <w:vAlign w:val="bottom"/>
          </w:tcPr>
          <w:p>
            <w:pPr>
              <w:spacing w:after="0"/>
              <w:rPr>
                <w:sz w:val="17"/>
                <w:szCs w:val="17"/>
                <w:color w:val="auto"/>
              </w:rPr>
            </w:pPr>
          </w:p>
        </w:tc>
      </w:tr>
      <w:tr>
        <w:trPr>
          <w:trHeight w:val="206"/>
        </w:trPr>
        <w:tc>
          <w:tcPr>
            <w:tcW w:w="514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Settlements made (in cash or in kind) during</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514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the period</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32"/>
              <w:spacing w:after="0" w:line="200" w:lineRule="exact"/>
              <w:rPr>
                <w:sz w:val="20"/>
                <w:szCs w:val="20"/>
                <w:color w:val="auto"/>
              </w:rPr>
            </w:pPr>
            <w:r>
              <w:rPr>
                <w:rFonts w:ascii="Arial" w:cs="Arial" w:eastAsia="Arial" w:hAnsi="Arial"/>
                <w:sz w:val="18"/>
                <w:szCs w:val="18"/>
                <w:color w:val="auto"/>
              </w:rPr>
              <w:t>(3,931)</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(6,108)</w:t>
            </w: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Balance, end of period</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7,345</w:t>
            </w:r>
          </w:p>
        </w:tc>
        <w:tc>
          <w:tcPr>
            <w:tcW w:w="96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11,503</w:t>
            </w:r>
          </w:p>
        </w:tc>
        <w:tc>
          <w:tcPr>
            <w:tcW w:w="12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In May 2013, the Company entered into an agreement to purchase the ViaSat-2 satellite from The Boeing Company (Boeing) at a price of approximately $358.0 million, plus an additional amount for launch support services to be performed by Boeing. In April 2017, the satellite construction agreement was amended to replace the remaining milestone payments for the satellite under the</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240" w:top="121"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agreement with approximately $21.0 million of in-orbit satellite performance incentive payments, excluding interest, payable monthly over a nine-year period commencing one month after the completion of in-orbit testing, subject to the continued satisfactory performance of the satellite.</w:t>
      </w:r>
    </w:p>
    <w:p>
      <w:pPr>
        <w:spacing w:after="0" w:line="109"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In July 2016, the Company entered into two separate agreements with Boeing for the construction and purchase of two ViaSat-3 class satellites and the integration of Viasat’s payload technologies into the satellites at an amended price of approximately $379.5 million in the aggregate (subject to purchase price adjustments based on factors such as launch delay and early delivery), plus an additional amount for launch support services to be performed by Boeing. In addition, under one of these agreements, the Company has the option to order up to two additional ViaSat-3 class satellites. The first ViaSat-3 class satellite is expected to provide broadband services over the Americas, and the second is expected to provide broadband services over Europe, the Middle East and Africa.</w:t>
      </w:r>
    </w:p>
    <w:p>
      <w:pPr>
        <w:spacing w:after="0" w:line="156"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55"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In March 2016, the Company’s 52% majority-owned subsidiary TrellisWare was informed by the Civil Division of the U.S. Attorney’s Office for the Southern District of California that it was investigating TrellisWare’s eligibility for certain prior government contracts and whether TrellisWare’s conduct in connection therewith violated the False Claims Act.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 During the fourth quarter of fiscal year 2017, based on further developments in that investigation and TrellisWare’s discussions with the U.S. Attorney’s Office, the Company accrued a total loss contingency of $11.8 million in SG&amp;A expenses in its government systems segment, which consisted of $11.4 million in uncharacterized damages and $0.4 million in penalties. The impact of the loss contingency on net income attributable to Viasat, Inc. stockholders for fiscal year 2017, net of tax, was $4.0 million, with the related amount of $3.7 million recorded to net (loss) income attributable to noncontrolling interests, net of tax. As of December 31, 2017, the total loss contingency was recorded in accrued liabilities in the condensed consolidated balance sheet in the amount of $11.8 million. At this time, the Company cannot determine with certainty how or whether the TrellisWare investigation will conclude or whether this will be the final amount of damages and penalties.</w:t>
      </w:r>
    </w:p>
    <w:p>
      <w:pPr>
        <w:spacing w:after="0" w:line="161" w:lineRule="exact"/>
        <w:rPr>
          <w:sz w:val="20"/>
          <w:szCs w:val="20"/>
          <w:color w:val="auto"/>
        </w:rPr>
      </w:pPr>
    </w:p>
    <w:p>
      <w:pPr>
        <w:ind w:firstLine="456"/>
        <w:spacing w:after="0" w:line="266" w:lineRule="auto"/>
        <w:rPr>
          <w:sz w:val="20"/>
          <w:szCs w:val="20"/>
          <w:color w:val="auto"/>
        </w:rPr>
      </w:pPr>
      <w:r>
        <w:rPr>
          <w:rFonts w:ascii="Arial" w:cs="Arial" w:eastAsia="Arial" w:hAnsi="Arial"/>
          <w:sz w:val="16"/>
          <w:szCs w:val="16"/>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2016 and 2017. As of December 31, 2017,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2017 and March 31, 2017, the Company had $1.3 million and $1.8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9" w:lineRule="exact"/>
        <w:rPr>
          <w:sz w:val="20"/>
          <w:szCs w:val="20"/>
          <w:color w:val="auto"/>
        </w:rPr>
      </w:pPr>
    </w:p>
    <w:p>
      <w:pPr>
        <w:ind w:right="580" w:firstLine="456"/>
        <w:spacing w:after="0" w:line="239" w:lineRule="auto"/>
        <w:rPr>
          <w:sz w:val="20"/>
          <w:szCs w:val="20"/>
          <w:color w:val="auto"/>
        </w:rPr>
      </w:pPr>
      <w:r>
        <w:rPr>
          <w:rFonts w:ascii="Arial" w:cs="Arial" w:eastAsia="Arial" w:hAnsi="Arial"/>
          <w:sz w:val="18"/>
          <w:szCs w:val="18"/>
          <w:color w:val="auto"/>
        </w:rPr>
        <w:t>The Company calculates its provision for income taxes at the end of each interim reporting period on the basis of an estimated annual effective tax rate adjusted for tax items that are discrete to each period.</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For the three and nine months ended December 31, 2017, the Company recorded an income tax expense of $2.2 million and an income tax benefit of $18.5 million, respectively, resulting in a negative effective tax rate of 8.8% and an effective tax benefit rate of 26.8%, respectively. The effective tax rates for the periods differed from the U.S. statutory rate due primarily to the benefit of research and development tax credits, offset by additional income tax expense due to the revaluation of net deferred tax assets resulting from the lowering of the corporate federal income tax rate from 35% to 21% under H.R.1, informally known as the Tax Cuts and Jobs Act, which was enacted into law on December 22, 2017 (the Tax Reform).</w:t>
      </w:r>
    </w:p>
    <w:p>
      <w:pPr>
        <w:spacing w:after="0" w:line="15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6"/>
          <w:szCs w:val="16"/>
          <w:color w:val="auto"/>
        </w:rPr>
        <w:t>For the three and nine months ended December 31, 2016, the Company recorded an income tax provision of $0.9 million and $5.3 million, respectively, resulting in an effective tax rate of 15.5% and 23.1%, respectively. The effective tax rates for the periods differed from the U.S. statutory rate due primarily to the benefit of research and development tax credits. The effective tax rate for the nine months ended December 31, 2016 also reflects an increase in valuation allowances on state net operating losses and state research and development tax credits.</w:t>
      </w:r>
    </w:p>
    <w:p>
      <w:pPr>
        <w:spacing w:after="0" w:line="129"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When a reliable estimate of the annual effective tax rate cannot be made, the Company computes its provision for income taxes using the actual effective tax rate method for the year-to-date period. For the three and nine months ended December 31, 2016, the Company used the actual effective tax rate method in calculating the income tax provision for the period as a reliable estimate of the annual effective tax rate could not be made.</w:t>
      </w:r>
    </w:p>
    <w:p>
      <w:pPr>
        <w:spacing w:after="0" w:line="155"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and nine months ended December 31, 2017, the Company’s gross unrecognized tax benefits increased by $1.1 million and</w:t>
      </w:r>
    </w:p>
    <w:p>
      <w:pPr>
        <w:spacing w:after="0"/>
        <w:rPr>
          <w:sz w:val="20"/>
          <w:szCs w:val="20"/>
          <w:color w:val="auto"/>
        </w:rPr>
      </w:pPr>
      <w:r>
        <w:rPr>
          <w:rFonts w:ascii="Arial" w:cs="Arial" w:eastAsia="Arial" w:hAnsi="Arial"/>
          <w:sz w:val="16"/>
          <w:szCs w:val="16"/>
          <w:color w:val="auto"/>
        </w:rPr>
        <w:t>$3.5 million, respectively. In the next 12 months it is reasonably possible that the amount of unrecognized tax benefits will not change significantly.</w:t>
      </w:r>
    </w:p>
    <w:p>
      <w:pPr>
        <w:spacing w:after="0" w:line="181" w:lineRule="exact"/>
        <w:rPr>
          <w:sz w:val="20"/>
          <w:szCs w:val="20"/>
          <w:color w:val="auto"/>
        </w:rPr>
      </w:pPr>
    </w:p>
    <w:p>
      <w:pPr>
        <w:ind w:right="280" w:firstLine="456"/>
        <w:spacing w:after="0" w:line="236" w:lineRule="auto"/>
        <w:rPr>
          <w:sz w:val="20"/>
          <w:szCs w:val="20"/>
          <w:color w:val="auto"/>
        </w:rPr>
      </w:pPr>
      <w:r>
        <w:rPr>
          <w:rFonts w:ascii="Arial" w:cs="Arial" w:eastAsia="Arial" w:hAnsi="Arial"/>
          <w:sz w:val="18"/>
          <w:szCs w:val="18"/>
          <w:color w:val="auto"/>
        </w:rPr>
        <w:t>In accordance with the ASU 2016-09, which the Company adopted during the first quarter of fiscal year 2018, the Company recorded a cumulative effect adjustment as of the beginning of the first quarter of fiscal year 2018 to increase retained earnings by $58.7 million with a corresponding increase to deferred tax assets to recognize net operating loss carryforwards attributable to excess tax benefits on share-based compensation that had not been previously recognized. On a prospective basis, the Company recognizes excess tax benefits or deficiencies on vesting or settlement of awards as discrete items within income tax benefit or provision within net income (loss) and the related cash flows classified within operating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Reform</w:t>
      </w:r>
    </w:p>
    <w:p>
      <w:pPr>
        <w:spacing w:after="0" w:line="97"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On December 22, 2017, the Tax Reform was enacted into law. Among other matters, the Tax Reform lowered the corporate federal income tax rate from 35% to 21%, effective January 1, 2018, and transitions U.S. international taxation from a worldwide tax system to a territorial tax system. As the Company has a March 31 fiscal year-end, the lower corporate federal income tax rate will be phased in, resulting in a U.S. statutory federal rate of approximately 31.6% for fiscal year 2018, and 21.0% for subsequent fiscal years.</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ASC 740-10, Income Taxes, requires the Company to recognize the effect of any tax laws during the period in which they are enacted. Accordingly, the Company performed preliminary calculations and, based on the estimated effect of the reduction in the corporate federal income tax rate under the Tax Reform, the Company reduced net deferred tax assets, which reduction was recognized as additional income tax expense of $12.2 million for the three and nine months ended December 31, 2017. The Company has performed a preliminary review of the other provisions in the Tax Reform, including U.S. tax on unrepatriated foreign earnings, and has preliminarily concluded that they have no material impact on the Company’s consolidated financial statements or ability to realize its deferred tax assets. The Company continues to evaluate the global tax implications of the Tax Reform.</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final impact of the Tax Reform may differ from the above estimate due to, among other things, changes in interpretation, the issuance of additional guidance and any updates to estimates the Company utilized to calculate the transition impacts. The Securities and Exchange Commission has issued rules under SAB 118 that allow for a measurement period of up to one year after the enactment date of the Tax Reform to finalize the recording of the related tax impacts. The Company currently anticipates finalizing and recording any resulting adjustments by the end of the quarter ending December 31, 2018.</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ind w:right="5520"/>
        <w:spacing w:after="0" w:line="341" w:lineRule="auto"/>
        <w:rPr>
          <w:sz w:val="20"/>
          <w:szCs w:val="20"/>
          <w:color w:val="auto"/>
        </w:rPr>
      </w:pPr>
      <w:r>
        <w:rPr>
          <w:rFonts w:ascii="Arial" w:cs="Arial" w:eastAsia="Arial" w:hAnsi="Arial"/>
          <w:sz w:val="18"/>
          <w:szCs w:val="18"/>
          <w:b w:val="1"/>
          <w:bCs w:val="1"/>
          <w:color w:val="auto"/>
        </w:rPr>
        <w:t xml:space="preserve">Note 10 — Equity Method Investments and Related-Party Transactions </w:t>
      </w:r>
      <w:r>
        <w:rPr>
          <w:rFonts w:ascii="Arial" w:cs="Arial" w:eastAsia="Arial" w:hAnsi="Arial"/>
          <w:sz w:val="18"/>
          <w:szCs w:val="18"/>
          <w:b w:val="1"/>
          <w:bCs w:val="1"/>
          <w:i w:val="1"/>
          <w:iCs w:val="1"/>
          <w:color w:val="auto"/>
        </w:rPr>
        <w:t>Eutelsat strategic partnering arrangement</w:t>
      </w:r>
    </w:p>
    <w:p>
      <w:pPr>
        <w:spacing w:after="0" w:line="1"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S.A. (together with its affiliates,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foreign currency translation gains, net of tax, of approximately $3.2 million and $10.9 million for the three and nine months ended December 31, 2017, respectively, in accumulated other comprehensive income (loss). The Company records its proportionate share of the results of Euro Infrastructure Co., and any related basis difference amortization expense, within equity in income (losses) of unconsolidated affiliate, net, one quarter in arrears. Accordingly, the Company included its share of the results of Euro Infrastructure Co. for the three months ended September 30, 2017 in its condensed consolidated financial statements for the three months ended December 31, 2017, and its share of the results of Euro Infrastructure Co. from the date of the Company’s investment in Euro Infrastructure Co. on March 3, 2017 through September 30, 2017 in its condensed consolidated financial statements for the nine months ended December 31, 2017.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61" w:lineRule="exact"/>
        <w:rPr>
          <w:sz w:val="20"/>
          <w:szCs w:val="20"/>
          <w:color w:val="auto"/>
        </w:rPr>
      </w:pPr>
    </w:p>
    <w:p>
      <w:pPr>
        <w:ind w:right="500" w:firstLine="456"/>
        <w:spacing w:after="0" w:line="239"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December 31, 2017 and March 31, 2017 is summarized as follows:</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5"/>
        </w:trPr>
        <w:tc>
          <w:tcPr>
            <w:tcW w:w="5480" w:type="dxa"/>
            <w:vAlign w:val="bottom"/>
          </w:tcPr>
          <w:p>
            <w:pPr>
              <w:spacing w:after="0"/>
              <w:rPr>
                <w:sz w:val="14"/>
                <w:szCs w:val="14"/>
                <w:color w:val="auto"/>
              </w:rPr>
            </w:pPr>
          </w:p>
        </w:tc>
        <w:tc>
          <w:tcPr>
            <w:tcW w:w="184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Carrying value of investment in Euro Infrastructure Co.</w:t>
            </w:r>
          </w:p>
        </w:tc>
        <w:tc>
          <w:tcPr>
            <w:tcW w:w="5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160,975</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141,894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line="202" w:lineRule="exact"/>
              <w:rPr>
                <w:sz w:val="20"/>
                <w:szCs w:val="20"/>
                <w:color w:val="auto"/>
              </w:rPr>
            </w:pPr>
            <w:r>
              <w:rPr>
                <w:rFonts w:ascii="Arial" w:cs="Arial" w:eastAsia="Arial" w:hAnsi="Arial"/>
                <w:sz w:val="18"/>
                <w:szCs w:val="18"/>
                <w:color w:val="auto"/>
              </w:rPr>
              <w:t>Less: proportionate share of net assets of Euro Infrastructure Co.</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144,560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8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Excess carrying value of investment over proportionate share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of net assets</w:t>
            </w:r>
          </w:p>
        </w:tc>
        <w:tc>
          <w:tcPr>
            <w:tcW w:w="560" w:type="dxa"/>
            <w:vAlign w:val="bottom"/>
            <w:gridSpan w:val="2"/>
            <w:shd w:val="clear" w:color="auto" w:fill="CCEEFF"/>
          </w:tcPr>
          <w:p>
            <w:pPr>
              <w:ind w:left="280"/>
              <w:spacing w:after="0" w:line="200"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16,415</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60"/>
              <w:spacing w:after="0" w:line="20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14,501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The excess carrying value has been primarily assigned to:</w:t>
            </w: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Goodwill</w:t>
            </w:r>
          </w:p>
        </w:tc>
        <w:tc>
          <w:tcPr>
            <w:tcW w:w="5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23,171</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440"/>
              <w:spacing w:after="0" w:line="202" w:lineRule="exact"/>
              <w:rPr>
                <w:sz w:val="20"/>
                <w:szCs w:val="20"/>
                <w:color w:val="auto"/>
              </w:rPr>
            </w:pPr>
            <w:r>
              <w:rPr>
                <w:rFonts w:ascii="Arial" w:cs="Arial" w:eastAsia="Arial" w:hAnsi="Arial"/>
                <w:sz w:val="18"/>
                <w:szCs w:val="18"/>
                <w:color w:val="auto"/>
              </w:rPr>
              <w:t>Identifiable intangible assets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13,059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12,379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Tangible assets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(21,504)</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(20,241)</w:t>
            </w:r>
          </w:p>
        </w:tc>
        <w:tc>
          <w:tcPr>
            <w:tcW w:w="0" w:type="dxa"/>
            <w:vAlign w:val="bottom"/>
          </w:tcPr>
          <w:p>
            <w:pPr>
              <w:spacing w:after="0"/>
              <w:rPr>
                <w:sz w:val="1"/>
                <w:szCs w:val="1"/>
                <w:color w:val="auto"/>
              </w:rPr>
            </w:pPr>
          </w:p>
        </w:tc>
      </w:tr>
      <w:tr>
        <w:trPr>
          <w:trHeight w:val="210"/>
        </w:trPr>
        <w:tc>
          <w:tcPr>
            <w:tcW w:w="5480" w:type="dxa"/>
            <w:vAlign w:val="bottom"/>
          </w:tcPr>
          <w:p>
            <w:pPr>
              <w:ind w:left="440"/>
              <w:spacing w:after="0" w:line="202" w:lineRule="exact"/>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16,415</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The preliminary allocation is subject to revision as a more detailed analysis is completed and additional information on the assets and liabilities of Euro Infrastructure Co. as of the closing date becomes available. Any change in the net assets of Euro Infrastructure Co. will change the amount of the purchase price allocable to goodwill. Goodwill is not deductible for tax purposes.</w:t>
      </w:r>
    </w:p>
    <w:p>
      <w:pPr>
        <w:spacing w:after="0" w:line="157" w:lineRule="exact"/>
        <w:rPr>
          <w:sz w:val="20"/>
          <w:szCs w:val="20"/>
          <w:color w:val="auto"/>
        </w:rPr>
      </w:pPr>
    </w:p>
    <w:p>
      <w:pPr>
        <w:jc w:val="both"/>
        <w:ind w:right="20" w:firstLine="456"/>
        <w:spacing w:after="0" w:line="237" w:lineRule="auto"/>
        <w:rPr>
          <w:sz w:val="20"/>
          <w:szCs w:val="20"/>
          <w:color w:val="auto"/>
        </w:rPr>
      </w:pPr>
      <w:r>
        <w:rPr>
          <w:rFonts w:ascii="Arial" w:cs="Arial" w:eastAsia="Arial" w:hAnsi="Arial"/>
          <w:sz w:val="18"/>
          <w:szCs w:val="18"/>
          <w:color w:val="auto"/>
        </w:rPr>
        <w:t>The Company’s share of income on its investment in Euro Infrastructure Co. was $1.4 million and $1.6 million for the three and nine months ended December 31, 2017, respectively, consisting of the Company’s share of equity in Euro Infrastructure Co.’s income, including amortization of the difference in the historical basis of the Company’s contribution. The Company did not hold any investment in Euro Infrastructure Co. in the prior year period.</w:t>
      </w:r>
    </w:p>
    <w:p>
      <w:pPr>
        <w:spacing w:after="0" w:line="155" w:lineRule="exact"/>
        <w:rPr>
          <w:sz w:val="20"/>
          <w:szCs w:val="20"/>
          <w:color w:val="auto"/>
        </w:rPr>
      </w:pPr>
    </w:p>
    <w:p>
      <w:pPr>
        <w:jc w:val="both"/>
        <w:ind w:firstLine="456"/>
        <w:spacing w:after="0" w:line="239" w:lineRule="auto"/>
        <w:rPr>
          <w:sz w:val="20"/>
          <w:szCs w:val="20"/>
          <w:color w:val="auto"/>
        </w:rPr>
      </w:pPr>
      <w:r>
        <w:rPr>
          <w:rFonts w:ascii="Arial" w:cs="Arial" w:eastAsia="Arial" w:hAnsi="Arial"/>
          <w:sz w:val="18"/>
          <w:szCs w:val="18"/>
          <w:color w:val="auto"/>
        </w:rPr>
        <w:t>Since acquiring its interest in Euro Infrastructure Co., the Company has recorded $1.6 million in retained earnings of undistributed cumulative earnings in equity interests, net of tax, as of December 31, 2017.</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7"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Transactions with the equity method investee are considered related-party transactions.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gridSpan w:val="2"/>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Borders>
              <w:top w:val="single" w:sz="8" w:color="auto"/>
              <w:bottom w:val="single" w:sz="8" w:color="auto"/>
            </w:tcBorders>
            <w:gridSpan w:val="2"/>
          </w:tcPr>
          <w:p>
            <w:pPr>
              <w:jc w:val="right"/>
              <w:ind w:right="336"/>
              <w:spacing w:after="0" w:line="142" w:lineRule="exact"/>
              <w:rPr>
                <w:sz w:val="20"/>
                <w:szCs w:val="20"/>
                <w:color w:val="auto"/>
              </w:rPr>
            </w:pPr>
            <w:r>
              <w:rPr>
                <w:rFonts w:ascii="Arial" w:cs="Arial" w:eastAsia="Arial" w:hAnsi="Arial"/>
                <w:sz w:val="14"/>
                <w:szCs w:val="14"/>
                <w:b w:val="1"/>
                <w:bCs w:val="1"/>
                <w:color w:val="auto"/>
                <w:w w:val="95"/>
              </w:rPr>
              <w:t>December 31, 2017</w:t>
            </w:r>
          </w:p>
        </w:tc>
        <w:tc>
          <w:tcPr>
            <w:tcW w:w="166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December 31, 2017</w:t>
            </w:r>
          </w:p>
        </w:tc>
        <w:tc>
          <w:tcPr>
            <w:tcW w:w="20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December 31, 2016</w:t>
            </w:r>
          </w:p>
        </w:tc>
        <w:tc>
          <w:tcPr>
            <w:tcW w:w="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40" w:type="dxa"/>
            <w:vAlign w:val="bottom"/>
            <w:gridSpan w:val="5"/>
          </w:tcPr>
          <w:p>
            <w:pPr>
              <w:jc w:val="right"/>
              <w:ind w:right="472"/>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2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1,945</w:t>
            </w:r>
          </w:p>
        </w:tc>
        <w:tc>
          <w:tcPr>
            <w:tcW w:w="1140" w:type="dxa"/>
            <w:vAlign w:val="bottom"/>
            <w:shd w:val="clear" w:color="auto" w:fill="CCEEFF"/>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7,574</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760" w:type="dxa"/>
            <w:vAlign w:val="bottom"/>
            <w:gridSpan w:val="2"/>
          </w:tcPr>
          <w:p>
            <w:pPr>
              <w:spacing w:after="0" w:line="202" w:lineRule="exact"/>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1,725</w:t>
            </w:r>
          </w:p>
        </w:tc>
        <w:tc>
          <w:tcPr>
            <w:tcW w:w="1140" w:type="dxa"/>
            <w:vAlign w:val="bottom"/>
          </w:tcPr>
          <w:p>
            <w:pPr>
              <w:spacing w:after="0"/>
              <w:rPr>
                <w:sz w:val="17"/>
                <w:szCs w:val="17"/>
                <w:color w:val="auto"/>
              </w:rPr>
            </w:pPr>
          </w:p>
        </w:tc>
        <w:tc>
          <w:tcPr>
            <w:tcW w:w="7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5,313</w:t>
            </w:r>
          </w:p>
        </w:tc>
        <w:tc>
          <w:tcPr>
            <w:tcW w:w="920" w:type="dxa"/>
            <w:vAlign w:val="bottom"/>
          </w:tcPr>
          <w:p>
            <w:pPr>
              <w:spacing w:after="0"/>
              <w:rPr>
                <w:sz w:val="17"/>
                <w:szCs w:val="17"/>
                <w:color w:val="auto"/>
              </w:rPr>
            </w:pPr>
          </w:p>
        </w:tc>
        <w:tc>
          <w:tcPr>
            <w:tcW w:w="11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received</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2,191</w:t>
            </w:r>
          </w:p>
        </w:tc>
        <w:tc>
          <w:tcPr>
            <w:tcW w:w="1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6,540</w:t>
            </w:r>
          </w:p>
        </w:tc>
        <w:tc>
          <w:tcPr>
            <w:tcW w:w="92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4"/>
        </w:trPr>
        <w:tc>
          <w:tcPr>
            <w:tcW w:w="2760" w:type="dxa"/>
            <w:vAlign w:val="bottom"/>
            <w:gridSpan w:val="2"/>
          </w:tcPr>
          <w:p>
            <w:pPr>
              <w:spacing w:after="0"/>
              <w:rPr>
                <w:sz w:val="20"/>
                <w:szCs w:val="20"/>
                <w:color w:val="auto"/>
              </w:rPr>
            </w:pPr>
            <w:r>
              <w:rPr>
                <w:rFonts w:ascii="Arial" w:cs="Arial" w:eastAsia="Arial" w:hAnsi="Arial"/>
                <w:sz w:val="18"/>
                <w:szCs w:val="18"/>
                <w:color w:val="auto"/>
              </w:rPr>
              <w:t>Cash paid</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ind w:right="336"/>
              <w:spacing w:after="0"/>
              <w:rPr>
                <w:sz w:val="20"/>
                <w:szCs w:val="20"/>
                <w:color w:val="auto"/>
              </w:rPr>
            </w:pPr>
            <w:r>
              <w:rPr>
                <w:rFonts w:ascii="Arial" w:cs="Arial" w:eastAsia="Arial" w:hAnsi="Arial"/>
                <w:sz w:val="18"/>
                <w:szCs w:val="18"/>
                <w:color w:val="auto"/>
              </w:rPr>
              <w:t>1,407</w:t>
            </w:r>
          </w:p>
        </w:tc>
        <w:tc>
          <w:tcPr>
            <w:tcW w:w="114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5,416</w:t>
            </w:r>
          </w:p>
        </w:tc>
        <w:tc>
          <w:tcPr>
            <w:tcW w:w="920" w:type="dxa"/>
            <w:vAlign w:val="bottom"/>
          </w:tcPr>
          <w:p>
            <w:pPr>
              <w:spacing w:after="0"/>
              <w:rPr>
                <w:sz w:val="18"/>
                <w:szCs w:val="18"/>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323"/>
        </w:trPr>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5"/>
        </w:trPr>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40" w:type="dxa"/>
            <w:vAlign w:val="bottom"/>
            <w:gridSpan w:val="5"/>
          </w:tcPr>
          <w:p>
            <w:pPr>
              <w:jc w:val="right"/>
              <w:ind w:right="152"/>
              <w:spacing w:after="0"/>
              <w:rPr>
                <w:sz w:val="20"/>
                <w:szCs w:val="20"/>
                <w:color w:val="auto"/>
              </w:rPr>
            </w:pPr>
            <w:r>
              <w:rPr>
                <w:rFonts w:ascii="Arial" w:cs="Arial" w:eastAsia="Arial" w:hAnsi="Arial"/>
                <w:sz w:val="14"/>
                <w:szCs w:val="14"/>
                <w:b w:val="1"/>
                <w:bCs w:val="1"/>
                <w:color w:val="auto"/>
              </w:rPr>
              <w:t>December 31, 2017</w:t>
            </w:r>
          </w:p>
        </w:tc>
        <w:tc>
          <w:tcPr>
            <w:tcW w:w="7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4"/>
                <w:szCs w:val="14"/>
                <w:b w:val="1"/>
                <w:bCs w:val="1"/>
                <w:color w:val="auto"/>
              </w:rPr>
              <w:t>March 31, 2017</w:t>
            </w:r>
          </w:p>
        </w:tc>
      </w:tr>
      <w:tr>
        <w:trPr>
          <w:trHeight w:val="142"/>
        </w:trPr>
        <w:tc>
          <w:tcPr>
            <w:tcW w:w="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920" w:type="dxa"/>
            <w:vAlign w:val="bottom"/>
          </w:tcPr>
          <w:p>
            <w:pPr>
              <w:spacing w:after="0"/>
              <w:rPr>
                <w:sz w:val="17"/>
                <w:szCs w:val="17"/>
                <w:color w:val="auto"/>
              </w:rPr>
            </w:pPr>
          </w:p>
        </w:tc>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1,857</w:t>
            </w: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5800" w:type="dxa"/>
            <w:vAlign w:val="bottom"/>
            <w:gridSpan w:val="6"/>
          </w:tcPr>
          <w:p>
            <w:pPr>
              <w:ind w:left="920"/>
              <w:spacing w:after="0"/>
              <w:rPr>
                <w:sz w:val="20"/>
                <w:szCs w:val="20"/>
                <w:color w:val="auto"/>
              </w:rPr>
            </w:pPr>
            <w:r>
              <w:rPr>
                <w:rFonts w:ascii="Arial" w:cs="Arial" w:eastAsia="Arial" w:hAnsi="Arial"/>
                <w:sz w:val="18"/>
                <w:szCs w:val="18"/>
                <w:color w:val="auto"/>
              </w:rPr>
              <w:t>Collections in excess of revenues and deferred revenues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52"/>
              <w:spacing w:after="0"/>
              <w:rPr>
                <w:sz w:val="20"/>
                <w:szCs w:val="20"/>
                <w:color w:val="auto"/>
              </w:rPr>
            </w:pPr>
            <w:r>
              <w:rPr>
                <w:rFonts w:ascii="Arial" w:cs="Arial" w:eastAsia="Arial" w:hAnsi="Arial"/>
                <w:sz w:val="18"/>
                <w:szCs w:val="18"/>
                <w:color w:val="auto"/>
              </w:rPr>
              <w:t>2,580</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194" w:lineRule="exact"/>
        <w:rPr>
          <w:sz w:val="20"/>
          <w:szCs w:val="20"/>
          <w:color w:val="auto"/>
        </w:rPr>
      </w:pPr>
    </w:p>
    <w:p>
      <w:pPr>
        <w:ind w:right="3660" w:firstLine="8"/>
        <w:spacing w:after="0" w:line="239"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 Infrastructure Co. and its subsidiaries were not related parties in the prior year period. ** Amount was insignificant.</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consumers, enterprises, commercial airlines and mobile broadband customers. The Company’s commercial networks segment develops and offers advanced satellite and wireless broadband platforms, ground networking equipment, radio frequency and advanced microwave solutions, ASIC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 (IP)-based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revenues and operating profits (losses) for the three and nine months ended December 31, 2017 and 2016 were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58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December 31, 2016</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2017</w:t>
            </w:r>
          </w:p>
        </w:tc>
        <w:tc>
          <w:tcPr>
            <w:tcW w:w="12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December 31,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4"/>
          </w:tcPr>
          <w:p>
            <w:pPr>
              <w:ind w:left="62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440"/>
              <w:spacing w:after="0" w:line="202" w:lineRule="exact"/>
              <w:rPr>
                <w:sz w:val="20"/>
                <w:szCs w:val="20"/>
                <w:color w:val="auto"/>
              </w:rPr>
            </w:pPr>
            <w:r>
              <w:rPr>
                <w:rFonts w:ascii="Arial" w:cs="Arial" w:eastAsia="Arial" w:hAnsi="Arial"/>
                <w:sz w:val="18"/>
                <w:szCs w:val="18"/>
                <w:color w:val="auto"/>
              </w:rPr>
              <w:t>Satellite services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Product (1)</w:t>
            </w: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7,114</w:t>
            </w:r>
          </w:p>
        </w:tc>
        <w:tc>
          <w:tcPr>
            <w:tcW w:w="3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20,581</w:t>
            </w:r>
          </w:p>
        </w:tc>
        <w:tc>
          <w:tcPr>
            <w:tcW w:w="0" w:type="dxa"/>
            <w:vAlign w:val="bottom"/>
          </w:tcPr>
          <w:p>
            <w:pPr>
              <w:spacing w:after="0"/>
              <w:rPr>
                <w:sz w:val="1"/>
                <w:szCs w:val="1"/>
                <w:color w:val="auto"/>
              </w:rPr>
            </w:pPr>
          </w:p>
        </w:tc>
      </w:tr>
      <w:tr>
        <w:trPr>
          <w:trHeight w:val="210"/>
        </w:trPr>
        <w:tc>
          <w:tcPr>
            <w:tcW w:w="3500" w:type="dxa"/>
            <w:vAlign w:val="bottom"/>
          </w:tcPr>
          <w:p>
            <w:pPr>
              <w:ind w:left="880"/>
              <w:spacing w:after="0" w:line="202" w:lineRule="exact"/>
              <w:rPr>
                <w:sz w:val="20"/>
                <w:szCs w:val="20"/>
                <w:color w:val="auto"/>
              </w:rPr>
            </w:pPr>
            <w:r>
              <w:rPr>
                <w:rFonts w:ascii="Arial" w:cs="Arial" w:eastAsia="Arial" w:hAnsi="Arial"/>
                <w:sz w:val="18"/>
                <w:szCs w:val="18"/>
                <w:color w:val="auto"/>
              </w:rPr>
              <w:t>Service</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144,310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152,978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443,671</w:t>
            </w:r>
          </w:p>
        </w:tc>
        <w:tc>
          <w:tcPr>
            <w:tcW w:w="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448,188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144,543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160,092</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444,335</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468,769</w:t>
            </w:r>
          </w:p>
        </w:tc>
        <w:tc>
          <w:tcPr>
            <w:tcW w:w="0" w:type="dxa"/>
            <w:vAlign w:val="bottom"/>
          </w:tcPr>
          <w:p>
            <w:pPr>
              <w:spacing w:after="0"/>
              <w:rPr>
                <w:sz w:val="1"/>
                <w:szCs w:val="1"/>
                <w:color w:val="auto"/>
              </w:rPr>
            </w:pPr>
          </w:p>
        </w:tc>
      </w:tr>
      <w:tr>
        <w:trPr>
          <w:trHeight w:val="203"/>
        </w:trPr>
        <w:tc>
          <w:tcPr>
            <w:tcW w:w="3500" w:type="dxa"/>
            <w:vAlign w:val="bottom"/>
          </w:tcPr>
          <w:p>
            <w:pPr>
              <w:ind w:left="440"/>
              <w:spacing w:after="0" w:line="202" w:lineRule="exact"/>
              <w:rPr>
                <w:sz w:val="20"/>
                <w:szCs w:val="20"/>
                <w:color w:val="auto"/>
              </w:rPr>
            </w:pPr>
            <w:r>
              <w:rPr>
                <w:rFonts w:ascii="Arial" w:cs="Arial" w:eastAsia="Arial" w:hAnsi="Arial"/>
                <w:sz w:val="18"/>
                <w:szCs w:val="18"/>
                <w:color w:val="auto"/>
              </w:rPr>
              <w:t>Commercial networks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Product</w:t>
            </w: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47,073</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46,878</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130,903</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163,919</w:t>
            </w:r>
          </w:p>
        </w:tc>
        <w:tc>
          <w:tcPr>
            <w:tcW w:w="0" w:type="dxa"/>
            <w:vAlign w:val="bottom"/>
          </w:tcPr>
          <w:p>
            <w:pPr>
              <w:spacing w:after="0"/>
              <w:rPr>
                <w:sz w:val="1"/>
                <w:szCs w:val="1"/>
                <w:color w:val="auto"/>
              </w:rPr>
            </w:pPr>
          </w:p>
        </w:tc>
      </w:tr>
      <w:tr>
        <w:trPr>
          <w:trHeight w:val="210"/>
        </w:trPr>
        <w:tc>
          <w:tcPr>
            <w:tcW w:w="3500" w:type="dxa"/>
            <w:vAlign w:val="bottom"/>
          </w:tcPr>
          <w:p>
            <w:pPr>
              <w:ind w:left="880"/>
              <w:spacing w:after="0" w:line="202" w:lineRule="exact"/>
              <w:rPr>
                <w:sz w:val="20"/>
                <w:szCs w:val="20"/>
                <w:color w:val="auto"/>
              </w:rPr>
            </w:pPr>
            <w:r>
              <w:rPr>
                <w:rFonts w:ascii="Arial" w:cs="Arial" w:eastAsia="Arial" w:hAnsi="Arial"/>
                <w:sz w:val="18"/>
                <w:szCs w:val="18"/>
                <w:color w:val="auto"/>
              </w:rPr>
              <w:t>Service</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8,463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7,633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26,150</w:t>
            </w:r>
          </w:p>
        </w:tc>
        <w:tc>
          <w:tcPr>
            <w:tcW w:w="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55,536</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54,511</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157,053</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185,527</w:t>
            </w:r>
          </w:p>
        </w:tc>
        <w:tc>
          <w:tcPr>
            <w:tcW w:w="0" w:type="dxa"/>
            <w:vAlign w:val="bottom"/>
          </w:tcPr>
          <w:p>
            <w:pPr>
              <w:spacing w:after="0"/>
              <w:rPr>
                <w:sz w:val="1"/>
                <w:szCs w:val="1"/>
                <w:color w:val="auto"/>
              </w:rPr>
            </w:pPr>
          </w:p>
        </w:tc>
      </w:tr>
      <w:tr>
        <w:trPr>
          <w:trHeight w:val="203"/>
        </w:trPr>
        <w:tc>
          <w:tcPr>
            <w:tcW w:w="3500" w:type="dxa"/>
            <w:vAlign w:val="bottom"/>
          </w:tcPr>
          <w:p>
            <w:pPr>
              <w:ind w:left="440"/>
              <w:spacing w:after="0" w:line="202" w:lineRule="exact"/>
              <w:rPr>
                <w:sz w:val="20"/>
                <w:szCs w:val="20"/>
                <w:color w:val="auto"/>
              </w:rPr>
            </w:pPr>
            <w:r>
              <w:rPr>
                <w:rFonts w:ascii="Arial" w:cs="Arial" w:eastAsia="Arial" w:hAnsi="Arial"/>
                <w:sz w:val="18"/>
                <w:szCs w:val="18"/>
                <w:color w:val="auto"/>
              </w:rPr>
              <w:t>Government systems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Product</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128,651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115,582</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392,291</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332,985</w:t>
            </w:r>
          </w:p>
        </w:tc>
        <w:tc>
          <w:tcPr>
            <w:tcW w:w="0" w:type="dxa"/>
            <w:vAlign w:val="bottom"/>
          </w:tcPr>
          <w:p>
            <w:pPr>
              <w:spacing w:after="0"/>
              <w:rPr>
                <w:sz w:val="1"/>
                <w:szCs w:val="1"/>
                <w:color w:val="auto"/>
              </w:rPr>
            </w:pPr>
          </w:p>
        </w:tc>
      </w:tr>
      <w:tr>
        <w:trPr>
          <w:trHeight w:val="210"/>
        </w:trPr>
        <w:tc>
          <w:tcPr>
            <w:tcW w:w="3500" w:type="dxa"/>
            <w:vAlign w:val="bottom"/>
          </w:tcPr>
          <w:p>
            <w:pPr>
              <w:ind w:left="880"/>
              <w:spacing w:after="0" w:line="202" w:lineRule="exact"/>
              <w:rPr>
                <w:sz w:val="20"/>
                <w:szCs w:val="20"/>
                <w:color w:val="auto"/>
              </w:rPr>
            </w:pPr>
            <w:r>
              <w:rPr>
                <w:rFonts w:ascii="Arial" w:cs="Arial" w:eastAsia="Arial" w:hAnsi="Arial"/>
                <w:sz w:val="18"/>
                <w:szCs w:val="18"/>
                <w:color w:val="auto"/>
              </w:rPr>
              <w:t>Service</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53,107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50,445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161,276</w:t>
            </w:r>
          </w:p>
        </w:tc>
        <w:tc>
          <w:tcPr>
            <w:tcW w:w="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181,758</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166,027</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553,567</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488,622</w:t>
            </w:r>
          </w:p>
        </w:tc>
        <w:tc>
          <w:tcPr>
            <w:tcW w:w="0" w:type="dxa"/>
            <w:vAlign w:val="bottom"/>
          </w:tcPr>
          <w:p>
            <w:pPr>
              <w:spacing w:after="0"/>
              <w:rPr>
                <w:sz w:val="1"/>
                <w:szCs w:val="1"/>
                <w:color w:val="auto"/>
              </w:rPr>
            </w:pPr>
          </w:p>
        </w:tc>
      </w:tr>
      <w:tr>
        <w:trPr>
          <w:trHeight w:val="206"/>
        </w:trPr>
        <w:tc>
          <w:tcPr>
            <w:tcW w:w="3500" w:type="dxa"/>
            <w:vAlign w:val="bottom"/>
          </w:tcPr>
          <w:p>
            <w:pPr>
              <w:ind w:left="440"/>
              <w:spacing w:after="0" w:line="206" w:lineRule="exact"/>
              <w:rPr>
                <w:sz w:val="20"/>
                <w:szCs w:val="20"/>
                <w:color w:val="auto"/>
              </w:rPr>
            </w:pPr>
            <w:r>
              <w:rPr>
                <w:rFonts w:ascii="Arial" w:cs="Arial" w:eastAsia="Arial" w:hAnsi="Arial"/>
                <w:sz w:val="18"/>
                <w:szCs w:val="18"/>
                <w:color w:val="auto"/>
              </w:rPr>
              <w:t>Elimination of intersegment</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ind w:left="660"/>
              <w:spacing w:after="0" w:line="200" w:lineRule="exact"/>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381,837</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380,630</w:t>
            </w:r>
          </w:p>
        </w:tc>
        <w:tc>
          <w:tcPr>
            <w:tcW w:w="3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1,154,955</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1,142,918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Operating profits (losses):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Satellite services (1)</w:t>
            </w: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1,681</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34,846</w:t>
            </w:r>
          </w:p>
        </w:tc>
        <w:tc>
          <w:tcPr>
            <w:tcW w:w="5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33,140</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98,263</w:t>
            </w:r>
          </w:p>
        </w:tc>
        <w:tc>
          <w:tcPr>
            <w:tcW w:w="0" w:type="dxa"/>
            <w:vAlign w:val="bottom"/>
          </w:tcPr>
          <w:p>
            <w:pPr>
              <w:spacing w:after="0"/>
              <w:rPr>
                <w:sz w:val="1"/>
                <w:szCs w:val="1"/>
                <w:color w:val="auto"/>
              </w:rPr>
            </w:pPr>
          </w:p>
        </w:tc>
      </w:tr>
      <w:tr>
        <w:trPr>
          <w:trHeight w:val="203"/>
        </w:trPr>
        <w:tc>
          <w:tcPr>
            <w:tcW w:w="3500" w:type="dxa"/>
            <w:vAlign w:val="bottom"/>
          </w:tcPr>
          <w:p>
            <w:pPr>
              <w:ind w:left="440"/>
              <w:spacing w:after="0" w:line="202" w:lineRule="exact"/>
              <w:rPr>
                <w:sz w:val="20"/>
                <w:szCs w:val="20"/>
                <w:color w:val="auto"/>
              </w:rPr>
            </w:pPr>
            <w:r>
              <w:rPr>
                <w:rFonts w:ascii="Arial" w:cs="Arial" w:eastAsia="Arial" w:hAnsi="Arial"/>
                <w:sz w:val="18"/>
                <w:szCs w:val="18"/>
                <w:color w:val="auto"/>
              </w:rPr>
              <w:t>Commercial networks</w:t>
            </w:r>
          </w:p>
        </w:tc>
        <w:tc>
          <w:tcPr>
            <w:tcW w:w="36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(53,505)</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(48,598)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(179,007)</w:t>
            </w:r>
          </w:p>
        </w:tc>
        <w:tc>
          <w:tcPr>
            <w:tcW w:w="3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(127,997)</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Government systems</w:t>
            </w: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29,675</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24,118</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96,488</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71,082</w:t>
            </w:r>
          </w:p>
        </w:tc>
        <w:tc>
          <w:tcPr>
            <w:tcW w:w="0" w:type="dxa"/>
            <w:vAlign w:val="bottom"/>
          </w:tcPr>
          <w:p>
            <w:pPr>
              <w:spacing w:after="0"/>
              <w:rPr>
                <w:sz w:val="1"/>
                <w:szCs w:val="1"/>
                <w:color w:val="auto"/>
              </w:rPr>
            </w:pPr>
          </w:p>
        </w:tc>
      </w:tr>
      <w:tr>
        <w:trPr>
          <w:trHeight w:val="206"/>
        </w:trPr>
        <w:tc>
          <w:tcPr>
            <w:tcW w:w="3500" w:type="dxa"/>
            <w:vAlign w:val="bottom"/>
          </w:tcPr>
          <w:p>
            <w:pPr>
              <w:ind w:left="440"/>
              <w:spacing w:after="0" w:line="206" w:lineRule="exact"/>
              <w:rPr>
                <w:sz w:val="20"/>
                <w:szCs w:val="20"/>
                <w:color w:val="auto"/>
              </w:rPr>
            </w:pPr>
            <w:r>
              <w:rPr>
                <w:rFonts w:ascii="Arial" w:cs="Arial" w:eastAsia="Arial" w:hAnsi="Arial"/>
                <w:sz w:val="18"/>
                <w:szCs w:val="18"/>
                <w:color w:val="auto"/>
              </w:rPr>
              <w:t>Elimination of intersegment</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ind w:left="660"/>
              <w:spacing w:after="0" w:line="200" w:lineRule="exact"/>
              <w:rPr>
                <w:sz w:val="20"/>
                <w:szCs w:val="20"/>
                <w:color w:val="auto"/>
              </w:rPr>
            </w:pPr>
            <w:r>
              <w:rPr>
                <w:rFonts w:ascii="Arial" w:cs="Arial" w:eastAsia="Arial" w:hAnsi="Arial"/>
                <w:sz w:val="18"/>
                <w:szCs w:val="18"/>
                <w:color w:val="auto"/>
              </w:rPr>
              <w:t>operating profits</w:t>
            </w:r>
          </w:p>
        </w:tc>
        <w:tc>
          <w:tcPr>
            <w:tcW w:w="360" w:type="dxa"/>
            <w:vAlign w:val="bottom"/>
          </w:tcPr>
          <w:p>
            <w:pPr>
              <w:spacing w:after="0"/>
              <w:rPr>
                <w:sz w:val="17"/>
                <w:szCs w:val="17"/>
                <w:color w:val="auto"/>
              </w:rPr>
            </w:pPr>
          </w:p>
        </w:tc>
        <w:tc>
          <w:tcPr>
            <w:tcW w:w="1220" w:type="dxa"/>
            <w:vAlign w:val="bottom"/>
            <w:gridSpan w:val="2"/>
          </w:tcPr>
          <w:p>
            <w:pPr>
              <w:jc w:val="right"/>
              <w:ind w:right="440"/>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2"/>
          </w:tcPr>
          <w:p>
            <w:pPr>
              <w:jc w:val="right"/>
              <w:ind w:right="460"/>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right"/>
              <w:ind w:right="760"/>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6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5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Segment operating (loss) profit before</w:t>
            </w: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and amortization of</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acquired intangible assets</w:t>
            </w: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(22,149)</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10,366</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00"/>
              <w:spacing w:after="0" w:line="200" w:lineRule="exact"/>
              <w:rPr>
                <w:sz w:val="20"/>
                <w:szCs w:val="20"/>
                <w:color w:val="auto"/>
              </w:rPr>
            </w:pPr>
            <w:r>
              <w:rPr>
                <w:rFonts w:ascii="Arial" w:cs="Arial" w:eastAsia="Arial" w:hAnsi="Arial"/>
                <w:sz w:val="18"/>
                <w:szCs w:val="18"/>
                <w:color w:val="auto"/>
              </w:rPr>
              <w:t>(49,379)</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41,348</w:t>
            </w:r>
          </w:p>
        </w:tc>
        <w:tc>
          <w:tcPr>
            <w:tcW w:w="0" w:type="dxa"/>
            <w:vAlign w:val="bottom"/>
          </w:tcPr>
          <w:p>
            <w:pPr>
              <w:spacing w:after="0"/>
              <w:rPr>
                <w:sz w:val="1"/>
                <w:szCs w:val="1"/>
                <w:color w:val="auto"/>
              </w:rPr>
            </w:pPr>
          </w:p>
        </w:tc>
      </w:tr>
      <w:tr>
        <w:trPr>
          <w:trHeight w:val="203"/>
        </w:trPr>
        <w:tc>
          <w:tcPr>
            <w:tcW w:w="3500" w:type="dxa"/>
            <w:vAlign w:val="bottom"/>
          </w:tcPr>
          <w:p>
            <w:pPr>
              <w:ind w:left="440"/>
              <w:spacing w:after="0" w:line="202" w:lineRule="exact"/>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50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Amortization of acquired</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(3,177)</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(2,775)</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00"/>
              <w:spacing w:after="0" w:line="200" w:lineRule="exact"/>
              <w:rPr>
                <w:sz w:val="20"/>
                <w:szCs w:val="20"/>
                <w:color w:val="auto"/>
              </w:rPr>
            </w:pPr>
            <w:r>
              <w:rPr>
                <w:rFonts w:ascii="Arial" w:cs="Arial" w:eastAsia="Arial" w:hAnsi="Arial"/>
                <w:sz w:val="18"/>
                <w:szCs w:val="18"/>
                <w:color w:val="auto"/>
              </w:rPr>
              <w:t>(9,757)</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(7,565)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(25,326)</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7,591</w:t>
            </w:r>
          </w:p>
        </w:tc>
        <w:tc>
          <w:tcPr>
            <w:tcW w:w="36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(59,136)</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33,783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460" w:right="140" w:hanging="452"/>
        <w:spacing w:after="0" w:line="23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revenues and operating profits in the satellite services segment for the three and nine months ended December 31, 2016 included $6.8 million and $20.0 million, respectively, relating to amounts realized under the Company’s settlement agreement entered into in fiscal year 2015 with Space Systems/Loral, Inc. and its former parent company Loral Space &amp; Communications, Inc. As of March 31, 2017, all payments pursuant to this settlement agreement had been recorded and no further impacts to the Company’s consolidated financial statements are anticipated related to this settlement agreement.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December 31, 2017 and March 31, 2017 were as follows:</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99"/>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As of</w:t>
            </w:r>
          </w:p>
        </w:tc>
      </w:tr>
      <w:tr>
        <w:trPr>
          <w:trHeight w:val="149"/>
        </w:trPr>
        <w:tc>
          <w:tcPr>
            <w:tcW w:w="4240" w:type="dxa"/>
            <w:vAlign w:val="bottom"/>
          </w:tcPr>
          <w:p>
            <w:pPr>
              <w:spacing w:after="0"/>
              <w:rPr>
                <w:sz w:val="12"/>
                <w:szCs w:val="12"/>
                <w:color w:val="auto"/>
              </w:rPr>
            </w:pPr>
          </w:p>
        </w:tc>
        <w:tc>
          <w:tcPr>
            <w:tcW w:w="3000" w:type="dxa"/>
            <w:vAlign w:val="bottom"/>
            <w:gridSpan w:val="3"/>
          </w:tcPr>
          <w:p>
            <w:pPr>
              <w:ind w:left="21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65"/>
        </w:trPr>
        <w:tc>
          <w:tcPr>
            <w:tcW w:w="4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jc w:val="right"/>
              <w:ind w:right="599"/>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assets: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240" w:type="dxa"/>
            <w:vAlign w:val="bottom"/>
          </w:tcPr>
          <w:p>
            <w:pPr>
              <w:ind w:left="440"/>
              <w:spacing w:after="0" w:line="202" w:lineRule="exact"/>
              <w:rPr>
                <w:sz w:val="20"/>
                <w:szCs w:val="20"/>
                <w:color w:val="auto"/>
              </w:rPr>
            </w:pPr>
            <w:r>
              <w:rPr>
                <w:rFonts w:ascii="Arial" w:cs="Arial" w:eastAsia="Arial" w:hAnsi="Arial"/>
                <w:sz w:val="18"/>
                <w:szCs w:val="18"/>
                <w:color w:val="auto"/>
              </w:rPr>
              <w:t>Satellite services</w:t>
            </w:r>
          </w:p>
        </w:tc>
        <w:tc>
          <w:tcPr>
            <w:tcW w:w="2220" w:type="dxa"/>
            <w:vAlign w:val="bottom"/>
            <w:gridSpan w:val="2"/>
          </w:tcPr>
          <w:p>
            <w:pPr>
              <w:ind w:left="21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69,884</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81,728</w:t>
            </w:r>
          </w:p>
        </w:tc>
        <w:tc>
          <w:tcPr>
            <w:tcW w:w="60" w:type="dxa"/>
            <w:vAlign w:val="bottom"/>
          </w:tcPr>
          <w:p>
            <w:pPr>
              <w:spacing w:after="0"/>
              <w:rPr>
                <w:sz w:val="17"/>
                <w:szCs w:val="17"/>
                <w:color w:val="auto"/>
              </w:rPr>
            </w:pPr>
          </w:p>
        </w:tc>
      </w:tr>
      <w:tr>
        <w:trPr>
          <w:trHeight w:val="203"/>
        </w:trPr>
        <w:tc>
          <w:tcPr>
            <w:tcW w:w="42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Commercial networks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181,229</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179,992</w:t>
            </w:r>
          </w:p>
        </w:tc>
        <w:tc>
          <w:tcPr>
            <w:tcW w:w="60" w:type="dxa"/>
            <w:vAlign w:val="bottom"/>
            <w:shd w:val="clear" w:color="auto" w:fill="CCEEFF"/>
          </w:tcPr>
          <w:p>
            <w:pPr>
              <w:spacing w:after="0"/>
              <w:rPr>
                <w:sz w:val="17"/>
                <w:szCs w:val="17"/>
                <w:color w:val="auto"/>
              </w:rPr>
            </w:pPr>
          </w:p>
        </w:tc>
      </w:tr>
      <w:tr>
        <w:trPr>
          <w:trHeight w:val="210"/>
        </w:trPr>
        <w:tc>
          <w:tcPr>
            <w:tcW w:w="4240" w:type="dxa"/>
            <w:vAlign w:val="bottom"/>
          </w:tcPr>
          <w:p>
            <w:pPr>
              <w:ind w:left="440"/>
              <w:spacing w:after="0" w:line="202" w:lineRule="exact"/>
              <w:rPr>
                <w:sz w:val="20"/>
                <w:szCs w:val="20"/>
                <w:color w:val="auto"/>
              </w:rPr>
            </w:pPr>
            <w:r>
              <w:rPr>
                <w:rFonts w:ascii="Arial" w:cs="Arial" w:eastAsia="Arial" w:hAnsi="Arial"/>
                <w:sz w:val="18"/>
                <w:szCs w:val="18"/>
                <w:color w:val="auto"/>
              </w:rPr>
              <w:t>Government systems</w:t>
            </w:r>
          </w:p>
        </w:tc>
        <w:tc>
          <w:tcPr>
            <w:tcW w:w="2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312,432</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326,242</w:t>
            </w:r>
          </w:p>
        </w:tc>
        <w:tc>
          <w:tcPr>
            <w:tcW w:w="60" w:type="dxa"/>
            <w:vAlign w:val="bottom"/>
          </w:tcPr>
          <w:p>
            <w:pPr>
              <w:spacing w:after="0"/>
              <w:rPr>
                <w:sz w:val="18"/>
                <w:szCs w:val="18"/>
                <w:color w:val="auto"/>
              </w:rPr>
            </w:pPr>
          </w:p>
        </w:tc>
      </w:tr>
      <w:tr>
        <w:trPr>
          <w:trHeight w:val="203"/>
        </w:trPr>
        <w:tc>
          <w:tcPr>
            <w:tcW w:w="42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segment assets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563,545</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587,962</w:t>
            </w:r>
          </w:p>
        </w:tc>
        <w:tc>
          <w:tcPr>
            <w:tcW w:w="60" w:type="dxa"/>
            <w:vAlign w:val="bottom"/>
            <w:shd w:val="clear" w:color="auto" w:fill="CCEEFF"/>
          </w:tcPr>
          <w:p>
            <w:pPr>
              <w:spacing w:after="0"/>
              <w:rPr>
                <w:sz w:val="17"/>
                <w:szCs w:val="17"/>
                <w:color w:val="auto"/>
              </w:rPr>
            </w:pPr>
          </w:p>
        </w:tc>
      </w:tr>
      <w:tr>
        <w:trPr>
          <w:trHeight w:val="210"/>
        </w:trPr>
        <w:tc>
          <w:tcPr>
            <w:tcW w:w="4240" w:type="dxa"/>
            <w:vAlign w:val="bottom"/>
          </w:tcPr>
          <w:p>
            <w:pPr>
              <w:ind w:left="440"/>
              <w:spacing w:after="0" w:line="202" w:lineRule="exact"/>
              <w:rPr>
                <w:sz w:val="20"/>
                <w:szCs w:val="20"/>
                <w:color w:val="auto"/>
              </w:rPr>
            </w:pPr>
            <w:r>
              <w:rPr>
                <w:rFonts w:ascii="Arial" w:cs="Arial" w:eastAsia="Arial" w:hAnsi="Arial"/>
                <w:sz w:val="18"/>
                <w:szCs w:val="18"/>
                <w:color w:val="auto"/>
              </w:rPr>
              <w:t>Corporate assets</w:t>
            </w:r>
          </w:p>
        </w:tc>
        <w:tc>
          <w:tcPr>
            <w:tcW w:w="2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2,752,062</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2,366,691</w:t>
            </w:r>
          </w:p>
        </w:tc>
        <w:tc>
          <w:tcPr>
            <w:tcW w:w="60" w:type="dxa"/>
            <w:vAlign w:val="bottom"/>
          </w:tcPr>
          <w:p>
            <w:pPr>
              <w:spacing w:after="0"/>
              <w:rPr>
                <w:sz w:val="18"/>
                <w:szCs w:val="18"/>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220" w:type="dxa"/>
            <w:vAlign w:val="bottom"/>
            <w:gridSpan w:val="2"/>
            <w:shd w:val="clear" w:color="auto" w:fill="CCEEFF"/>
          </w:tcPr>
          <w:p>
            <w:pPr>
              <w:ind w:left="2100"/>
              <w:spacing w:after="0" w:line="202" w:lineRule="exact"/>
              <w:rPr>
                <w:sz w:val="20"/>
                <w:szCs w:val="20"/>
                <w:color w:val="auto"/>
              </w:rPr>
            </w:pPr>
            <w:r>
              <w:rPr>
                <w:rFonts w:ascii="Arial" w:cs="Arial" w:eastAsia="Arial" w:hAnsi="Arial"/>
                <w:sz w:val="18"/>
                <w:szCs w:val="18"/>
                <w:u w:val="single" w:color="auto"/>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3,315,607</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2,954,653</w:t>
            </w:r>
          </w:p>
        </w:tc>
        <w:tc>
          <w:tcPr>
            <w:tcW w:w="60" w:type="dxa"/>
            <w:vAlign w:val="bottom"/>
            <w:shd w:val="clear" w:color="auto" w:fill="CCEEFF"/>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20" w:firstLine="456"/>
        <w:spacing w:after="0" w:line="239" w:lineRule="auto"/>
        <w:rPr>
          <w:sz w:val="20"/>
          <w:szCs w:val="20"/>
          <w:color w:val="auto"/>
        </w:rPr>
      </w:pPr>
      <w:r>
        <w:rPr>
          <w:rFonts w:ascii="Arial" w:cs="Arial" w:eastAsia="Arial" w:hAnsi="Arial"/>
          <w:sz w:val="18"/>
          <w:szCs w:val="18"/>
          <w:color w:val="auto"/>
        </w:rPr>
        <w:t>Other acquired intangible assets, net and goodwill included in segment assets as of December 31, 2017 and March 31, 2017 were as follows:</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6"/>
              </w:rPr>
              <w:t>Other Acquired Intangible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5"/>
        </w:trPr>
        <w:tc>
          <w:tcPr>
            <w:tcW w:w="4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left="621"/>
              <w:spacing w:after="0"/>
              <w:rPr>
                <w:sz w:val="20"/>
                <w:szCs w:val="20"/>
                <w:color w:val="auto"/>
              </w:rPr>
            </w:pPr>
            <w:r>
              <w:rPr>
                <w:rFonts w:ascii="Arial" w:cs="Arial" w:eastAsia="Arial" w:hAnsi="Arial"/>
                <w:sz w:val="14"/>
                <w:szCs w:val="14"/>
                <w:b w:val="1"/>
                <w:bCs w:val="1"/>
                <w:color w:val="auto"/>
                <w:w w:val="96"/>
              </w:rPr>
              <w:t>Assets, Net</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Goodwill</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4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2"/>
          </w:tcPr>
          <w:p>
            <w:pPr>
              <w:ind w:left="160"/>
              <w:spacing w:after="0" w:line="125"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0"/>
                <w:szCs w:val="10"/>
                <w:color w:val="auto"/>
              </w:rPr>
            </w:pPr>
          </w:p>
        </w:tc>
        <w:tc>
          <w:tcPr>
            <w:tcW w:w="760" w:type="dxa"/>
            <w:vAlign w:val="bottom"/>
          </w:tcPr>
          <w:p>
            <w:pPr>
              <w:jc w:val="right"/>
              <w:ind w:right="239"/>
              <w:spacing w:after="0" w:line="125" w:lineRule="exact"/>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2"/>
          </w:tcPr>
          <w:p>
            <w:pPr>
              <w:ind w:left="140"/>
              <w:spacing w:after="0" w:line="125"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0"/>
                <w:szCs w:val="10"/>
                <w:color w:val="auto"/>
              </w:rPr>
            </w:pPr>
          </w:p>
        </w:tc>
        <w:tc>
          <w:tcPr>
            <w:tcW w:w="760" w:type="dxa"/>
            <w:vAlign w:val="bottom"/>
          </w:tcPr>
          <w:p>
            <w:pPr>
              <w:ind w:left="120"/>
              <w:spacing w:after="0" w:line="125" w:lineRule="exact"/>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0"/>
                <w:szCs w:val="10"/>
                <w:color w:val="auto"/>
              </w:rPr>
            </w:pPr>
          </w:p>
        </w:tc>
      </w:tr>
      <w:tr>
        <w:trPr>
          <w:trHeight w:val="165"/>
        </w:trPr>
        <w:tc>
          <w:tcPr>
            <w:tcW w:w="406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tcPr>
          <w:p>
            <w:pPr>
              <w:spacing w:after="0"/>
              <w:rPr>
                <w:sz w:val="14"/>
                <w:szCs w:val="14"/>
                <w:color w:val="auto"/>
              </w:rPr>
            </w:pP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r>
      <w:tr>
        <w:trPr>
          <w:trHeight w:val="142"/>
        </w:trPr>
        <w:tc>
          <w:tcPr>
            <w:tcW w:w="40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ind w:left="62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Satellite services</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17,449</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21,843</w:t>
            </w:r>
          </w:p>
        </w:tc>
        <w:tc>
          <w:tcPr>
            <w:tcW w:w="6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13,876</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13,579</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Commercial networks</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3,725</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4,903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43,969</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43,930</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Government systems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12,688</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14,931</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62,837</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62,367</w:t>
            </w:r>
          </w:p>
        </w:tc>
      </w:tr>
      <w:tr>
        <w:trPr>
          <w:trHeight w:val="20"/>
        </w:trPr>
        <w:tc>
          <w:tcPr>
            <w:tcW w:w="4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33,862</w:t>
            </w:r>
          </w:p>
        </w:tc>
        <w:tc>
          <w:tcPr>
            <w:tcW w:w="6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41,677</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120,682</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119,876</w:t>
            </w:r>
          </w:p>
        </w:tc>
      </w:tr>
      <w:tr>
        <w:trPr>
          <w:trHeight w:val="20"/>
        </w:trPr>
        <w:tc>
          <w:tcPr>
            <w:tcW w:w="4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acquired intangible assets by segment for the three and nine months ended December 31, 2017 and 2016 was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15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2017</w:t>
            </w:r>
          </w:p>
        </w:tc>
        <w:tc>
          <w:tcPr>
            <w:tcW w:w="4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December 31, 2016</w:t>
            </w:r>
          </w:p>
        </w:tc>
        <w:tc>
          <w:tcPr>
            <w:tcW w:w="7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December 31, 2017</w:t>
            </w:r>
          </w:p>
        </w:tc>
        <w:tc>
          <w:tcPr>
            <w:tcW w:w="7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December 31, 2016</w:t>
            </w:r>
          </w:p>
        </w:tc>
        <w:tc>
          <w:tcPr>
            <w:tcW w:w="6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gridSpan w:val="3"/>
          </w:tcPr>
          <w:p>
            <w:pPr>
              <w:jc w:val="right"/>
              <w:ind w:right="292"/>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Satellite services</w:t>
            </w:r>
          </w:p>
        </w:tc>
        <w:tc>
          <w:tcPr>
            <w:tcW w:w="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2,031</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1,605</w:t>
            </w:r>
          </w:p>
        </w:tc>
        <w:tc>
          <w:tcPr>
            <w:tcW w:w="1200" w:type="dxa"/>
            <w:vAlign w:val="bottom"/>
            <w:gridSpan w:val="2"/>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6,297</w:t>
            </w:r>
          </w:p>
        </w:tc>
        <w:tc>
          <w:tcPr>
            <w:tcW w:w="1280" w:type="dxa"/>
            <w:vAlign w:val="bottom"/>
            <w:gridSpan w:val="2"/>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3,814</w:t>
            </w:r>
          </w:p>
        </w:tc>
        <w:tc>
          <w:tcPr>
            <w:tcW w:w="6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Commercial networks</w:t>
            </w:r>
          </w:p>
        </w:tc>
        <w:tc>
          <w:tcPr>
            <w:tcW w:w="44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385</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1,178</w:t>
            </w: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1,267</w:t>
            </w:r>
          </w:p>
        </w:tc>
        <w:tc>
          <w:tcPr>
            <w:tcW w:w="6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Government systems</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761</w:t>
            </w: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759</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2,282</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2,484</w:t>
            </w:r>
          </w:p>
        </w:tc>
        <w:tc>
          <w:tcPr>
            <w:tcW w:w="60" w:type="dxa"/>
            <w:vAlign w:val="bottom"/>
            <w:shd w:val="clear" w:color="auto" w:fill="CCEEFF"/>
          </w:tcPr>
          <w:p>
            <w:pPr>
              <w:spacing w:after="0"/>
              <w:rPr>
                <w:sz w:val="17"/>
                <w:szCs w:val="17"/>
                <w:color w:val="auto"/>
              </w:rPr>
            </w:pPr>
          </w:p>
        </w:tc>
      </w:tr>
      <w:tr>
        <w:trPr>
          <w:trHeight w:val="213"/>
        </w:trPr>
        <w:tc>
          <w:tcPr>
            <w:tcW w:w="3260" w:type="dxa"/>
            <w:vAlign w:val="bottom"/>
          </w:tcPr>
          <w:p>
            <w:pPr>
              <w:spacing w:after="0"/>
              <w:rPr>
                <w:sz w:val="20"/>
                <w:szCs w:val="20"/>
                <w:color w:val="auto"/>
              </w:rPr>
            </w:pPr>
            <w:r>
              <w:rPr>
                <w:rFonts w:ascii="Arial" w:cs="Arial" w:eastAsia="Arial" w:hAnsi="Arial"/>
                <w:sz w:val="18"/>
                <w:szCs w:val="18"/>
                <w:color w:val="auto"/>
              </w:rPr>
              <w:t>Total amortization of acquired</w:t>
            </w: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3260" w:type="dxa"/>
            <w:vAlign w:val="bottom"/>
          </w:tcPr>
          <w:p>
            <w:pPr>
              <w:ind w:left="220"/>
              <w:spacing w:after="0" w:line="200" w:lineRule="exact"/>
              <w:rPr>
                <w:sz w:val="20"/>
                <w:szCs w:val="20"/>
                <w:color w:val="auto"/>
              </w:rPr>
            </w:pPr>
            <w:r>
              <w:rPr>
                <w:rFonts w:ascii="Arial" w:cs="Arial" w:eastAsia="Arial" w:hAnsi="Arial"/>
                <w:sz w:val="18"/>
                <w:szCs w:val="18"/>
                <w:color w:val="auto"/>
              </w:rPr>
              <w:t>intangible assets</w:t>
            </w:r>
          </w:p>
        </w:tc>
        <w:tc>
          <w:tcPr>
            <w:tcW w:w="44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3,177</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jc w:val="right"/>
              <w:ind w:right="362"/>
              <w:spacing w:after="0" w:line="200"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2,775</w:t>
            </w:r>
          </w:p>
        </w:tc>
        <w:tc>
          <w:tcPr>
            <w:tcW w:w="1200" w:type="dxa"/>
            <w:vAlign w:val="bottom"/>
            <w:gridSpan w:val="2"/>
          </w:tcPr>
          <w:p>
            <w:pPr>
              <w:jc w:val="right"/>
              <w:ind w:right="272"/>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9,757</w:t>
            </w:r>
          </w:p>
        </w:tc>
        <w:tc>
          <w:tcPr>
            <w:tcW w:w="1280" w:type="dxa"/>
            <w:vAlign w:val="bottom"/>
            <w:gridSpan w:val="2"/>
          </w:tcPr>
          <w:p>
            <w:pPr>
              <w:jc w:val="right"/>
              <w:ind w:right="352"/>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7,565</w:t>
            </w:r>
          </w:p>
        </w:tc>
        <w:tc>
          <w:tcPr>
            <w:tcW w:w="6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ind w:right="342"/>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320"/>
        <w:spacing w:after="0" w:line="34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456"/>
        <w:spacing w:after="0" w:line="265"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including the in-orbit testing, transfer of control to us and entry into service of our ViaSat-2 satellite and the timing thereof; the performance and anticipated benefits of our ViaSat-2 and ViaSat-3 class satellites and any future satellite we may construct or acquire; the impacts on overall coverage area, planned services and financial results of the identified antenna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the failure of the ViaSat-2 satellite to successfully complete in-orbit testing; our ability to realize the anticipated benefits of the ViaSat-2 and ViaSat-3 class satellites and any future satellite we may construct or acquire; unexpected expenses related to our satellite projects; our ability to realize the anticipated benefits of our strategic partnering arrangement with Eutelsat S.A. (together with its affiliates, Eutelsat) or any of our acquisitions;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on our ability to sell products and services;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2017,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61" w:lineRule="exact"/>
        <w:rPr>
          <w:sz w:val="20"/>
          <w:szCs w:val="20"/>
          <w:color w:val="auto"/>
        </w:rPr>
      </w:pPr>
    </w:p>
    <w:p>
      <w:pPr>
        <w:ind w:right="360" w:firstLine="456"/>
        <w:spacing w:after="0" w:line="237" w:lineRule="auto"/>
        <w:rPr>
          <w:sz w:val="20"/>
          <w:szCs w:val="20"/>
          <w:color w:val="auto"/>
        </w:rPr>
      </w:pPr>
      <w:r>
        <w:rPr>
          <w:rFonts w:ascii="Arial" w:cs="Arial" w:eastAsia="Arial" w:hAnsi="Arial"/>
          <w:sz w:val="18"/>
          <w:szCs w:val="18"/>
          <w:color w:val="auto"/>
        </w:rPr>
        <w:t>During the third quarter of fiscal year 2017, we completed the sale of an aggregate of 7,475,000 shares of Viasat common stock in an underwritten public offering. Our net proceeds from the offering were approximately $503.1 million after deducting underwriting discounts and offering expenses. In November 2016, we used $225.0 million of the net proceeds from the offering to repay outstanding borrowings under our revolving credit facility (the Revolving Credit Facility).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9" w:lineRule="exact"/>
        <w:rPr>
          <w:sz w:val="20"/>
          <w:szCs w:val="20"/>
          <w:color w:val="auto"/>
        </w:rPr>
      </w:pPr>
    </w:p>
    <w:p>
      <w:pPr>
        <w:ind w:right="120" w:firstLine="456"/>
        <w:spacing w:after="0" w:line="235" w:lineRule="auto"/>
        <w:rPr>
          <w:sz w:val="20"/>
          <w:szCs w:val="20"/>
          <w:color w:val="auto"/>
        </w:rPr>
      </w:pPr>
      <w:r>
        <w:rPr>
          <w:rFonts w:ascii="Arial" w:cs="Arial" w:eastAsia="Arial" w:hAnsi="Arial"/>
          <w:sz w:val="18"/>
          <w:szCs w:val="18"/>
          <w:color w:val="auto"/>
        </w:rPr>
        <w:t>Our satellite services business uses our proprietary technology platform to provide satellite-based high-speed broadband services with multiple applications to consumers, enterprises, commercial airlines and mobile broadband customers. Our proprietary Ka-band satellites are at the core of our technology platform. The ViaSat-1 satellite (our first-generation high-capacity Ka-band spot-beam satellite) was placed into service in January 2012. On June 1, 2017, our second-generation ViaSat-2 satellite was successfully launched into orbit. The satellite has successfully completed orbit raising and orbital placement, and the satellite manufacturer will transfer operation of the satellite to us following the completion of in-orbit testing. In January 2018, we reported an antenna issue identified by the satellite manufacturer, for which root cause analysis is still under investigation. Based on measured data and analysis of the current in-orbit performance of the satellite as well as the network as a whole, we currently expect that the issue will not materially impact the overall coverage area of the satellite, nor materially impact the planned services and the expected financial results from the ViaSat-2 system. We currently have two third-generation ViaSat-3 class satellites under construction. We also own the WildBlue-1 satellite, which was placed into service in March 2007.</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77" w:lineRule="exact"/>
        <w:rPr>
          <w:sz w:val="20"/>
          <w:szCs w:val="20"/>
          <w:color w:val="auto"/>
        </w:rPr>
      </w:pPr>
    </w:p>
    <w:p>
      <w:pPr>
        <w:ind w:left="900" w:right="120" w:hanging="325"/>
        <w:spacing w:after="0" w:line="23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broadband services (formerly provided under the Exede</w:t>
      </w:r>
      <w:r>
        <w:rPr>
          <w:rFonts w:ascii="Arial" w:cs="Arial" w:eastAsia="Arial" w:hAnsi="Arial"/>
          <w:sz w:val="11"/>
          <w:szCs w:val="11"/>
          <w:color w:val="auto"/>
        </w:rPr>
        <w:t>®</w:t>
      </w:r>
      <w:r>
        <w:rPr>
          <w:rFonts w:ascii="Arial" w:cs="Arial" w:eastAsia="Arial" w:hAnsi="Arial"/>
          <w:sz w:val="18"/>
          <w:szCs w:val="18"/>
          <w:color w:val="auto"/>
        </w:rPr>
        <w:t xml:space="preserve"> and Wildblue</w:t>
      </w:r>
      <w:r>
        <w:rPr>
          <w:rFonts w:ascii="Arial" w:cs="Arial" w:eastAsia="Arial" w:hAnsi="Arial"/>
          <w:sz w:val="11"/>
          <w:szCs w:val="11"/>
          <w:color w:val="auto"/>
        </w:rPr>
        <w:t>®</w:t>
      </w:r>
      <w:r>
        <w:rPr>
          <w:rFonts w:ascii="Arial" w:cs="Arial" w:eastAsia="Arial" w:hAnsi="Arial"/>
          <w:sz w:val="18"/>
          <w:szCs w:val="18"/>
          <w:color w:val="auto"/>
        </w:rPr>
        <w:t xml:space="preserve"> brands), which provide consumers and businesses with high-speed broadband internet access and Voice over Internet Protocol (VoIP) services. As of December 31, 2017, we provided fixed broadband services to approximately 577,000 consumer and small business subscribers.</w:t>
      </w:r>
    </w:p>
    <w:p>
      <w:pPr>
        <w:spacing w:after="0" w:line="72" w:lineRule="exact"/>
        <w:rPr>
          <w:rFonts w:ascii="Arial" w:cs="Arial" w:eastAsia="Arial" w:hAnsi="Arial"/>
          <w:sz w:val="18"/>
          <w:szCs w:val="18"/>
          <w:color w:val="auto"/>
        </w:rPr>
      </w:pPr>
    </w:p>
    <w:p>
      <w:pPr>
        <w:ind w:left="900" w:right="540" w:hanging="325"/>
        <w:spacing w:after="0" w:line="23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In-flight services including our flagship Viasat in-flight internet services and aviation software services. As of December 31, 2017, 589 commercial aircraft were in service utilizing our Viasat in-flight internet services.</w:t>
      </w:r>
    </w:p>
    <w:p>
      <w:pPr>
        <w:spacing w:after="0" w:line="73" w:lineRule="exact"/>
        <w:rPr>
          <w:rFonts w:ascii="Arial" w:cs="Arial" w:eastAsia="Arial" w:hAnsi="Arial"/>
          <w:sz w:val="18"/>
          <w:szCs w:val="18"/>
          <w:color w:val="auto"/>
        </w:rPr>
      </w:pPr>
    </w:p>
    <w:p>
      <w:pPr>
        <w:ind w:left="900" w:right="340" w:hanging="325"/>
        <w:spacing w:after="0" w:line="23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73" w:lineRule="exact"/>
        <w:rPr>
          <w:rFonts w:ascii="Arial" w:cs="Arial" w:eastAsia="Arial" w:hAnsi="Arial"/>
          <w:sz w:val="18"/>
          <w:szCs w:val="18"/>
          <w:color w:val="auto"/>
        </w:rPr>
      </w:pPr>
    </w:p>
    <w:p>
      <w:pPr>
        <w:ind w:left="900" w:right="360" w:hanging="325"/>
        <w:spacing w:after="0" w:line="23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Enterprise broadband services, which include business connectivity, live on-line event streaming, oil and natural gas data gathering services and high-definition satellite news gathering.</w:t>
      </w:r>
    </w:p>
    <w:p>
      <w:pPr>
        <w:spacing w:after="0" w:line="155"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On March 3, 2017, we consummated our strategic partnering arrangement with Eutelsat for the ownership and operation of satellite broadband infrastructure, equipment, and provision of satellite-based broadband internet services in the European region. At the closing of the transaction, Eutelsat contributed and transferred assets relating to its existing wholesale satellite broadband business (including its KA-SAT satellite) to a subsidiary of Eutelsat, Euro Broadband Infrastructure Sàrl (Euro Infrastructure Co.), in exchange for the issuance of new shares in such subsidiary, and immediately following such contribution and issuance, we purchased 49% of the issued shares of Euro Infrastructure Co. from Eutelsat for cash consideration of $139.5 million. Our total net cash outlay for this investment in Euro Infrastructure Co., including approximately $2.4 million of transaction costs, was approximately $141.9 million. Also at the closing, Eutelsat purchased 49% of the issued shares of our subsidiary, Euro Broadband Retail Sàrl (Euro Retail Co.), for an immaterial amount. Under the strategic partnering arrangement, Euro Infrastructure Co. owns and operates the KA-SAT satellite and related assets and offers wholesale satellite capacity services in the European region, and Euro Retail Co. purchases wholesale satellite capacity services and offers retail satellite-based broadband internet services in the European region.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9" w:lineRule="exact"/>
        <w:rPr>
          <w:sz w:val="20"/>
          <w:szCs w:val="20"/>
          <w:color w:val="auto"/>
        </w:rPr>
      </w:pPr>
    </w:p>
    <w:p>
      <w:pPr>
        <w:ind w:right="100" w:firstLine="456"/>
        <w:spacing w:after="0" w:line="269" w:lineRule="auto"/>
        <w:rPr>
          <w:sz w:val="20"/>
          <w:szCs w:val="20"/>
          <w:color w:val="auto"/>
        </w:rPr>
      </w:pPr>
      <w:r>
        <w:rPr>
          <w:rFonts w:ascii="Arial" w:cs="Arial" w:eastAsia="Arial" w:hAnsi="Arial"/>
          <w:sz w:val="16"/>
          <w:szCs w:val="16"/>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ASIC chip design. Our products, systems and solutions are generally developed through a combination of customer and discretionary internal research and development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5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76" w:lineRule="exact"/>
        <w:rPr>
          <w:rFonts w:ascii="Arial" w:cs="Arial" w:eastAsia="Arial" w:hAnsi="Arial"/>
          <w:sz w:val="18"/>
          <w:szCs w:val="18"/>
          <w:color w:val="auto"/>
        </w:rPr>
      </w:pPr>
    </w:p>
    <w:p>
      <w:pPr>
        <w:ind w:left="900" w:right="160" w:hanging="325"/>
        <w:spacing w:after="0" w:line="23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73"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73" w:lineRule="exact"/>
        <w:rPr>
          <w:rFonts w:ascii="Arial" w:cs="Arial" w:eastAsia="Arial" w:hAnsi="Arial"/>
          <w:sz w:val="18"/>
          <w:szCs w:val="18"/>
          <w:color w:val="auto"/>
        </w:rPr>
      </w:pPr>
    </w:p>
    <w:p>
      <w:pPr>
        <w:ind w:left="900" w:right="80" w:hanging="325"/>
        <w:spacing w:after="0" w:line="23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 including satellite and ground systems, fabless semiconductor design for ASIC and MMIC chips and WAN compression for enterprise networks, as well as modules and subsystems for various commercial, military and space uses and radio frequency and advanced microwave solutions. We also design and develop high-capacity Ka-band satellites as part of our commercial networks segment (both for our own satellite fleet and for third parties) and design, develop and produce the associated satellite payload technologies.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Our government systems segment provides global mobile broadband services to military and government users, and develops and produces network-centric internet protocol (IP)-based fixed and mobile secure communications products and solutions that are designed to enable the collection and dissemination of secure real-time digital information between individuals on the tactical edge, command centers, strategic communications nodes, ground and maritime platforms and airborne intelligence and defense platforms. Customers of our government systems segment include the U.S. Department of Defense (DoD), allied foreign governments, allied armed forces, public safety first-responders and remote government employees.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77" w:lineRule="exact"/>
        <w:rPr>
          <w:sz w:val="20"/>
          <w:szCs w:val="20"/>
          <w:color w:val="auto"/>
        </w:rPr>
      </w:pPr>
    </w:p>
    <w:p>
      <w:pPr>
        <w:jc w:val="both"/>
        <w:ind w:left="900" w:right="660" w:hanging="325"/>
        <w:spacing w:after="0" w:line="23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w:t>
      </w:r>
    </w:p>
    <w:p>
      <w:pPr>
        <w:spacing w:after="0" w:line="72" w:lineRule="exact"/>
        <w:rPr>
          <w:rFonts w:ascii="Arial" w:cs="Arial" w:eastAsia="Arial" w:hAnsi="Arial"/>
          <w:sz w:val="18"/>
          <w:szCs w:val="18"/>
          <w:color w:val="auto"/>
        </w:rPr>
      </w:pPr>
    </w:p>
    <w:p>
      <w:pPr>
        <w:ind w:left="900" w:right="260" w:hanging="325"/>
        <w:spacing w:after="0" w:line="23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Command and Control (C2) missions, satellite networking services and network management systems for Wi-Fi and other internet access networks, and include products designed for manpacks, aircraft, unmanned aerial vehicles (UAVs), seagoing vessels, ground mobile vehicles and fixed applications.</w:t>
      </w:r>
    </w:p>
    <w:p>
      <w:pPr>
        <w:spacing w:after="0" w:line="76" w:lineRule="exact"/>
        <w:rPr>
          <w:rFonts w:ascii="Arial" w:cs="Arial" w:eastAsia="Arial" w:hAnsi="Arial"/>
          <w:sz w:val="18"/>
          <w:szCs w:val="18"/>
          <w:color w:val="auto"/>
        </w:rPr>
      </w:pPr>
    </w:p>
    <w:p>
      <w:pPr>
        <w:jc w:val="both"/>
        <w:ind w:left="900" w:right="560" w:hanging="325"/>
        <w:spacing w:after="0" w:line="23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High Assurance Internet Protocol Encryption (HAIPE</w:t>
      </w:r>
      <w:r>
        <w:rPr>
          <w:rFonts w:ascii="Arial" w:cs="Arial" w:eastAsia="Arial" w:hAnsi="Arial"/>
          <w:sz w:val="11"/>
          <w:szCs w:val="11"/>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w:t>
      </w:r>
    </w:p>
    <w:p>
      <w:pPr>
        <w:spacing w:after="0" w:line="72" w:lineRule="exact"/>
        <w:rPr>
          <w:rFonts w:ascii="Arial" w:cs="Arial" w:eastAsia="Arial" w:hAnsi="Arial"/>
          <w:sz w:val="18"/>
          <w:szCs w:val="18"/>
          <w:color w:val="auto"/>
        </w:rPr>
      </w:pPr>
    </w:p>
    <w:p>
      <w:pPr>
        <w:ind w:left="900" w:right="160" w:hanging="325"/>
        <w:spacing w:after="0" w:line="23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handheld Link 16 radios, our KOR-24A 2-channel Small Tactical Terminal for manned and unmanned applications, “disposable” defense data links, our Multifunctional Information Distribution System (MIDS) terminals for military fighter jets and their successor, MIDS Joint Tactical Radio System (MIDS-JTRS) terminals.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Our satellite services segment revenues are primarily derived from our fixed broadband services business, our in-flight services business and our worldwide managed network services.</w:t>
      </w:r>
    </w:p>
    <w:p>
      <w:pPr>
        <w:spacing w:after="0" w:line="155"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Revenues in our commercial networks and government systems segments are primarily derived from three types of contracts: fixed-price, time-and-materials and cost-reimbursement contracts. Fixed-price contracts (which require us to provide products and services under a contract at a specified price) comprised approximately 88% and 85% of our total revenues for these segments for the three months ended December 31, 2017 and 2016, respectively, and 87% of our total revenues for these segments for the nine months ended December 31, 2017 and 2016.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33"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24"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20% and 19% of our total revenues in the three months ended December 31, 2017 and 2016, respectively. Revenues for our funded research and development from our customer contracts were approximately 19% of our total revenues in the nine months ended December 31, 2017 and 2016.</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11% and 9% of total revenues during the three months ended December 31, 2017 and 2016, respectively, and approximately 11% and 8% of total revenues during the nine months ended December 31, 2017 and 2016, respectively. As a government contractor, we are able to recover a portion of our IR&amp;D expenses pursuant to our government contracts.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7"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5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December 31, 2017 and 2016, we recorded losses of approximately $2.7 million and $0.8 million, respectively, related to loss contracts. During the nine months ended December 31, 2017 and 2016, we recorded losses of approximately $6.4 million and $2.8 million, respectively, related to loss contracts.</w:t>
      </w:r>
    </w:p>
    <w:p>
      <w:pPr>
        <w:spacing w:after="0" w:line="161" w:lineRule="exact"/>
        <w:rPr>
          <w:sz w:val="20"/>
          <w:szCs w:val="20"/>
          <w:color w:val="auto"/>
        </w:rPr>
      </w:pPr>
    </w:p>
    <w:p>
      <w:pPr>
        <w:ind w:right="60" w:firstLine="456"/>
        <w:spacing w:after="0" w:line="235"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December 31, 2017 would change our loss before income taxes by an insignificant amount.</w:t>
      </w:r>
    </w:p>
    <w:p>
      <w:pPr>
        <w:spacing w:after="0" w:line="161"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6"/>
          <w:szCs w:val="16"/>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 (1) review for transfers of ownership of the equipment to the lessee by the end of the lease term,</w:t>
      </w:r>
    </w:p>
    <w:p>
      <w:pPr>
        <w:spacing w:after="0" w:line="1" w:lineRule="exact"/>
        <w:rPr>
          <w:sz w:val="20"/>
          <w:szCs w:val="20"/>
          <w:color w:val="auto"/>
        </w:rPr>
      </w:pPr>
    </w:p>
    <w:p>
      <w:pPr>
        <w:jc w:val="both"/>
        <w:ind w:right="200" w:firstLine="8"/>
        <w:spacing w:after="0" w:line="237" w:lineRule="auto"/>
        <w:tabs>
          <w:tab w:leader="none" w:pos="2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55"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336"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61"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12 months. Amounts for obligations extending beyond the 12 months are recorded within other liabilities in the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7"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We own two satellites in service: ViaSat-1 (our first-generation high-capacity Ka-band spot-beam satellite, which was placed into service in January 2012) and WildBlue-1 (which was placed into service in March 2007). On June 1, 2017, our second-generation ViaSat-2 satellite was successfully launched into orbit. The satellite has successfully completed orbit raising and orbital placement, and the satellite manufacturer will transfer operation of the satellite to us following the completion of in-orbit testing. We currently have two third-generation ViaSat-3 class satellites under construction.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178"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December 31, 2017 and 2016.</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3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Furthermore, in addition to qualitative analysis, we believe it is appropriate to conduct a quantitative analysis periodically as a prudent review of our reporting unit goodwill fair values. Our quantitative analysis estimates the fair values of the reporting units using discounted cash flows and other indicators of fair value. The forecast of future cash flow is based on our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2017, we concluded that estimated fair values of our reporting units significantly exceed their respective carrying values.</w:t>
      </w:r>
    </w:p>
    <w:p>
      <w:pPr>
        <w:spacing w:after="0" w:line="155" w:lineRule="exact"/>
        <w:rPr>
          <w:sz w:val="20"/>
          <w:szCs w:val="20"/>
          <w:color w:val="auto"/>
        </w:rPr>
      </w:pPr>
    </w:p>
    <w:p>
      <w:pPr>
        <w:ind w:right="200" w:firstLine="456"/>
        <w:spacing w:after="0" w:line="236"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7" w:lineRule="exact"/>
        <w:rPr>
          <w:sz w:val="20"/>
          <w:szCs w:val="20"/>
          <w:color w:val="auto"/>
        </w:rPr>
      </w:pPr>
    </w:p>
    <w:p>
      <w:pPr>
        <w:jc w:val="both"/>
        <w:ind w:right="60" w:firstLine="456"/>
        <w:spacing w:after="0" w:line="238"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2017, we concluded that it was more likely than not that the estimated fair value of our reporting units exceeded their carrying value as of March 31, 2017 and, therefore, determined it was not necessary to perform the two-step goodwill impairment test.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determine if the weight of available evidence suggests that an additional valuation allowance is needed. In accordance with the authoritative</w:t>
      </w:r>
    </w:p>
    <w:p>
      <w:pPr>
        <w:spacing w:after="0" w:line="234" w:lineRule="auto"/>
        <w:rPr>
          <w:sz w:val="20"/>
          <w:szCs w:val="20"/>
          <w:color w:val="auto"/>
        </w:rPr>
      </w:pPr>
      <w:r>
        <w:rPr>
          <w:rFonts w:ascii="Arial" w:cs="Arial" w:eastAsia="Arial" w:hAnsi="Arial"/>
          <w:sz w:val="18"/>
          <w:szCs w:val="18"/>
          <w:color w:val="auto"/>
        </w:rPr>
        <w:t>guidance for income taxes (ASC 740), net deferred tax assets are reduced by a valuation allowance if, based on all the available evidence, it 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more likely than not that some or all of the deferred tax assets will not be realized. In the event that our estimate of taxable income is less than that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required to utilize the full amount of any deferred tax asset, a valuation allowance is established, which would cause a decrease to income in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period such determination is made. Our valuation allowance against deferred tax assets increased from $17.7 million at March 31, 2017 to</w:t>
      </w:r>
    </w:p>
    <w:p>
      <w:pPr>
        <w:spacing w:after="0" w:line="234" w:lineRule="auto"/>
        <w:rPr>
          <w:sz w:val="20"/>
          <w:szCs w:val="20"/>
          <w:color w:val="auto"/>
        </w:rPr>
      </w:pPr>
      <w:r>
        <w:rPr>
          <w:rFonts w:ascii="Arial" w:cs="Arial" w:eastAsia="Arial" w:hAnsi="Arial"/>
          <w:sz w:val="18"/>
          <w:szCs w:val="18"/>
          <w:color w:val="auto"/>
        </w:rPr>
        <w:t>$25.6 million at December 31, 2017. The valuation allowance primarily relates to state net operating loss carryforwards and state research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development tax credit carryforwards.</w:t>
      </w:r>
    </w:p>
    <w:p>
      <w:pPr>
        <w:spacing w:after="0" w:line="158"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5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500" w:type="dxa"/>
            <w:vAlign w:val="bottom"/>
          </w:tcPr>
          <w:p>
            <w:pPr>
              <w:spacing w:after="0"/>
              <w:rPr>
                <w:sz w:val="14"/>
                <w:szCs w:val="14"/>
                <w:color w:val="auto"/>
              </w:rPr>
            </w:pPr>
          </w:p>
        </w:tc>
        <w:tc>
          <w:tcPr>
            <w:tcW w:w="326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Nine Months Ended</w:t>
            </w:r>
          </w:p>
        </w:tc>
      </w:tr>
      <w:tr>
        <w:trPr>
          <w:trHeight w:val="125"/>
        </w:trPr>
        <w:tc>
          <w:tcPr>
            <w:tcW w:w="4500" w:type="dxa"/>
            <w:vAlign w:val="bottom"/>
          </w:tcPr>
          <w:p>
            <w:pPr>
              <w:spacing w:after="0"/>
              <w:rPr>
                <w:sz w:val="10"/>
                <w:szCs w:val="10"/>
                <w:color w:val="auto"/>
              </w:rPr>
            </w:pPr>
          </w:p>
        </w:tc>
        <w:tc>
          <w:tcPr>
            <w:tcW w:w="1620" w:type="dxa"/>
            <w:vAlign w:val="bottom"/>
            <w:tcBorders>
              <w:top w:val="single" w:sz="8" w:color="auto"/>
            </w:tcBorders>
            <w:gridSpan w:val="2"/>
          </w:tcPr>
          <w:p>
            <w:pPr>
              <w:jc w:val="right"/>
              <w:ind w:right="74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9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b w:val="1"/>
                <w:bCs w:val="1"/>
                <w:color w:val="auto"/>
                <w:w w:val="94"/>
              </w:rPr>
              <w:t>December 31,</w:t>
            </w:r>
          </w:p>
        </w:tc>
        <w:tc>
          <w:tcPr>
            <w:tcW w:w="74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76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8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0"/>
                <w:szCs w:val="10"/>
                <w:color w:val="auto"/>
              </w:rPr>
            </w:pPr>
          </w:p>
        </w:tc>
      </w:tr>
      <w:tr>
        <w:trPr>
          <w:trHeight w:val="165"/>
        </w:trPr>
        <w:tc>
          <w:tcPr>
            <w:tcW w:w="45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r>
      <w:tr>
        <w:trPr>
          <w:trHeight w:val="196"/>
        </w:trPr>
        <w:tc>
          <w:tcPr>
            <w:tcW w:w="4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Revenues:</w:t>
            </w:r>
          </w:p>
        </w:tc>
        <w:tc>
          <w:tcPr>
            <w:tcW w:w="162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580"/>
              <w:spacing w:after="0" w:line="196" w:lineRule="exact"/>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100.0%</w:t>
            </w:r>
          </w:p>
        </w:tc>
      </w:tr>
      <w:tr>
        <w:trPr>
          <w:trHeight w:val="203"/>
        </w:trPr>
        <w:tc>
          <w:tcPr>
            <w:tcW w:w="4500" w:type="dxa"/>
            <w:vAlign w:val="bottom"/>
          </w:tcPr>
          <w:p>
            <w:pPr>
              <w:ind w:left="440"/>
              <w:spacing w:after="0" w:line="202" w:lineRule="exact"/>
              <w:rPr>
                <w:sz w:val="20"/>
                <w:szCs w:val="20"/>
                <w:color w:val="auto"/>
              </w:rPr>
            </w:pPr>
            <w:r>
              <w:rPr>
                <w:rFonts w:ascii="Arial" w:cs="Arial" w:eastAsia="Arial" w:hAnsi="Arial"/>
                <w:sz w:val="18"/>
                <w:szCs w:val="18"/>
                <w:color w:val="auto"/>
              </w:rPr>
              <w:t>Product revenues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46.1</w:t>
            </w:r>
          </w:p>
        </w:tc>
        <w:tc>
          <w:tcPr>
            <w:tcW w:w="7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74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45.4</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45.3</w:t>
            </w:r>
          </w:p>
        </w:tc>
      </w:tr>
      <w:tr>
        <w:trPr>
          <w:trHeight w:val="203"/>
        </w:trPr>
        <w:tc>
          <w:tcPr>
            <w:tcW w:w="4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Service revenues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w:t>
            </w: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7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54.6</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54.7</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Cost of product revenues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7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33.2</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33.4</w:t>
            </w:r>
          </w:p>
        </w:tc>
      </w:tr>
      <w:tr>
        <w:trPr>
          <w:trHeight w:val="203"/>
        </w:trPr>
        <w:tc>
          <w:tcPr>
            <w:tcW w:w="4500" w:type="dxa"/>
            <w:vAlign w:val="bottom"/>
          </w:tcPr>
          <w:p>
            <w:pPr>
              <w:ind w:left="440"/>
              <w:spacing w:after="0" w:line="202" w:lineRule="exact"/>
              <w:rPr>
                <w:sz w:val="20"/>
                <w:szCs w:val="20"/>
                <w:color w:val="auto"/>
              </w:rPr>
            </w:pPr>
            <w:r>
              <w:rPr>
                <w:rFonts w:ascii="Arial" w:cs="Arial" w:eastAsia="Arial" w:hAnsi="Arial"/>
                <w:sz w:val="18"/>
                <w:szCs w:val="18"/>
                <w:color w:val="auto"/>
              </w:rPr>
              <w:t>Cost of service revenues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7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34.4</w:t>
            </w:r>
          </w:p>
        </w:tc>
        <w:tc>
          <w:tcPr>
            <w:tcW w:w="74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35.5</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34.4</w:t>
            </w:r>
          </w:p>
        </w:tc>
      </w:tr>
      <w:tr>
        <w:trPr>
          <w:trHeight w:val="203"/>
        </w:trPr>
        <w:tc>
          <w:tcPr>
            <w:tcW w:w="4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Selling, general and administrative</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w:t>
            </w:r>
          </w:p>
        </w:tc>
        <w:tc>
          <w:tcPr>
            <w:tcW w:w="7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24.2</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20.7</w:t>
            </w:r>
          </w:p>
        </w:tc>
      </w:tr>
      <w:tr>
        <w:trPr>
          <w:trHeight w:val="203"/>
        </w:trPr>
        <w:tc>
          <w:tcPr>
            <w:tcW w:w="4500" w:type="dxa"/>
            <w:vAlign w:val="bottom"/>
          </w:tcPr>
          <w:p>
            <w:pPr>
              <w:ind w:left="440"/>
              <w:spacing w:after="0" w:line="202" w:lineRule="exact"/>
              <w:rPr>
                <w:sz w:val="20"/>
                <w:szCs w:val="20"/>
                <w:color w:val="auto"/>
              </w:rPr>
            </w:pPr>
            <w:r>
              <w:rPr>
                <w:rFonts w:ascii="Arial" w:cs="Arial" w:eastAsia="Arial" w:hAnsi="Arial"/>
                <w:sz w:val="18"/>
                <w:szCs w:val="18"/>
                <w:color w:val="auto"/>
              </w:rPr>
              <w:t>Independent research and development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72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9.0</w:t>
            </w: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11.4</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7.9</w:t>
            </w:r>
          </w:p>
        </w:tc>
      </w:tr>
      <w:tr>
        <w:trPr>
          <w:trHeight w:val="203"/>
        </w:trPr>
        <w:tc>
          <w:tcPr>
            <w:tcW w:w="4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Amortization of acquired intangible assets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7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0.7</w:t>
            </w:r>
          </w:p>
        </w:tc>
      </w:tr>
      <w:tr>
        <w:trPr>
          <w:trHeight w:val="20"/>
        </w:trPr>
        <w:tc>
          <w:tcPr>
            <w:tcW w:w="4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(6.6)</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2.0</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rPr>
              <w:t>(5.1)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r>
      <w:tr>
        <w:trPr>
          <w:trHeight w:val="203"/>
        </w:trPr>
        <w:tc>
          <w:tcPr>
            <w:tcW w:w="4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income (expense), net</w:t>
            </w: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0.1</w:t>
            </w: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(0.6)</w:t>
            </w: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w:t>
            </w:r>
          </w:p>
        </w:tc>
      </w:tr>
      <w:tr>
        <w:trPr>
          <w:trHeight w:val="203"/>
        </w:trPr>
        <w:tc>
          <w:tcPr>
            <w:tcW w:w="4500" w:type="dxa"/>
            <w:vAlign w:val="bottom"/>
          </w:tcPr>
          <w:p>
            <w:pPr>
              <w:ind w:left="440"/>
              <w:spacing w:after="0" w:line="202" w:lineRule="exact"/>
              <w:rPr>
                <w:sz w:val="20"/>
                <w:szCs w:val="20"/>
                <w:color w:val="auto"/>
              </w:rPr>
            </w:pPr>
            <w:r>
              <w:rPr>
                <w:rFonts w:ascii="Arial" w:cs="Arial" w:eastAsia="Arial" w:hAnsi="Arial"/>
                <w:sz w:val="18"/>
                <w:szCs w:val="18"/>
                <w:color w:val="auto"/>
              </w:rPr>
              <w:t>Loss on extinguishment of debt</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16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(0.9)</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r>
      <w:tr>
        <w:trPr>
          <w:trHeight w:val="27"/>
        </w:trPr>
        <w:tc>
          <w:tcPr>
            <w:tcW w:w="4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income before income taxes</w:t>
            </w:r>
          </w:p>
        </w:tc>
        <w:tc>
          <w:tcPr>
            <w:tcW w:w="16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(6.5)</w:t>
            </w: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1.4</w:t>
            </w:r>
          </w:p>
        </w:tc>
        <w:tc>
          <w:tcPr>
            <w:tcW w:w="16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(6.0)</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(0.6)</w:t>
            </w: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(0.2)</w:t>
            </w: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(0.5)</w:t>
            </w:r>
          </w:p>
        </w:tc>
      </w:tr>
      <w:tr>
        <w:trPr>
          <w:trHeight w:val="27"/>
        </w:trPr>
        <w:tc>
          <w:tcPr>
            <w:tcW w:w="4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16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(6.7)</w:t>
            </w: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1.2</w:t>
            </w:r>
          </w:p>
        </w:tc>
        <w:tc>
          <w:tcPr>
            <w:tcW w:w="16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(4.2)</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w:t>
            </w: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Net (loss) income attributable to Viasat, Inc.</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(6.5)</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rPr>
              <w:t>(4.1)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r>
    </w:tbl>
    <w:p>
      <w:pPr>
        <w:spacing w:after="0" w:line="213" w:lineRule="exact"/>
        <w:rPr>
          <w:sz w:val="20"/>
          <w:szCs w:val="20"/>
          <w:color w:val="auto"/>
        </w:rPr>
      </w:pPr>
    </w:p>
    <w:p>
      <w:pPr>
        <w:ind w:right="4340"/>
        <w:spacing w:after="0" w:line="358" w:lineRule="auto"/>
        <w:rPr>
          <w:sz w:val="20"/>
          <w:szCs w:val="20"/>
          <w:color w:val="auto"/>
        </w:rPr>
      </w:pPr>
      <w:r>
        <w:rPr>
          <w:rFonts w:ascii="Arial" w:cs="Arial" w:eastAsia="Arial" w:hAnsi="Arial"/>
          <w:sz w:val="18"/>
          <w:szCs w:val="18"/>
          <w:b w:val="1"/>
          <w:bCs w:val="1"/>
          <w:color w:val="auto"/>
        </w:rPr>
        <w:t xml:space="preserve">Three Months Ended December 31, 2017 vs. Three Months Ended December 31, 2016 </w:t>
      </w:r>
      <w:r>
        <w:rPr>
          <w:rFonts w:ascii="Arial" w:cs="Arial" w:eastAsia="Arial" w:hAnsi="Arial"/>
          <w:sz w:val="18"/>
          <w:szCs w:val="18"/>
          <w:i w:val="1"/>
          <w:iCs w:val="1"/>
          <w:color w:val="auto"/>
        </w:rPr>
        <w:t>Revenues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Dollar</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8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90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1380" w:type="dxa"/>
            <w:vAlign w:val="bottom"/>
            <w:gridSpan w:val="3"/>
          </w:tcPr>
          <w:p>
            <w:pPr>
              <w:ind w:left="60"/>
              <w:spacing w:after="0" w:line="125" w:lineRule="exact"/>
              <w:rPr>
                <w:sz w:val="20"/>
                <w:szCs w:val="20"/>
                <w:color w:val="auto"/>
              </w:rPr>
            </w:pPr>
            <w:r>
              <w:rPr>
                <w:rFonts w:ascii="Arial" w:cs="Arial" w:eastAsia="Arial" w:hAnsi="Arial"/>
                <w:sz w:val="14"/>
                <w:szCs w:val="14"/>
                <w:b w:val="1"/>
                <w:bCs w:val="1"/>
                <w:color w:val="auto"/>
              </w:rPr>
              <w:t>Increase</w:t>
            </w:r>
          </w:p>
        </w:tc>
        <w:tc>
          <w:tcPr>
            <w:tcW w:w="10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50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3"/>
                <w:szCs w:val="13"/>
                <w:color w:val="auto"/>
              </w:rPr>
            </w:pPr>
          </w:p>
        </w:tc>
        <w:tc>
          <w:tcPr>
            <w:tcW w:w="680" w:type="dxa"/>
            <w:vAlign w:val="bottom"/>
          </w:tcPr>
          <w:p>
            <w:pPr>
              <w:jc w:val="right"/>
              <w:ind w:right="200"/>
              <w:spacing w:after="0" w:line="152"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38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260"/>
              <w:spacing w:after="0" w:line="15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0"/>
        </w:trPr>
        <w:tc>
          <w:tcPr>
            <w:tcW w:w="2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29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vMerge w:val="continue"/>
            <w:shd w:val="clear" w:color="auto" w:fill="CCEEFF"/>
          </w:tcPr>
          <w:p>
            <w:pPr>
              <w:spacing w:after="0"/>
              <w:rPr>
                <w:sz w:val="16"/>
                <w:szCs w:val="16"/>
                <w:color w:val="auto"/>
              </w:rPr>
            </w:pPr>
          </w:p>
        </w:tc>
        <w:tc>
          <w:tcPr>
            <w:tcW w:w="29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176.0</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169.6</w:t>
            </w:r>
          </w:p>
        </w:tc>
        <w:tc>
          <w:tcPr>
            <w:tcW w:w="760" w:type="dxa"/>
            <w:vAlign w:val="bottom"/>
            <w:gridSpan w:val="2"/>
            <w:shd w:val="clear" w:color="auto" w:fill="CCEEFF"/>
          </w:tcPr>
          <w:p>
            <w:pPr>
              <w:ind w:left="640"/>
              <w:spacing w:after="0" w:line="189"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8"/>
                <w:szCs w:val="18"/>
                <w:color w:val="auto"/>
              </w:rPr>
              <w:t>6.4</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Service revenues</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205.9</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211.1</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(5.2)</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381.8</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380.6</w:t>
            </w:r>
          </w:p>
        </w:tc>
        <w:tc>
          <w:tcPr>
            <w:tcW w:w="7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Our total revenues increased by $1.2 million as a result of a $6.4 million increase in product revenues, offset by a $5.2 million decrease in service revenues. The product revenue increase was driven by an increase of $13.1 million in our government systems segment, partially offset by a decrease of $6.9 million in our satellite services segment. The decrease in product revenue in our satellite services segment reflected the payments in the prior year period under our settlement agreement with Space Systems/Loral,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Inc. and its former parent company Loral Space &amp; Communications, Inc. (the Settlement Agreement) recognized as product revenue. As of March 31, 2017 all payments pursuant to the Settlement Agreement had been recorded and no further impacts to our consolidated financial statements are anticipated related to the Settlement Agreement. The service revenue decrease was driven by a decrease of $8.7 million in our satellite services segment, partially offset by an increase of $2.7 million in our government systems segment.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0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6"/>
              </w:rPr>
              <w:t>December 31,</w:t>
            </w:r>
          </w:p>
        </w:tc>
        <w:tc>
          <w:tcPr>
            <w:tcW w:w="640" w:type="dxa"/>
            <w:vAlign w:val="bottom"/>
          </w:tcPr>
          <w:p>
            <w:pPr>
              <w:spacing w:after="0"/>
              <w:rPr>
                <w:sz w:val="10"/>
                <w:szCs w:val="10"/>
                <w:color w:val="auto"/>
              </w:rPr>
            </w:pPr>
          </w:p>
        </w:tc>
        <w:tc>
          <w:tcPr>
            <w:tcW w:w="88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1340" w:type="dxa"/>
            <w:vAlign w:val="bottom"/>
            <w:gridSpan w:val="3"/>
          </w:tcPr>
          <w:p>
            <w:pPr>
              <w:jc w:val="right"/>
              <w:ind w:right="720"/>
              <w:spacing w:after="0" w:line="125" w:lineRule="exact"/>
              <w:rPr>
                <w:sz w:val="20"/>
                <w:szCs w:val="20"/>
                <w:color w:val="auto"/>
              </w:rPr>
            </w:pPr>
            <w:r>
              <w:rPr>
                <w:rFonts w:ascii="Arial" w:cs="Arial" w:eastAsia="Arial" w:hAnsi="Arial"/>
                <w:sz w:val="14"/>
                <w:szCs w:val="14"/>
                <w:b w:val="1"/>
                <w:bCs w:val="1"/>
                <w:color w:val="auto"/>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52"/>
        </w:trPr>
        <w:tc>
          <w:tcPr>
            <w:tcW w:w="364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0"/>
              <w:spacing w:after="0" w:line="152"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340" w:type="dxa"/>
            <w:vAlign w:val="bottom"/>
            <w:gridSpan w:val="3"/>
          </w:tcPr>
          <w:p>
            <w:pPr>
              <w:jc w:val="right"/>
              <w:ind w:right="640"/>
              <w:spacing w:after="0" w:line="152" w:lineRule="exact"/>
              <w:rPr>
                <w:sz w:val="20"/>
                <w:szCs w:val="20"/>
                <w:color w:val="auto"/>
              </w:rPr>
            </w:pPr>
            <w:r>
              <w:rPr>
                <w:rFonts w:ascii="Arial" w:cs="Arial" w:eastAsia="Arial" w:hAnsi="Arial"/>
                <w:sz w:val="14"/>
                <w:szCs w:val="14"/>
                <w:b w:val="1"/>
                <w:bCs w:val="1"/>
                <w:color w:val="auto"/>
                <w:w w:val="94"/>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0"/>
        </w:trPr>
        <w:tc>
          <w:tcPr>
            <w:tcW w:w="2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540" w:type="dxa"/>
            <w:vAlign w:val="bottom"/>
            <w:vMerge w:val="restart"/>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vMerge w:val="continue"/>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126.4</w:t>
            </w:r>
          </w:p>
        </w:tc>
        <w:tc>
          <w:tcPr>
            <w:tcW w:w="820" w:type="dxa"/>
            <w:vAlign w:val="bottom"/>
            <w:gridSpan w:val="2"/>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124.6</w:t>
            </w:r>
          </w:p>
        </w:tc>
        <w:tc>
          <w:tcPr>
            <w:tcW w:w="7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8"/>
                <w:szCs w:val="18"/>
                <w:color w:val="auto"/>
              </w:rPr>
              <w:t>1.9</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Cost of service revenues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137.3</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131.0</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6.3</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cost of revenues</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263.7</w:t>
            </w:r>
          </w:p>
        </w:tc>
        <w:tc>
          <w:tcPr>
            <w:tcW w:w="8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8.2</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Cost of revenues increased by $8.2 million due to increases of $6.3 million in cost of service revenues and $1.9 million in cost of product revenues. The cost of service revenue increase mainly related to lower margins for our in-flight services and fixed broadband services in our satellite services segment due to the ramp up of large-scale commercial air in-flight connectivity services and preparation for the ViaSat-2 service launch. The cost of product revenue increase was due to increased revenues, causing a $10.1 million increase in cost of product revenues on a constant margin basis (excluding the effect of the payments under the Settlement Agreement in the prior year period recognized as product revenues). The cost of product revenue increase mainly related to our tactical data links products, cybersecurity and information assurance products, offset by improved margins in our cybersecurity and information assurance products, tactical data links products and global mobile broadband products in our government systems segment.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r>
      <w:tr>
        <w:trPr>
          <w:trHeight w:val="125"/>
        </w:trPr>
        <w:tc>
          <w:tcPr>
            <w:tcW w:w="2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1360" w:type="dxa"/>
            <w:vAlign w:val="bottom"/>
            <w:gridSpan w:val="3"/>
          </w:tcPr>
          <w:p>
            <w:pPr>
              <w:jc w:val="center"/>
              <w:ind w:right="640"/>
              <w:spacing w:after="0" w:line="125" w:lineRule="exact"/>
              <w:rPr>
                <w:sz w:val="20"/>
                <w:szCs w:val="20"/>
                <w:color w:val="auto"/>
              </w:rPr>
            </w:pPr>
            <w:r>
              <w:rPr>
                <w:rFonts w:ascii="Arial" w:cs="Arial" w:eastAsia="Arial" w:hAnsi="Arial"/>
                <w:sz w:val="14"/>
                <w:szCs w:val="14"/>
                <w:b w:val="1"/>
                <w:bCs w:val="1"/>
                <w:color w:val="auto"/>
                <w:w w:val="98"/>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r>
      <w:tr>
        <w:trPr>
          <w:trHeight w:val="152"/>
        </w:trPr>
        <w:tc>
          <w:tcPr>
            <w:tcW w:w="390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6"/>
              <w:spacing w:after="0" w:line="152"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2"/>
              <w:spacing w:after="0" w:line="15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360" w:type="dxa"/>
            <w:vAlign w:val="bottom"/>
            <w:gridSpan w:val="3"/>
          </w:tcPr>
          <w:p>
            <w:pPr>
              <w:jc w:val="center"/>
              <w:ind w:right="640"/>
              <w:spacing w:after="0" w:line="152" w:lineRule="exact"/>
              <w:rPr>
                <w:sz w:val="20"/>
                <w:szCs w:val="20"/>
                <w:color w:val="auto"/>
              </w:rPr>
            </w:pPr>
            <w:r>
              <w:rPr>
                <w:rFonts w:ascii="Arial" w:cs="Arial" w:eastAsia="Arial" w:hAnsi="Arial"/>
                <w:sz w:val="14"/>
                <w:szCs w:val="14"/>
                <w:b w:val="1"/>
                <w:bCs w:val="1"/>
                <w:color w:val="auto"/>
                <w:w w:val="94"/>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90"/>
        </w:trPr>
        <w:tc>
          <w:tcPr>
            <w:tcW w:w="3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Selling, general and administrative</w:t>
            </w:r>
          </w:p>
        </w:tc>
        <w:tc>
          <w:tcPr>
            <w:tcW w:w="1420" w:type="dxa"/>
            <w:vAlign w:val="bottom"/>
            <w:gridSpan w:val="2"/>
            <w:shd w:val="clear" w:color="auto" w:fill="CCEEFF"/>
          </w:tcPr>
          <w:p>
            <w:pPr>
              <w:ind w:left="122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100.1</w:t>
            </w:r>
          </w:p>
        </w:tc>
        <w:tc>
          <w:tcPr>
            <w:tcW w:w="840" w:type="dxa"/>
            <w:vAlign w:val="bottom"/>
            <w:gridSpan w:val="2"/>
            <w:shd w:val="clear" w:color="auto" w:fill="CCEEFF"/>
          </w:tcPr>
          <w:p>
            <w:pPr>
              <w:ind w:left="6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80.3</w:t>
            </w: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19.8</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24.7%</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$19.8 million increase in selling, general and administrative (SG&amp;A) expenses was primarily attributable to higher support costs of</w:t>
      </w:r>
    </w:p>
    <w:p>
      <w:pPr>
        <w:spacing w:after="0"/>
        <w:rPr>
          <w:sz w:val="20"/>
          <w:szCs w:val="20"/>
          <w:color w:val="auto"/>
        </w:rPr>
      </w:pPr>
      <w:r>
        <w:rPr>
          <w:rFonts w:ascii="Arial" w:cs="Arial" w:eastAsia="Arial" w:hAnsi="Arial"/>
          <w:sz w:val="16"/>
          <w:szCs w:val="16"/>
          <w:color w:val="auto"/>
        </w:rPr>
        <w:t>$15.1 million spread across all three segments mainly due to the higher employee-related costs supporting the ViaSat-2 service launch and our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commercial air growth activities, as well as in support of the expansion of our international businesses. In addition, selling costs increased</w:t>
      </w:r>
    </w:p>
    <w:p>
      <w:pPr>
        <w:spacing w:after="0"/>
        <w:rPr>
          <w:sz w:val="20"/>
          <w:szCs w:val="20"/>
          <w:color w:val="auto"/>
        </w:rPr>
      </w:pPr>
      <w:r>
        <w:rPr>
          <w:rFonts w:ascii="Arial" w:cs="Arial" w:eastAsia="Arial" w:hAnsi="Arial"/>
          <w:sz w:val="16"/>
          <w:szCs w:val="16"/>
          <w:color w:val="auto"/>
        </w:rPr>
        <w:t>$3.1 million driven primarily by increases in our satellite services segment. SG&amp;A expenses consisted primarily of personnel costs and expenses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 business development, marketing and sales, bid and proposal, facilities, finance, contract administration and general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r>
      <w:tr>
        <w:trPr>
          <w:trHeight w:val="125"/>
        </w:trPr>
        <w:tc>
          <w:tcPr>
            <w:tcW w:w="21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5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1340" w:type="dxa"/>
            <w:vAlign w:val="bottom"/>
            <w:gridSpan w:val="3"/>
          </w:tcPr>
          <w:p>
            <w:pPr>
              <w:jc w:val="center"/>
              <w:ind w:right="640"/>
              <w:spacing w:after="0" w:line="125" w:lineRule="exact"/>
              <w:rPr>
                <w:sz w:val="20"/>
                <w:szCs w:val="20"/>
                <w:color w:val="auto"/>
              </w:rPr>
            </w:pPr>
            <w:r>
              <w:rPr>
                <w:rFonts w:ascii="Arial" w:cs="Arial" w:eastAsia="Arial" w:hAnsi="Arial"/>
                <w:sz w:val="14"/>
                <w:szCs w:val="14"/>
                <w:b w:val="1"/>
                <w:bCs w:val="1"/>
                <w:color w:val="auto"/>
                <w:w w:val="94"/>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r>
      <w:tr>
        <w:trPr>
          <w:trHeight w:val="152"/>
        </w:trPr>
        <w:tc>
          <w:tcPr>
            <w:tcW w:w="518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3"/>
                <w:szCs w:val="13"/>
                <w:color w:val="auto"/>
              </w:rPr>
            </w:pPr>
          </w:p>
        </w:tc>
        <w:tc>
          <w:tcPr>
            <w:tcW w:w="700" w:type="dxa"/>
            <w:vAlign w:val="bottom"/>
          </w:tcPr>
          <w:p>
            <w:pPr>
              <w:jc w:val="right"/>
              <w:ind w:right="226"/>
              <w:spacing w:after="0" w:line="152"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22"/>
              <w:spacing w:after="0" w:line="15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340" w:type="dxa"/>
            <w:vAlign w:val="bottom"/>
            <w:gridSpan w:val="3"/>
          </w:tcPr>
          <w:p>
            <w:pPr>
              <w:jc w:val="center"/>
              <w:ind w:right="640"/>
              <w:spacing w:after="0" w:line="152" w:lineRule="exact"/>
              <w:rPr>
                <w:sz w:val="20"/>
                <w:szCs w:val="20"/>
                <w:color w:val="auto"/>
              </w:rPr>
            </w:pPr>
            <w:r>
              <w:rPr>
                <w:rFonts w:ascii="Arial" w:cs="Arial" w:eastAsia="Arial" w:hAnsi="Arial"/>
                <w:sz w:val="14"/>
                <w:szCs w:val="14"/>
                <w:b w:val="1"/>
                <w:bCs w:val="1"/>
                <w:color w:val="auto"/>
                <w:w w:val="97"/>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90"/>
        </w:trPr>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Independent research and development</w:t>
            </w: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w w:val="96"/>
              </w:rPr>
              <w:t>40.1</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34.4</w:t>
            </w:r>
          </w:p>
        </w:tc>
        <w:tc>
          <w:tcPr>
            <w:tcW w:w="7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8"/>
                <w:szCs w:val="18"/>
                <w:color w:val="auto"/>
              </w:rPr>
              <w:t>5.7</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16.6%</w:t>
            </w:r>
          </w:p>
        </w:tc>
      </w:tr>
    </w:tbl>
    <w:p>
      <w:pPr>
        <w:spacing w:after="0" w:line="165"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The $5.7 million increase in IR&amp;D expenses was primarily the result of increased IR&amp;D efforts of $4.4 million in our government systems segment (primarily related to research increases in the development of next-generation dual band mobility solutions).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76"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slight increase in amortization of acquired intangible assets in the third quarter of fiscal year 2018 compared to the prior year period was primarily the result of our acquisition of Aerodocs Limited (Arconics) in November 2016. Current and expected amortization expense for acquired intangible assets for each of the following periods is as follows:</w:t>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For the nine months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-118110</wp:posOffset>
            </wp:positionV>
            <wp:extent cx="49225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spacing w:after="0" w:line="10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Expected for the remainder of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9525</wp:posOffset>
            </wp:positionV>
            <wp:extent cx="49225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Expected for fiscal year 2019</w:t>
      </w:r>
    </w:p>
    <w:p>
      <w:pPr>
        <w:ind w:left="1840"/>
        <w:spacing w:after="0" w:line="234" w:lineRule="auto"/>
        <w:rPr>
          <w:sz w:val="20"/>
          <w:szCs w:val="20"/>
          <w:color w:val="auto"/>
        </w:rPr>
      </w:pPr>
      <w:r>
        <w:rPr>
          <w:rFonts w:ascii="Arial" w:cs="Arial" w:eastAsia="Arial" w:hAnsi="Arial"/>
          <w:sz w:val="18"/>
          <w:szCs w:val="18"/>
          <w:color w:val="auto"/>
        </w:rPr>
        <w:t>Expected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line="235" w:lineRule="auto"/>
        <w:rPr>
          <w:sz w:val="20"/>
          <w:szCs w:val="20"/>
          <w:color w:val="auto"/>
        </w:rPr>
      </w:pPr>
      <w:r>
        <w:rPr>
          <w:rFonts w:ascii="Arial" w:cs="Arial" w:eastAsia="Arial" w:hAnsi="Arial"/>
          <w:sz w:val="18"/>
          <w:szCs w:val="18"/>
          <w:color w:val="auto"/>
        </w:rPr>
        <w:t>Expected for fiscal year 2021</w:t>
      </w:r>
    </w:p>
    <w:p>
      <w:pPr>
        <w:ind w:left="1840"/>
        <w:spacing w:after="0" w:line="235" w:lineRule="auto"/>
        <w:rPr>
          <w:sz w:val="20"/>
          <w:szCs w:val="20"/>
          <w:color w:val="auto"/>
        </w:rPr>
      </w:pPr>
      <w:r>
        <w:rPr>
          <w:rFonts w:ascii="Arial" w:cs="Arial" w:eastAsia="Arial" w:hAnsi="Arial"/>
          <w:sz w:val="18"/>
          <w:szCs w:val="18"/>
          <w:color w:val="auto"/>
        </w:rPr>
        <w:t>Expected for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-1270</wp:posOffset>
            </wp:positionV>
            <wp:extent cx="49225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5918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jc w:val="center"/>
        <w:ind w:right="1760"/>
        <w:spacing w:after="0"/>
        <w:rPr>
          <w:sz w:val="20"/>
          <w:szCs w:val="20"/>
          <w:color w:val="auto"/>
        </w:rPr>
      </w:pPr>
      <w:r>
        <w:rPr>
          <w:rFonts w:ascii="Arial" w:cs="Arial" w:eastAsia="Arial" w:hAnsi="Arial"/>
          <w:sz w:val="12"/>
          <w:szCs w:val="12"/>
          <w:b w:val="1"/>
          <w:bCs w:val="1"/>
          <w:color w:val="auto"/>
        </w:rPr>
        <w:t>(In thousands)</w:t>
      </w:r>
    </w:p>
    <w:p>
      <w:pPr>
        <w:spacing w:after="0" w:line="14" w:lineRule="exact"/>
        <w:rPr>
          <w:sz w:val="20"/>
          <w:szCs w:val="20"/>
          <w:color w:val="auto"/>
        </w:rPr>
      </w:pPr>
    </w:p>
    <w:p>
      <w:pPr>
        <w:ind w:left="500" w:hanging="496"/>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9,757</w:t>
      </w:r>
    </w:p>
    <w:p>
      <w:pPr>
        <w:spacing w:after="0" w:line="127" w:lineRule="exact"/>
        <w:rPr>
          <w:sz w:val="20"/>
          <w:szCs w:val="20"/>
          <w:color w:val="auto"/>
        </w:rPr>
      </w:pPr>
    </w:p>
    <w:p>
      <w:pPr>
        <w:ind w:left="500" w:hanging="496"/>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2,402</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9,466</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7,638</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5,218</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3,392</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5,746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591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6" w:lineRule="exact"/>
        <w:rPr>
          <w:sz w:val="20"/>
          <w:szCs w:val="20"/>
          <w:color w:val="auto"/>
        </w:rPr>
      </w:pPr>
    </w:p>
    <w:p>
      <w:pPr>
        <w:ind w:left="400" w:hanging="396"/>
        <w:spacing w:after="0"/>
        <w:tabs>
          <w:tab w:leader="none" w:pos="400" w:val="left"/>
        </w:tabs>
        <w:numPr>
          <w:ilvl w:val="0"/>
          <w:numId w:val="1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33,862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591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700"/>
          </w:cols>
          <w:pgMar w:left="240" w:top="459" w:right="359" w:bottom="1440" w:gutter="0" w:footer="0" w:header="0"/>
          <w:type w:val="continuous"/>
        </w:sectPr>
      </w:pP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00"/>
          </w:cols>
          <w:pgMar w:left="240" w:top="459" w:right="3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slight increase in interest income for the three months ended December 31, 2017 compared to the prior year period was the result of slightly higher average interest rates on our investments during the third quarter of fiscal year 2018 compared to the prior year period, although we had lower average invested cash balances. This increase was partially offset by the effect of payments in the prior year period under the Settlement Agreement recognized as interest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The $2.4 million decrease in interest expense in the three months ended December 31, 2017 compared to the prior year period was due to an increase of $2.4 million in the amount of interest capitalized during the third quarter of fiscal year 2018 compared to the prior year period. Capitalized interest expense during the three months ended December 31, 2017 and 2016 related to the construction of our ViaSat-2 satellite and related gateway and networking equipment, construction of our ViaSat-3 class satellites and other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For the three months ended December 31, 2017, we recorded an income tax provision of $2.2 million, resulting in a negative effective tax rate of 8.8%. For the three months ended December 31, 2016, we recorded an income tax provision of $0.9 million, resulting in an effective tax rate of 15.5%. The effective tax rates for the periods differed from the U.S. statutory rate due primarily to the benefit of research and development tax credits, offset in the current year period by additional income tax expense due to the revaluation of net deferred tax assets resulting from the lowering of the corporate federal income tax rate from 35% to 21% under H.R.1, informally known as the Tax Cuts and Jobs Act, which was enacted into law on December 22, 2017 (the Tax Reform).</w:t>
      </w:r>
    </w:p>
    <w:p>
      <w:pPr>
        <w:spacing w:after="0" w:line="15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 However, when a reliable estimate cannot be made, we compute our provision for income taxes using the actual effective tax rate method for the year-to-date period. For the three months ended December 31, 2016, we used the actual effective tax rate method in calculating the income tax provision for the period as a reliable estimate of the annual effective tax rate could not be made.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December 31, 2017 vs. Three Months Ended December 31,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Percentage</w:t>
            </w:r>
          </w:p>
        </w:tc>
      </w:tr>
      <w:tr>
        <w:trPr>
          <w:trHeight w:val="125"/>
        </w:trPr>
        <w:tc>
          <w:tcPr>
            <w:tcW w:w="2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8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88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4"/>
                <w:szCs w:val="14"/>
                <w:b w:val="1"/>
                <w:bCs w:val="1"/>
                <w:color w:val="auto"/>
                <w:w w:val="94"/>
              </w:rPr>
              <w:t>December 31,</w:t>
            </w:r>
          </w:p>
        </w:tc>
        <w:tc>
          <w:tcPr>
            <w:tcW w:w="580" w:type="dxa"/>
            <w:vAlign w:val="bottom"/>
          </w:tcPr>
          <w:p>
            <w:pPr>
              <w:spacing w:after="0"/>
              <w:rPr>
                <w:sz w:val="10"/>
                <w:szCs w:val="10"/>
                <w:color w:val="auto"/>
              </w:rPr>
            </w:pPr>
          </w:p>
        </w:tc>
        <w:tc>
          <w:tcPr>
            <w:tcW w:w="1340" w:type="dxa"/>
            <w:vAlign w:val="bottom"/>
            <w:gridSpan w:val="3"/>
          </w:tcPr>
          <w:p>
            <w:pPr>
              <w:ind w:left="80"/>
              <w:spacing w:after="0" w:line="125" w:lineRule="exact"/>
              <w:rPr>
                <w:sz w:val="20"/>
                <w:szCs w:val="20"/>
                <w:color w:val="auto"/>
              </w:rPr>
            </w:pPr>
            <w:r>
              <w:rPr>
                <w:rFonts w:ascii="Arial" w:cs="Arial" w:eastAsia="Arial" w:hAnsi="Arial"/>
                <w:sz w:val="14"/>
                <w:szCs w:val="14"/>
                <w:b w:val="1"/>
                <w:bCs w:val="1"/>
                <w:color w:val="auto"/>
              </w:rPr>
              <w:t>Increase</w:t>
            </w:r>
          </w:p>
        </w:tc>
        <w:tc>
          <w:tcPr>
            <w:tcW w:w="10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4"/>
              </w:rPr>
              <w:t>Increase</w:t>
            </w:r>
          </w:p>
        </w:tc>
      </w:tr>
      <w:tr>
        <w:trPr>
          <w:trHeight w:val="152"/>
        </w:trPr>
        <w:tc>
          <w:tcPr>
            <w:tcW w:w="36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0"/>
              <w:spacing w:after="0" w:line="15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34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260"/>
              <w:spacing w:after="0" w:line="152" w:lineRule="exact"/>
              <w:rPr>
                <w:sz w:val="20"/>
                <w:szCs w:val="20"/>
                <w:color w:val="auto"/>
              </w:rPr>
            </w:pPr>
            <w:r>
              <w:rPr>
                <w:rFonts w:ascii="Arial" w:cs="Arial" w:eastAsia="Arial" w:hAnsi="Arial"/>
                <w:sz w:val="14"/>
                <w:szCs w:val="14"/>
                <w:b w:val="1"/>
                <w:bCs w:val="1"/>
                <w:color w:val="auto"/>
                <w:w w:val="97"/>
              </w:rPr>
              <w:t>(Decrease)</w:t>
            </w: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r>
      <w:tr>
        <w:trPr>
          <w:trHeight w:val="190"/>
        </w:trPr>
        <w:tc>
          <w:tcPr>
            <w:tcW w:w="3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Segment product revenues</w:t>
            </w:r>
          </w:p>
        </w:tc>
        <w:tc>
          <w:tcPr>
            <w:tcW w:w="1760" w:type="dxa"/>
            <w:vAlign w:val="bottom"/>
            <w:gridSpan w:val="2"/>
            <w:shd w:val="clear" w:color="auto" w:fill="CCEEFF"/>
          </w:tcPr>
          <w:p>
            <w:pPr>
              <w:ind w:left="156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8"/>
                <w:szCs w:val="18"/>
                <w:color w:val="auto"/>
              </w:rPr>
              <w:t>(6.9)</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(96.7)%</w:t>
            </w:r>
          </w:p>
        </w:tc>
      </w:tr>
      <w:tr>
        <w:trPr>
          <w:trHeight w:val="203"/>
        </w:trPr>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144.3</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153.0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(8.7)</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w:t>
            </w:r>
          </w:p>
        </w:tc>
      </w:tr>
      <w:tr>
        <w:trPr>
          <w:trHeight w:val="27"/>
        </w:trPr>
        <w:tc>
          <w:tcPr>
            <w:tcW w:w="2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3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segment revenues</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144.5</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160.1</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(15.5)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satellite services segment revenues decreased by $15.5 million as a result of an $8.7 million decrease in service revenues and a</w:t>
      </w:r>
    </w:p>
    <w:p>
      <w:pPr>
        <w:spacing w:after="0"/>
        <w:rPr>
          <w:sz w:val="20"/>
          <w:szCs w:val="20"/>
          <w:color w:val="auto"/>
        </w:rPr>
      </w:pPr>
      <w:r>
        <w:rPr>
          <w:rFonts w:ascii="Arial" w:cs="Arial" w:eastAsia="Arial" w:hAnsi="Arial"/>
          <w:sz w:val="16"/>
          <w:szCs w:val="16"/>
          <w:color w:val="auto"/>
        </w:rPr>
        <w:t>$6.9 million decrease in product revenues. The decrease in service revenues was primarily driven by a decrease in fixed broadband services due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a decrease in the overall number of residential subscribers, partially offset by higher average revenue per subscriber compared to the prior year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period and the expansion of our in-flight services. As of December 31, 2017, 589 commercial aircraft were in service utilizing our in-flight internet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services, compared to 555 commercial aircraft in service as of December 31, 2016. Total subscribers of our fixed broadband services decreased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year over year, with approximately 577,000 subscribers at December 31, 2017 compared to 675,000 subscribers at December 31, 2016. The</w:t>
      </w:r>
    </w:p>
    <w:p>
      <w:pPr>
        <w:spacing w:after="0"/>
        <w:rPr>
          <w:sz w:val="20"/>
          <w:szCs w:val="20"/>
          <w:color w:val="auto"/>
        </w:rPr>
      </w:pPr>
      <w:r>
        <w:rPr>
          <w:rFonts w:ascii="Arial" w:cs="Arial" w:eastAsia="Arial" w:hAnsi="Arial"/>
          <w:sz w:val="16"/>
          <w:szCs w:val="16"/>
          <w:color w:val="auto"/>
        </w:rPr>
        <w:t>decrease in product revenues reflected the payments in the prior year period under the Settlement Agreement recognized as product revenue. 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March 31, 2017 all payments pursuant to the Settlement Agreement had been recorded and no further impacts to our consolidated financial</w:t>
      </w:r>
    </w:p>
    <w:p>
      <w:pPr>
        <w:spacing w:after="0"/>
        <w:rPr>
          <w:sz w:val="20"/>
          <w:szCs w:val="20"/>
          <w:color w:val="auto"/>
        </w:rPr>
      </w:pPr>
      <w:r>
        <w:rPr>
          <w:rFonts w:ascii="Arial" w:cs="Arial" w:eastAsia="Arial" w:hAnsi="Arial"/>
          <w:sz w:val="18"/>
          <w:szCs w:val="18"/>
          <w:color w:val="auto"/>
        </w:rPr>
        <w:t>statements are anticipated related to the Settlement Agreement.</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94"/>
              </w:rPr>
              <w:t>December 31,</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jc w:val="center"/>
              <w:ind w:right="660"/>
              <w:spacing w:after="0" w:line="125" w:lineRule="exact"/>
              <w:rPr>
                <w:sz w:val="20"/>
                <w:szCs w:val="20"/>
                <w:color w:val="auto"/>
              </w:rPr>
            </w:pPr>
            <w:r>
              <w:rPr>
                <w:rFonts w:ascii="Arial" w:cs="Arial" w:eastAsia="Arial" w:hAnsi="Arial"/>
                <w:sz w:val="14"/>
                <w:szCs w:val="14"/>
                <w:b w:val="1"/>
                <w:bCs w:val="1"/>
                <w:color w:val="auto"/>
                <w:w w:val="98"/>
              </w:rPr>
              <w:t>Increase</w:t>
            </w:r>
          </w:p>
        </w:tc>
        <w:tc>
          <w:tcPr>
            <w:tcW w:w="10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374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2"/>
              <w:spacing w:after="0" w:line="152" w:lineRule="exact"/>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right"/>
              <w:ind w:right="199"/>
              <w:spacing w:after="0" w:line="152" w:lineRule="exact"/>
              <w:rPr>
                <w:sz w:val="20"/>
                <w:szCs w:val="20"/>
                <w:color w:val="auto"/>
              </w:rPr>
            </w:pPr>
            <w:r>
              <w:rPr>
                <w:rFonts w:ascii="Arial" w:cs="Arial" w:eastAsia="Arial" w:hAnsi="Arial"/>
                <w:sz w:val="14"/>
                <w:szCs w:val="14"/>
                <w:b w:val="1"/>
                <w:bCs w:val="1"/>
                <w:color w:val="auto"/>
                <w:w w:val="89"/>
              </w:rPr>
              <w:t>2016</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660"/>
              <w:spacing w:after="0" w:line="152" w:lineRule="exact"/>
              <w:rPr>
                <w:sz w:val="20"/>
                <w:szCs w:val="20"/>
                <w:color w:val="auto"/>
              </w:rPr>
            </w:pPr>
            <w:r>
              <w:rPr>
                <w:rFonts w:ascii="Arial" w:cs="Arial" w:eastAsia="Arial" w:hAnsi="Arial"/>
                <w:sz w:val="14"/>
                <w:szCs w:val="14"/>
                <w:b w:val="1"/>
                <w:bCs w:val="1"/>
                <w:color w:val="auto"/>
                <w:w w:val="94"/>
              </w:rPr>
              <w:t>(Decrease)</w:t>
            </w:r>
          </w:p>
        </w:tc>
        <w:tc>
          <w:tcPr>
            <w:tcW w:w="1000" w:type="dxa"/>
            <w:vAlign w:val="bottom"/>
            <w:gridSpan w:val="2"/>
          </w:tcPr>
          <w:p>
            <w:pPr>
              <w:jc w:val="center"/>
              <w:ind w:right="260"/>
              <w:spacing w:after="0" w:line="15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0"/>
        </w:trPr>
        <w:tc>
          <w:tcPr>
            <w:tcW w:w="2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6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vMerge w:val="continue"/>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w w:val="87"/>
              </w:rPr>
              <w:t>1.7</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1"/>
              </w:rPr>
              <w:t>34.8</w:t>
            </w:r>
          </w:p>
        </w:tc>
        <w:tc>
          <w:tcPr>
            <w:tcW w:w="46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580"/>
              <w:spacing w:after="0" w:line="189" w:lineRule="exact"/>
              <w:rPr>
                <w:sz w:val="20"/>
                <w:szCs w:val="20"/>
                <w:color w:val="auto"/>
              </w:rPr>
            </w:pPr>
            <w:r>
              <w:rPr>
                <w:rFonts w:ascii="Arial" w:cs="Arial" w:eastAsia="Arial" w:hAnsi="Arial"/>
                <w:sz w:val="18"/>
                <w:szCs w:val="18"/>
                <w:color w:val="auto"/>
              </w:rPr>
              <w:t>$  (33.2)</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4"/>
        </w:trPr>
        <w:tc>
          <w:tcPr>
            <w:tcW w:w="3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The decrease in our satellite services segment operating profit was driven primarily by lower earnings contributions of $21.8 million, primarily due to the decrease in product revenues resulting from the completion of payments under the Settlement Agreement during fiscal year 2017, as well as lower margins related to in-flight services and fixed broadband services due to the ramp up of large-scale commercial air in-flight connectivity services and preparation for the ViaSat-2 service launch, as well as in support of the expansion of our international businesses. The decrease in operating profit was further impacted by higher SG&amp;A costs of $11.2 million compared to the prior year period, mainly due to the higher employee-related costs supporting the ViaSat-2 service launch, as well as in support of the expansion of our international businesses.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r>
      <w:tr>
        <w:trPr>
          <w:trHeight w:val="125"/>
        </w:trPr>
        <w:tc>
          <w:tcPr>
            <w:tcW w:w="21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88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1340" w:type="dxa"/>
            <w:vAlign w:val="bottom"/>
            <w:gridSpan w:val="3"/>
          </w:tcPr>
          <w:p>
            <w:pPr>
              <w:jc w:val="right"/>
              <w:ind w:right="720"/>
              <w:spacing w:after="0" w:line="125" w:lineRule="exact"/>
              <w:rPr>
                <w:sz w:val="20"/>
                <w:szCs w:val="20"/>
                <w:color w:val="auto"/>
              </w:rPr>
            </w:pPr>
            <w:r>
              <w:rPr>
                <w:rFonts w:ascii="Arial" w:cs="Arial" w:eastAsia="Arial" w:hAnsi="Arial"/>
                <w:sz w:val="14"/>
                <w:szCs w:val="14"/>
                <w:b w:val="1"/>
                <w:bCs w:val="1"/>
                <w:color w:val="auto"/>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r>
      <w:tr>
        <w:trPr>
          <w:trHeight w:val="152"/>
        </w:trPr>
        <w:tc>
          <w:tcPr>
            <w:tcW w:w="518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3"/>
                <w:szCs w:val="13"/>
                <w:color w:val="auto"/>
              </w:rPr>
            </w:pPr>
          </w:p>
        </w:tc>
        <w:tc>
          <w:tcPr>
            <w:tcW w:w="700" w:type="dxa"/>
            <w:vAlign w:val="bottom"/>
          </w:tcPr>
          <w:p>
            <w:pPr>
              <w:jc w:val="right"/>
              <w:ind w:right="220"/>
              <w:spacing w:after="0" w:line="152"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340" w:type="dxa"/>
            <w:vAlign w:val="bottom"/>
            <w:gridSpan w:val="3"/>
          </w:tcPr>
          <w:p>
            <w:pPr>
              <w:jc w:val="right"/>
              <w:ind w:right="640"/>
              <w:spacing w:after="0" w:line="152" w:lineRule="exact"/>
              <w:rPr>
                <w:sz w:val="20"/>
                <w:szCs w:val="20"/>
                <w:color w:val="auto"/>
              </w:rPr>
            </w:pPr>
            <w:r>
              <w:rPr>
                <w:rFonts w:ascii="Arial" w:cs="Arial" w:eastAsia="Arial" w:hAnsi="Arial"/>
                <w:sz w:val="14"/>
                <w:szCs w:val="14"/>
                <w:b w:val="1"/>
                <w:bCs w:val="1"/>
                <w:color w:val="auto"/>
                <w:w w:val="94"/>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90"/>
        </w:trPr>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Segment product revenues</w:t>
            </w: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47.1</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46.9</w:t>
            </w: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0.4%</w:t>
            </w: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12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0.8</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w:t>
            </w:r>
          </w:p>
        </w:tc>
      </w:tr>
      <w:tr>
        <w:trPr>
          <w:trHeight w:val="27"/>
        </w:trPr>
        <w:tc>
          <w:tcPr>
            <w:tcW w:w="2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segment revenues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55.5</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w:t>
            </w:r>
          </w:p>
        </w:tc>
      </w:tr>
    </w:tbl>
    <w:p>
      <w:pPr>
        <w:spacing w:after="0" w:line="165"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Our commercial networks segment revenues increased by $1.0 million, primarily due to an $0.8 million increase in service revenues. The increase in service revenues was primarily due to an increase of $1.3 million in fixed satellite networks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68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780" w:type="dxa"/>
            <w:vAlign w:val="bottom"/>
          </w:tcPr>
          <w:p>
            <w:pPr>
              <w:spacing w:after="0"/>
              <w:rPr>
                <w:sz w:val="10"/>
                <w:szCs w:val="10"/>
                <w:color w:val="auto"/>
              </w:rPr>
            </w:pPr>
          </w:p>
        </w:tc>
        <w:tc>
          <w:tcPr>
            <w:tcW w:w="12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(Increase)</w:t>
            </w:r>
          </w:p>
        </w:tc>
        <w:tc>
          <w:tcPr>
            <w:tcW w:w="100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6"/>
              </w:rPr>
              <w:t>(Increase)</w:t>
            </w:r>
          </w:p>
        </w:tc>
        <w:tc>
          <w:tcPr>
            <w:tcW w:w="0" w:type="dxa"/>
            <w:vAlign w:val="bottom"/>
          </w:tcPr>
          <w:p>
            <w:pPr>
              <w:spacing w:after="0"/>
              <w:rPr>
                <w:sz w:val="1"/>
                <w:szCs w:val="1"/>
                <w:color w:val="auto"/>
              </w:rPr>
            </w:pPr>
          </w:p>
        </w:tc>
      </w:tr>
      <w:tr>
        <w:trPr>
          <w:trHeight w:val="152"/>
        </w:trPr>
        <w:tc>
          <w:tcPr>
            <w:tcW w:w="48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3"/>
                <w:szCs w:val="13"/>
                <w:color w:val="auto"/>
              </w:rPr>
            </w:pPr>
          </w:p>
        </w:tc>
        <w:tc>
          <w:tcPr>
            <w:tcW w:w="700" w:type="dxa"/>
            <w:vAlign w:val="bottom"/>
          </w:tcPr>
          <w:p>
            <w:pPr>
              <w:jc w:val="right"/>
              <w:ind w:right="222"/>
              <w:spacing w:after="0" w:line="152" w:lineRule="exact"/>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219"/>
              <w:spacing w:after="0" w:line="152" w:lineRule="exact"/>
              <w:rPr>
                <w:sz w:val="20"/>
                <w:szCs w:val="20"/>
                <w:color w:val="auto"/>
              </w:rPr>
            </w:pPr>
            <w:r>
              <w:rPr>
                <w:rFonts w:ascii="Arial" w:cs="Arial" w:eastAsia="Arial" w:hAnsi="Arial"/>
                <w:sz w:val="14"/>
                <w:szCs w:val="14"/>
                <w:b w:val="1"/>
                <w:bCs w:val="1"/>
                <w:color w:val="auto"/>
                <w:w w:val="96"/>
              </w:rPr>
              <w:t>2016</w:t>
            </w:r>
          </w:p>
        </w:tc>
        <w:tc>
          <w:tcPr>
            <w:tcW w:w="780" w:type="dxa"/>
            <w:vAlign w:val="bottom"/>
          </w:tcPr>
          <w:p>
            <w:pPr>
              <w:spacing w:after="0"/>
              <w:rPr>
                <w:sz w:val="13"/>
                <w:szCs w:val="13"/>
                <w:color w:val="auto"/>
              </w:rPr>
            </w:pPr>
          </w:p>
        </w:tc>
        <w:tc>
          <w:tcPr>
            <w:tcW w:w="128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280"/>
              <w:spacing w:after="0" w:line="152" w:lineRule="exact"/>
              <w:rPr>
                <w:sz w:val="20"/>
                <w:szCs w:val="20"/>
                <w:color w:val="auto"/>
              </w:rPr>
            </w:pPr>
            <w:r>
              <w:rPr>
                <w:rFonts w:ascii="Arial" w:cs="Arial" w:eastAsia="Arial" w:hAnsi="Arial"/>
                <w:sz w:val="14"/>
                <w:szCs w:val="14"/>
                <w:b w:val="1"/>
                <w:bCs w:val="1"/>
                <w:color w:val="auto"/>
                <w:w w:val="96"/>
              </w:rPr>
              <w:t>Decrease</w:t>
            </w:r>
          </w:p>
        </w:tc>
        <w:tc>
          <w:tcPr>
            <w:tcW w:w="0" w:type="dxa"/>
            <w:vAlign w:val="bottom"/>
          </w:tcPr>
          <w:p>
            <w:pPr>
              <w:spacing w:after="0"/>
              <w:rPr>
                <w:sz w:val="1"/>
                <w:szCs w:val="1"/>
                <w:color w:val="auto"/>
              </w:rPr>
            </w:pPr>
          </w:p>
        </w:tc>
      </w:tr>
      <w:tr>
        <w:trPr>
          <w:trHeight w:val="20"/>
        </w:trPr>
        <w:tc>
          <w:tcPr>
            <w:tcW w:w="2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27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vMerge w:val="continue"/>
            <w:shd w:val="clear" w:color="auto" w:fill="CCEEFF"/>
          </w:tcPr>
          <w:p>
            <w:pPr>
              <w:spacing w:after="0"/>
              <w:rPr>
                <w:sz w:val="16"/>
                <w:szCs w:val="16"/>
                <w:color w:val="auto"/>
              </w:rPr>
            </w:pPr>
          </w:p>
        </w:tc>
        <w:tc>
          <w:tcPr>
            <w:tcW w:w="27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(48.6)</w:t>
            </w:r>
          </w:p>
        </w:tc>
        <w:tc>
          <w:tcPr>
            <w:tcW w:w="1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   (4.9)</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4"/>
        </w:trPr>
        <w:tc>
          <w:tcPr>
            <w:tcW w:w="48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00" w:type="dxa"/>
            <w:vAlign w:val="bottom"/>
          </w:tcPr>
          <w:p>
            <w:pPr>
              <w:spacing w:after="0"/>
              <w:rPr>
                <w:sz w:val="18"/>
                <w:szCs w:val="18"/>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(96.3)%</w:t>
            </w:r>
          </w:p>
        </w:tc>
        <w:tc>
          <w:tcPr>
            <w:tcW w:w="28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(89.2)%</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20" w:firstLine="456"/>
        <w:spacing w:after="0" w:line="239" w:lineRule="auto"/>
        <w:rPr>
          <w:sz w:val="20"/>
          <w:szCs w:val="20"/>
          <w:color w:val="auto"/>
        </w:rPr>
      </w:pPr>
      <w:r>
        <w:rPr>
          <w:rFonts w:ascii="Arial" w:cs="Arial" w:eastAsia="Arial" w:hAnsi="Arial"/>
          <w:sz w:val="18"/>
          <w:szCs w:val="18"/>
          <w:color w:val="auto"/>
        </w:rPr>
        <w:t>The $4.9 million increase in our commercial networks segment operating loss was driven primarily by an $4.1 million increase in overall SG&amp;A costs (primarily due to the higher employee-related costs supporting our commercial air growth activities).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r>
      <w:tr>
        <w:trPr>
          <w:trHeight w:val="125"/>
        </w:trPr>
        <w:tc>
          <w:tcPr>
            <w:tcW w:w="2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1360" w:type="dxa"/>
            <w:vAlign w:val="bottom"/>
            <w:gridSpan w:val="3"/>
          </w:tcPr>
          <w:p>
            <w:pPr>
              <w:jc w:val="right"/>
              <w:ind w:right="720"/>
              <w:spacing w:after="0" w:line="125" w:lineRule="exact"/>
              <w:rPr>
                <w:sz w:val="20"/>
                <w:szCs w:val="20"/>
                <w:color w:val="auto"/>
              </w:rPr>
            </w:pPr>
            <w:r>
              <w:rPr>
                <w:rFonts w:ascii="Arial" w:cs="Arial" w:eastAsia="Arial" w:hAnsi="Arial"/>
                <w:sz w:val="14"/>
                <w:szCs w:val="14"/>
                <w:b w:val="1"/>
                <w:bCs w:val="1"/>
                <w:color w:val="auto"/>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r>
      <w:tr>
        <w:trPr>
          <w:trHeight w:val="152"/>
        </w:trPr>
        <w:tc>
          <w:tcPr>
            <w:tcW w:w="362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0"/>
              <w:spacing w:after="0" w:line="152"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36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90"/>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Segment product revenues</w:t>
            </w:r>
          </w:p>
        </w:tc>
        <w:tc>
          <w:tcPr>
            <w:tcW w:w="1700" w:type="dxa"/>
            <w:vAlign w:val="bottom"/>
            <w:gridSpan w:val="2"/>
            <w:shd w:val="clear" w:color="auto" w:fill="CCEEFF"/>
          </w:tcPr>
          <w:p>
            <w:pPr>
              <w:ind w:left="150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128.7</w:t>
            </w:r>
          </w:p>
        </w:tc>
        <w:tc>
          <w:tcPr>
            <w:tcW w:w="840" w:type="dxa"/>
            <w:vAlign w:val="bottom"/>
            <w:gridSpan w:val="2"/>
            <w:shd w:val="clear" w:color="auto" w:fill="CCEEFF"/>
          </w:tcPr>
          <w:p>
            <w:pPr>
              <w:ind w:left="6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115.6</w:t>
            </w:r>
          </w:p>
        </w:tc>
        <w:tc>
          <w:tcPr>
            <w:tcW w:w="780" w:type="dxa"/>
            <w:vAlign w:val="bottom"/>
            <w:gridSpan w:val="2"/>
            <w:shd w:val="clear" w:color="auto" w:fill="CCEEFF"/>
          </w:tcPr>
          <w:p>
            <w:pPr>
              <w:ind w:left="64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13.1</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11.3%</w:t>
            </w: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53.1</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2.7</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w:t>
            </w:r>
          </w:p>
        </w:tc>
      </w:tr>
      <w:tr>
        <w:trPr>
          <w:trHeight w:val="27"/>
        </w:trPr>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segment revenues</w:t>
            </w: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181.8</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166.0</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15.7</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government systems segment revenues increased by $15.7 million due to increases of $13.1 million in product revenues and</w:t>
      </w:r>
    </w:p>
    <w:p>
      <w:pPr>
        <w:spacing w:after="0" w:line="234" w:lineRule="auto"/>
        <w:rPr>
          <w:sz w:val="20"/>
          <w:szCs w:val="20"/>
          <w:color w:val="auto"/>
        </w:rPr>
      </w:pPr>
      <w:r>
        <w:rPr>
          <w:rFonts w:ascii="Arial" w:cs="Arial" w:eastAsia="Arial" w:hAnsi="Arial"/>
          <w:sz w:val="18"/>
          <w:szCs w:val="18"/>
          <w:color w:val="auto"/>
        </w:rPr>
        <w:t>$2.7 million in service revenues. The product revenue increase was primarily due to a $12.1 million increase in tactical data link products, a</w:t>
      </w:r>
    </w:p>
    <w:p>
      <w:pPr>
        <w:spacing w:after="0" w:line="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$5.1 million increase in cybersecurity and information assurance products and a $2.5 million increase in tactical satcom radio products, partially offset by a $5.1 million decrease in government satellite communications systems products.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740" w:type="dxa"/>
            <w:vAlign w:val="bottom"/>
          </w:tcPr>
          <w:p>
            <w:pPr>
              <w:spacing w:after="0"/>
              <w:rPr>
                <w:sz w:val="10"/>
                <w:szCs w:val="10"/>
                <w:color w:val="auto"/>
              </w:rPr>
            </w:pPr>
          </w:p>
        </w:tc>
        <w:tc>
          <w:tcPr>
            <w:tcW w:w="1300" w:type="dxa"/>
            <w:vAlign w:val="bottom"/>
            <w:gridSpan w:val="3"/>
          </w:tcPr>
          <w:p>
            <w:pPr>
              <w:jc w:val="center"/>
              <w:ind w:right="600"/>
              <w:spacing w:after="0" w:line="125" w:lineRule="exact"/>
              <w:rPr>
                <w:sz w:val="20"/>
                <w:szCs w:val="20"/>
                <w:color w:val="auto"/>
              </w:rPr>
            </w:pPr>
            <w:r>
              <w:rPr>
                <w:rFonts w:ascii="Arial" w:cs="Arial" w:eastAsia="Arial" w:hAnsi="Arial"/>
                <w:sz w:val="14"/>
                <w:szCs w:val="14"/>
                <w:b w:val="1"/>
                <w:bCs w:val="1"/>
                <w:color w:val="auto"/>
                <w:w w:val="94"/>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52"/>
        </w:trPr>
        <w:tc>
          <w:tcPr>
            <w:tcW w:w="380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22"/>
              <w:spacing w:after="0" w:line="152" w:lineRule="exact"/>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jc w:val="right"/>
              <w:ind w:right="219"/>
              <w:spacing w:after="0" w:line="152" w:lineRule="exact"/>
              <w:rPr>
                <w:sz w:val="20"/>
                <w:szCs w:val="20"/>
                <w:color w:val="auto"/>
              </w:rPr>
            </w:pPr>
            <w:r>
              <w:rPr>
                <w:rFonts w:ascii="Arial" w:cs="Arial" w:eastAsia="Arial" w:hAnsi="Arial"/>
                <w:sz w:val="14"/>
                <w:szCs w:val="14"/>
                <w:b w:val="1"/>
                <w:bCs w:val="1"/>
                <w:color w:val="auto"/>
                <w:w w:val="89"/>
              </w:rPr>
              <w:t>2016</w:t>
            </w:r>
          </w:p>
        </w:tc>
        <w:tc>
          <w:tcPr>
            <w:tcW w:w="740" w:type="dxa"/>
            <w:vAlign w:val="bottom"/>
          </w:tcPr>
          <w:p>
            <w:pPr>
              <w:spacing w:after="0"/>
              <w:rPr>
                <w:sz w:val="13"/>
                <w:szCs w:val="13"/>
                <w:color w:val="auto"/>
              </w:rPr>
            </w:pPr>
          </w:p>
        </w:tc>
        <w:tc>
          <w:tcPr>
            <w:tcW w:w="1300" w:type="dxa"/>
            <w:vAlign w:val="bottom"/>
            <w:gridSpan w:val="3"/>
          </w:tcPr>
          <w:p>
            <w:pPr>
              <w:jc w:val="center"/>
              <w:ind w:right="600"/>
              <w:spacing w:after="0" w:line="152" w:lineRule="exact"/>
              <w:rPr>
                <w:sz w:val="20"/>
                <w:szCs w:val="20"/>
                <w:color w:val="auto"/>
              </w:rPr>
            </w:pPr>
            <w:r>
              <w:rPr>
                <w:rFonts w:ascii="Arial" w:cs="Arial" w:eastAsia="Arial" w:hAnsi="Arial"/>
                <w:sz w:val="14"/>
                <w:szCs w:val="14"/>
                <w:b w:val="1"/>
                <w:bCs w:val="1"/>
                <w:color w:val="auto"/>
                <w:w w:val="97"/>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0"/>
        </w:trPr>
        <w:tc>
          <w:tcPr>
            <w:tcW w:w="2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7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vMerge w:val="continue"/>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1380" w:type="dxa"/>
            <w:vAlign w:val="bottom"/>
            <w:gridSpan w:val="2"/>
            <w:shd w:val="clear" w:color="auto" w:fill="CCEEFF"/>
          </w:tcPr>
          <w:p>
            <w:pPr>
              <w:ind w:left="1200"/>
              <w:spacing w:after="0" w:line="189"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29.7</w:t>
            </w:r>
          </w:p>
        </w:tc>
        <w:tc>
          <w:tcPr>
            <w:tcW w:w="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8"/>
                <w:szCs w:val="18"/>
                <w:color w:val="auto"/>
              </w:rPr>
              <w:t>5.6</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$5.6 million increase in our government systems segment operating profit reflected higher earnings contributions of $14.5 million, primarily due to higher revenues in our tactical data links products and cybersecurity and information assurance products, coupled with improved margins in global mobile broadband products and cybersecurity and information assurance products. This operating profit increase was partially offset by higher SG&amp;A costs of $4.6 million and higher IR&amp;D costs of $4.4 million (primarily related to research increases in the development of next-generation dual band mobility solutions).</w:t>
      </w:r>
    </w:p>
    <w:p>
      <w:pPr>
        <w:spacing w:after="0" w:line="216" w:lineRule="exact"/>
        <w:rPr>
          <w:sz w:val="20"/>
          <w:szCs w:val="20"/>
          <w:color w:val="auto"/>
        </w:rPr>
      </w:pPr>
    </w:p>
    <w:p>
      <w:pPr>
        <w:ind w:right="4400"/>
        <w:spacing w:after="0" w:line="358" w:lineRule="auto"/>
        <w:rPr>
          <w:sz w:val="20"/>
          <w:szCs w:val="20"/>
          <w:color w:val="auto"/>
        </w:rPr>
      </w:pPr>
      <w:r>
        <w:rPr>
          <w:rFonts w:ascii="Arial" w:cs="Arial" w:eastAsia="Arial" w:hAnsi="Arial"/>
          <w:sz w:val="18"/>
          <w:szCs w:val="18"/>
          <w:b w:val="1"/>
          <w:bCs w:val="1"/>
          <w:color w:val="auto"/>
        </w:rPr>
        <w:t xml:space="preserve">Nine Months Ended December 31, 2017 vs. Nine Months Ended December 31, 2016 </w:t>
      </w:r>
      <w:r>
        <w:rPr>
          <w:rFonts w:ascii="Arial" w:cs="Arial" w:eastAsia="Arial" w:hAnsi="Arial"/>
          <w:sz w:val="18"/>
          <w:szCs w:val="18"/>
          <w:i w:val="1"/>
          <w:iCs w:val="1"/>
          <w:color w:val="auto"/>
        </w:rPr>
        <w:t>Revenues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48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900" w:type="dxa"/>
            <w:vAlign w:val="bottom"/>
            <w:tcBorders>
              <w:top w:val="single" w:sz="8" w:color="auto"/>
            </w:tcBorders>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3"/>
          </w:tcPr>
          <w:p>
            <w:pPr>
              <w:jc w:val="right"/>
              <w:ind w:right="680"/>
              <w:spacing w:after="0" w:line="125" w:lineRule="exact"/>
              <w:rPr>
                <w:sz w:val="20"/>
                <w:szCs w:val="20"/>
                <w:color w:val="auto"/>
              </w:rPr>
            </w:pPr>
            <w:r>
              <w:rPr>
                <w:rFonts w:ascii="Arial" w:cs="Arial" w:eastAsia="Arial" w:hAnsi="Arial"/>
                <w:sz w:val="14"/>
                <w:szCs w:val="14"/>
                <w:b w:val="1"/>
                <w:bCs w:val="1"/>
                <w:color w:val="auto"/>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52"/>
        </w:trPr>
        <w:tc>
          <w:tcPr>
            <w:tcW w:w="52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3"/>
                <w:szCs w:val="13"/>
                <w:color w:val="auto"/>
              </w:rPr>
            </w:pPr>
          </w:p>
        </w:tc>
        <w:tc>
          <w:tcPr>
            <w:tcW w:w="700" w:type="dxa"/>
            <w:vAlign w:val="bottom"/>
          </w:tcPr>
          <w:p>
            <w:pPr>
              <w:jc w:val="right"/>
              <w:ind w:right="220"/>
              <w:spacing w:after="0" w:line="15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3"/>
          </w:tcPr>
          <w:p>
            <w:pPr>
              <w:jc w:val="right"/>
              <w:ind w:right="620"/>
              <w:spacing w:after="0" w:line="152" w:lineRule="exact"/>
              <w:rPr>
                <w:sz w:val="20"/>
                <w:szCs w:val="20"/>
                <w:color w:val="auto"/>
              </w:rPr>
            </w:pPr>
            <w:r>
              <w:rPr>
                <w:rFonts w:ascii="Arial" w:cs="Arial" w:eastAsia="Arial" w:hAnsi="Arial"/>
                <w:sz w:val="14"/>
                <w:szCs w:val="14"/>
                <w:b w:val="1"/>
                <w:bCs w:val="1"/>
                <w:color w:val="auto"/>
                <w:w w:val="94"/>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0"/>
        </w:trPr>
        <w:tc>
          <w:tcPr>
            <w:tcW w:w="2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vMerge w:val="continue"/>
            <w:shd w:val="clear" w:color="auto" w:fill="CCEEFF"/>
          </w:tcPr>
          <w:p>
            <w:pPr>
              <w:spacing w:after="0"/>
              <w:rPr>
                <w:sz w:val="16"/>
                <w:szCs w:val="16"/>
                <w:color w:val="auto"/>
              </w:rPr>
            </w:pPr>
          </w:p>
        </w:tc>
        <w:tc>
          <w:tcPr>
            <w:tcW w:w="31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523.9</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517.5</w:t>
            </w: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8"/>
                <w:szCs w:val="18"/>
                <w:color w:val="auto"/>
              </w:rPr>
              <w:t>6.4</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Service revenues</w:t>
            </w:r>
          </w:p>
        </w:tc>
        <w:tc>
          <w:tcPr>
            <w:tcW w:w="20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631.1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625.4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5.7</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5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1,155.0</w:t>
            </w:r>
          </w:p>
        </w:tc>
        <w:tc>
          <w:tcPr>
            <w:tcW w:w="5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1,142.9</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6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Our total revenues grew by $12.0 million as a result of a $6.4 million increase in product revenues and a $5.7 million increase in service revenues. The product revenue increase was driven by an increase of $59.3 million in our government systems segment, partially offset by decreases of $33.0 million in our commercial networks segment and $19.9 million in our satellite services segment. The service revenue increase was driven by increases of $5.6 million in our government systems segment and $4.5 million in our commercial networks segment, partially offset by a decrease of $4.5 million in our satellite services segment.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0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6"/>
              </w:rPr>
              <w:t>December 31,</w:t>
            </w:r>
          </w:p>
        </w:tc>
        <w:tc>
          <w:tcPr>
            <w:tcW w:w="640" w:type="dxa"/>
            <w:vAlign w:val="bottom"/>
          </w:tcPr>
          <w:p>
            <w:pPr>
              <w:spacing w:after="0"/>
              <w:rPr>
                <w:sz w:val="10"/>
                <w:szCs w:val="10"/>
                <w:color w:val="auto"/>
              </w:rPr>
            </w:pPr>
          </w:p>
        </w:tc>
        <w:tc>
          <w:tcPr>
            <w:tcW w:w="90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6"/>
              </w:rPr>
              <w:t>December 31,</w:t>
            </w:r>
          </w:p>
        </w:tc>
        <w:tc>
          <w:tcPr>
            <w:tcW w:w="640" w:type="dxa"/>
            <w:vAlign w:val="bottom"/>
          </w:tcPr>
          <w:p>
            <w:pPr>
              <w:spacing w:after="0"/>
              <w:rPr>
                <w:sz w:val="10"/>
                <w:szCs w:val="10"/>
                <w:color w:val="auto"/>
              </w:rPr>
            </w:pPr>
          </w:p>
        </w:tc>
        <w:tc>
          <w:tcPr>
            <w:tcW w:w="1360" w:type="dxa"/>
            <w:vAlign w:val="bottom"/>
            <w:gridSpan w:val="3"/>
          </w:tcPr>
          <w:p>
            <w:pPr>
              <w:ind w:left="80"/>
              <w:spacing w:after="0" w:line="125" w:lineRule="exact"/>
              <w:rPr>
                <w:sz w:val="20"/>
                <w:szCs w:val="20"/>
                <w:color w:val="auto"/>
              </w:rPr>
            </w:pPr>
            <w:r>
              <w:rPr>
                <w:rFonts w:ascii="Arial" w:cs="Arial" w:eastAsia="Arial" w:hAnsi="Arial"/>
                <w:sz w:val="14"/>
                <w:szCs w:val="14"/>
                <w:b w:val="1"/>
                <w:bCs w:val="1"/>
                <w:color w:val="auto"/>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52"/>
        </w:trPr>
        <w:tc>
          <w:tcPr>
            <w:tcW w:w="362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0"/>
              <w:spacing w:after="0" w:line="152"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36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0"/>
        </w:trPr>
        <w:tc>
          <w:tcPr>
            <w:tcW w:w="2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52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382.9</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382.1</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0.8</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Cost of service revenues</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410.5</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392.8</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17.7</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cost of revenues</w:t>
            </w: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793.5</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774.9</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18.6</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Cost of revenues increased by $18.6 million, primarily due to an increase of $17.7 million in cost of service revenues. This cost of service revenue increase mainly related to lower margins for in-flight internet services and fixed broadband services in our satellite services segment due to the ramp up of large-scale commercial air in-flight connectivity services and preparation for the ViaSat-2 service launch, partially offset by improved margins in global mobile broadband services in our government systems segment.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r>
      <w:tr>
        <w:trPr>
          <w:trHeight w:val="125"/>
        </w:trPr>
        <w:tc>
          <w:tcPr>
            <w:tcW w:w="2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1360" w:type="dxa"/>
            <w:vAlign w:val="bottom"/>
            <w:gridSpan w:val="3"/>
          </w:tcPr>
          <w:p>
            <w:pPr>
              <w:jc w:val="center"/>
              <w:ind w:right="640"/>
              <w:spacing w:after="0" w:line="125" w:lineRule="exact"/>
              <w:rPr>
                <w:sz w:val="20"/>
                <w:szCs w:val="20"/>
                <w:color w:val="auto"/>
              </w:rPr>
            </w:pPr>
            <w:r>
              <w:rPr>
                <w:rFonts w:ascii="Arial" w:cs="Arial" w:eastAsia="Arial" w:hAnsi="Arial"/>
                <w:sz w:val="14"/>
                <w:szCs w:val="14"/>
                <w:b w:val="1"/>
                <w:bCs w:val="1"/>
                <w:color w:val="auto"/>
                <w:w w:val="98"/>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r>
      <w:tr>
        <w:trPr>
          <w:trHeight w:val="152"/>
        </w:trPr>
        <w:tc>
          <w:tcPr>
            <w:tcW w:w="390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6"/>
              <w:spacing w:after="0" w:line="152"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2"/>
              <w:spacing w:after="0" w:line="15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360" w:type="dxa"/>
            <w:vAlign w:val="bottom"/>
            <w:gridSpan w:val="3"/>
          </w:tcPr>
          <w:p>
            <w:pPr>
              <w:jc w:val="center"/>
              <w:ind w:right="640"/>
              <w:spacing w:after="0" w:line="152" w:lineRule="exact"/>
              <w:rPr>
                <w:sz w:val="20"/>
                <w:szCs w:val="20"/>
                <w:color w:val="auto"/>
              </w:rPr>
            </w:pPr>
            <w:r>
              <w:rPr>
                <w:rFonts w:ascii="Arial" w:cs="Arial" w:eastAsia="Arial" w:hAnsi="Arial"/>
                <w:sz w:val="14"/>
                <w:szCs w:val="14"/>
                <w:b w:val="1"/>
                <w:bCs w:val="1"/>
                <w:color w:val="auto"/>
                <w:w w:val="94"/>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90"/>
        </w:trPr>
        <w:tc>
          <w:tcPr>
            <w:tcW w:w="3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Selling, general and administrative</w:t>
            </w:r>
          </w:p>
        </w:tc>
        <w:tc>
          <w:tcPr>
            <w:tcW w:w="1420" w:type="dxa"/>
            <w:vAlign w:val="bottom"/>
            <w:gridSpan w:val="2"/>
            <w:shd w:val="clear" w:color="auto" w:fill="CCEEFF"/>
          </w:tcPr>
          <w:p>
            <w:pPr>
              <w:ind w:left="122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279.4</w:t>
            </w:r>
          </w:p>
        </w:tc>
        <w:tc>
          <w:tcPr>
            <w:tcW w:w="840" w:type="dxa"/>
            <w:vAlign w:val="bottom"/>
            <w:gridSpan w:val="2"/>
            <w:shd w:val="clear" w:color="auto" w:fill="CCEEFF"/>
          </w:tcPr>
          <w:p>
            <w:pPr>
              <w:ind w:left="6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236.9</w:t>
            </w: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42.5</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17.9%</w:t>
            </w:r>
          </w:p>
        </w:tc>
      </w:tr>
    </w:tbl>
    <w:p>
      <w:pPr>
        <w:spacing w:after="0" w:line="16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$42.5 million increase in SG&amp;A expenses was primarily attributable to higher support costs of $36.5 million spread across all three segments, mainly due to the higher employee-related costs supporting the ViaSat-2 service launch and our commercial air growth activities, as well as in support of the expansion of our international business. In addition, new business proposal costs increased $3.9 million, driven primarily by increases in our government systems and commercial networks segments. Selling costs also increased $2.0 million, primarily due to an increase in our satellite services segment in preparation for the ViaSat-2 service launch. SG&amp;A expenses consisted primarily of personnel costs and expenses for business development, marketing and sales, bid and proposal, facilities, finance, contract administration and general management.</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459"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r>
      <w:tr>
        <w:trPr>
          <w:trHeight w:val="125"/>
        </w:trPr>
        <w:tc>
          <w:tcPr>
            <w:tcW w:w="2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640" w:type="dxa"/>
            <w:vAlign w:val="bottom"/>
          </w:tcPr>
          <w:p>
            <w:pPr>
              <w:spacing w:after="0"/>
              <w:rPr>
                <w:sz w:val="10"/>
                <w:szCs w:val="10"/>
                <w:color w:val="auto"/>
              </w:rPr>
            </w:pPr>
          </w:p>
        </w:tc>
        <w:tc>
          <w:tcPr>
            <w:tcW w:w="1360" w:type="dxa"/>
            <w:vAlign w:val="bottom"/>
            <w:gridSpan w:val="2"/>
          </w:tcPr>
          <w:p>
            <w:pPr>
              <w:jc w:val="center"/>
              <w:ind w:right="640"/>
              <w:spacing w:after="0" w:line="125" w:lineRule="exact"/>
              <w:rPr>
                <w:sz w:val="20"/>
                <w:szCs w:val="20"/>
                <w:color w:val="auto"/>
              </w:rPr>
            </w:pPr>
            <w:r>
              <w:rPr>
                <w:rFonts w:ascii="Arial" w:cs="Arial" w:eastAsia="Arial" w:hAnsi="Arial"/>
                <w:sz w:val="14"/>
                <w:szCs w:val="14"/>
                <w:b w:val="1"/>
                <w:bCs w:val="1"/>
                <w:color w:val="auto"/>
                <w:w w:val="98"/>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r>
      <w:tr>
        <w:trPr>
          <w:trHeight w:val="152"/>
        </w:trPr>
        <w:tc>
          <w:tcPr>
            <w:tcW w:w="412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6"/>
              <w:spacing w:after="0" w:line="152"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2"/>
              <w:spacing w:after="0" w:line="15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360" w:type="dxa"/>
            <w:vAlign w:val="bottom"/>
            <w:gridSpan w:val="2"/>
          </w:tcPr>
          <w:p>
            <w:pPr>
              <w:jc w:val="center"/>
              <w:ind w:right="640"/>
              <w:spacing w:after="0" w:line="152" w:lineRule="exact"/>
              <w:rPr>
                <w:sz w:val="20"/>
                <w:szCs w:val="20"/>
                <w:color w:val="auto"/>
              </w:rPr>
            </w:pPr>
            <w:r>
              <w:rPr>
                <w:rFonts w:ascii="Arial" w:cs="Arial" w:eastAsia="Arial" w:hAnsi="Arial"/>
                <w:sz w:val="14"/>
                <w:szCs w:val="14"/>
                <w:b w:val="1"/>
                <w:bCs w:val="1"/>
                <w:color w:val="auto"/>
                <w:w w:val="94"/>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90"/>
        </w:trPr>
        <w:tc>
          <w:tcPr>
            <w:tcW w:w="4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Independent research and development</w:t>
            </w:r>
          </w:p>
        </w:tc>
        <w:tc>
          <w:tcPr>
            <w:tcW w:w="1200" w:type="dxa"/>
            <w:vAlign w:val="bottom"/>
            <w:gridSpan w:val="2"/>
            <w:shd w:val="clear" w:color="auto" w:fill="CCEEFF"/>
          </w:tcPr>
          <w:p>
            <w:pPr>
              <w:ind w:left="100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131.5</w:t>
            </w:r>
          </w:p>
        </w:tc>
        <w:tc>
          <w:tcPr>
            <w:tcW w:w="840" w:type="dxa"/>
            <w:vAlign w:val="bottom"/>
            <w:gridSpan w:val="2"/>
            <w:shd w:val="clear" w:color="auto" w:fill="CCEEFF"/>
          </w:tcPr>
          <w:p>
            <w:pPr>
              <w:ind w:left="64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89.8</w:t>
            </w:r>
          </w:p>
        </w:tc>
        <w:tc>
          <w:tcPr>
            <w:tcW w:w="2000" w:type="dxa"/>
            <w:vAlign w:val="bottom"/>
            <w:gridSpan w:val="3"/>
            <w:shd w:val="clear" w:color="auto" w:fill="CCEEFF"/>
          </w:tcPr>
          <w:p>
            <w:pPr>
              <w:jc w:val="center"/>
              <w:ind w:right="20"/>
              <w:spacing w:after="0" w:line="189" w:lineRule="exact"/>
              <w:rPr>
                <w:sz w:val="20"/>
                <w:szCs w:val="20"/>
                <w:color w:val="auto"/>
              </w:rPr>
            </w:pPr>
            <w:r>
              <w:rPr>
                <w:rFonts w:ascii="Arial" w:cs="Arial" w:eastAsia="Arial" w:hAnsi="Arial"/>
                <w:sz w:val="18"/>
                <w:szCs w:val="18"/>
                <w:color w:val="auto"/>
              </w:rPr>
              <w:t>$   41.7</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46.4%</w:t>
            </w:r>
          </w:p>
        </w:tc>
      </w:tr>
    </w:tbl>
    <w:p>
      <w:pPr>
        <w:spacing w:after="0" w:line="165"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The $41.7 million increase in IR&amp;D expenses was primarily the result of increased IR&amp;D efforts of $27.7 million in our commercial networks segment (primarily related to an increase in IR&amp;D efforts relating to next-generation satellite payload technologies for our ViaSat-3 class satellites, next-generation consumer broadband integrated networking technologies and mobile broadband satellite communication systems for commercial airline platforms) and $13.7 million in our government systems segment (primarily related to research increases in the development of next-generation dual band mobility solutions).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$2.2 million increase in amortization of acquired intangible assets in the first nine months of fiscal year 2018 compared to the prior year period was primarily the result of our acquisition of Arconics in November 2016. Current and expected amortization expense for acquired intangible assets for each of the following periods is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For the nine months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-132715</wp:posOffset>
            </wp:positionV>
            <wp:extent cx="492252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spacing w:after="0" w:line="8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Expected for the remainder of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9525</wp:posOffset>
            </wp:positionV>
            <wp:extent cx="49225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Expected for fiscal year 2019</w:t>
      </w:r>
    </w:p>
    <w:p>
      <w:pPr>
        <w:ind w:left="1840"/>
        <w:spacing w:after="0" w:line="234" w:lineRule="auto"/>
        <w:rPr>
          <w:sz w:val="20"/>
          <w:szCs w:val="20"/>
          <w:color w:val="auto"/>
        </w:rPr>
      </w:pPr>
      <w:r>
        <w:rPr>
          <w:rFonts w:ascii="Arial" w:cs="Arial" w:eastAsia="Arial" w:hAnsi="Arial"/>
          <w:sz w:val="18"/>
          <w:szCs w:val="18"/>
          <w:color w:val="auto"/>
        </w:rPr>
        <w:t>Expected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line="235" w:lineRule="auto"/>
        <w:rPr>
          <w:sz w:val="20"/>
          <w:szCs w:val="20"/>
          <w:color w:val="auto"/>
        </w:rPr>
      </w:pPr>
      <w:r>
        <w:rPr>
          <w:rFonts w:ascii="Arial" w:cs="Arial" w:eastAsia="Arial" w:hAnsi="Arial"/>
          <w:sz w:val="18"/>
          <w:szCs w:val="18"/>
          <w:color w:val="auto"/>
        </w:rPr>
        <w:t>Expected for fiscal year 2021</w:t>
      </w:r>
    </w:p>
    <w:p>
      <w:pPr>
        <w:ind w:left="1840"/>
        <w:spacing w:after="0" w:line="235" w:lineRule="auto"/>
        <w:rPr>
          <w:sz w:val="20"/>
          <w:szCs w:val="20"/>
          <w:color w:val="auto"/>
        </w:rPr>
      </w:pPr>
      <w:r>
        <w:rPr>
          <w:rFonts w:ascii="Arial" w:cs="Arial" w:eastAsia="Arial" w:hAnsi="Arial"/>
          <w:sz w:val="18"/>
          <w:szCs w:val="18"/>
          <w:color w:val="auto"/>
        </w:rPr>
        <w:t>Expected for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-1270</wp:posOffset>
            </wp:positionV>
            <wp:extent cx="492252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Thereafter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880"/>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591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jc w:val="center"/>
        <w:ind w:right="1880"/>
        <w:spacing w:after="0"/>
        <w:rPr>
          <w:sz w:val="20"/>
          <w:szCs w:val="20"/>
          <w:color w:val="auto"/>
        </w:rPr>
      </w:pPr>
      <w:r>
        <w:rPr>
          <w:rFonts w:ascii="Arial" w:cs="Arial" w:eastAsia="Arial" w:hAnsi="Arial"/>
          <w:sz w:val="12"/>
          <w:szCs w:val="12"/>
          <w:b w:val="1"/>
          <w:bCs w:val="1"/>
          <w:color w:val="auto"/>
        </w:rPr>
        <w:t>(In thousands)</w:t>
      </w:r>
    </w:p>
    <w:p>
      <w:pPr>
        <w:spacing w:after="0" w:line="14" w:lineRule="exact"/>
        <w:rPr>
          <w:sz w:val="20"/>
          <w:szCs w:val="20"/>
          <w:color w:val="auto"/>
        </w:rPr>
      </w:pPr>
    </w:p>
    <w:p>
      <w:pPr>
        <w:ind w:left="500" w:hanging="496"/>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9,757</w:t>
      </w:r>
    </w:p>
    <w:p>
      <w:pPr>
        <w:spacing w:after="0" w:line="127" w:lineRule="exact"/>
        <w:rPr>
          <w:sz w:val="20"/>
          <w:szCs w:val="20"/>
          <w:color w:val="auto"/>
        </w:rPr>
      </w:pPr>
    </w:p>
    <w:p>
      <w:pPr>
        <w:ind w:left="500" w:hanging="496"/>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2,402</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9,466</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7,638</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5,218</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3,392</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5,746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591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6" w:lineRule="exact"/>
        <w:rPr>
          <w:sz w:val="20"/>
          <w:szCs w:val="20"/>
          <w:color w:val="auto"/>
        </w:rPr>
      </w:pPr>
    </w:p>
    <w:p>
      <w:pPr>
        <w:ind w:left="400" w:hanging="396"/>
        <w:spacing w:after="0"/>
        <w:tabs>
          <w:tab w:leader="none" w:pos="400" w:val="left"/>
        </w:tabs>
        <w:numPr>
          <w:ilvl w:val="0"/>
          <w:numId w:val="1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33,862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5918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599" w:lineRule="exact"/>
        <w:rPr>
          <w:sz w:val="20"/>
          <w:szCs w:val="20"/>
          <w:color w:val="auto"/>
        </w:rPr>
      </w:pPr>
    </w:p>
    <w:p>
      <w:pPr>
        <w:sectPr>
          <w:pgSz w:w="11900" w:h="16838" w:orient="portrait"/>
          <w:cols w:equalWidth="0" w:num="2">
            <w:col w:w="7880" w:space="720"/>
            <w:col w:w="2820"/>
          </w:cols>
          <w:pgMar w:left="240" w:top="459" w:right="239" w:bottom="1440" w:gutter="0" w:footer="0" w:header="0"/>
          <w:type w:val="continuous"/>
        </w:sectPr>
      </w:pPr>
    </w:p>
    <w:p>
      <w:pPr>
        <w:ind w:firstLine="456"/>
        <w:spacing w:after="0" w:line="237" w:lineRule="auto"/>
        <w:rPr>
          <w:sz w:val="20"/>
          <w:szCs w:val="20"/>
          <w:color w:val="auto"/>
        </w:rPr>
      </w:pPr>
      <w:r>
        <w:rPr>
          <w:rFonts w:ascii="Arial" w:cs="Arial" w:eastAsia="Arial" w:hAnsi="Arial"/>
          <w:sz w:val="18"/>
          <w:szCs w:val="18"/>
          <w:color w:val="auto"/>
        </w:rPr>
        <w:t>The slight decrease in interest income for the nine months ended December 31, 2017 compared to the prior year period was primarily due to the effect of payments in the prior year period under the Settlement Agreement recognized as interest income. This decrease was partially offset by slightly higher average interest rates on our investments coupled with higher average invested cash balances during the first nine months of fiscal year 2018 compared to the same period last fiscal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5" w:lineRule="exact"/>
        <w:rPr>
          <w:sz w:val="20"/>
          <w:szCs w:val="20"/>
          <w:color w:val="auto"/>
        </w:rPr>
      </w:pPr>
    </w:p>
    <w:p>
      <w:pPr>
        <w:ind w:right="260" w:firstLine="456"/>
        <w:spacing w:after="0" w:line="237" w:lineRule="auto"/>
        <w:rPr>
          <w:sz w:val="20"/>
          <w:szCs w:val="20"/>
          <w:color w:val="auto"/>
        </w:rPr>
      </w:pPr>
      <w:r>
        <w:rPr>
          <w:rFonts w:ascii="Arial" w:cs="Arial" w:eastAsia="Arial" w:hAnsi="Arial"/>
          <w:sz w:val="18"/>
          <w:szCs w:val="18"/>
          <w:color w:val="auto"/>
        </w:rPr>
        <w:t>The $11.6 million decrease in interest expense in the nine months ended December 31, 2017 compared to the prior year period was primarily due to an increase of $11.3 million in the amount of interest capitalized during the first nine months of fiscal year 2018 compared to the prior year period. Capitalized interest expense during the nine months ended December 31, 2017 and 2016 related to the construction of our ViaSat-2 satellite and related gateway and networking equipment, construction of our ViaSat-3 class satellites and other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9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For the nine months ended December 31, 2017, we recorded an income tax benefit of $18.5 million, resulting in an effective tax benefit rate of 26.8%. For the nine months ended December 31, 2016, we recorded an income tax provision of $5.3 million, resulting in an effective tax rate of 23.1%. The effective tax rates for the periods differed from the U.S. statutory rate due primarily to the benefit of research and development tax credits, offset in the current year period by additional income tax expense due to the revaluation of net deferred tax assets resulting from the lowering of the corporate federal income tax rate from 35% to 21% under the Tax Reform. The effective tax rate for the nine months ended December 31, 2016 also reflects an increase in valuation allowances on state net operating losses and state research and development tax credits.</w:t>
      </w:r>
    </w:p>
    <w:p>
      <w:pPr>
        <w:spacing w:after="0" w:line="155"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 However, when a reliable estimate cannot be made, we compute our provision for income taxes using the actual effective tax rate method for the year-to-date period. For the nine months ended December 31, 2016, we used the actual effective tax rate method in calculating the income tax provision for the period as a reliable estimate of the annual effective tax rate could not be made.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December 31, 2017 vs. Nine Months Ended December 31,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Percentage</w:t>
            </w:r>
          </w:p>
        </w:tc>
      </w:tr>
      <w:tr>
        <w:trPr>
          <w:trHeight w:val="125"/>
        </w:trPr>
        <w:tc>
          <w:tcPr>
            <w:tcW w:w="2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8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94"/>
              </w:rPr>
              <w:t>December 31,</w:t>
            </w:r>
          </w:p>
        </w:tc>
        <w:tc>
          <w:tcPr>
            <w:tcW w:w="580" w:type="dxa"/>
            <w:vAlign w:val="bottom"/>
          </w:tcPr>
          <w:p>
            <w:pPr>
              <w:spacing w:after="0"/>
              <w:rPr>
                <w:sz w:val="10"/>
                <w:szCs w:val="10"/>
                <w:color w:val="auto"/>
              </w:rPr>
            </w:pPr>
          </w:p>
        </w:tc>
        <w:tc>
          <w:tcPr>
            <w:tcW w:w="1340" w:type="dxa"/>
            <w:vAlign w:val="bottom"/>
            <w:gridSpan w:val="3"/>
          </w:tcPr>
          <w:p>
            <w:pPr>
              <w:jc w:val="right"/>
              <w:ind w:right="720"/>
              <w:spacing w:after="0" w:line="125" w:lineRule="exact"/>
              <w:rPr>
                <w:sz w:val="20"/>
                <w:szCs w:val="20"/>
                <w:color w:val="auto"/>
              </w:rPr>
            </w:pPr>
            <w:r>
              <w:rPr>
                <w:rFonts w:ascii="Arial" w:cs="Arial" w:eastAsia="Arial" w:hAnsi="Arial"/>
                <w:sz w:val="14"/>
                <w:szCs w:val="14"/>
                <w:b w:val="1"/>
                <w:bCs w:val="1"/>
                <w:color w:val="auto"/>
              </w:rPr>
              <w:t>Increase</w:t>
            </w:r>
          </w:p>
        </w:tc>
        <w:tc>
          <w:tcPr>
            <w:tcW w:w="10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4"/>
              </w:rPr>
              <w:t>Increase</w:t>
            </w:r>
          </w:p>
        </w:tc>
      </w:tr>
      <w:tr>
        <w:trPr>
          <w:trHeight w:val="152"/>
        </w:trPr>
        <w:tc>
          <w:tcPr>
            <w:tcW w:w="36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0"/>
              <w:spacing w:after="0" w:line="15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34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260"/>
              <w:spacing w:after="0" w:line="152" w:lineRule="exact"/>
              <w:rPr>
                <w:sz w:val="20"/>
                <w:szCs w:val="20"/>
                <w:color w:val="auto"/>
              </w:rPr>
            </w:pPr>
            <w:r>
              <w:rPr>
                <w:rFonts w:ascii="Arial" w:cs="Arial" w:eastAsia="Arial" w:hAnsi="Arial"/>
                <w:sz w:val="14"/>
                <w:szCs w:val="14"/>
                <w:b w:val="1"/>
                <w:bCs w:val="1"/>
                <w:color w:val="auto"/>
                <w:w w:val="97"/>
              </w:rPr>
              <w:t>(Decrease)</w:t>
            </w: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r>
      <w:tr>
        <w:trPr>
          <w:trHeight w:val="190"/>
        </w:trPr>
        <w:tc>
          <w:tcPr>
            <w:tcW w:w="3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Segment product revenues</w:t>
            </w:r>
          </w:p>
        </w:tc>
        <w:tc>
          <w:tcPr>
            <w:tcW w:w="1760" w:type="dxa"/>
            <w:vAlign w:val="bottom"/>
            <w:gridSpan w:val="2"/>
            <w:shd w:val="clear" w:color="auto" w:fill="CCEEFF"/>
          </w:tcPr>
          <w:p>
            <w:pPr>
              <w:ind w:left="156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20.6</w:t>
            </w:r>
          </w:p>
        </w:tc>
        <w:tc>
          <w:tcPr>
            <w:tcW w:w="720" w:type="dxa"/>
            <w:vAlign w:val="bottom"/>
            <w:gridSpan w:val="2"/>
            <w:shd w:val="clear" w:color="auto" w:fill="CCEEFF"/>
          </w:tcPr>
          <w:p>
            <w:pPr>
              <w:ind w:left="58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8"/>
                <w:szCs w:val="18"/>
                <w:color w:val="auto"/>
              </w:rPr>
              <w:t>(19.9)</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(96.8)%</w:t>
            </w:r>
          </w:p>
        </w:tc>
      </w:tr>
      <w:tr>
        <w:trPr>
          <w:trHeight w:val="203"/>
        </w:trPr>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443.7</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448.2</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(4.5)</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7"/>
        </w:trPr>
        <w:tc>
          <w:tcPr>
            <w:tcW w:w="2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3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segment revenues</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444.3</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468.8</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(24.4)</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satellite services segment revenues decreased by $24.4 million as a result of a $19.9 million decrease in product revenues and a</w:t>
      </w:r>
    </w:p>
    <w:p>
      <w:pPr>
        <w:spacing w:after="0"/>
        <w:rPr>
          <w:sz w:val="20"/>
          <w:szCs w:val="20"/>
          <w:color w:val="auto"/>
        </w:rPr>
      </w:pPr>
      <w:r>
        <w:rPr>
          <w:rFonts w:ascii="Arial" w:cs="Arial" w:eastAsia="Arial" w:hAnsi="Arial"/>
          <w:sz w:val="16"/>
          <w:szCs w:val="16"/>
          <w:color w:val="auto"/>
        </w:rPr>
        <w:t>$4.5 million decrease in service revenues. The decrease in product revenues reflected the payments in the prior year period under the Settlement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Agreement recognized as product revenue. As of March 31, 2017 all payments pursuant to the Settlement Agreement had been recorded and no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further impacts to our consolidated financial statements are anticipated related to the Settlement Agreement. The decrease in service revenues</w:t>
      </w:r>
    </w:p>
    <w:p>
      <w:pPr>
        <w:spacing w:after="0" w:line="234" w:lineRule="auto"/>
        <w:rPr>
          <w:sz w:val="20"/>
          <w:szCs w:val="20"/>
          <w:color w:val="auto"/>
        </w:rPr>
      </w:pPr>
      <w:r>
        <w:rPr>
          <w:rFonts w:ascii="Arial" w:cs="Arial" w:eastAsia="Arial" w:hAnsi="Arial"/>
          <w:sz w:val="18"/>
          <w:szCs w:val="18"/>
          <w:color w:val="auto"/>
        </w:rPr>
        <w:t>was primarily driven by a decrease in our fixed broadband services due to a decrease in the overall number of residential subscribers, partially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offset by higher average revenue per broadband subscriber compared to the prior year period and the expansion of our in-flight internet services.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589 commercial aircraft were in service utilizing our in-flight internet services, compared to 555 commercial aircraft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service as of December 31, 2016. Total subscribers of our fixed broadband services decreased year over year, with approximately 577,000</w:t>
      </w:r>
    </w:p>
    <w:p>
      <w:pPr>
        <w:spacing w:after="0"/>
        <w:rPr>
          <w:sz w:val="20"/>
          <w:szCs w:val="20"/>
          <w:color w:val="auto"/>
        </w:rPr>
      </w:pPr>
      <w:r>
        <w:rPr>
          <w:rFonts w:ascii="Arial" w:cs="Arial" w:eastAsia="Arial" w:hAnsi="Arial"/>
          <w:sz w:val="18"/>
          <w:szCs w:val="18"/>
          <w:color w:val="auto"/>
        </w:rPr>
        <w:t>subscribers at December 31, 2017 compared to 675,000 subscribers at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6"/>
              </w:rPr>
              <w:t>Nine Months Ended</w:t>
            </w:r>
          </w:p>
        </w:tc>
        <w:tc>
          <w:tcPr>
            <w:tcW w:w="6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94"/>
              </w:rPr>
              <w:t>December 31,</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jc w:val="center"/>
              <w:ind w:right="660"/>
              <w:spacing w:after="0" w:line="125" w:lineRule="exact"/>
              <w:rPr>
                <w:sz w:val="20"/>
                <w:szCs w:val="20"/>
                <w:color w:val="auto"/>
              </w:rPr>
            </w:pPr>
            <w:r>
              <w:rPr>
                <w:rFonts w:ascii="Arial" w:cs="Arial" w:eastAsia="Arial" w:hAnsi="Arial"/>
                <w:sz w:val="14"/>
                <w:szCs w:val="14"/>
                <w:b w:val="1"/>
                <w:bCs w:val="1"/>
                <w:color w:val="auto"/>
                <w:w w:val="98"/>
              </w:rPr>
              <w:t>Increase</w:t>
            </w:r>
          </w:p>
        </w:tc>
        <w:tc>
          <w:tcPr>
            <w:tcW w:w="10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374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2"/>
              <w:spacing w:after="0" w:line="152" w:lineRule="exact"/>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99"/>
              <w:spacing w:after="0" w:line="152" w:lineRule="exact"/>
              <w:rPr>
                <w:sz w:val="20"/>
                <w:szCs w:val="20"/>
                <w:color w:val="auto"/>
              </w:rPr>
            </w:pPr>
            <w:r>
              <w:rPr>
                <w:rFonts w:ascii="Arial" w:cs="Arial" w:eastAsia="Arial" w:hAnsi="Arial"/>
                <w:sz w:val="14"/>
                <w:szCs w:val="14"/>
                <w:b w:val="1"/>
                <w:bCs w:val="1"/>
                <w:color w:val="auto"/>
                <w:w w:val="96"/>
              </w:rPr>
              <w:t>2016</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660"/>
              <w:spacing w:after="0" w:line="152" w:lineRule="exact"/>
              <w:rPr>
                <w:sz w:val="20"/>
                <w:szCs w:val="20"/>
                <w:color w:val="auto"/>
              </w:rPr>
            </w:pPr>
            <w:r>
              <w:rPr>
                <w:rFonts w:ascii="Arial" w:cs="Arial" w:eastAsia="Arial" w:hAnsi="Arial"/>
                <w:sz w:val="14"/>
                <w:szCs w:val="14"/>
                <w:b w:val="1"/>
                <w:bCs w:val="1"/>
                <w:color w:val="auto"/>
                <w:w w:val="94"/>
              </w:rPr>
              <w:t>(Decrease)</w:t>
            </w:r>
          </w:p>
        </w:tc>
        <w:tc>
          <w:tcPr>
            <w:tcW w:w="1000" w:type="dxa"/>
            <w:vAlign w:val="bottom"/>
            <w:gridSpan w:val="2"/>
          </w:tcPr>
          <w:p>
            <w:pPr>
              <w:jc w:val="center"/>
              <w:ind w:right="260"/>
              <w:spacing w:after="0" w:line="15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0"/>
        </w:trPr>
        <w:tc>
          <w:tcPr>
            <w:tcW w:w="2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6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vMerge w:val="continue"/>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33.1</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w w:val="91"/>
              </w:rPr>
              <w:t>98.3</w:t>
            </w:r>
          </w:p>
        </w:tc>
        <w:tc>
          <w:tcPr>
            <w:tcW w:w="46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580"/>
              <w:spacing w:after="0" w:line="189" w:lineRule="exact"/>
              <w:rPr>
                <w:sz w:val="20"/>
                <w:szCs w:val="20"/>
                <w:color w:val="auto"/>
              </w:rPr>
            </w:pPr>
            <w:r>
              <w:rPr>
                <w:rFonts w:ascii="Arial" w:cs="Arial" w:eastAsia="Arial" w:hAnsi="Arial"/>
                <w:sz w:val="18"/>
                <w:szCs w:val="18"/>
                <w:color w:val="auto"/>
              </w:rPr>
              <w:t>$  (65.1)</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4"/>
        </w:trPr>
        <w:tc>
          <w:tcPr>
            <w:tcW w:w="3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decrease in our satellite services segment operating profit was driven primarily by lower earnings contributions of $45.3 million primarily due to the decrease in product revenues resulting from the completion of payments under the Settlement Agreement during fiscal year 2017, as well as lower margins related to in-flight internet services and fixed broadband services due to large-scale commercial air in-flight connectivity service ramp up and preparation for the ViaSat-2 service launch. The decrease in operating profit was further impacted by higher SG&amp;A costs of $19.6 million compared to the prior year period mainly due to the higher employee-related costs supporting the ViaSat-2 service launch, as well as in support of the expansion of our international businesses.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Percentage</w:t>
            </w:r>
          </w:p>
        </w:tc>
      </w:tr>
      <w:tr>
        <w:trPr>
          <w:trHeight w:val="125"/>
        </w:trPr>
        <w:tc>
          <w:tcPr>
            <w:tcW w:w="2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8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94"/>
              </w:rPr>
              <w:t>December 31,</w:t>
            </w:r>
          </w:p>
        </w:tc>
        <w:tc>
          <w:tcPr>
            <w:tcW w:w="580" w:type="dxa"/>
            <w:vAlign w:val="bottom"/>
          </w:tcPr>
          <w:p>
            <w:pPr>
              <w:spacing w:after="0"/>
              <w:rPr>
                <w:sz w:val="10"/>
                <w:szCs w:val="10"/>
                <w:color w:val="auto"/>
              </w:rPr>
            </w:pPr>
          </w:p>
        </w:tc>
        <w:tc>
          <w:tcPr>
            <w:tcW w:w="1340" w:type="dxa"/>
            <w:vAlign w:val="bottom"/>
            <w:gridSpan w:val="3"/>
          </w:tcPr>
          <w:p>
            <w:pPr>
              <w:jc w:val="right"/>
              <w:ind w:right="720"/>
              <w:spacing w:after="0" w:line="125" w:lineRule="exact"/>
              <w:rPr>
                <w:sz w:val="20"/>
                <w:szCs w:val="20"/>
                <w:color w:val="auto"/>
              </w:rPr>
            </w:pPr>
            <w:r>
              <w:rPr>
                <w:rFonts w:ascii="Arial" w:cs="Arial" w:eastAsia="Arial" w:hAnsi="Arial"/>
                <w:sz w:val="14"/>
                <w:szCs w:val="14"/>
                <w:b w:val="1"/>
                <w:bCs w:val="1"/>
                <w:color w:val="auto"/>
              </w:rPr>
              <w:t>Increase</w:t>
            </w:r>
          </w:p>
        </w:tc>
        <w:tc>
          <w:tcPr>
            <w:tcW w:w="10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4"/>
              </w:rPr>
              <w:t>Increase</w:t>
            </w:r>
          </w:p>
        </w:tc>
      </w:tr>
      <w:tr>
        <w:trPr>
          <w:trHeight w:val="152"/>
        </w:trPr>
        <w:tc>
          <w:tcPr>
            <w:tcW w:w="36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0"/>
              <w:spacing w:after="0" w:line="15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34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260"/>
              <w:spacing w:after="0" w:line="152" w:lineRule="exact"/>
              <w:rPr>
                <w:sz w:val="20"/>
                <w:szCs w:val="20"/>
                <w:color w:val="auto"/>
              </w:rPr>
            </w:pPr>
            <w:r>
              <w:rPr>
                <w:rFonts w:ascii="Arial" w:cs="Arial" w:eastAsia="Arial" w:hAnsi="Arial"/>
                <w:sz w:val="14"/>
                <w:szCs w:val="14"/>
                <w:b w:val="1"/>
                <w:bCs w:val="1"/>
                <w:color w:val="auto"/>
                <w:w w:val="97"/>
              </w:rPr>
              <w:t>(Decrease)</w:t>
            </w: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r>
      <w:tr>
        <w:trPr>
          <w:trHeight w:val="190"/>
        </w:trPr>
        <w:tc>
          <w:tcPr>
            <w:tcW w:w="3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Segment product revenues</w:t>
            </w:r>
          </w:p>
        </w:tc>
        <w:tc>
          <w:tcPr>
            <w:tcW w:w="1760" w:type="dxa"/>
            <w:vAlign w:val="bottom"/>
            <w:gridSpan w:val="2"/>
            <w:shd w:val="clear" w:color="auto" w:fill="CCEEFF"/>
          </w:tcPr>
          <w:p>
            <w:pPr>
              <w:ind w:left="156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8"/>
                <w:szCs w:val="18"/>
                <w:color w:val="auto"/>
              </w:rPr>
              <w:t>130.9</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163.9</w:t>
            </w:r>
          </w:p>
        </w:tc>
        <w:tc>
          <w:tcPr>
            <w:tcW w:w="720" w:type="dxa"/>
            <w:vAlign w:val="bottom"/>
            <w:gridSpan w:val="2"/>
            <w:shd w:val="clear" w:color="auto" w:fill="CCEEFF"/>
          </w:tcPr>
          <w:p>
            <w:pPr>
              <w:ind w:left="58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8"/>
                <w:szCs w:val="18"/>
                <w:color w:val="auto"/>
              </w:rPr>
              <w:t>(33.0)</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(20.1)%</w:t>
            </w:r>
          </w:p>
        </w:tc>
      </w:tr>
      <w:tr>
        <w:trPr>
          <w:trHeight w:val="203"/>
        </w:trPr>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4.5</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21.0%</w:t>
            </w:r>
          </w:p>
        </w:tc>
      </w:tr>
      <w:tr>
        <w:trPr>
          <w:trHeight w:val="27"/>
        </w:trPr>
        <w:tc>
          <w:tcPr>
            <w:tcW w:w="2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3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segment revenues</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157.1</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185.5</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(28.5)</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(15.3)%</w:t>
            </w:r>
          </w:p>
        </w:tc>
      </w:tr>
    </w:tbl>
    <w:p>
      <w:pPr>
        <w:spacing w:after="0" w:line="16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Our commercial networks segment revenues decreased by $28.5 million, due to a $33.0 million decrease in product revenues, partially offset by a $4.5 million increase in service revenues. The decrease in product revenues was primarily due to a decrease of $47.3 million in fixed satellite networks products (mainly due to a decrease in broadband terminal orders from our large-scale Australian Ka-band infrastructure project that commenced last fiscal year and a decrease from our next generation Ka-band system contract in Canada) and a decrease of $4.7 million in satellite networking development programs products, partially offset by an increase of $12.6 million in mobile broadband satellite communication systems products and an increase of $6.3 million in antenna systems products. The increase in service revenues was primarily due to an increase of $3.9 million in fixed satellite network services.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6"/>
              </w:rPr>
              <w:t>Nine Months Ended</w:t>
            </w: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740" w:type="dxa"/>
            <w:vAlign w:val="bottom"/>
          </w:tcPr>
          <w:p>
            <w:pPr>
              <w:spacing w:after="0"/>
              <w:rPr>
                <w:sz w:val="10"/>
                <w:szCs w:val="10"/>
                <w:color w:val="auto"/>
              </w:rPr>
            </w:pPr>
          </w:p>
        </w:tc>
        <w:tc>
          <w:tcPr>
            <w:tcW w:w="124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(Increase)</w:t>
            </w:r>
          </w:p>
        </w:tc>
        <w:tc>
          <w:tcPr>
            <w:tcW w:w="100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6"/>
              </w:rPr>
              <w:t>(Increase)</w:t>
            </w:r>
          </w:p>
        </w:tc>
        <w:tc>
          <w:tcPr>
            <w:tcW w:w="0" w:type="dxa"/>
            <w:vAlign w:val="bottom"/>
          </w:tcPr>
          <w:p>
            <w:pPr>
              <w:spacing w:after="0"/>
              <w:rPr>
                <w:sz w:val="1"/>
                <w:szCs w:val="1"/>
                <w:color w:val="auto"/>
              </w:rPr>
            </w:pPr>
          </w:p>
        </w:tc>
      </w:tr>
      <w:tr>
        <w:trPr>
          <w:trHeight w:val="152"/>
        </w:trPr>
        <w:tc>
          <w:tcPr>
            <w:tcW w:w="380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22"/>
              <w:spacing w:after="0" w:line="152" w:lineRule="exact"/>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219"/>
              <w:spacing w:after="0" w:line="152" w:lineRule="exact"/>
              <w:rPr>
                <w:sz w:val="20"/>
                <w:szCs w:val="20"/>
                <w:color w:val="auto"/>
              </w:rPr>
            </w:pPr>
            <w:r>
              <w:rPr>
                <w:rFonts w:ascii="Arial" w:cs="Arial" w:eastAsia="Arial" w:hAnsi="Arial"/>
                <w:sz w:val="14"/>
                <w:szCs w:val="14"/>
                <w:b w:val="1"/>
                <w:bCs w:val="1"/>
                <w:color w:val="auto"/>
                <w:w w:val="96"/>
              </w:rPr>
              <w:t>2016</w:t>
            </w:r>
          </w:p>
        </w:tc>
        <w:tc>
          <w:tcPr>
            <w:tcW w:w="740" w:type="dxa"/>
            <w:vAlign w:val="bottom"/>
          </w:tcPr>
          <w:p>
            <w:pPr>
              <w:spacing w:after="0"/>
              <w:rPr>
                <w:sz w:val="13"/>
                <w:szCs w:val="13"/>
                <w:color w:val="auto"/>
              </w:rPr>
            </w:pPr>
          </w:p>
        </w:tc>
        <w:tc>
          <w:tcPr>
            <w:tcW w:w="124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Decrease</w:t>
            </w:r>
          </w:p>
        </w:tc>
        <w:tc>
          <w:tcPr>
            <w:tcW w:w="1000" w:type="dxa"/>
            <w:vAlign w:val="bottom"/>
            <w:gridSpan w:val="2"/>
          </w:tcPr>
          <w:p>
            <w:pPr>
              <w:jc w:val="center"/>
              <w:ind w:right="280"/>
              <w:spacing w:after="0" w:line="152" w:lineRule="exact"/>
              <w:rPr>
                <w:sz w:val="20"/>
                <w:szCs w:val="20"/>
                <w:color w:val="auto"/>
              </w:rPr>
            </w:pPr>
            <w:r>
              <w:rPr>
                <w:rFonts w:ascii="Arial" w:cs="Arial" w:eastAsia="Arial" w:hAnsi="Arial"/>
                <w:sz w:val="14"/>
                <w:szCs w:val="14"/>
                <w:b w:val="1"/>
                <w:bCs w:val="1"/>
                <w:color w:val="auto"/>
                <w:w w:val="96"/>
              </w:rPr>
              <w:t>Decrease</w:t>
            </w:r>
          </w:p>
        </w:tc>
        <w:tc>
          <w:tcPr>
            <w:tcW w:w="0" w:type="dxa"/>
            <w:vAlign w:val="bottom"/>
          </w:tcPr>
          <w:p>
            <w:pPr>
              <w:spacing w:after="0"/>
              <w:rPr>
                <w:sz w:val="1"/>
                <w:szCs w:val="1"/>
                <w:color w:val="auto"/>
              </w:rPr>
            </w:pPr>
          </w:p>
        </w:tc>
      </w:tr>
      <w:tr>
        <w:trPr>
          <w:trHeight w:val="20"/>
        </w:trPr>
        <w:tc>
          <w:tcPr>
            <w:tcW w:w="2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7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vMerge w:val="continue"/>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1380" w:type="dxa"/>
            <w:vAlign w:val="bottom"/>
            <w:gridSpan w:val="2"/>
            <w:shd w:val="clear" w:color="auto" w:fill="CCEEFF"/>
          </w:tcPr>
          <w:p>
            <w:pPr>
              <w:ind w:left="1200"/>
              <w:spacing w:after="0" w:line="189"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8"/>
                <w:szCs w:val="18"/>
                <w:color w:val="auto"/>
              </w:rPr>
              <w:t>(179.0)</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8"/>
                <w:szCs w:val="18"/>
                <w:color w:val="auto"/>
              </w:rPr>
              <w:t>(128.0)</w:t>
            </w:r>
          </w:p>
        </w:tc>
        <w:tc>
          <w:tcPr>
            <w:tcW w:w="1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  (51.0)</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(114.0)%</w:t>
            </w:r>
          </w:p>
        </w:tc>
        <w:tc>
          <w:tcPr>
            <w:tcW w:w="2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(69.0)%</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$51.0 million increase in our commercial networks segment operating loss was driven primarily by a $27.7 million increase in IR&amp;D expenses (primarily due to an increase in IR&amp;D efforts relating to next-generation satellite payload technologies for our ViaSat-3 class satellites, next-generation consumer broadband integrated networking technologies and mobile broadband satellite communication systems for commercial airline platforms), lower earnings contributions of $11.7 million (primarily due to lower revenues in fixed satellite network products and lower margins in our satellite networking development programs products) and a $11.6 million increase in overall SG&amp;A costs (primarily due to the higher employee-related costs supporting our commercial air growth activities and the ViaSat-2 service launch).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r>
      <w:tr>
        <w:trPr>
          <w:trHeight w:val="125"/>
        </w:trPr>
        <w:tc>
          <w:tcPr>
            <w:tcW w:w="2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0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6"/>
              </w:rPr>
              <w:t>December 31,</w:t>
            </w:r>
          </w:p>
        </w:tc>
        <w:tc>
          <w:tcPr>
            <w:tcW w:w="640" w:type="dxa"/>
            <w:vAlign w:val="bottom"/>
          </w:tcPr>
          <w:p>
            <w:pPr>
              <w:spacing w:after="0"/>
              <w:rPr>
                <w:sz w:val="10"/>
                <w:szCs w:val="10"/>
                <w:color w:val="auto"/>
              </w:rPr>
            </w:pPr>
          </w:p>
        </w:tc>
        <w:tc>
          <w:tcPr>
            <w:tcW w:w="90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6"/>
              </w:rPr>
              <w:t>December 31,</w:t>
            </w:r>
          </w:p>
        </w:tc>
        <w:tc>
          <w:tcPr>
            <w:tcW w:w="640" w:type="dxa"/>
            <w:vAlign w:val="bottom"/>
          </w:tcPr>
          <w:p>
            <w:pPr>
              <w:spacing w:after="0"/>
              <w:rPr>
                <w:sz w:val="10"/>
                <w:szCs w:val="10"/>
                <w:color w:val="auto"/>
              </w:rPr>
            </w:pPr>
          </w:p>
        </w:tc>
        <w:tc>
          <w:tcPr>
            <w:tcW w:w="1360" w:type="dxa"/>
            <w:vAlign w:val="bottom"/>
            <w:gridSpan w:val="3"/>
          </w:tcPr>
          <w:p>
            <w:pPr>
              <w:jc w:val="right"/>
              <w:ind w:right="720"/>
              <w:spacing w:after="0" w:line="125" w:lineRule="exact"/>
              <w:rPr>
                <w:sz w:val="20"/>
                <w:szCs w:val="20"/>
                <w:color w:val="auto"/>
              </w:rPr>
            </w:pPr>
            <w:r>
              <w:rPr>
                <w:rFonts w:ascii="Arial" w:cs="Arial" w:eastAsia="Arial" w:hAnsi="Arial"/>
                <w:sz w:val="14"/>
                <w:szCs w:val="14"/>
                <w:b w:val="1"/>
                <w:bCs w:val="1"/>
                <w:color w:val="auto"/>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r>
      <w:tr>
        <w:trPr>
          <w:trHeight w:val="152"/>
        </w:trPr>
        <w:tc>
          <w:tcPr>
            <w:tcW w:w="362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0"/>
              <w:spacing w:after="0" w:line="152"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36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90"/>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Segment product revenues</w:t>
            </w:r>
          </w:p>
        </w:tc>
        <w:tc>
          <w:tcPr>
            <w:tcW w:w="1700" w:type="dxa"/>
            <w:vAlign w:val="bottom"/>
            <w:gridSpan w:val="2"/>
            <w:shd w:val="clear" w:color="auto" w:fill="CCEEFF"/>
          </w:tcPr>
          <w:p>
            <w:pPr>
              <w:jc w:val="right"/>
              <w:ind w:right="22"/>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392.3</w:t>
            </w:r>
          </w:p>
        </w:tc>
        <w:tc>
          <w:tcPr>
            <w:tcW w:w="840" w:type="dxa"/>
            <w:vAlign w:val="bottom"/>
            <w:gridSpan w:val="2"/>
            <w:shd w:val="clear" w:color="auto" w:fill="CCEEFF"/>
          </w:tcPr>
          <w:p>
            <w:pPr>
              <w:jc w:val="right"/>
              <w:ind w:right="22"/>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333.0</w:t>
            </w:r>
          </w:p>
        </w:tc>
        <w:tc>
          <w:tcPr>
            <w:tcW w:w="780" w:type="dxa"/>
            <w:vAlign w:val="bottom"/>
            <w:gridSpan w:val="2"/>
            <w:shd w:val="clear" w:color="auto" w:fill="CCEEFF"/>
          </w:tcPr>
          <w:p>
            <w:pPr>
              <w:ind w:left="64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59.3</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17.8%</w:t>
            </w: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Segment service revenues</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161.3</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155.6</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5.6</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w:t>
            </w:r>
          </w:p>
        </w:tc>
      </w:tr>
      <w:tr>
        <w:trPr>
          <w:trHeight w:val="27"/>
        </w:trPr>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segment revenues</w:t>
            </w: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553.6</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488.6</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64.9</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government systems segment revenues increased by $64.9 million due to increases of $59.3 million in product revenues and</w:t>
      </w:r>
    </w:p>
    <w:p>
      <w:pPr>
        <w:spacing w:after="0" w:line="234" w:lineRule="auto"/>
        <w:rPr>
          <w:sz w:val="20"/>
          <w:szCs w:val="20"/>
          <w:color w:val="auto"/>
        </w:rPr>
      </w:pPr>
      <w:r>
        <w:rPr>
          <w:rFonts w:ascii="Arial" w:cs="Arial" w:eastAsia="Arial" w:hAnsi="Arial"/>
          <w:sz w:val="18"/>
          <w:szCs w:val="18"/>
          <w:color w:val="auto"/>
        </w:rPr>
        <w:t>$5.6 million in service revenues. The product revenue increase was primarily due to a $31.8 million increase in tactical data link products, a</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$13.9 million increase in global mobile broadband products, a $7.2 million increase in cybersecurity and information assurance products and a $6.4 million increase in tactical satcom radio products. The service revenue increase was primarily due to a $6.5 million increase in government satellite communication systems services, a $4.4 million increase in global mobile broadband services and a $1.2 million increase in cybersecurity and information assurance services, partially offset by a $7.2 million decrease in our network management services for Wi-Fi and other internet access networks.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7"/>
              </w:rPr>
              <w:t>Nine Months Ended</w:t>
            </w:r>
          </w:p>
        </w:tc>
        <w:tc>
          <w:tcPr>
            <w:tcW w:w="6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94"/>
              </w:rPr>
              <w:t>December 31,</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600"/>
              <w:spacing w:after="0" w:line="125" w:lineRule="exact"/>
              <w:rPr>
                <w:sz w:val="20"/>
                <w:szCs w:val="20"/>
                <w:color w:val="auto"/>
              </w:rPr>
            </w:pPr>
            <w:r>
              <w:rPr>
                <w:rFonts w:ascii="Arial" w:cs="Arial" w:eastAsia="Arial" w:hAnsi="Arial"/>
                <w:sz w:val="14"/>
                <w:szCs w:val="14"/>
                <w:b w:val="1"/>
                <w:bCs w:val="1"/>
                <w:color w:val="auto"/>
                <w:w w:val="98"/>
              </w:rPr>
              <w:t>Increase</w:t>
            </w: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52"/>
        </w:trPr>
        <w:tc>
          <w:tcPr>
            <w:tcW w:w="49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Pr>
          <w:p>
            <w:pPr>
              <w:spacing w:after="0"/>
              <w:rPr>
                <w:sz w:val="13"/>
                <w:szCs w:val="13"/>
                <w:color w:val="auto"/>
              </w:rPr>
            </w:pPr>
          </w:p>
        </w:tc>
        <w:tc>
          <w:tcPr>
            <w:tcW w:w="700" w:type="dxa"/>
            <w:vAlign w:val="bottom"/>
          </w:tcPr>
          <w:p>
            <w:pPr>
              <w:jc w:val="right"/>
              <w:ind w:right="222"/>
              <w:spacing w:after="0" w:line="152" w:lineRule="exact"/>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99"/>
              <w:spacing w:after="0" w:line="152" w:lineRule="exact"/>
              <w:rPr>
                <w:sz w:val="20"/>
                <w:szCs w:val="20"/>
                <w:color w:val="auto"/>
              </w:rPr>
            </w:pPr>
            <w:r>
              <w:rPr>
                <w:rFonts w:ascii="Arial" w:cs="Arial" w:eastAsia="Arial" w:hAnsi="Arial"/>
                <w:sz w:val="14"/>
                <w:szCs w:val="14"/>
                <w:b w:val="1"/>
                <w:bCs w:val="1"/>
                <w:color w:val="auto"/>
                <w:w w:val="96"/>
              </w:rPr>
              <w:t>2016</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600"/>
              <w:spacing w:after="0" w:line="152" w:lineRule="exact"/>
              <w:rPr>
                <w:sz w:val="20"/>
                <w:szCs w:val="20"/>
                <w:color w:val="auto"/>
              </w:rPr>
            </w:pPr>
            <w:r>
              <w:rPr>
                <w:rFonts w:ascii="Arial" w:cs="Arial" w:eastAsia="Arial" w:hAnsi="Arial"/>
                <w:sz w:val="14"/>
                <w:szCs w:val="14"/>
                <w:b w:val="1"/>
                <w:bCs w:val="1"/>
                <w:color w:val="auto"/>
                <w:w w:val="94"/>
              </w:rPr>
              <w:t>(Decrease)</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0"/>
        </w:trPr>
        <w:tc>
          <w:tcPr>
            <w:tcW w:w="2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28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vMerge w:val="continue"/>
            <w:shd w:val="clear" w:color="auto" w:fill="CCEEFF"/>
          </w:tcPr>
          <w:p>
            <w:pPr>
              <w:spacing w:after="0"/>
              <w:rPr>
                <w:sz w:val="16"/>
                <w:szCs w:val="16"/>
                <w:color w:val="auto"/>
              </w:rPr>
            </w:pPr>
          </w:p>
        </w:tc>
        <w:tc>
          <w:tcPr>
            <w:tcW w:w="28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1"/>
              </w:rPr>
              <w:t>96.5</w:t>
            </w: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8"/>
                <w:szCs w:val="18"/>
                <w:color w:val="auto"/>
              </w:rPr>
              <w:t>71.1</w:t>
            </w:r>
          </w:p>
        </w:tc>
        <w:tc>
          <w:tcPr>
            <w:tcW w:w="1000" w:type="dxa"/>
            <w:vAlign w:val="bottom"/>
            <w:gridSpan w:val="2"/>
            <w:shd w:val="clear" w:color="auto" w:fill="CCEEFF"/>
          </w:tcPr>
          <w:p>
            <w:pPr>
              <w:jc w:val="center"/>
              <w:ind w:left="212"/>
              <w:spacing w:after="0" w:line="189" w:lineRule="exact"/>
              <w:rPr>
                <w:sz w:val="20"/>
                <w:szCs w:val="20"/>
                <w:color w:val="auto"/>
              </w:rPr>
            </w:pPr>
            <w:r>
              <w:rPr>
                <w:rFonts w:ascii="Arial" w:cs="Arial" w:eastAsia="Arial" w:hAnsi="Arial"/>
                <w:sz w:val="18"/>
                <w:szCs w:val="18"/>
                <w:color w:val="auto"/>
              </w:rPr>
              <w:t>$   25.4</w:t>
            </w:r>
          </w:p>
        </w:tc>
        <w:tc>
          <w:tcPr>
            <w:tcW w:w="6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4"/>
        </w:trPr>
        <w:tc>
          <w:tcPr>
            <w:tcW w:w="49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8"/>
                <w:szCs w:val="18"/>
                <w:color w:val="auto"/>
              </w:rPr>
            </w:pPr>
          </w:p>
        </w:tc>
        <w:tc>
          <w:tcPr>
            <w:tcW w:w="1460" w:type="dxa"/>
            <w:vAlign w:val="bottom"/>
            <w:gridSpan w:val="2"/>
          </w:tcPr>
          <w:p>
            <w:pPr>
              <w:ind w:left="360"/>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36" w:lineRule="auto"/>
        <w:rPr>
          <w:sz w:val="20"/>
          <w:szCs w:val="20"/>
          <w:color w:val="auto"/>
        </w:rPr>
      </w:pPr>
      <w:r>
        <w:rPr>
          <w:rFonts w:ascii="Arial" w:cs="Arial" w:eastAsia="Arial" w:hAnsi="Arial"/>
          <w:sz w:val="18"/>
          <w:szCs w:val="18"/>
          <w:color w:val="auto"/>
        </w:rPr>
        <w:t>The $25.4 million increase in our government systems segment operating profit reflected higher earnings contributions of $50.4 million, primarily due to higher revenues in our tactical data links products, global mobile broadband products, cybersecurity and information assurance products and government satellite communication systems services, coupled with improved margins in global mobile broadband products and services. This operating profit increase was partially offset by higher IR&amp;D costs of $13.7 million (primarily related to research increases in the development of next-generation dual band mobility solutions) and overall higher SG&amp;A costs of $11.3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0" w:lineRule="exact"/>
        <w:rPr>
          <w:sz w:val="20"/>
          <w:szCs w:val="20"/>
          <w:color w:val="auto"/>
        </w:rPr>
      </w:pPr>
    </w:p>
    <w:p>
      <w:pPr>
        <w:ind w:right="120" w:firstLine="456"/>
        <w:spacing w:after="0" w:line="299" w:lineRule="auto"/>
        <w:rPr>
          <w:sz w:val="20"/>
          <w:szCs w:val="20"/>
          <w:color w:val="auto"/>
        </w:rPr>
      </w:pPr>
      <w:r>
        <w:rPr>
          <w:rFonts w:ascii="Arial" w:cs="Arial" w:eastAsia="Arial" w:hAnsi="Arial"/>
          <w:sz w:val="16"/>
          <w:szCs w:val="16"/>
          <w:color w:val="auto"/>
        </w:rPr>
        <w:t>As reflected in the table below, our overall firm and funded backlog increased during the first nine months of fiscal year 2018. The increases in both firm and funded backlog were attributable primarily to increases in our government systems and commercial networks segments.</w:t>
      </w:r>
    </w:p>
    <w:p>
      <w:pPr>
        <w:spacing w:after="0" w:line="1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5"/>
        </w:trPr>
        <w:tc>
          <w:tcPr>
            <w:tcW w:w="55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ind w:left="880"/>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Firm backlog</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Satellite services segment</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131.0</w:t>
            </w:r>
          </w:p>
        </w:tc>
        <w:tc>
          <w:tcPr>
            <w:tcW w:w="760" w:type="dxa"/>
            <w:vAlign w:val="bottom"/>
          </w:tcPr>
          <w:p>
            <w:pPr>
              <w:spacing w:after="0"/>
              <w:rPr>
                <w:sz w:val="17"/>
                <w:szCs w:val="17"/>
                <w:color w:val="auto"/>
              </w:rPr>
            </w:pPr>
          </w:p>
        </w:tc>
        <w:tc>
          <w:tcPr>
            <w:tcW w:w="3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networks segment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295.5</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line="202" w:lineRule="exact"/>
              <w:rPr>
                <w:sz w:val="20"/>
                <w:szCs w:val="20"/>
                <w:color w:val="auto"/>
              </w:rPr>
            </w:pPr>
            <w:r>
              <w:rPr>
                <w:rFonts w:ascii="Arial" w:cs="Arial" w:eastAsia="Arial" w:hAnsi="Arial"/>
                <w:sz w:val="18"/>
                <w:szCs w:val="18"/>
                <w:color w:val="auto"/>
              </w:rPr>
              <w:t>Government systems segment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702.2</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1,128.7</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Satellite services segment</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131.0</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Commercial networks segment</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295.5</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Government systems segment</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596.8</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1,023.3</w:t>
            </w:r>
          </w:p>
        </w:tc>
        <w:tc>
          <w:tcPr>
            <w:tcW w:w="76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459" w:right="2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firstLine="456"/>
        <w:spacing w:after="0" w:line="235" w:lineRule="auto"/>
        <w:rPr>
          <w:sz w:val="20"/>
          <w:szCs w:val="20"/>
          <w:color w:val="auto"/>
        </w:rPr>
      </w:pPr>
      <w:r>
        <w:rPr>
          <w:rFonts w:ascii="Arial" w:cs="Arial" w:eastAsia="Arial" w:hAnsi="Arial"/>
          <w:sz w:val="18"/>
          <w:szCs w:val="18"/>
          <w:color w:val="auto"/>
        </w:rPr>
        <w:t>The firm backlog does not include contract options. Of the $1.1 billion in firm backlog, $222.9 million is expected to be delivered during the remaining three months of fiscal year 2018, and the balance is expected to be delivered in fiscal year 2019 and thereafter. We include in our backlog only those orders for which we have accepted purchase orders. Backlog does not include contracts with subscribers for fixed broadband services in our satellite services segment, nor does it include anticipated purchase orders and requests for the installation of in-flight broadband systems or future recurring in-flight internet service revenues under commercial in-flight internet agreements recorded in our commercial networks and satellite services segments, respectively. As of December 31, 2017, we expected to install in-flight broadband systems on approximately 910 additional aircraft under our existing customer agreements with commercial airlines, approximately 160 of which relate to accepted purchase orders (and are included in firm backlog in our commercial networks segment) and approximately 750 of which relate to anticipated purchase orders and requests under existing customer agreements. There can be no assurance that all anticipated purchase orders and requests will be placed.</w:t>
      </w:r>
    </w:p>
    <w:p>
      <w:pPr>
        <w:spacing w:after="0" w:line="161" w:lineRule="exact"/>
        <w:rPr>
          <w:sz w:val="20"/>
          <w:szCs w:val="20"/>
          <w:color w:val="auto"/>
        </w:rPr>
      </w:pPr>
    </w:p>
    <w:p>
      <w:pPr>
        <w:ind w:right="840" w:firstLine="456"/>
        <w:spacing w:after="0" w:line="299" w:lineRule="auto"/>
        <w:rPr>
          <w:sz w:val="20"/>
          <w:szCs w:val="20"/>
          <w:color w:val="auto"/>
        </w:rPr>
      </w:pPr>
      <w:r>
        <w:rPr>
          <w:rFonts w:ascii="Arial" w:cs="Arial" w:eastAsia="Arial" w:hAnsi="Arial"/>
          <w:sz w:val="16"/>
          <w:szCs w:val="16"/>
          <w:color w:val="auto"/>
        </w:rPr>
        <w:t>Our total new awards were approximately $436.0 million and $1.3 billion for the three and nine months ended December 31, 2017, respectively, compared to $353.7 million and $1.3 billion for the three and nine months ended December 31, 2016, respectively.</w:t>
      </w:r>
    </w:p>
    <w:p>
      <w:pPr>
        <w:spacing w:after="0" w:line="10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7"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December 31, 2017, we had $161.8 million in cash and cash equivalents, $261.7 million in working capital, no outstanding borrowings under the Revolving Credit Facility and borrowing availability of $770.9 million under the Revolving Credit Facility. As of December 31, 2017, our $362.4 million direct loan facility with the Export-Import Bank of the United States for ViaSat-2 (the Ex-Im Credit Facility and, together with the Revolving Credit Facility, the Credit Facilities) was fully drawn. At March 31, 2017, we had $130.1 million in cash and cash equivalents, $289.3 million in working capital, no outstanding borrowings and borrowing availability of $761.4 million under our Revolving Credit Facility and $274.6 million in principal amount of outstanding borrowings under our Ex-Im Credit Facility. We invest our cash in excess of current operating requirements in short-term, interest-bearing, investment-grade securities.</w:t>
      </w:r>
    </w:p>
    <w:p>
      <w:pPr>
        <w:spacing w:after="0" w:line="154"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55"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strategic partnering arrangements (such as our Eutelsat strategic partnering arrangement)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61"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Cash provided by operating activities for the first nine months of fiscal year 2018 was $282.6 million compared to $312.7 million in the prior year period. This $30.1 million decrease was primarily driven by our operating results (net (loss) income adjusted for depreciation, amortization and other non-cash charges) which resulted in $70.5 million of higher cash outflows year-over-year, partially offset by a $40.4 million year-over-year decrease in cash used to fund net operating assets. The decrease in cash used to fund net operating assets during the first nine months of fiscal year 2018 when compared to the prior year period was primarily due to an increase in the long-term portion of deferred revenues included in other liabilities in our satellite services segment, partially offset by a decrease in our collections in excess of revenues and deferred revenues included in accrued liabilities due to the timing of milestone billings for certain larger development projects in our government systems segment and an increase in cash used for inventory in our commercial networks segment due to a ramp up of mobile terminal deliveries that are expected to occur in the fourth quarter of fiscal year 2018.</w:t>
      </w:r>
    </w:p>
    <w:p>
      <w:pPr>
        <w:spacing w:after="0" w:line="161"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Cash used in investing activities for the first nine months of fiscal year 2018 was $409.6 million compared to $463.4 million in the prior year period. The decrease in cash used in investing activities year-over-year reflects a decrease of $68.5 million in cash used for satellite construction and a decrease of $16.5 million in cash used for acquisitions, partially offset by an increase of $27.6 million in capital expenditures used for property and other general purpose equipment and an increase of $5.0 million for the construction of earth stations and network operation systems related to the ViaSat-2 satellite.</w:t>
      </w:r>
    </w:p>
    <w:p>
      <w:pPr>
        <w:spacing w:after="0" w:line="157"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Cash provided by financing activities for the first nine months of fiscal year 2018 was $157.9 million compared to $394.0 million for the prior year period. This $236.0 million decrease in cash provided by financing activities year-over-year was primarily related to the repurchase and redemption of $575.0 million in aggregate principal amount of our former 6.875% Notes due 2020 (the 2020 Notes) and the related payment of $10.6 million of debt extinguishment costs during the second quarter of fiscal year 2018, a year-over-year decrease of $25.0 million in net proceeds from borrowings under our Ex-Im Credit Facility, and a year-over-year increase of $3.1 million related to payments of debt issuance costs during the first nine months of fiscal year 2018, as well as the $503.1 million we received in net proceeds from a public offering of our common stock in the third quarter of fiscal year 2017 (after deducting underwriting discounts and offering expenses). This decrease was partially offset by the issuance of $700.0 million in aggregate principal amount of our 5.625% Senior Notes due 2025 (the 2025 Notes) during the second quarter of fiscal year 2018 and a year-over-year decrease of $180.0 million in net payments on borrowings under our Revolving Credit Facility. Cash provided by financing activities for both periods included cash received from stock option exercises and employee stock purchase plan purchases, offset by cash used for the repurchase of common stock related to net share settlement of certain employee tax liabilities in connection with the vesting of restricted stock unit awards.</w:t>
      </w:r>
    </w:p>
    <w:p>
      <w:pPr>
        <w:sectPr>
          <w:pgSz w:w="11900" w:h="16838" w:orient="portrait"/>
          <w:cols w:equalWidth="0" w:num="1">
            <w:col w:w="11420"/>
          </w:cols>
          <w:pgMar w:left="240" w:top="45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May 2013, we entered into an agreement to purchase the ViaSat-2 satellite from The Boeing Company (Boeing). In April 2017, the satellite construction agreement was amended to replace the remaining milestone payments for the satellite under the agreement with approximately $21.0 million of in-orbit satellite performance incentive payments, excluding interest, payable monthly over a nine-year period commencing one month after the completion of in-orbit testing, subject to the continued satisfactory performance of the satellite. On June 1, 2017, ViaSat-2 was successfully launched into orbit. The satellite has successfully completed orbit raising and orbital placement, and Boeing will transfer control of the satellite to us following the completion of in-orbit testing.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3"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6"/>
          <w:szCs w:val="16"/>
          <w:color w:val="auto"/>
        </w:rPr>
        <w:t>We believe the roll-out of our ViaSat-2 satellite and related ground infrastructure will impact our financial results in our satellite services segment in the remainder of fiscal year 2018 and beyond. In particular, we expect to continue to incur capital expenditures in ground infrastructure for the satellite, and to increase our investment in subscriber acquisition costs after ViaSat-2 is placed into service as we expand our subscriber base for our fixed broadband services. However, there can be no assurance that we will be successful in our expansion plans. During the period from late fiscal year 2012 until early fiscal year 2015, we incurred higher operating costs in connection with the launch and roll-out of our ViaSat-1 satellite, related ground infrastructure and Exede fixed broadband services, as well as higher interest expense as we capitalized a lower amount of the interest expense on our outstanding debt. These higher operating costs, which negatively impacted income from our operations during that period, included costs associated with depreciation, earth station connectivity, subscriber acquisition costs, logistics, customer care and various support systems. We expect the relative impact of the launch and roll-out of our ViaSat-2 satellite and related ground infrastructure to our financial results to be less than we experienced in relation to the launch and roll-out of our ViaSat-1 satellite and related ground infrastructure.</w:t>
      </w:r>
    </w:p>
    <w:p>
      <w:pPr>
        <w:spacing w:after="0" w:line="133" w:lineRule="exact"/>
        <w:rPr>
          <w:sz w:val="20"/>
          <w:szCs w:val="20"/>
          <w:color w:val="auto"/>
        </w:rPr>
      </w:pPr>
    </w:p>
    <w:p>
      <w:pPr>
        <w:ind w:right="20" w:firstLine="456"/>
        <w:spacing w:after="0" w:line="268" w:lineRule="auto"/>
        <w:rPr>
          <w:sz w:val="20"/>
          <w:szCs w:val="20"/>
          <w:color w:val="auto"/>
        </w:rPr>
      </w:pPr>
      <w:r>
        <w:rPr>
          <w:rFonts w:ascii="Arial" w:cs="Arial" w:eastAsia="Arial" w:hAnsi="Arial"/>
          <w:sz w:val="16"/>
          <w:szCs w:val="16"/>
          <w:color w:val="auto"/>
        </w:rPr>
        <w:t>In July 2016, we entered into two separate agreements with Boeing for the construction and purchase of two ViaSat-3 class satellites and the integration of Viasat’s payload technologies into the satellites at an amended price of approximately $379.5 million in the aggregate (subject to purchase price adjustments based on factors such as launch delay and early delivery), plus an additional amount for launch support services to be performed by Boeing. In addition, under one of these agreements, we have the option to order up to two additional ViaSat-3 class satellites. The first ViaSat-3 class satellite is expected to provide broadband services over the Americas, and the second is expected to provide broadband services over the Europe, Middle East and Africa (EMEA) region. The projected aggregate total project cost for the two ViaSat-3 class satellites, including the satellites, launches, insurance and related earth station infrastructure, through satellite launch is estimated to be between $1.2 billion and $1.4 billion, and will depend on the timing of the earth station infrastructure roll-out of each satellite and the method we use to procure fiber access. Our total cash funding may be reduced through various third-party agreements, including potential joint service offerings and other strategic partnering arrangements. We believe we have adequate sources of funding for the ViaSat-3 class satellites, which include our cash on hand, available borrowing capacity and the cash we expect to generate from operations over the next few years.</w:t>
      </w:r>
    </w:p>
    <w:p>
      <w:pPr>
        <w:spacing w:after="0" w:line="336"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Our IR&amp;D investments in our ViaSat-3 class satellites currently under construction and in our commercial mobility businesses are expected to be higher in fiscal year 2018 compared to the prior fiscal year and accordingly negatively impact our financial results in our commercial networks segment in fiscal year 2018, with our investments in related ground infrastructure development continuing in subsequent fiscal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7"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As of December 31, 2017, the Revolving Credit Facility provided an $800.0 million revolving line of credit (including up to $150.0 million of letters of credit) with a maturity date of May 24, 2021.</w:t>
      </w:r>
    </w:p>
    <w:p>
      <w:pPr>
        <w:spacing w:after="0" w:line="155"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The Revolving Credit Facility is required to be guaranteed by certain significant domestic subsidiaries of Viasat (as defined in the Revolving Credit Facility) and secured by substantially all of our assets. As of December 31, 2017, none of our subsidiaries guaranteed the Revolving Credit Facility.</w:t>
      </w:r>
    </w:p>
    <w:p>
      <w:pPr>
        <w:spacing w:after="0" w:line="157"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54"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At December 31, 2017, we had no outstanding borrowings under the Revolving Credit Facility and $29.1 million outstanding under standby letters of credit, leaving borrowing availability under the Revolving Credit Facility as of December 31, 2017 of $770.9 million.</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7"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As of December 31, 2017, the Ex-Im Credit Facility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includes all previously accrued completion exposure fees).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exposure fees, debt issuance costs and other fees, is 4.6%. Borrowings under the Ex-Im Credit Facility are required to be repaid in 16 approximately equal semi-annual principal installments, commencing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56"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54"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 unamortized discount and debt issuance costs, in our condensed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term of the borrowings under the Ex-Im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5"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In connection with our issuance of the 2025 Notes on September 21, 2017, we repurchased and redeemed all of our $575.0 million in aggregate principal amount of 2020 Notes then outstanding through a cash tender offer and redemption, and the indenture governing the 2020 Notes was satisfied and discharged in accordance with its terms. On September 21, 2017, we repurchased $298.2 million in aggregate principal amount of the 2020 Notes pursuant to the tender offer. The total cash payment to repurchase the tendered 2020 Notes in the tender offer, including accrued and unpaid interest to, but excluding, the repurchase date, was $309.3 million. Also on September 21, 2017, in connection with the redemption of the remaining $276.8 million in aggregate principal amount of 2020 Notes, we irrevocably deposited $287.4 million with Wilmington Trust, as trustee, as trust funds solely for the benefit of the holders of such 2020 Notes. The redemption price for the 2020 Notes was 101.719% of the principal amount so redeemed, plus accrued and unpaid interest to, but excluding, the redemption date of October 5, 2017.</w:t>
      </w:r>
    </w:p>
    <w:p>
      <w:pPr>
        <w:spacing w:after="0" w:line="133" w:lineRule="exact"/>
        <w:rPr>
          <w:sz w:val="20"/>
          <w:szCs w:val="20"/>
          <w:color w:val="auto"/>
        </w:rPr>
      </w:pPr>
    </w:p>
    <w:p>
      <w:pPr>
        <w:ind w:right="460" w:firstLine="456"/>
        <w:spacing w:after="0" w:line="299" w:lineRule="auto"/>
        <w:rPr>
          <w:sz w:val="20"/>
          <w:szCs w:val="20"/>
          <w:color w:val="auto"/>
        </w:rPr>
      </w:pPr>
      <w:r>
        <w:rPr>
          <w:rFonts w:ascii="Arial" w:cs="Arial" w:eastAsia="Arial" w:hAnsi="Arial"/>
          <w:sz w:val="16"/>
          <w:szCs w:val="16"/>
          <w:color w:val="auto"/>
        </w:rPr>
        <w:t>In connection with the satisfaction and discharge of the indenture governing the 2020 Notes, all of our obligations (other than certain customary provisions of the indenture that expressly survive pursuant to the terms of the indenture) were discharged on September 21, 2017.</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we recognized a</w:t>
      </w:r>
    </w:p>
    <w:p>
      <w:pPr>
        <w:spacing w:after="0"/>
        <w:rPr>
          <w:sz w:val="20"/>
          <w:szCs w:val="20"/>
          <w:color w:val="auto"/>
        </w:rPr>
      </w:pPr>
      <w:r>
        <w:rPr>
          <w:rFonts w:ascii="Arial" w:cs="Arial" w:eastAsia="Arial" w:hAnsi="Arial"/>
          <w:sz w:val="16"/>
          <w:szCs w:val="16"/>
          <w:color w:val="auto"/>
        </w:rPr>
        <w:t>$10.2 million loss on extinguishment of debt during the second quarter of fiscal year 2018, which was comprised of $10.6 million in cash payments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(including tender offer consideration, redemption premium and related professional fees), net of an insignificant amount in non-cash gain (including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unamortized premium, net of unamortized debt issuance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On September 21, 2017, we issued $700.0 million in principal amount of 2025 Notes in a private placement to institutional buyers. The 2025 Notes were issued at face value and are recorded as long-term debt, net of debt issuance costs, in our condensed consolidated financial statements. The 2025 Notes bear interest at the rate of 5.625% per year, payable semi-annually in cash in arrears, which interest payments will commence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6"/>
          <w:szCs w:val="16"/>
          <w:color w:val="auto"/>
        </w:rPr>
        <w:t>The 2025 Notes are required to be guaranteed on an unsecured senior basis by each of our existing and future subsidiaries that guarantees the Revolving Credit Facility. As of December 31, 2017,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2025 Notes, and are senior in right of payment to all of their existing and future subordinated indebtedness.</w:t>
      </w:r>
    </w:p>
    <w:p>
      <w:pPr>
        <w:spacing w:after="0" w:line="131"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456"/>
        <w:spacing w:after="0" w:line="264" w:lineRule="auto"/>
        <w:rPr>
          <w:sz w:val="20"/>
          <w:szCs w:val="20"/>
          <w:color w:val="auto"/>
        </w:rPr>
      </w:pPr>
      <w:r>
        <w:rPr>
          <w:rFonts w:ascii="Arial" w:cs="Arial" w:eastAsia="Arial" w:hAnsi="Arial"/>
          <w:sz w:val="16"/>
          <w:szCs w:val="16"/>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w:t>
      </w:r>
    </w:p>
    <w:p>
      <w:pPr>
        <w:spacing w:after="0" w:line="1" w:lineRule="exact"/>
        <w:rPr>
          <w:sz w:val="20"/>
          <w:szCs w:val="20"/>
          <w:color w:val="auto"/>
        </w:rPr>
      </w:pPr>
    </w:p>
    <w:p>
      <w:pPr>
        <w:ind w:right="100" w:firstLine="8"/>
        <w:spacing w:after="0" w:line="236" w:lineRule="auto"/>
        <w:tabs>
          <w:tab w:leader="none" w:pos="2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6"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For the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Remainder of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31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Fiscal Year</w:t>
            </w:r>
          </w:p>
        </w:tc>
        <w:tc>
          <w:tcPr>
            <w:tcW w:w="140" w:type="dxa"/>
            <w:vAlign w:val="bottom"/>
          </w:tcPr>
          <w:p>
            <w:pPr>
              <w:spacing w:after="0"/>
              <w:rPr>
                <w:sz w:val="14"/>
                <w:szCs w:val="14"/>
                <w:color w:val="auto"/>
              </w:rPr>
            </w:pPr>
          </w:p>
        </w:tc>
        <w:tc>
          <w:tcPr>
            <w:tcW w:w="28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34"/>
        </w:trPr>
        <w:tc>
          <w:tcPr>
            <w:tcW w:w="3420" w:type="dxa"/>
            <w:vAlign w:val="bottom"/>
            <w:tcBorders>
              <w:bottom w:val="single" w:sz="8" w:color="auto"/>
            </w:tcBorders>
            <w:gridSpan w:val="2"/>
            <w:vMerge w:val="continue"/>
          </w:tcPr>
          <w:p>
            <w:pPr>
              <w:spacing w:after="0"/>
              <w:rPr>
                <w:sz w:val="11"/>
                <w:szCs w:val="11"/>
                <w:color w:val="auto"/>
              </w:rPr>
            </w:pPr>
          </w:p>
        </w:tc>
        <w:tc>
          <w:tcPr>
            <w:tcW w:w="3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57"/>
              <w:spacing w:after="0" w:line="129"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2019-2020</w:t>
            </w: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2021-2022</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96"/>
              </w:rPr>
              <w:t>Thereafter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Operating leases and satellite capacity agreements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473,128</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18,318</w:t>
            </w:r>
          </w:p>
        </w:tc>
        <w:tc>
          <w:tcPr>
            <w:tcW w:w="10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$138,732</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$101,233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214,845</w:t>
            </w:r>
          </w:p>
        </w:tc>
        <w:tc>
          <w:tcPr>
            <w:tcW w:w="0" w:type="dxa"/>
            <w:vAlign w:val="bottom"/>
          </w:tcPr>
          <w:p>
            <w:pPr>
              <w:spacing w:after="0"/>
              <w:rPr>
                <w:sz w:val="1"/>
                <w:szCs w:val="1"/>
                <w:color w:val="auto"/>
              </w:rPr>
            </w:pPr>
          </w:p>
        </w:tc>
      </w:tr>
      <w:tr>
        <w:trPr>
          <w:trHeight w:val="203"/>
        </w:trPr>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2025 Notes</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1,014,453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19,141</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78,750</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78,750</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837,812</w:t>
            </w: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Ex-Im Credit Facility</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399,052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106,208</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101,937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190,907</w:t>
            </w: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Satellite performance incentive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29,052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5,105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17,505</w:t>
            </w:r>
          </w:p>
        </w:tc>
        <w:tc>
          <w:tcPr>
            <w:tcW w:w="0" w:type="dxa"/>
            <w:vAlign w:val="bottom"/>
          </w:tcPr>
          <w:p>
            <w:pPr>
              <w:spacing w:after="0"/>
              <w:rPr>
                <w:sz w:val="1"/>
                <w:szCs w:val="1"/>
                <w:color w:val="auto"/>
              </w:rPr>
            </w:pPr>
          </w:p>
        </w:tc>
      </w:tr>
      <w:tr>
        <w:trPr>
          <w:trHeight w:val="203"/>
        </w:trPr>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Purchase commitments including satellite-related agreements</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1,155,103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372,095</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642,737</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98,336</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41,935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3,070,788</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410,135</w:t>
            </w:r>
          </w:p>
        </w:tc>
        <w:tc>
          <w:tcPr>
            <w:tcW w:w="10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971,532</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386,117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1,303,004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55"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Our condensed consolidated balance sheets included $117.8 million and $42.7 million of “other liabilities” as of December 31, 2017 and March 31, 2017, respectively, which primarily consisted of the long-term portion of our satellite performance incentive obligation relating to the ViaSat-1 satellite, our long-term warranty obligations, the long-term portion of deferred rent, long-term portion of deferred revenue and long-term deferred income taxes. With the exception of the long-term portion of our satellite performance incentive obligation relating to the ViaSat-1 satellite, these remaining liabilities have been excluded from the above table as the timing and/or the amount of any cash payment is uncertain. The amounts listed in the table above also exclude the satellite performance incentive obligation relating to the ViaSat-2 satellite because this obligation is contingent upon completion of in-orbit testing, which has not yet occurred. See Note 3 to our condensed consolidated financial statements for additional information regarding satellite performance incentive obligation relating to the ViaSat-1 satellite, Note 9 to our condensed consolidated financial statements for additional information regarding our income taxes and related tax positions and Note 7 to our condensed consolidated financial statements for a discussion of our product warranties.</w:t>
      </w:r>
    </w:p>
    <w:p>
      <w:pPr>
        <w:sectPr>
          <w:pgSz w:w="11900" w:h="16838" w:orient="portrait"/>
          <w:cols w:equalWidth="0" w:num="1">
            <w:col w:w="11420"/>
          </w:cols>
          <w:pgMar w:left="240" w:top="45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We had no material off-balance sheet arrangements at December 31, 2017 as defined in Regulation S-K Item 303(a)(4) other than as discussed under Contractual Obligations above or disclosed in the notes to our consolidated financial statements included in this report or in our Annual Report on Form 10-K for the year ended March 31, 2017.</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121"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9" w:lineRule="exact"/>
        <w:rPr>
          <w:sz w:val="20"/>
          <w:szCs w:val="20"/>
          <w:color w:val="auto"/>
        </w:rPr>
      </w:pPr>
    </w:p>
    <w:p>
      <w:pPr>
        <w:ind w:right="380" w:firstLine="456"/>
        <w:spacing w:after="0" w:line="239" w:lineRule="auto"/>
        <w:rPr>
          <w:sz w:val="20"/>
          <w:szCs w:val="20"/>
          <w:color w:val="auto"/>
        </w:rPr>
      </w:pPr>
      <w:r>
        <w:rPr>
          <w:rFonts w:ascii="Arial" w:cs="Arial" w:eastAsia="Arial" w:hAnsi="Arial"/>
          <w:sz w:val="18"/>
          <w:szCs w:val="18"/>
          <w:color w:val="auto"/>
        </w:rPr>
        <w:t>For information regarding recently adopted and issued accounting pronouncements, see Note 1 to our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7"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Our financial instruments consist of cash and cash equivalents, accounts receivable, accounts payable, short-term and long-term obligations, including the Credit Facilities and the 2025 Notes, and foreign currency forward contracts. We consider investments in highly liquid instruments purchased with a remaining maturity of three months or less at the date of purchase to be cash equivalents. As of December 31, 2017, we had no outstanding borrowings under our Revolving Credit Facility, $362.4 million in principal amount of outstanding borrowings under our Ex-Im Credit Facility, and $700.0 million in aggregate principal amount outstanding of the 2025 Notes, and we held no short-term investments. Our 2025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31"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months ended December 31, 2017 and 2016.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6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Our primary interest rate under the Revolving Credit Facility is the Eurodollar rate plus an applicable margin that is based on our total leverage ratio. Under the Revolving Credit Facility, the effective interest rate as of December 31, 2017 that would have been applied to any new Eurodollar based borrowings under the Revolving Credit Facility was approximately 4.11%. As of December 31, 2017, we had no outstanding borrowings under our Revolving Credit Facility. Accordingly, assuming the outstanding balance remained constant over a year, changes in interests rates applicable to our Revolving Credit Facility would have no effect on our interest incurred and cash flow.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7" w:lineRule="exact"/>
        <w:rPr>
          <w:sz w:val="20"/>
          <w:szCs w:val="20"/>
          <w:color w:val="auto"/>
        </w:rPr>
      </w:pPr>
    </w:p>
    <w:p>
      <w:pPr>
        <w:ind w:right="60" w:firstLine="456"/>
        <w:spacing w:after="0" w:line="271"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The closing of our strategic partnering arrangement with Eutelsat during the fourth quarter of fiscal year 2017 and related investment in Euro Infrastructure Co., which is denominated in Euros, increases our exposure to foreign currency risk.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31"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As of December 31, 2017, we had a number of foreign currency forward contracts outstanding which are intended to reduce the foreign currency risk for amounts payable to vendors in Euros. The foreign currency forward contracts had an insignificant notional amount, and had an insignificant amount of fair value recorded in other current assets as of December 31, 2017. If the foreign currency forward rate for the Euro to the U.S. dollar on these foreign currency forward contracts had changed by 10%, the fair value of these foreign currency forward contracts as of December 31, 2017 would have changed by an insignificant amount.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2017, the end of the period covered by this report. Based upon the foregoing, our Chief Executive Officer and Chief Financial Officer concluded that our disclosure controls and procedures were effective at a reasonable assurance level as of December 31, 2017.</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9"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2017,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Number</w:t>
            </w: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Description</w:t>
            </w:r>
          </w:p>
        </w:tc>
        <w:tc>
          <w:tcPr>
            <w:tcW w:w="4120" w:type="dxa"/>
            <w:vAlign w:val="bottom"/>
            <w:gridSpan w:val="4"/>
          </w:tcPr>
          <w:p>
            <w:pPr>
              <w:spacing w:after="0"/>
              <w:rPr>
                <w:sz w:val="14"/>
                <w:szCs w:val="14"/>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4"/>
                <w:szCs w:val="24"/>
                <w:color w:val="auto"/>
              </w:rPr>
            </w:pPr>
          </w:p>
        </w:tc>
        <w:tc>
          <w:tcPr>
            <w:tcW w:w="772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Form of Performance Stock Option Agreement for the 1996 Equity Participation Plan of ViaSat Inc.*</w:t>
              </w:r>
            </w:hyperlink>
          </w:p>
        </w:tc>
        <w:tc>
          <w:tcPr>
            <w:tcW w:w="1840" w:type="dxa"/>
            <w:vAlign w:val="bottom"/>
          </w:tcPr>
          <w:p>
            <w:pPr>
              <w:spacing w:after="0"/>
              <w:rPr>
                <w:sz w:val="24"/>
                <w:szCs w:val="24"/>
                <w:color w:val="auto"/>
              </w:rPr>
            </w:pPr>
          </w:p>
        </w:tc>
      </w:tr>
      <w:tr>
        <w:trPr>
          <w:trHeight w:val="291"/>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768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Certification of Chief Executive Officer Pursuant to Section 302 of the Sarbanes-Oxley Act of 2002*</w:t>
              </w:r>
            </w:hyperlink>
          </w:p>
        </w:tc>
        <w:tc>
          <w:tcPr>
            <w:tcW w:w="1880" w:type="dxa"/>
            <w:vAlign w:val="bottom"/>
            <w:gridSpan w:val="2"/>
          </w:tcPr>
          <w:p>
            <w:pPr>
              <w:spacing w:after="0"/>
              <w:rPr>
                <w:sz w:val="24"/>
                <w:szCs w:val="24"/>
                <w:color w:val="auto"/>
              </w:rPr>
            </w:pPr>
          </w:p>
        </w:tc>
      </w:tr>
      <w:tr>
        <w:trPr>
          <w:trHeight w:val="291"/>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762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69">
              <w:r>
                <w:rPr>
                  <w:rFonts w:ascii="Arial" w:cs="Arial" w:eastAsia="Arial" w:hAnsi="Arial"/>
                  <w:sz w:val="18"/>
                  <w:szCs w:val="18"/>
                  <w:color w:val="0000EE"/>
                  <w:w w:val="97"/>
                </w:rPr>
                <w:t>Certification of Chief Financial Officer Pursuant to Section 302 of the Sarbanes-Oxley Act of 2002*</w:t>
              </w:r>
            </w:hyperlink>
          </w:p>
        </w:tc>
        <w:tc>
          <w:tcPr>
            <w:tcW w:w="1940" w:type="dxa"/>
            <w:vAlign w:val="bottom"/>
            <w:gridSpan w:val="3"/>
          </w:tcPr>
          <w:p>
            <w:pPr>
              <w:spacing w:after="0"/>
              <w:rPr>
                <w:sz w:val="24"/>
                <w:szCs w:val="24"/>
                <w:color w:val="auto"/>
              </w:rPr>
            </w:pPr>
          </w:p>
        </w:tc>
      </w:tr>
      <w:tr>
        <w:trPr>
          <w:trHeight w:val="291"/>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95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70">
              <w:r>
                <w:rPr>
                  <w:rFonts w:ascii="Arial" w:cs="Arial" w:eastAsia="Arial" w:hAnsi="Arial"/>
                  <w:sz w:val="18"/>
                  <w:szCs w:val="18"/>
                  <w:color w:val="0000EE"/>
                  <w:w w:val="97"/>
                </w:rPr>
                <w:t>Certifications Pursuant to 18 U.S.C. Section 1350, as Adopted Pursuant to Section 906 of the Sarbanes-Oxley Act of 2002*</w:t>
              </w:r>
            </w:hyperlink>
          </w:p>
        </w:tc>
      </w:tr>
      <w:tr>
        <w:trPr>
          <w:trHeight w:val="329"/>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78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78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78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78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78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78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6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jc w:val="right"/>
        <w:ind w:left="5620" w:right="5520" w:hanging="5612"/>
        <w:spacing w:after="0" w:line="366" w:lineRule="auto"/>
        <w:tabs>
          <w:tab w:leader="none" w:pos="4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Indicates management contract, compensatory plan or arrangement. 50</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VIASAT, INC.</w:t>
      </w:r>
    </w:p>
    <w:p>
      <w:pPr>
        <w:spacing w:after="0" w:line="21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February 8, 2018</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-4445</wp:posOffset>
            </wp:positionV>
            <wp:extent cx="3258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Mark Dankberg</w:t>
      </w:r>
    </w:p>
    <w:p>
      <w:pPr>
        <w:ind w:left="6280"/>
        <w:spacing w:after="0" w:line="234" w:lineRule="auto"/>
        <w:rPr>
          <w:sz w:val="20"/>
          <w:szCs w:val="20"/>
          <w:color w:val="auto"/>
        </w:rPr>
      </w:pPr>
      <w:r>
        <w:rPr>
          <w:rFonts w:ascii="Arial" w:cs="Arial" w:eastAsia="Arial" w:hAnsi="Arial"/>
          <w:sz w:val="18"/>
          <w:szCs w:val="18"/>
          <w:color w:val="auto"/>
        </w:rPr>
        <w:t>Chairman of the Board and Chief Executive Officer</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-4445</wp:posOffset>
            </wp:positionV>
            <wp:extent cx="32588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Shawn Duffy</w:t>
      </w:r>
    </w:p>
    <w:p>
      <w:pPr>
        <w:ind w:left="628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459"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160" w:type="dxa"/>
            <w:vAlign w:val="bottom"/>
            <w:gridSpan w:val="5"/>
          </w:tcPr>
          <w:p>
            <w:pPr>
              <w:jc w:val="center"/>
              <w:ind w:right="2380"/>
              <w:spacing w:after="0"/>
              <w:rPr>
                <w:sz w:val="20"/>
                <w:szCs w:val="20"/>
                <w:color w:val="auto"/>
              </w:rPr>
            </w:pPr>
            <w:r>
              <w:rPr>
                <w:rFonts w:ascii="Arial" w:cs="Arial" w:eastAsia="Arial" w:hAnsi="Arial"/>
                <w:sz w:val="18"/>
                <w:szCs w:val="18"/>
                <w:b w:val="1"/>
                <w:bCs w:val="1"/>
                <w:color w:val="auto"/>
                <w:w w:val="94"/>
              </w:rPr>
              <w:t>VIASAT, INC.</w:t>
            </w:r>
          </w:p>
        </w:tc>
      </w:tr>
      <w:tr>
        <w:trPr>
          <w:trHeight w:val="203"/>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780" w:type="dxa"/>
            <w:vAlign w:val="bottom"/>
            <w:gridSpan w:val="6"/>
          </w:tcPr>
          <w:p>
            <w:pPr>
              <w:jc w:val="center"/>
              <w:ind w:right="1740"/>
              <w:spacing w:after="0" w:line="202" w:lineRule="exact"/>
              <w:rPr>
                <w:sz w:val="20"/>
                <w:szCs w:val="20"/>
                <w:color w:val="auto"/>
              </w:rPr>
            </w:pPr>
            <w:r>
              <w:rPr>
                <w:rFonts w:ascii="Arial" w:cs="Arial" w:eastAsia="Arial" w:hAnsi="Arial"/>
                <w:sz w:val="18"/>
                <w:szCs w:val="18"/>
                <w:b w:val="1"/>
                <w:bCs w:val="1"/>
                <w:color w:val="auto"/>
                <w:w w:val="96"/>
              </w:rPr>
              <w:t>1996 EQUITY PARTICIPATION PLAN</w:t>
            </w:r>
          </w:p>
        </w:tc>
      </w:tr>
      <w:tr>
        <w:trPr>
          <w:trHeight w:val="233"/>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780" w:type="dxa"/>
            <w:vAlign w:val="bottom"/>
            <w:gridSpan w:val="6"/>
          </w:tcPr>
          <w:p>
            <w:pPr>
              <w:jc w:val="center"/>
              <w:ind w:right="1740"/>
              <w:spacing w:after="0"/>
              <w:rPr>
                <w:sz w:val="20"/>
                <w:szCs w:val="20"/>
                <w:color w:val="auto"/>
              </w:rPr>
            </w:pPr>
            <w:r>
              <w:rPr>
                <w:rFonts w:ascii="Arial" w:cs="Arial" w:eastAsia="Arial" w:hAnsi="Arial"/>
                <w:sz w:val="18"/>
                <w:szCs w:val="18"/>
                <w:b w:val="1"/>
                <w:bCs w:val="1"/>
                <w:color w:val="auto"/>
                <w:w w:val="97"/>
              </w:rPr>
              <w:t>PERFORMANCE STOCK OPTION AGREEMENT</w:t>
            </w:r>
          </w:p>
        </w:tc>
      </w:tr>
      <w:tr>
        <w:trPr>
          <w:trHeight w:val="367"/>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Grant:</w:t>
            </w:r>
          </w:p>
        </w:tc>
        <w:tc>
          <w:tcPr>
            <w:tcW w:w="2540" w:type="dxa"/>
            <w:vAlign w:val="bottom"/>
            <w:gridSpan w:val="3"/>
          </w:tcPr>
          <w:p>
            <w:pPr>
              <w:ind w:left="60"/>
              <w:spacing w:after="0"/>
              <w:rPr>
                <w:sz w:val="20"/>
                <w:szCs w:val="20"/>
                <w:color w:val="auto"/>
              </w:rPr>
            </w:pPr>
            <w:r>
              <w:rPr>
                <w:rFonts w:ascii="Arial" w:cs="Arial" w:eastAsia="Arial" w:hAnsi="Arial"/>
                <w:sz w:val="18"/>
                <w:szCs w:val="18"/>
                <w:color w:val="auto"/>
              </w:rPr>
              <w:t>“Target” Number of Options</w:t>
            </w:r>
          </w:p>
        </w:tc>
        <w:tc>
          <w:tcPr>
            <w:tcW w:w="620" w:type="dxa"/>
            <w:vAlign w:val="bottom"/>
          </w:tcPr>
          <w:p>
            <w:pPr>
              <w:spacing w:after="0"/>
              <w:rPr>
                <w:sz w:val="24"/>
                <w:szCs w:val="24"/>
                <w:color w:val="auto"/>
              </w:rPr>
            </w:pPr>
          </w:p>
        </w:tc>
        <w:tc>
          <w:tcPr>
            <w:tcW w:w="5160" w:type="dxa"/>
            <w:vAlign w:val="bottom"/>
            <w:gridSpan w:val="5"/>
          </w:tcPr>
          <w:p>
            <w:pPr>
              <w:ind w:left="1060"/>
              <w:spacing w:after="0"/>
              <w:rPr>
                <w:sz w:val="20"/>
                <w:szCs w:val="20"/>
                <w:color w:val="auto"/>
              </w:rPr>
            </w:pPr>
            <w:r>
              <w:rPr>
                <w:rFonts w:ascii="Arial" w:cs="Arial" w:eastAsia="Arial" w:hAnsi="Arial"/>
                <w:sz w:val="18"/>
                <w:szCs w:val="18"/>
                <w:b w:val="1"/>
                <w:bCs w:val="1"/>
                <w:color w:val="auto"/>
              </w:rPr>
              <w:t>Name:</w:t>
            </w:r>
          </w:p>
        </w:tc>
      </w:tr>
      <w:tr>
        <w:trPr>
          <w:trHeight w:val="399"/>
        </w:trPr>
        <w:tc>
          <w:tcPr>
            <w:tcW w:w="5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80" w:type="dxa"/>
            <w:vAlign w:val="bottom"/>
            <w:gridSpan w:val="2"/>
          </w:tcPr>
          <w:p>
            <w:pPr>
              <w:ind w:left="40"/>
              <w:spacing w:after="0"/>
              <w:rPr>
                <w:sz w:val="20"/>
                <w:szCs w:val="20"/>
                <w:color w:val="auto"/>
              </w:rPr>
            </w:pPr>
            <w:r>
              <w:rPr>
                <w:rFonts w:ascii="Arial" w:cs="Arial" w:eastAsia="Arial" w:hAnsi="Arial"/>
                <w:sz w:val="18"/>
                <w:szCs w:val="18"/>
                <w:color w:val="auto"/>
                <w:w w:val="98"/>
              </w:rPr>
              <w:t>“Maximum” Number of Options</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399"/>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Grant Date:</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60" w:type="dxa"/>
            <w:vAlign w:val="bottom"/>
            <w:gridSpan w:val="5"/>
          </w:tcPr>
          <w:p>
            <w:pPr>
              <w:ind w:left="1060"/>
              <w:spacing w:after="0"/>
              <w:rPr>
                <w:sz w:val="20"/>
                <w:szCs w:val="20"/>
                <w:color w:val="auto"/>
              </w:rPr>
            </w:pPr>
            <w:r>
              <w:rPr>
                <w:rFonts w:ascii="Arial" w:cs="Arial" w:eastAsia="Arial" w:hAnsi="Arial"/>
                <w:sz w:val="18"/>
                <w:szCs w:val="18"/>
                <w:b w:val="1"/>
                <w:bCs w:val="1"/>
                <w:color w:val="auto"/>
              </w:rPr>
              <w:t>Signature:</w:t>
            </w:r>
          </w:p>
        </w:tc>
      </w:tr>
      <w:tr>
        <w:trPr>
          <w:trHeight w:val="20"/>
        </w:trPr>
        <w:tc>
          <w:tcPr>
            <w:tcW w:w="960" w:type="dxa"/>
            <w:vAlign w:val="bottom"/>
            <w:gridSpan w:val="3"/>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99"/>
        </w:trPr>
        <w:tc>
          <w:tcPr>
            <w:tcW w:w="3700" w:type="dxa"/>
            <w:vAlign w:val="bottom"/>
            <w:gridSpan w:val="7"/>
          </w:tcPr>
          <w:p>
            <w:pPr>
              <w:spacing w:after="0"/>
              <w:rPr>
                <w:sz w:val="20"/>
                <w:szCs w:val="20"/>
                <w:color w:val="auto"/>
              </w:rPr>
            </w:pPr>
            <w:r>
              <w:rPr>
                <w:rFonts w:ascii="Arial" w:cs="Arial" w:eastAsia="Arial" w:hAnsi="Arial"/>
                <w:sz w:val="18"/>
                <w:szCs w:val="18"/>
                <w:b w:val="1"/>
                <w:bCs w:val="1"/>
                <w:color w:val="auto"/>
              </w:rPr>
              <w:t>Exercise Price Per Share: $</w:t>
            </w:r>
          </w:p>
        </w:tc>
        <w:tc>
          <w:tcPr>
            <w:tcW w:w="620" w:type="dxa"/>
            <w:vAlign w:val="bottom"/>
          </w:tcPr>
          <w:p>
            <w:pPr>
              <w:spacing w:after="0"/>
              <w:rPr>
                <w:sz w:val="24"/>
                <w:szCs w:val="24"/>
                <w:color w:val="auto"/>
              </w:rPr>
            </w:pPr>
          </w:p>
        </w:tc>
        <w:tc>
          <w:tcPr>
            <w:tcW w:w="5160" w:type="dxa"/>
            <w:vAlign w:val="bottom"/>
            <w:gridSpan w:val="5"/>
          </w:tcPr>
          <w:p>
            <w:pPr>
              <w:ind w:left="1060"/>
              <w:spacing w:after="0"/>
              <w:rPr>
                <w:sz w:val="20"/>
                <w:szCs w:val="20"/>
                <w:color w:val="auto"/>
              </w:rPr>
            </w:pPr>
            <w:r>
              <w:rPr>
                <w:rFonts w:ascii="Arial" w:cs="Arial" w:eastAsia="Arial" w:hAnsi="Arial"/>
                <w:sz w:val="18"/>
                <w:szCs w:val="18"/>
                <w:b w:val="1"/>
                <w:bCs w:val="1"/>
                <w:color w:val="auto"/>
              </w:rPr>
              <w:t>Expiration Date:</w:t>
            </w:r>
          </w:p>
        </w:tc>
      </w:tr>
      <w:tr>
        <w:trPr>
          <w:trHeight w:val="20"/>
        </w:trPr>
        <w:tc>
          <w:tcPr>
            <w:tcW w:w="2280" w:type="dxa"/>
            <w:vAlign w:val="bottom"/>
            <w:gridSpan w:val="6"/>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7"/>
        </w:trPr>
        <w:tc>
          <w:tcPr>
            <w:tcW w:w="370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Type of Option: </w:t>
            </w:r>
            <w:r>
              <w:rPr>
                <w:rFonts w:ascii="Arial" w:cs="Arial" w:eastAsia="Arial" w:hAnsi="Arial"/>
                <w:sz w:val="18"/>
                <w:szCs w:val="18"/>
                <w:color w:val="auto"/>
              </w:rPr>
              <w:t>Non-Qualified Stock Option</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ACCEPTANCE OF AWARD:</w:t>
      </w:r>
    </w:p>
    <w:p>
      <w:pPr>
        <w:spacing w:after="0" w:line="18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By signing where indicated above, you agree to be bound by the terms and conditions of this Performance Stock Option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1996 Equity Participation Plan of ViaSat, Inc.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You acknowledge that you have reviewed and fully understand all of the provisions of this Agreement and the Plan, and have had the opportunity to obtain advice of counsel prior to accepting the grant of Options pursuant to this Agreement. You hereby agree to accept as binding, conclusive and final all decisions or interpretations of the Compensation and Human Resources Committee of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upon any questions relating to this Agreement and the Plan.</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CONDITIONS OF OPTION AWARD:</w:t>
      </w:r>
    </w:p>
    <w:p>
      <w:pPr>
        <w:spacing w:after="0" w:line="180" w:lineRule="exact"/>
        <w:rPr>
          <w:sz w:val="20"/>
          <w:szCs w:val="20"/>
          <w:color w:val="auto"/>
        </w:rPr>
      </w:pPr>
    </w:p>
    <w:p>
      <w:pPr>
        <w:ind w:left="780" w:hanging="33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ind w:left="-20" w:firstLine="921"/>
        <w:spacing w:after="0" w:line="241" w:lineRule="auto"/>
        <w:tabs>
          <w:tab w:leader="none" w:pos="130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xml:space="preserve">. In consideration of your past and/or continued employment with or service to ViaSat,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 Subsidiary and for other good and valuable consideration, effective as of the Grant Date, the Company grants to you the Option to purchase any part or all of an aggregate of the number of shares of Common Stock set forth in this Agreement, and upon the terms and conditions set forth in the Plan and this Agreement. For the avoidance of doubt, the Option covers the “Maximum” Number of Options set forth in this Agreement, subject to the vesting and forfeiture provisions contained herein. The Option is a Non-Qualified Stock Option.</w:t>
      </w:r>
    </w:p>
    <w:p>
      <w:pPr>
        <w:spacing w:after="0" w:line="155" w:lineRule="exact"/>
        <w:rPr>
          <w:rFonts w:ascii="Arial" w:cs="Arial" w:eastAsia="Arial" w:hAnsi="Arial"/>
          <w:sz w:val="18"/>
          <w:szCs w:val="18"/>
          <w:color w:val="auto"/>
        </w:rPr>
      </w:pPr>
    </w:p>
    <w:p>
      <w:pPr>
        <w:ind w:left="-20" w:right="200" w:firstLine="921"/>
        <w:spacing w:after="0" w:line="239" w:lineRule="auto"/>
        <w:tabs>
          <w:tab w:leader="none" w:pos="130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the shares of Common Stock subject to the Option shall be as set forth on the first page of this Agreement, without commission or other charge.</w:t>
      </w:r>
    </w:p>
    <w:p>
      <w:pPr>
        <w:spacing w:after="0" w:line="236" w:lineRule="exact"/>
        <w:rPr>
          <w:rFonts w:ascii="Arial" w:cs="Arial" w:eastAsia="Arial" w:hAnsi="Arial"/>
          <w:sz w:val="18"/>
          <w:szCs w:val="18"/>
          <w:color w:val="auto"/>
        </w:rPr>
      </w:pPr>
    </w:p>
    <w:p>
      <w:pPr>
        <w:ind w:left="780" w:hanging="33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Vesting and Exercisability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20" w:right="100" w:firstLine="921"/>
        <w:spacing w:after="0" w:line="273" w:lineRule="auto"/>
        <w:tabs>
          <w:tab w:leader="none" w:pos="1302"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Vesting and Exercisability</w:t>
      </w:r>
      <w:r>
        <w:rPr>
          <w:rFonts w:ascii="Arial" w:cs="Arial" w:eastAsia="Arial" w:hAnsi="Arial"/>
          <w:sz w:val="16"/>
          <w:szCs w:val="16"/>
          <w:color w:val="auto"/>
        </w:rPr>
        <w:t xml:space="preserve">. Subject to Sections 2(b), and 8, the Option shall become vested and exercisable in such amounts and at such times as are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Performance-Vested Options (as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exercisable on and after the Certification Date (as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but only to the extent the Performance-Vested Options are then also Time-Vested Options (or as and when the Performance-Vested Options also become Time-Vested Options thereafter) as provided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b w:val="1"/>
          <w:bCs w:val="1"/>
          <w:color w:val="auto"/>
        </w:rPr>
        <w:t>Notwithstanding anything to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contrary in this Agreement or </w:t>
      </w:r>
      <w:r>
        <w:rPr>
          <w:rFonts w:ascii="Arial" w:cs="Arial" w:eastAsia="Arial" w:hAnsi="Arial"/>
          <w:sz w:val="16"/>
          <w:szCs w:val="16"/>
          <w:b w:val="1"/>
          <w:bCs w:val="1"/>
          <w:u w:val="single" w:color="auto"/>
          <w:color w:val="auto"/>
        </w:rPr>
        <w:t>Exhibit A,</w:t>
      </w:r>
      <w:r>
        <w:rPr>
          <w:rFonts w:ascii="Arial" w:cs="Arial" w:eastAsia="Arial" w:hAnsi="Arial"/>
          <w:sz w:val="16"/>
          <w:szCs w:val="16"/>
          <w:b w:val="1"/>
          <w:bCs w:val="1"/>
          <w:color w:val="auto"/>
        </w:rPr>
        <w:t xml:space="preserve"> in no event may the Option be exercised prior to the Certification Date (as defined in </w:t>
      </w:r>
      <w:r>
        <w:rPr>
          <w:rFonts w:ascii="Arial" w:cs="Arial" w:eastAsia="Arial" w:hAnsi="Arial"/>
          <w:sz w:val="16"/>
          <w:szCs w:val="16"/>
          <w:b w:val="1"/>
          <w:bCs w:val="1"/>
          <w:u w:val="single" w:color="auto"/>
          <w:color w:val="auto"/>
        </w:rPr>
        <w:t>Exhibit A</w:t>
      </w:r>
      <w:r>
        <w:rPr>
          <w:rFonts w:ascii="Arial" w:cs="Arial" w:eastAsia="Arial" w:hAnsi="Arial"/>
          <w:sz w:val="16"/>
          <w:szCs w:val="16"/>
          <w:b w:val="1"/>
          <w:bCs w:val="1"/>
          <w:color w:val="auto"/>
        </w:rPr>
        <w:t>).</w:t>
      </w:r>
    </w:p>
    <w:p>
      <w:pPr>
        <w:spacing w:after="0" w:line="128" w:lineRule="exact"/>
        <w:rPr>
          <w:rFonts w:ascii="Arial" w:cs="Arial" w:eastAsia="Arial" w:hAnsi="Arial"/>
          <w:sz w:val="16"/>
          <w:szCs w:val="16"/>
          <w:color w:val="auto"/>
        </w:rPr>
      </w:pPr>
    </w:p>
    <w:p>
      <w:pPr>
        <w:ind w:left="-20" w:right="200" w:firstLine="921"/>
        <w:spacing w:after="0" w:line="239" w:lineRule="auto"/>
        <w:tabs>
          <w:tab w:leader="none" w:pos="130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Expiration of Option</w:t>
      </w:r>
      <w:r>
        <w:rPr>
          <w:rFonts w:ascii="Arial" w:cs="Arial" w:eastAsia="Arial" w:hAnsi="Arial"/>
          <w:sz w:val="18"/>
          <w:szCs w:val="18"/>
          <w:color w:val="auto"/>
        </w:rPr>
        <w:t>. Subject to Section 10.3 of the Plan, the Option may not be exercised to any extent by anyone after the first to occur of the following events:</w:t>
      </w:r>
    </w:p>
    <w:p>
      <w:pPr>
        <w:spacing w:after="0" w:line="154" w:lineRule="exact"/>
        <w:rPr>
          <w:rFonts w:ascii="Arial" w:cs="Arial" w:eastAsia="Arial" w:hAnsi="Arial"/>
          <w:sz w:val="18"/>
          <w:szCs w:val="18"/>
          <w:color w:val="auto"/>
        </w:rPr>
      </w:pPr>
    </w:p>
    <w:p>
      <w:pPr>
        <w:ind w:left="1820" w:hanging="348"/>
        <w:spacing w:after="0"/>
        <w:tabs>
          <w:tab w:leader="none" w:pos="18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expiration of six years from the Grant Date;</w:t>
      </w:r>
    </w:p>
    <w:p>
      <w:pPr>
        <w:spacing w:after="0" w:line="157" w:lineRule="exact"/>
        <w:rPr>
          <w:rFonts w:ascii="Arial" w:cs="Arial" w:eastAsia="Arial" w:hAnsi="Arial"/>
          <w:sz w:val="18"/>
          <w:szCs w:val="18"/>
          <w:color w:val="auto"/>
        </w:rPr>
      </w:pPr>
    </w:p>
    <w:p>
      <w:pPr>
        <w:ind w:left="-20" w:right="60" w:firstLine="1492"/>
        <w:spacing w:after="0" w:line="236" w:lineRule="auto"/>
        <w:tabs>
          <w:tab w:leader="none" w:pos="1850"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The expiration of three months following the date of your Termination of Service (as defined below), unless such termination occurs by reason of your death, Permanent Disability (as defined below) or discharge for Cause (as defined below), or you die within said three-month period;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termination occurs prior to the Certification Date, that portion of your Performance-Vested Options that are Time-Vested Options as of the date of your Termination of Service shall remain exercisable until the date that is three months following the Certification Date;</w:t>
      </w:r>
    </w:p>
    <w:p>
      <w:pPr>
        <w:spacing w:after="0" w:line="157" w:lineRule="exact"/>
        <w:rPr>
          <w:rFonts w:ascii="Arial" w:cs="Arial" w:eastAsia="Arial" w:hAnsi="Arial"/>
          <w:sz w:val="18"/>
          <w:szCs w:val="18"/>
          <w:color w:val="auto"/>
        </w:rPr>
      </w:pPr>
    </w:p>
    <w:p>
      <w:pPr>
        <w:ind w:left="-20" w:right="100" w:firstLine="1492"/>
        <w:spacing w:after="0" w:line="275" w:lineRule="auto"/>
        <w:tabs>
          <w:tab w:leader="none" w:pos="1889" w:val="left"/>
        </w:tabs>
        <w:numPr>
          <w:ilvl w:val="2"/>
          <w:numId w:val="23"/>
        </w:numPr>
        <w:rPr>
          <w:rFonts w:ascii="Arial" w:cs="Arial" w:eastAsia="Arial" w:hAnsi="Arial"/>
          <w:sz w:val="16"/>
          <w:szCs w:val="16"/>
          <w:color w:val="auto"/>
        </w:rPr>
      </w:pPr>
      <w:r>
        <w:rPr>
          <w:rFonts w:ascii="Arial" w:cs="Arial" w:eastAsia="Arial" w:hAnsi="Arial"/>
          <w:sz w:val="16"/>
          <w:szCs w:val="16"/>
          <w:color w:val="auto"/>
        </w:rPr>
        <w:t xml:space="preserve">The expiration of one year following the date of your Termination of Service if your termination is by reason of your death or Permanent Disability (as defined below) or you die within the three-month period following your Termination of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termination occurs prior to the Certification Date, that portion of your Performance-Vested Options that are Time-Vested Options as of the date of your Termination of Service shall remain exercisable until the date that is three months following the Certification Date; or</w:t>
      </w:r>
    </w:p>
    <w:p>
      <w:pPr>
        <w:spacing w:after="0" w:line="111" w:lineRule="exact"/>
        <w:rPr>
          <w:rFonts w:ascii="Arial" w:cs="Arial" w:eastAsia="Arial" w:hAnsi="Arial"/>
          <w:sz w:val="16"/>
          <w:szCs w:val="16"/>
          <w:color w:val="auto"/>
        </w:rPr>
      </w:pPr>
    </w:p>
    <w:p>
      <w:pPr>
        <w:ind w:left="-20" w:right="100" w:firstLine="1492"/>
        <w:spacing w:after="0" w:line="247" w:lineRule="auto"/>
        <w:tabs>
          <w:tab w:leader="none" w:pos="1899"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The date of your Termination of Service as a result of your discharge for Cause; </w:t>
      </w:r>
      <w:r>
        <w:rPr>
          <w:rFonts w:ascii="Arial" w:cs="Arial" w:eastAsia="Arial" w:hAnsi="Arial"/>
          <w:sz w:val="18"/>
          <w:szCs w:val="18"/>
          <w:i w:val="1"/>
          <w:iCs w:val="1"/>
          <w:color w:val="auto"/>
        </w:rPr>
        <w:t>provided, however</w:t>
      </w:r>
      <w:r>
        <w:rPr>
          <w:rFonts w:ascii="Arial" w:cs="Arial" w:eastAsia="Arial" w:hAnsi="Arial"/>
          <w:sz w:val="18"/>
          <w:szCs w:val="18"/>
          <w:color w:val="auto"/>
        </w:rPr>
        <w:t>, if your Termination of Service as a result of your discharge for Cause occurs after a Change in Control (as defined in Exhibit A), the period in this clause (iv) shall be thirty days following the date of your Termination of Service.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60" w:top="269" w:right="239" w:bottom="1440" w:gutter="0" w:footer="0" w:header="0"/>
        </w:sectPr>
      </w:pPr>
    </w:p>
    <w:bookmarkStart w:id="58" w:name="page59"/>
    <w:bookmarkEnd w:id="58"/>
    <w:p>
      <w:pPr>
        <w:ind w:right="60" w:firstLine="456"/>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Agreement, “</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means the last to occur of your Termination of Consultancy, Termination of Directorship or Termination of Employment, as applicable. You shall not be deemed to have a Termination of Service merely because of a change in the capacity in which you render service to the Company or any Subsidiary (i.e., you are an Employee and become a consultant) or a change in the entity for which you render such service (i.e., an Employee of the Company becomes an Employee of a Subsidiary), unless following such change in capacity or service you are no longer serving as an Employee, Director or consultant of the Company or any Subsidiary.</w:t>
      </w:r>
    </w:p>
    <w:p>
      <w:pPr>
        <w:spacing w:after="0" w:line="106" w:lineRule="exact"/>
        <w:rPr>
          <w:sz w:val="20"/>
          <w:szCs w:val="20"/>
          <w:color w:val="auto"/>
        </w:rPr>
      </w:pPr>
    </w:p>
    <w:p>
      <w:pPr>
        <w:jc w:val="both"/>
        <w:ind w:right="420" w:firstLine="456"/>
        <w:spacing w:after="0" w:line="248"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Permanent Disability</w:t>
      </w:r>
      <w:r>
        <w:rPr>
          <w:rFonts w:ascii="Arial" w:cs="Arial" w:eastAsia="Arial" w:hAnsi="Arial"/>
          <w:sz w:val="18"/>
          <w:szCs w:val="18"/>
          <w:color w:val="auto"/>
        </w:rPr>
        <w:t>” means that you are unable to perform your duties by reason of any medically determined physical or mental impairment which can be expected to result in death or which has lasted or is expected to last for a continuous period of at least twelve (12) months, as reasonably determined by the Committee, in its discretion.</w:t>
      </w:r>
    </w:p>
    <w:p>
      <w:pPr>
        <w:spacing w:after="0" w:line="128" w:lineRule="exact"/>
        <w:rPr>
          <w:sz w:val="20"/>
          <w:szCs w:val="20"/>
          <w:color w:val="auto"/>
        </w:rPr>
      </w:pPr>
    </w:p>
    <w:p>
      <w:pPr>
        <w:ind w:right="80" w:firstLine="913"/>
        <w:spacing w:after="0" w:line="241"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unless otherwise defined in an employment or services agreement between you and the Company or any Subsidiary, shall mean your substantial failure to perform duties as an Employee, Director or consultant, dishonesty, fraud, gross negligence or misconduct against the Company or any Subsidiary or affiliate, unauthorized use or disclosure of confidential information or trade secrets of the Company or any Subsidiary or affiliate, or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crime punishable by law (except misdemeanor violations), in each case as determined by the Committee, and its determination shall be final and binding.</w:t>
      </w:r>
    </w:p>
    <w:p>
      <w:pPr>
        <w:spacing w:after="0" w:line="237" w:lineRule="exact"/>
        <w:rPr>
          <w:sz w:val="20"/>
          <w:szCs w:val="20"/>
          <w:color w:val="auto"/>
        </w:rPr>
      </w:pPr>
    </w:p>
    <w:p>
      <w:pPr>
        <w:ind w:left="800" w:hanging="33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921"/>
        <w:spacing w:after="0" w:line="237" w:lineRule="auto"/>
        <w:tabs>
          <w:tab w:leader="none" w:pos="132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xml:space="preserve">. Subject to Section 2(a), any vested and exercisable portion of the Option or the entire Option, if then wholly vested and exercisable, may be exercised in whole or in part at any time prior to the time when the Option or portion thereof becomes unexercisable under Section 2(b);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partial exercise shall be for not less than one share of Common Stock and shall be for whole shares only.</w:t>
      </w:r>
    </w:p>
    <w:p>
      <w:pPr>
        <w:spacing w:after="0" w:line="154" w:lineRule="exact"/>
        <w:rPr>
          <w:rFonts w:ascii="Arial" w:cs="Arial" w:eastAsia="Arial" w:hAnsi="Arial"/>
          <w:sz w:val="18"/>
          <w:szCs w:val="18"/>
          <w:color w:val="auto"/>
        </w:rPr>
      </w:pPr>
    </w:p>
    <w:p>
      <w:pPr>
        <w:jc w:val="both"/>
        <w:ind w:right="240" w:firstLine="921"/>
        <w:spacing w:after="0" w:line="238" w:lineRule="auto"/>
        <w:tabs>
          <w:tab w:leader="none" w:pos="132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 The Option, or any exercisable portion thereof, may be exercised solely by delivery to the Secretary of the Company (or any third party administrator or other person or entity designated by the Company) of all of the following prior to the time when the Option or such portion thereof becomes unexercisable under Section 2(b):</w:t>
      </w:r>
    </w:p>
    <w:p>
      <w:pPr>
        <w:spacing w:after="0" w:line="154" w:lineRule="exact"/>
        <w:rPr>
          <w:rFonts w:ascii="Arial" w:cs="Arial" w:eastAsia="Arial" w:hAnsi="Arial"/>
          <w:sz w:val="18"/>
          <w:szCs w:val="18"/>
          <w:color w:val="auto"/>
        </w:rPr>
      </w:pPr>
    </w:p>
    <w:p>
      <w:pPr>
        <w:jc w:val="both"/>
        <w:ind w:right="360" w:firstLine="1492"/>
        <w:spacing w:after="0" w:line="238" w:lineRule="auto"/>
        <w:tabs>
          <w:tab w:leader="none" w:pos="1825"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 Exercise Notice signed or electronically accepted by you or any other person then entitled to exercise the Option or portion thereof, stating that the Option or portion thereof is thereby exercised, such notice in such form as is prescribed by the Committee and complying with all applicable rules established by the Committee; and</w:t>
      </w:r>
    </w:p>
    <w:p>
      <w:pPr>
        <w:spacing w:after="0" w:line="154" w:lineRule="exact"/>
        <w:rPr>
          <w:rFonts w:ascii="Arial" w:cs="Arial" w:eastAsia="Arial" w:hAnsi="Arial"/>
          <w:sz w:val="18"/>
          <w:szCs w:val="18"/>
          <w:color w:val="auto"/>
        </w:rPr>
      </w:pPr>
    </w:p>
    <w:p>
      <w:pPr>
        <w:ind w:right="320" w:firstLine="1492"/>
        <w:spacing w:after="0" w:line="239" w:lineRule="auto"/>
        <w:tabs>
          <w:tab w:leader="none" w:pos="1874" w:val="left"/>
        </w:tabs>
        <w:numPr>
          <w:ilvl w:val="2"/>
          <w:numId w:val="24"/>
        </w:numPr>
        <w:rPr>
          <w:rFonts w:ascii="Arial" w:cs="Arial" w:eastAsia="Arial" w:hAnsi="Arial"/>
          <w:sz w:val="18"/>
          <w:szCs w:val="18"/>
          <w:color w:val="auto"/>
        </w:rPr>
      </w:pPr>
      <w:r>
        <w:rPr>
          <w:rFonts w:ascii="Arial" w:cs="Arial" w:eastAsia="Arial" w:hAnsi="Arial"/>
          <w:sz w:val="18"/>
          <w:szCs w:val="18"/>
          <w:color w:val="auto"/>
        </w:rPr>
        <w:t>Subject to Section 5.2(d) of the Plan, the receipt by the Company of full payment for the shares of Common Stock with respect to which the Option or portion thereof is exercised, which may be in one of the following forms of consideration:</w:t>
      </w:r>
    </w:p>
    <w:p>
      <w:pPr>
        <w:spacing w:after="0" w:line="154" w:lineRule="exact"/>
        <w:rPr>
          <w:rFonts w:ascii="Arial" w:cs="Arial" w:eastAsia="Arial" w:hAnsi="Arial"/>
          <w:sz w:val="18"/>
          <w:szCs w:val="18"/>
          <w:color w:val="auto"/>
        </w:rPr>
      </w:pPr>
    </w:p>
    <w:p>
      <w:pPr>
        <w:ind w:left="2380" w:hanging="432"/>
        <w:spacing w:after="0"/>
        <w:tabs>
          <w:tab w:leader="none" w:pos="2380" w:val="left"/>
        </w:tabs>
        <w:numPr>
          <w:ilvl w:val="3"/>
          <w:numId w:val="24"/>
        </w:numPr>
        <w:rPr>
          <w:rFonts w:ascii="Arial" w:cs="Arial" w:eastAsia="Arial" w:hAnsi="Arial"/>
          <w:sz w:val="18"/>
          <w:szCs w:val="18"/>
          <w:color w:val="auto"/>
        </w:rPr>
      </w:pPr>
      <w:r>
        <w:rPr>
          <w:rFonts w:ascii="Arial" w:cs="Arial" w:eastAsia="Arial" w:hAnsi="Arial"/>
          <w:sz w:val="18"/>
          <w:szCs w:val="18"/>
          <w:color w:val="auto"/>
        </w:rPr>
        <w:t>By cash or check payable to the Company; or</w:t>
      </w:r>
    </w:p>
    <w:p>
      <w:pPr>
        <w:spacing w:after="0" w:line="157" w:lineRule="exact"/>
        <w:rPr>
          <w:rFonts w:ascii="Arial" w:cs="Arial" w:eastAsia="Arial" w:hAnsi="Arial"/>
          <w:sz w:val="18"/>
          <w:szCs w:val="18"/>
          <w:color w:val="auto"/>
        </w:rPr>
      </w:pPr>
    </w:p>
    <w:p>
      <w:pPr>
        <w:ind w:right="440" w:firstLine="1948"/>
        <w:spacing w:after="0" w:line="299" w:lineRule="auto"/>
        <w:tabs>
          <w:tab w:leader="none" w:pos="2369" w:val="left"/>
        </w:tabs>
        <w:numPr>
          <w:ilvl w:val="3"/>
          <w:numId w:val="24"/>
        </w:numPr>
        <w:rPr>
          <w:rFonts w:ascii="Arial" w:cs="Arial" w:eastAsia="Arial" w:hAnsi="Arial"/>
          <w:sz w:val="16"/>
          <w:szCs w:val="16"/>
          <w:color w:val="auto"/>
        </w:rPr>
      </w:pPr>
      <w:r>
        <w:rPr>
          <w:rFonts w:ascii="Arial" w:cs="Arial" w:eastAsia="Arial" w:hAnsi="Arial"/>
          <w:sz w:val="16"/>
          <w:szCs w:val="16"/>
          <w:color w:val="auto"/>
        </w:rPr>
        <w:t>With the consent of the Committee, by delivery of shares of Common Stock then issuable upon exercise of the Option having a Fair Market Value on the date of delivery equal to the aggregate exercise price of the Option or exercised portion thereof; or</w:t>
      </w:r>
    </w:p>
    <w:p>
      <w:pPr>
        <w:spacing w:after="0" w:line="108" w:lineRule="exact"/>
        <w:rPr>
          <w:rFonts w:ascii="Arial" w:cs="Arial" w:eastAsia="Arial" w:hAnsi="Arial"/>
          <w:sz w:val="16"/>
          <w:szCs w:val="16"/>
          <w:color w:val="auto"/>
        </w:rPr>
      </w:pPr>
    </w:p>
    <w:p>
      <w:pPr>
        <w:ind w:right="160" w:firstLine="1948"/>
        <w:spacing w:after="0" w:line="239" w:lineRule="auto"/>
        <w:tabs>
          <w:tab w:leader="none" w:pos="2379" w:val="left"/>
        </w:tabs>
        <w:numPr>
          <w:ilvl w:val="3"/>
          <w:numId w:val="24"/>
        </w:numPr>
        <w:rPr>
          <w:rFonts w:ascii="Arial" w:cs="Arial" w:eastAsia="Arial" w:hAnsi="Arial"/>
          <w:sz w:val="18"/>
          <w:szCs w:val="18"/>
          <w:color w:val="auto"/>
        </w:rPr>
      </w:pPr>
      <w:r>
        <w:rPr>
          <w:rFonts w:ascii="Arial" w:cs="Arial" w:eastAsia="Arial" w:hAnsi="Arial"/>
          <w:sz w:val="18"/>
          <w:szCs w:val="18"/>
          <w:color w:val="auto"/>
        </w:rPr>
        <w:t>With the consent of the Committee such payment may be made, in whole or in part, through the delivery of shares of Common Stock owned by you, duly endorsed for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1" w:right="279" w:bottom="1440" w:gutter="0" w:footer="0" w:header="0"/>
        </w:sectPr>
      </w:pPr>
    </w:p>
    <w:bookmarkStart w:id="59" w:name="page60"/>
    <w:bookmarkEnd w:id="59"/>
    <w:p>
      <w:pPr>
        <w:ind w:right="1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to the Company with a Fair Market Value on the date of delivery equal to the aggregate exercise price of the Option or exercised portion thereof and held by you for such period of time (if any) as may be necessary to avoid adverse accounting consequences;</w:t>
      </w:r>
    </w:p>
    <w:p>
      <w:pPr>
        <w:spacing w:after="0" w:line="155" w:lineRule="exact"/>
        <w:rPr>
          <w:sz w:val="20"/>
          <w:szCs w:val="20"/>
          <w:color w:val="auto"/>
        </w:rPr>
      </w:pPr>
    </w:p>
    <w:p>
      <w:pPr>
        <w:ind w:right="120" w:firstLine="1948"/>
        <w:spacing w:after="0" w:line="237" w:lineRule="auto"/>
        <w:tabs>
          <w:tab w:leader="none" w:pos="2376"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Through the delivery of a notice that you have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of such proceeds is made to the Company upon settlement of such sale; or</w:t>
      </w:r>
    </w:p>
    <w:p>
      <w:pPr>
        <w:spacing w:after="0" w:line="154" w:lineRule="exact"/>
        <w:rPr>
          <w:rFonts w:ascii="Arial" w:cs="Arial" w:eastAsia="Arial" w:hAnsi="Arial"/>
          <w:sz w:val="18"/>
          <w:szCs w:val="18"/>
          <w:color w:val="auto"/>
        </w:rPr>
      </w:pPr>
    </w:p>
    <w:p>
      <w:pPr>
        <w:ind w:left="2380" w:hanging="432"/>
        <w:spacing w:after="0"/>
        <w:tabs>
          <w:tab w:leader="none" w:pos="2380" w:val="left"/>
        </w:tabs>
        <w:numPr>
          <w:ilvl w:val="2"/>
          <w:numId w:val="25"/>
        </w:numPr>
        <w:rPr>
          <w:rFonts w:ascii="Arial" w:cs="Arial" w:eastAsia="Arial" w:hAnsi="Arial"/>
          <w:sz w:val="16"/>
          <w:szCs w:val="16"/>
          <w:color w:val="auto"/>
        </w:rPr>
      </w:pPr>
      <w:r>
        <w:rPr>
          <w:rFonts w:ascii="Arial" w:cs="Arial" w:eastAsia="Arial" w:hAnsi="Arial"/>
          <w:sz w:val="16"/>
          <w:szCs w:val="16"/>
          <w:color w:val="auto"/>
        </w:rPr>
        <w:t>With the consent of the Committee, through the delivery of property of any kind which constitutes good and valuable</w:t>
      </w:r>
    </w:p>
    <w:p>
      <w:pPr>
        <w:spacing w:after="0" w:line="1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 or</w:t>
      </w:r>
    </w:p>
    <w:p>
      <w:pPr>
        <w:spacing w:after="0" w:line="153" w:lineRule="exact"/>
        <w:rPr>
          <w:rFonts w:ascii="Arial" w:cs="Arial" w:eastAsia="Arial" w:hAnsi="Arial"/>
          <w:sz w:val="16"/>
          <w:szCs w:val="16"/>
          <w:color w:val="auto"/>
        </w:rPr>
      </w:pPr>
    </w:p>
    <w:p>
      <w:pPr>
        <w:ind w:left="2360" w:hanging="412"/>
        <w:spacing w:after="0"/>
        <w:tabs>
          <w:tab w:leader="none" w:pos="23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Subject to any applicable laws, any combination of the consideration provided in the foregoing paragraphs</w:t>
      </w:r>
    </w:p>
    <w:p>
      <w:pPr>
        <w:ind w:left="300" w:hanging="292"/>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(E); and</w:t>
      </w:r>
    </w:p>
    <w:p>
      <w:pPr>
        <w:spacing w:after="0" w:line="157" w:lineRule="exact"/>
        <w:rPr>
          <w:rFonts w:ascii="Arial" w:cs="Arial" w:eastAsia="Arial" w:hAnsi="Arial"/>
          <w:sz w:val="18"/>
          <w:szCs w:val="18"/>
          <w:color w:val="auto"/>
        </w:rPr>
      </w:pPr>
    </w:p>
    <w:p>
      <w:pPr>
        <w:ind w:firstLine="1492"/>
        <w:spacing w:after="0" w:line="275" w:lineRule="auto"/>
        <w:tabs>
          <w:tab w:leader="none" w:pos="1913"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 and</w:t>
      </w:r>
    </w:p>
    <w:p>
      <w:pPr>
        <w:spacing w:after="0" w:line="129" w:lineRule="exact"/>
        <w:rPr>
          <w:rFonts w:ascii="Arial" w:cs="Arial" w:eastAsia="Arial" w:hAnsi="Arial"/>
          <w:sz w:val="16"/>
          <w:szCs w:val="16"/>
          <w:color w:val="auto"/>
        </w:rPr>
      </w:pPr>
    </w:p>
    <w:p>
      <w:pPr>
        <w:ind w:right="400" w:firstLine="1492"/>
        <w:spacing w:after="0" w:line="239" w:lineRule="auto"/>
        <w:tabs>
          <w:tab w:leader="none" w:pos="191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receipt by the Company of payment of any applicable withholding tax, which may be in the form of consideration permitted under Section 3(b)(ii), subject to Section 3(d) below and Section 10.4 of the Plan; and</w:t>
      </w:r>
    </w:p>
    <w:p>
      <w:pPr>
        <w:spacing w:after="0" w:line="154" w:lineRule="exact"/>
        <w:rPr>
          <w:rFonts w:ascii="Arial" w:cs="Arial" w:eastAsia="Arial" w:hAnsi="Arial"/>
          <w:sz w:val="18"/>
          <w:szCs w:val="18"/>
          <w:color w:val="auto"/>
        </w:rPr>
      </w:pPr>
    </w:p>
    <w:p>
      <w:pPr>
        <w:ind w:right="20" w:firstLine="1492"/>
        <w:spacing w:after="0" w:line="239" w:lineRule="auto"/>
        <w:tabs>
          <w:tab w:leader="none" w:pos="1883"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event the Option or portion thereof shall be exercised by any person or persons other than you, appropriate proof of the right of such person or persons to exercise the Option.</w:t>
      </w:r>
    </w:p>
    <w:p>
      <w:pPr>
        <w:spacing w:after="0" w:line="155"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Notwithstanding any of the foregoing, the Committee shall have the right to specify all conditions of the manner of exercise, which conditions may vary by country and which may be subject to change from time to time.</w:t>
      </w:r>
    </w:p>
    <w:p>
      <w:pPr>
        <w:spacing w:after="0" w:line="155" w:lineRule="exact"/>
        <w:rPr>
          <w:sz w:val="20"/>
          <w:szCs w:val="20"/>
          <w:color w:val="auto"/>
        </w:rPr>
      </w:pPr>
    </w:p>
    <w:p>
      <w:pPr>
        <w:ind w:right="60" w:firstLine="921"/>
        <w:spacing w:after="0" w:line="236" w:lineRule="auto"/>
        <w:tabs>
          <w:tab w:leader="none" w:pos="131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Rights as Stockholder; Issuance of Shares</w:t>
      </w:r>
      <w:r>
        <w:rPr>
          <w:rFonts w:ascii="Arial" w:cs="Arial" w:eastAsia="Arial" w:hAnsi="Arial"/>
          <w:sz w:val="18"/>
          <w:szCs w:val="18"/>
          <w:color w:val="auto"/>
        </w:rPr>
        <w:t>. Neither you nor any person claiming under or through you shall be, nor have any of the rights or privileges of, a stockholder of the Company in respect of any shares purchasable upon the exercise of any part of the Option unless and until certificates representing such shares have been issued by the Company or book entries evidencing such shares have been made by the Company. The issuance of shares of Common Stock pursuant to exercise of the Option is subject to the conditions set forth in Section 5.3 of the Plan.</w:t>
      </w:r>
    </w:p>
    <w:p>
      <w:pPr>
        <w:spacing w:after="0" w:line="238" w:lineRule="exact"/>
        <w:rPr>
          <w:rFonts w:ascii="Arial" w:cs="Arial" w:eastAsia="Arial" w:hAnsi="Arial"/>
          <w:sz w:val="18"/>
          <w:szCs w:val="18"/>
          <w:color w:val="auto"/>
        </w:rPr>
      </w:pPr>
    </w:p>
    <w:p>
      <w:pPr>
        <w:ind w:left="1340" w:hanging="419"/>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40" w:firstLine="1492"/>
        <w:spacing w:after="0" w:line="281" w:lineRule="auto"/>
        <w:tabs>
          <w:tab w:leader="none" w:pos="1831"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Option, the exercise of the Option and/or receipt of the shares of Common Stock upon exercise of the Option.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60"/>
          </w:cols>
          <w:pgMar w:left="240" w:top="291" w:right="299" w:bottom="1440" w:gutter="0" w:footer="0" w:header="0"/>
        </w:sectPr>
      </w:pPr>
    </w:p>
    <w:bookmarkStart w:id="60" w:name="page61"/>
    <w:bookmarkEnd w:id="60"/>
    <w:p>
      <w:pPr>
        <w:ind w:left="-8" w:right="40" w:firstLine="1492"/>
        <w:spacing w:after="0" w:line="237" w:lineRule="auto"/>
        <w:tabs>
          <w:tab w:leader="none" w:pos="1862" w:val="left"/>
        </w:tabs>
        <w:numPr>
          <w:ilvl w:val="3"/>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may refuse to honor the exercise of the Option and/or refuse to issue any Common Stock upon exercise of your Option to you until your tax withholding obligations are satisfied. To the maximum extent permitted by law, the Company has the right to retain without notice from shares issuable under this Agreement or from salary payable to you, shares or cash having a value sufficient to satisfy your tax withholding obligation.</w:t>
      </w:r>
    </w:p>
    <w:p>
      <w:pPr>
        <w:spacing w:after="0" w:line="235" w:lineRule="exact"/>
        <w:rPr>
          <w:rFonts w:ascii="Arial" w:cs="Arial" w:eastAsia="Arial" w:hAnsi="Arial"/>
          <w:sz w:val="18"/>
          <w:szCs w:val="18"/>
          <w:color w:val="auto"/>
        </w:rPr>
      </w:pPr>
    </w:p>
    <w:p>
      <w:pPr>
        <w:ind w:left="792" w:hanging="336"/>
        <w:spacing w:after="0"/>
        <w:tabs>
          <w:tab w:leader="none" w:pos="79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Option Not Transferable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 w:right="140" w:firstLine="921"/>
        <w:spacing w:after="0" w:line="236" w:lineRule="auto"/>
        <w:tabs>
          <w:tab w:leader="none" w:pos="1311"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Option may not be sold, pledged, assigned or transferred in any manner other than by will or the laws of descent and distribution or pursuant to a QDRO, unless and until the shares underlying the Option have been issued, and all restrictions applicable to such shares have lapsed. Neither the Option nor any interest or right therein shall be liable for the debts, contracts or engagements of you or your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55" w:lineRule="exact"/>
        <w:rPr>
          <w:rFonts w:ascii="Arial" w:cs="Arial" w:eastAsia="Arial" w:hAnsi="Arial"/>
          <w:sz w:val="18"/>
          <w:szCs w:val="18"/>
          <w:color w:val="auto"/>
        </w:rPr>
      </w:pPr>
    </w:p>
    <w:p>
      <w:pPr>
        <w:ind w:left="-8" w:firstLine="921"/>
        <w:spacing w:after="0" w:line="237" w:lineRule="auto"/>
        <w:tabs>
          <w:tab w:leader="none" w:pos="1315" w:val="left"/>
        </w:tabs>
        <w:numPr>
          <w:ilvl w:val="2"/>
          <w:numId w:val="29"/>
        </w:numPr>
        <w:rPr>
          <w:rFonts w:ascii="Arial" w:cs="Arial" w:eastAsia="Arial" w:hAnsi="Arial"/>
          <w:sz w:val="18"/>
          <w:szCs w:val="18"/>
          <w:color w:val="auto"/>
        </w:rPr>
      </w:pPr>
      <w:r>
        <w:rPr>
          <w:rFonts w:ascii="Arial" w:cs="Arial" w:eastAsia="Arial" w:hAnsi="Arial"/>
          <w:sz w:val="18"/>
          <w:szCs w:val="18"/>
          <w:color w:val="auto"/>
        </w:rPr>
        <w:t>During your lifetime, only you may exercise the Option or any portion thereof, unless it has been disposed of pursuant to a QDRO. After your death, any exercisable portion of the Option may, prior to the time when the Option becomes unexercisable under Section 2(b), be exercised by your personal representative or by any person empowered to do so under your will or under the then applicable laws of descent and distribution.</w:t>
      </w:r>
    </w:p>
    <w:p>
      <w:pPr>
        <w:spacing w:after="0" w:line="235" w:lineRule="exact"/>
        <w:rPr>
          <w:rFonts w:ascii="Arial" w:cs="Arial" w:eastAsia="Arial" w:hAnsi="Arial"/>
          <w:sz w:val="18"/>
          <w:szCs w:val="18"/>
          <w:color w:val="auto"/>
        </w:rPr>
      </w:pPr>
    </w:p>
    <w:p>
      <w:pPr>
        <w:ind w:left="792" w:hanging="336"/>
        <w:spacing w:after="0"/>
        <w:tabs>
          <w:tab w:leader="none" w:pos="79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left="1332" w:hanging="419"/>
        <w:spacing w:after="0"/>
        <w:tabs>
          <w:tab w:leader="none" w:pos="1332"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Shares issued upon the exercise of the Option shall be issued to you, at the sole discretion of the Committee, in either</w:t>
      </w:r>
    </w:p>
    <w:p>
      <w:pPr>
        <w:jc w:val="both"/>
        <w:ind w:left="-8" w:right="100" w:firstLine="8"/>
        <w:spacing w:after="0" w:line="281" w:lineRule="auto"/>
        <w:tabs>
          <w:tab w:leader="none" w:pos="197"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uncertificated form, with the shares recorded in your name in the books and records of the Company’s transfer agent with appropriate notations regarding any restrictions imposed pursuant to this Agreement, or (ii) certificate form. The share certificate or certificates or book entry evidencing the shares of Common Stock purchased hereunder shall be endorsed with any legends that may be required by state or federal securities laws.</w:t>
      </w:r>
    </w:p>
    <w:p>
      <w:pPr>
        <w:spacing w:after="0" w:line="123" w:lineRule="exact"/>
        <w:rPr>
          <w:rFonts w:ascii="Arial" w:cs="Arial" w:eastAsia="Arial" w:hAnsi="Arial"/>
          <w:sz w:val="16"/>
          <w:szCs w:val="16"/>
          <w:color w:val="auto"/>
        </w:rPr>
      </w:pPr>
    </w:p>
    <w:p>
      <w:pPr>
        <w:ind w:left="-8" w:right="240" w:firstLine="921"/>
        <w:spacing w:after="0" w:line="238" w:lineRule="auto"/>
        <w:tabs>
          <w:tab w:leader="none" w:pos="1311" w:val="left"/>
        </w:tabs>
        <w:numPr>
          <w:ilvl w:val="2"/>
          <w:numId w:val="30"/>
        </w:numPr>
        <w:rPr>
          <w:rFonts w:ascii="Arial" w:cs="Arial" w:eastAsia="Arial" w:hAnsi="Arial"/>
          <w:sz w:val="18"/>
          <w:szCs w:val="18"/>
          <w:color w:val="auto"/>
        </w:rPr>
      </w:pPr>
      <w:r>
        <w:rPr>
          <w:rFonts w:ascii="Arial" w:cs="Arial" w:eastAsia="Arial" w:hAnsi="Arial"/>
          <w:sz w:val="18"/>
          <w:szCs w:val="18"/>
          <w:color w:val="auto"/>
        </w:rPr>
        <w:t>You agree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54" w:lineRule="exact"/>
        <w:rPr>
          <w:rFonts w:ascii="Arial" w:cs="Arial" w:eastAsia="Arial" w:hAnsi="Arial"/>
          <w:sz w:val="18"/>
          <w:szCs w:val="18"/>
          <w:color w:val="auto"/>
        </w:rPr>
      </w:pPr>
    </w:p>
    <w:p>
      <w:pPr>
        <w:ind w:left="-8" w:right="60" w:firstLine="921"/>
        <w:spacing w:after="0" w:line="238" w:lineRule="auto"/>
        <w:tabs>
          <w:tab w:leader="none" w:pos="130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shares of Common Stock that have been sold or otherwise transferred in violation of any of the provisions of this Agreement, or (ii) to treat as owner of such shares of Common Stock or to accord the right to vote or pay dividends to any purchaser or other transferee to whom such shares shall have been so transferred.</w:t>
      </w:r>
    </w:p>
    <w:p>
      <w:pPr>
        <w:spacing w:after="0" w:line="154" w:lineRule="exact"/>
        <w:rPr>
          <w:rFonts w:ascii="Arial" w:cs="Arial" w:eastAsia="Arial" w:hAnsi="Arial"/>
          <w:sz w:val="18"/>
          <w:szCs w:val="18"/>
          <w:color w:val="auto"/>
        </w:rPr>
      </w:pPr>
    </w:p>
    <w:p>
      <w:pPr>
        <w:ind w:left="-8" w:right="40" w:firstLine="464"/>
        <w:spacing w:after="0" w:line="236" w:lineRule="auto"/>
        <w:tabs>
          <w:tab w:leader="none" w:pos="79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shall be addressed to the Company in care of the Secretary of the Company at the Company’s principal executive office, and any notice to be given to you shall be addressed to you at the most recent address in the Company’s payroll records. By a notice given pursuant to this Section 6, either party may hereafter designate a different address for notices to be given to that party. Any notice which is required to be given to you shall, if you are then deceased, be given to the person entitled to exercise the Option pursuant to Section 4(b) by written notice under this Section 6.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12"/>
          </w:cols>
          <w:pgMar w:left="248" w:top="291" w:right="239" w:bottom="1440" w:gutter="0" w:footer="0" w:header="0"/>
        </w:sectPr>
      </w:pPr>
    </w:p>
    <w:bookmarkStart w:id="61" w:name="page62"/>
    <w:bookmarkEnd w:id="61"/>
    <w:p>
      <w:pPr>
        <w:ind w:left="780" w:hanging="33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Titles</w:t>
      </w:r>
      <w:r>
        <w:rPr>
          <w:rFonts w:ascii="Arial" w:cs="Arial" w:eastAsia="Arial" w:hAnsi="Arial"/>
          <w:sz w:val="16"/>
          <w:szCs w:val="16"/>
          <w:color w:val="auto"/>
        </w:rPr>
        <w:t>. Titles are provided herein for convenience only and are not to serve as a basis for interpretation or construction of this Agreement.</w:t>
      </w:r>
    </w:p>
    <w:p>
      <w:pPr>
        <w:spacing w:after="0" w:line="180" w:lineRule="exact"/>
        <w:rPr>
          <w:rFonts w:ascii="Arial" w:cs="Arial" w:eastAsia="Arial" w:hAnsi="Arial"/>
          <w:sz w:val="16"/>
          <w:szCs w:val="16"/>
          <w:color w:val="auto"/>
        </w:rPr>
      </w:pPr>
    </w:p>
    <w:p>
      <w:pPr>
        <w:ind w:left="-20" w:right="20" w:firstLine="464"/>
        <w:spacing w:after="0" w:line="273" w:lineRule="auto"/>
        <w:tabs>
          <w:tab w:leader="none" w:pos="778"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You acknowledge that the Plan and this Agreement are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28" w:lineRule="exact"/>
        <w:rPr>
          <w:rFonts w:ascii="Arial" w:cs="Arial" w:eastAsia="Arial" w:hAnsi="Arial"/>
          <w:sz w:val="16"/>
          <w:szCs w:val="16"/>
          <w:color w:val="auto"/>
        </w:rPr>
      </w:pPr>
    </w:p>
    <w:p>
      <w:pPr>
        <w:ind w:left="-20" w:right="20" w:firstLine="464"/>
        <w:spacing w:after="0" w:line="238" w:lineRule="auto"/>
        <w:tabs>
          <w:tab w:leader="none" w:pos="778"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modified, amended or terminated except by a written instrument, signed or electronically accepted by you or such other person as may be permitted to exercise the Option pursuant to Section 4(b) and by a duly authorized representative of the Company.</w:t>
      </w:r>
    </w:p>
    <w:p>
      <w:pPr>
        <w:spacing w:after="0" w:line="154" w:lineRule="exact"/>
        <w:rPr>
          <w:rFonts w:ascii="Arial" w:cs="Arial" w:eastAsia="Arial" w:hAnsi="Arial"/>
          <w:sz w:val="18"/>
          <w:szCs w:val="18"/>
          <w:color w:val="auto"/>
        </w:rPr>
      </w:pPr>
    </w:p>
    <w:p>
      <w:pPr>
        <w:jc w:val="both"/>
        <w:ind w:left="-20" w:right="380" w:firstLine="464"/>
        <w:spacing w:after="0" w:line="238" w:lineRule="auto"/>
        <w:tabs>
          <w:tab w:leader="none" w:pos="87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you and your heirs, executors, administrators, successors and assigns.</w:t>
      </w:r>
    </w:p>
    <w:p>
      <w:pPr>
        <w:spacing w:after="0" w:line="154" w:lineRule="exact"/>
        <w:rPr>
          <w:rFonts w:ascii="Arial" w:cs="Arial" w:eastAsia="Arial" w:hAnsi="Arial"/>
          <w:sz w:val="18"/>
          <w:szCs w:val="18"/>
          <w:color w:val="auto"/>
        </w:rPr>
      </w:pPr>
    </w:p>
    <w:p>
      <w:pPr>
        <w:ind w:left="-20" w:right="40" w:firstLine="464"/>
        <w:spacing w:after="0" w:line="236" w:lineRule="auto"/>
        <w:tabs>
          <w:tab w:leader="none" w:pos="87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you are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57" w:lineRule="exact"/>
        <w:rPr>
          <w:rFonts w:ascii="Arial" w:cs="Arial" w:eastAsia="Arial" w:hAnsi="Arial"/>
          <w:sz w:val="18"/>
          <w:szCs w:val="18"/>
          <w:color w:val="auto"/>
        </w:rPr>
      </w:pPr>
    </w:p>
    <w:p>
      <w:pPr>
        <w:ind w:left="-20" w:right="200" w:firstLine="464"/>
        <w:spacing w:after="0" w:line="239" w:lineRule="auto"/>
        <w:tabs>
          <w:tab w:leader="none" w:pos="87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this Agreement constitute the entire agreement of the parties and supersede in their entirety all prior undertakings and agreements of the Company and you with respect to the subject matter hereof.</w:t>
      </w:r>
    </w:p>
    <w:p>
      <w:pPr>
        <w:spacing w:after="0" w:line="154" w:lineRule="exact"/>
        <w:rPr>
          <w:rFonts w:ascii="Arial" w:cs="Arial" w:eastAsia="Arial" w:hAnsi="Arial"/>
          <w:sz w:val="18"/>
          <w:szCs w:val="18"/>
          <w:color w:val="auto"/>
        </w:rPr>
      </w:pPr>
    </w:p>
    <w:p>
      <w:pPr>
        <w:ind w:left="-20" w:right="80" w:firstLine="464"/>
        <w:spacing w:after="0" w:line="238" w:lineRule="auto"/>
        <w:tabs>
          <w:tab w:leader="none" w:pos="87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Effect on Employment</w:t>
      </w:r>
      <w:r>
        <w:rPr>
          <w:rFonts w:ascii="Arial" w:cs="Arial" w:eastAsia="Arial" w:hAnsi="Arial"/>
          <w:sz w:val="18"/>
          <w:szCs w:val="18"/>
          <w:color w:val="auto"/>
        </w:rPr>
        <w:t>. Nothing in the Plan or this Agreement shall be interpreted to interfere with or limit in any way the right of the Company or any Subsidiary to terminate your employment or services at any time, nor confer upon you the right to continue in the employ or service of the Company or any Subsidiary.</w:t>
      </w:r>
    </w:p>
    <w:p>
      <w:pPr>
        <w:spacing w:after="0" w:line="154" w:lineRule="exact"/>
        <w:rPr>
          <w:rFonts w:ascii="Arial" w:cs="Arial" w:eastAsia="Arial" w:hAnsi="Arial"/>
          <w:sz w:val="18"/>
          <w:szCs w:val="18"/>
          <w:color w:val="auto"/>
        </w:rPr>
      </w:pPr>
    </w:p>
    <w:p>
      <w:pPr>
        <w:ind w:left="-20" w:firstLine="464"/>
        <w:spacing w:after="0" w:line="236" w:lineRule="auto"/>
        <w:tabs>
          <w:tab w:leader="none" w:pos="87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Option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Options under the Plan is a one-time benefit and does not create any contractual or other right to receive an award of Options or benefits in lieu of Options in the future. Future awards of Options, if any, will be at the sole discretion of the Company, including, but not limited to, the timing of the award, the number of shares and vesting provisions. By execution of this Agreement, you consent to the provisions of the Plan and this Agreement. Defined terms used herein shall have the meaning set forth in the Plan, unless otherwise defined herein.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60" w:top="291" w:right="259" w:bottom="1440" w:gutter="0" w:footer="0" w:header="0"/>
        </w:sectPr>
      </w:pPr>
    </w:p>
    <w:bookmarkStart w:id="62" w:name="page63"/>
    <w:bookmarkEnd w:id="62"/>
    <w:p>
      <w:pPr>
        <w:ind w:left="860" w:hanging="43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and Venue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0" w:right="20" w:firstLine="921"/>
        <w:spacing w:after="0" w:line="239" w:lineRule="auto"/>
        <w:tabs>
          <w:tab w:leader="none" w:pos="127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Option grant and the provisions of this Agreement are governed by, and subject to, the laws of the State of California, without regard to the conflict of law provisions, as provided in the Plan.</w:t>
      </w:r>
    </w:p>
    <w:p>
      <w:pPr>
        <w:spacing w:after="0" w:line="154" w:lineRule="exact"/>
        <w:rPr>
          <w:rFonts w:ascii="Arial" w:cs="Arial" w:eastAsia="Arial" w:hAnsi="Arial"/>
          <w:sz w:val="18"/>
          <w:szCs w:val="18"/>
          <w:color w:val="auto"/>
        </w:rPr>
      </w:pPr>
    </w:p>
    <w:p>
      <w:pPr>
        <w:jc w:val="both"/>
        <w:ind w:left="-40" w:right="220" w:firstLine="921"/>
        <w:spacing w:after="0" w:line="238" w:lineRule="auto"/>
        <w:tabs>
          <w:tab w:leader="none" w:pos="1283"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154" w:lineRule="exact"/>
        <w:rPr>
          <w:rFonts w:ascii="Arial" w:cs="Arial" w:eastAsia="Arial" w:hAnsi="Arial"/>
          <w:sz w:val="18"/>
          <w:szCs w:val="18"/>
          <w:color w:val="auto"/>
        </w:rPr>
      </w:pPr>
    </w:p>
    <w:p>
      <w:pPr>
        <w:ind w:left="-40" w:right="80" w:firstLine="464"/>
        <w:spacing w:after="0" w:line="281" w:lineRule="auto"/>
        <w:tabs>
          <w:tab w:leader="none" w:pos="85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23" w:lineRule="exact"/>
        <w:rPr>
          <w:rFonts w:ascii="Arial" w:cs="Arial" w:eastAsia="Arial" w:hAnsi="Arial"/>
          <w:sz w:val="16"/>
          <w:szCs w:val="16"/>
          <w:color w:val="auto"/>
        </w:rPr>
      </w:pPr>
    </w:p>
    <w:p>
      <w:pPr>
        <w:ind w:left="-40" w:right="720" w:firstLine="464"/>
        <w:spacing w:after="0" w:line="239" w:lineRule="auto"/>
        <w:tabs>
          <w:tab w:leader="none" w:pos="85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54" w:lineRule="exact"/>
        <w:rPr>
          <w:rFonts w:ascii="Arial" w:cs="Arial" w:eastAsia="Arial" w:hAnsi="Arial"/>
          <w:sz w:val="18"/>
          <w:szCs w:val="18"/>
          <w:color w:val="auto"/>
        </w:rPr>
      </w:pPr>
    </w:p>
    <w:p>
      <w:pPr>
        <w:ind w:left="-40" w:right="120" w:firstLine="464"/>
        <w:spacing w:after="0" w:line="237" w:lineRule="auto"/>
        <w:tabs>
          <w:tab w:leader="none" w:pos="85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your participation in the Plan, on the Option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54" w:lineRule="exact"/>
        <w:rPr>
          <w:rFonts w:ascii="Arial" w:cs="Arial" w:eastAsia="Arial" w:hAnsi="Arial"/>
          <w:sz w:val="18"/>
          <w:szCs w:val="18"/>
          <w:color w:val="auto"/>
        </w:rPr>
      </w:pPr>
    </w:p>
    <w:p>
      <w:pPr>
        <w:ind w:left="-40" w:firstLine="464"/>
        <w:spacing w:after="0" w:line="239" w:lineRule="auto"/>
        <w:tabs>
          <w:tab w:leader="none" w:pos="85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40"/>
          </w:cols>
          <w:pgMar w:left="280" w:top="291" w:right="27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VESTING AND EXERCISABILITY SCHEDULE</w:t>
      </w:r>
    </w:p>
    <w:p>
      <w:pPr>
        <w:spacing w:after="0" w:line="180"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 xml:space="preserve">Capitalized terms used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not defined in Section 5 below shall have the meanings given them in the Agreement to which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attached.</w:t>
      </w:r>
    </w:p>
    <w:p>
      <w:pPr>
        <w:spacing w:after="0" w:line="151" w:lineRule="exact"/>
        <w:rPr>
          <w:sz w:val="20"/>
          <w:szCs w:val="20"/>
          <w:color w:val="auto"/>
        </w:rPr>
      </w:pPr>
    </w:p>
    <w:p>
      <w:pPr>
        <w:ind w:left="800" w:hanging="336"/>
        <w:spacing w:after="0"/>
        <w:tabs>
          <w:tab w:leader="none" w:pos="80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Options Must Be Vested and Exercisable.</w:t>
      </w:r>
      <w:r>
        <w:rPr>
          <w:rFonts w:ascii="Arial" w:cs="Arial" w:eastAsia="Arial" w:hAnsi="Arial"/>
          <w:sz w:val="18"/>
          <w:szCs w:val="18"/>
          <w:color w:val="auto"/>
        </w:rPr>
        <w:t xml:space="preserve"> You shall be able to exercise your Options but only to the extent such Options have both</w:t>
      </w:r>
    </w:p>
    <w:p>
      <w:pPr>
        <w:ind w:left="280" w:hanging="272"/>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become Performance-Vested Options (as defined below) on and after the Certification Date pursuant to performance vesting in Section 3, and</w:t>
      </w:r>
    </w:p>
    <w:p>
      <w:pPr>
        <w:spacing w:after="0" w:line="18" w:lineRule="exact"/>
        <w:rPr>
          <w:rFonts w:ascii="Arial" w:cs="Arial" w:eastAsia="Arial" w:hAnsi="Arial"/>
          <w:sz w:val="16"/>
          <w:szCs w:val="16"/>
          <w:color w:val="auto"/>
        </w:rPr>
      </w:pPr>
    </w:p>
    <w:p>
      <w:pPr>
        <w:ind w:right="340" w:firstLine="8"/>
        <w:spacing w:after="0" w:line="299" w:lineRule="auto"/>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Time-Vested Options (as defined below) pursuant to the time-based vesting in Section 2 (or if not then vested on such Certification Date, as and when such Performance-Vested Options become Time-Vested Options thereafter pursuant to the time-based vesting in Section 2).</w:t>
      </w:r>
    </w:p>
    <w:p>
      <w:pPr>
        <w:spacing w:after="0" w:line="108" w:lineRule="exact"/>
        <w:rPr>
          <w:rFonts w:ascii="Arial" w:cs="Arial" w:eastAsia="Arial" w:hAnsi="Arial"/>
          <w:sz w:val="16"/>
          <w:szCs w:val="16"/>
          <w:color w:val="auto"/>
        </w:rPr>
      </w:pPr>
    </w:p>
    <w:p>
      <w:pPr>
        <w:ind w:right="380" w:firstLine="464"/>
        <w:spacing w:after="0" w:line="299" w:lineRule="auto"/>
        <w:tabs>
          <w:tab w:leader="none" w:pos="798"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Time-Based Vesting</w:t>
      </w:r>
      <w:r>
        <w:rPr>
          <w:rFonts w:ascii="Arial" w:cs="Arial" w:eastAsia="Arial" w:hAnsi="Arial"/>
          <w:sz w:val="16"/>
          <w:szCs w:val="16"/>
          <w:color w:val="auto"/>
        </w:rPr>
        <w:t>. Subject to the conditions and limitations on exercisability of the Option award set forth in Section 3 below, such percentage of the Performance-Vested Options shall also be considered “</w:t>
      </w:r>
      <w:r>
        <w:rPr>
          <w:rFonts w:ascii="Arial" w:cs="Arial" w:eastAsia="Arial" w:hAnsi="Arial"/>
          <w:sz w:val="16"/>
          <w:szCs w:val="16"/>
          <w:b w:val="1"/>
          <w:bCs w:val="1"/>
          <w:i w:val="1"/>
          <w:iCs w:val="1"/>
          <w:color w:val="auto"/>
        </w:rPr>
        <w:t>Time-Vested Options</w:t>
      </w:r>
      <w:r>
        <w:rPr>
          <w:rFonts w:ascii="Arial" w:cs="Arial" w:eastAsia="Arial" w:hAnsi="Arial"/>
          <w:sz w:val="16"/>
          <w:szCs w:val="16"/>
          <w:color w:val="auto"/>
        </w:rPr>
        <w:t>” as is determined pursuant to this Section 2:</w:t>
      </w:r>
    </w:p>
    <w:p>
      <w:pPr>
        <w:spacing w:after="0" w:line="108" w:lineRule="exact"/>
        <w:rPr>
          <w:rFonts w:ascii="Arial" w:cs="Arial" w:eastAsia="Arial" w:hAnsi="Arial"/>
          <w:sz w:val="16"/>
          <w:szCs w:val="16"/>
          <w:color w:val="auto"/>
        </w:rPr>
      </w:pPr>
    </w:p>
    <w:p>
      <w:pPr>
        <w:ind w:right="260" w:firstLine="921"/>
        <w:spacing w:after="0" w:line="238" w:lineRule="auto"/>
        <w:tabs>
          <w:tab w:leader="none" w:pos="1322" w:val="left"/>
        </w:tabs>
        <w:numPr>
          <w:ilvl w:val="2"/>
          <w:numId w:val="34"/>
        </w:numPr>
        <w:rPr>
          <w:rFonts w:ascii="Arial" w:cs="Arial" w:eastAsia="Arial" w:hAnsi="Arial"/>
          <w:sz w:val="18"/>
          <w:szCs w:val="18"/>
          <w:color w:val="auto"/>
        </w:rPr>
      </w:pPr>
      <w:r>
        <w:rPr>
          <w:rFonts w:ascii="Arial" w:cs="Arial" w:eastAsia="Arial" w:hAnsi="Arial"/>
          <w:sz w:val="18"/>
          <w:szCs w:val="18"/>
          <w:u w:val="single" w:color="auto"/>
          <w:color w:val="auto"/>
        </w:rPr>
        <w:t>Time-Based Vesting</w:t>
      </w:r>
      <w:r>
        <w:rPr>
          <w:rFonts w:ascii="Arial" w:cs="Arial" w:eastAsia="Arial" w:hAnsi="Arial"/>
          <w:sz w:val="18"/>
          <w:szCs w:val="18"/>
          <w:color w:val="auto"/>
        </w:rPr>
        <w:t>. Subject to clauses 2(b) and 2(c) below, twenty-five percent (25%) of those Options that become Performance-Vested Options, if any, shall become Time-Vested Options on each of the first four anniversaries of the Grant Date, subject to your continued employment or service with the Company or a Subsidiary through each applicable vesting date.</w:t>
      </w:r>
    </w:p>
    <w:p>
      <w:pPr>
        <w:spacing w:after="0" w:line="154" w:lineRule="exact"/>
        <w:rPr>
          <w:rFonts w:ascii="Arial" w:cs="Arial" w:eastAsia="Arial" w:hAnsi="Arial"/>
          <w:sz w:val="18"/>
          <w:szCs w:val="18"/>
          <w:color w:val="auto"/>
        </w:rPr>
      </w:pPr>
    </w:p>
    <w:p>
      <w:pPr>
        <w:jc w:val="both"/>
        <w:ind w:right="80" w:firstLine="921"/>
        <w:spacing w:after="0" w:line="237" w:lineRule="auto"/>
        <w:tabs>
          <w:tab w:leader="none" w:pos="1322" w:val="left"/>
        </w:tabs>
        <w:numPr>
          <w:ilvl w:val="2"/>
          <w:numId w:val="34"/>
        </w:numPr>
        <w:rPr>
          <w:rFonts w:ascii="Arial" w:cs="Arial" w:eastAsia="Arial" w:hAnsi="Arial"/>
          <w:sz w:val="18"/>
          <w:szCs w:val="18"/>
          <w:color w:val="auto"/>
        </w:rPr>
      </w:pPr>
      <w:r>
        <w:rPr>
          <w:rFonts w:ascii="Arial" w:cs="Arial" w:eastAsia="Arial" w:hAnsi="Arial"/>
          <w:sz w:val="18"/>
          <w:szCs w:val="18"/>
          <w:u w:val="single" w:color="auto"/>
          <w:color w:val="auto"/>
        </w:rPr>
        <w:t>Effect of Termination Due to Death or Permanent Disability</w:t>
      </w:r>
      <w:r>
        <w:rPr>
          <w:rFonts w:ascii="Arial" w:cs="Arial" w:eastAsia="Arial" w:hAnsi="Arial"/>
          <w:sz w:val="18"/>
          <w:szCs w:val="18"/>
          <w:color w:val="auto"/>
        </w:rPr>
        <w:t>. Notwithstanding Section 2(a) above, in the event of your Termination of Service as a result of your death or Permanent Disability, one hundred percent (100%) of the Performance-Vested Options, if any, shall become Time-Vested Options and shall be vested and exercisable on the Certification Date (or, if such Termination of Service occurs after the Certification Date, on the date of your Termination of Service).</w:t>
      </w:r>
    </w:p>
    <w:p>
      <w:pPr>
        <w:spacing w:after="0" w:line="154" w:lineRule="exact"/>
        <w:rPr>
          <w:rFonts w:ascii="Arial" w:cs="Arial" w:eastAsia="Arial" w:hAnsi="Arial"/>
          <w:sz w:val="18"/>
          <w:szCs w:val="18"/>
          <w:color w:val="auto"/>
        </w:rPr>
      </w:pPr>
    </w:p>
    <w:p>
      <w:pPr>
        <w:ind w:firstLine="921"/>
        <w:spacing w:after="0" w:line="236" w:lineRule="auto"/>
        <w:tabs>
          <w:tab w:leader="none" w:pos="1313" w:val="left"/>
        </w:tabs>
        <w:numPr>
          <w:ilvl w:val="2"/>
          <w:numId w:val="34"/>
        </w:numPr>
        <w:rPr>
          <w:rFonts w:ascii="Arial" w:cs="Arial" w:eastAsia="Arial" w:hAnsi="Arial"/>
          <w:sz w:val="18"/>
          <w:szCs w:val="18"/>
          <w:color w:val="auto"/>
        </w:rPr>
      </w:pPr>
      <w:r>
        <w:rPr>
          <w:rFonts w:ascii="Arial" w:cs="Arial" w:eastAsia="Arial" w:hAnsi="Arial"/>
          <w:sz w:val="18"/>
          <w:szCs w:val="18"/>
          <w:u w:val="single" w:color="auto"/>
          <w:color w:val="auto"/>
        </w:rPr>
        <w:t>Effect of Other Terminations</w:t>
      </w:r>
      <w:r>
        <w:rPr>
          <w:rFonts w:ascii="Arial" w:cs="Arial" w:eastAsia="Arial" w:hAnsi="Arial"/>
          <w:sz w:val="18"/>
          <w:szCs w:val="18"/>
          <w:color w:val="auto"/>
        </w:rPr>
        <w:t xml:space="preserve">. Notwithstanding Section 2(a) above, in the event of your Termination of Service for any reason other than your death or Permanent Disability, such percentage of the Performance-Vested Options, if any, as were Time-Vested Options pursuant to this Section 2 as of the date of your Termination of Service shall be vested and exercisable on the Certification Date (or, if such Termination of Service occurs after the Certification Date, on the date of your Termination of Service) and no additional Options shall become Time-Based Options thereafter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Option shall be subject to any accelerated vesting as may be provided in any employment or severance agreement between you and the Company, which accelerated vesting shall increase the percentage of Time-Vested Options, if any, under this Agreement.</w:t>
      </w:r>
    </w:p>
    <w:p>
      <w:pPr>
        <w:spacing w:after="0" w:line="155" w:lineRule="exact"/>
        <w:rPr>
          <w:rFonts w:ascii="Arial" w:cs="Arial" w:eastAsia="Arial" w:hAnsi="Arial"/>
          <w:sz w:val="18"/>
          <w:szCs w:val="18"/>
          <w:color w:val="auto"/>
        </w:rPr>
      </w:pPr>
    </w:p>
    <w:p>
      <w:pPr>
        <w:ind w:right="80" w:firstLine="464"/>
        <w:spacing w:after="0" w:line="238" w:lineRule="auto"/>
        <w:tabs>
          <w:tab w:leader="none" w:pos="798"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Performance Vesting</w:t>
      </w:r>
      <w:r>
        <w:rPr>
          <w:rFonts w:ascii="Arial" w:cs="Arial" w:eastAsia="Arial" w:hAnsi="Arial"/>
          <w:sz w:val="18"/>
          <w:szCs w:val="18"/>
          <w:color w:val="auto"/>
        </w:rPr>
        <w:t>. Subject to the vesting provisions of Section 2 above and clauses (b) and (c) below, the Option shall be released from the restrictions on exercisability in this Agreement and shall become “</w:t>
      </w:r>
      <w:r>
        <w:rPr>
          <w:rFonts w:ascii="Arial" w:cs="Arial" w:eastAsia="Arial" w:hAnsi="Arial"/>
          <w:sz w:val="18"/>
          <w:szCs w:val="18"/>
          <w:b w:val="1"/>
          <w:bCs w:val="1"/>
          <w:i w:val="1"/>
          <w:iCs w:val="1"/>
          <w:color w:val="auto"/>
        </w:rPr>
        <w:t>Performance-Vested Options</w:t>
      </w:r>
      <w:r>
        <w:rPr>
          <w:rFonts w:ascii="Arial" w:cs="Arial" w:eastAsia="Arial" w:hAnsi="Arial"/>
          <w:sz w:val="18"/>
          <w:szCs w:val="18"/>
          <w:color w:val="auto"/>
        </w:rPr>
        <w:t>” based on the Company’s Relative TSR Ranking for the Performance Period as follows:</w:t>
      </w:r>
    </w:p>
    <w:p>
      <w:pPr>
        <w:spacing w:after="0" w:line="154" w:lineRule="exact"/>
        <w:rPr>
          <w:rFonts w:ascii="Arial" w:cs="Arial" w:eastAsia="Arial" w:hAnsi="Arial"/>
          <w:sz w:val="18"/>
          <w:szCs w:val="18"/>
          <w:color w:val="auto"/>
        </w:rPr>
      </w:pPr>
    </w:p>
    <w:p>
      <w:pPr>
        <w:jc w:val="both"/>
        <w:ind w:right="40" w:firstLine="921"/>
        <w:spacing w:after="0" w:line="264" w:lineRule="auto"/>
        <w:tabs>
          <w:tab w:leader="none" w:pos="1322" w:val="left"/>
        </w:tabs>
        <w:numPr>
          <w:ilvl w:val="2"/>
          <w:numId w:val="34"/>
        </w:numPr>
        <w:rPr>
          <w:rFonts w:ascii="Arial" w:cs="Arial" w:eastAsia="Arial" w:hAnsi="Arial"/>
          <w:sz w:val="16"/>
          <w:szCs w:val="16"/>
          <w:color w:val="auto"/>
        </w:rPr>
      </w:pPr>
      <w:r>
        <w:rPr>
          <w:rFonts w:ascii="Arial" w:cs="Arial" w:eastAsia="Arial" w:hAnsi="Arial"/>
          <w:sz w:val="16"/>
          <w:szCs w:val="16"/>
          <w:u w:val="single" w:color="auto"/>
          <w:color w:val="auto"/>
        </w:rPr>
        <w:t>Measurement Date Occurs On October 31, [insert grant year + 4]</w:t>
      </w:r>
      <w:r>
        <w:rPr>
          <w:rFonts w:ascii="Arial" w:cs="Arial" w:eastAsia="Arial" w:hAnsi="Arial"/>
          <w:sz w:val="16"/>
          <w:szCs w:val="16"/>
          <w:color w:val="auto"/>
        </w:rPr>
        <w:t>. In the event the Measurement Date is October 31, [insert grant year + 4], such number of Options shall be released from the restrictions on exercisability in this Agreement on the Certification Date by multiplying</w:t>
      </w:r>
    </w:p>
    <w:p>
      <w:pPr>
        <w:ind w:right="360" w:firstLine="8"/>
        <w:spacing w:after="0" w:line="239" w:lineRule="auto"/>
        <w:tabs>
          <w:tab w:leader="none" w:pos="2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“Target” Number of Options subject to this Option award, by (ii) the TSR Performance Multiplier determined as of the Measurement Date (rounded to the nearest whole share) (such number of Options, the “</w:t>
      </w:r>
      <w:r>
        <w:rPr>
          <w:rFonts w:ascii="Arial" w:cs="Arial" w:eastAsia="Arial" w:hAnsi="Arial"/>
          <w:sz w:val="18"/>
          <w:szCs w:val="18"/>
          <w:b w:val="1"/>
          <w:bCs w:val="1"/>
          <w:i w:val="1"/>
          <w:iCs w:val="1"/>
          <w:color w:val="auto"/>
        </w:rPr>
        <w:t>Performance-Vested Options</w:t>
      </w:r>
      <w:r>
        <w:rPr>
          <w:rFonts w:ascii="Arial" w:cs="Arial" w:eastAsia="Arial" w:hAnsi="Arial"/>
          <w:sz w:val="18"/>
          <w:szCs w:val="18"/>
          <w:color w:val="auto"/>
        </w:rPr>
        <w: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69" w:right="239" w:bottom="1440" w:gutter="0" w:footer="0" w:header="0"/>
        </w:sectPr>
      </w:pPr>
    </w:p>
    <w:bookmarkStart w:id="64" w:name="page65"/>
    <w:bookmarkEnd w:id="64"/>
    <w:p>
      <w:pPr>
        <w:ind w:left="1332" w:hanging="419"/>
        <w:spacing w:after="0"/>
        <w:tabs>
          <w:tab w:leader="none" w:pos="1332"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Measurement Date Occurs As a Result of Change in Control</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left="-8" w:right="300" w:firstLine="1492"/>
        <w:spacing w:after="0" w:line="264" w:lineRule="auto"/>
        <w:tabs>
          <w:tab w:leader="none" w:pos="1827" w:val="left"/>
        </w:tabs>
        <w:numPr>
          <w:ilvl w:val="3"/>
          <w:numId w:val="36"/>
        </w:numPr>
        <w:rPr>
          <w:rFonts w:ascii="Arial" w:cs="Arial" w:eastAsia="Arial" w:hAnsi="Arial"/>
          <w:sz w:val="16"/>
          <w:szCs w:val="16"/>
          <w:color w:val="auto"/>
        </w:rPr>
      </w:pPr>
      <w:r>
        <w:rPr>
          <w:rFonts w:ascii="Arial" w:cs="Arial" w:eastAsia="Arial" w:hAnsi="Arial"/>
          <w:sz w:val="16"/>
          <w:szCs w:val="16"/>
          <w:color w:val="auto"/>
        </w:rPr>
        <w:t>Notwithstanding Section 3(a) above, in the event of a Change in Control prior to October 31, [insert grant year + 4], the “</w:t>
      </w:r>
      <w:r>
        <w:rPr>
          <w:rFonts w:ascii="Arial" w:cs="Arial" w:eastAsia="Arial" w:hAnsi="Arial"/>
          <w:sz w:val="16"/>
          <w:szCs w:val="16"/>
          <w:b w:val="1"/>
          <w:bCs w:val="1"/>
          <w:i w:val="1"/>
          <w:iCs w:val="1"/>
          <w:color w:val="auto"/>
        </w:rPr>
        <w:t>Performance-Vested Options</w:t>
      </w:r>
      <w:r>
        <w:rPr>
          <w:rFonts w:ascii="Arial" w:cs="Arial" w:eastAsia="Arial" w:hAnsi="Arial"/>
          <w:sz w:val="16"/>
          <w:szCs w:val="16"/>
          <w:color w:val="auto"/>
        </w:rPr>
        <w:t>” shall be determined as of immediately prior to such Change in Control and shall be determined by multiplying</w:t>
      </w:r>
    </w:p>
    <w:p>
      <w:pPr>
        <w:ind w:left="-8" w:right="80" w:firstLine="8"/>
        <w:spacing w:after="0" w:line="238" w:lineRule="auto"/>
        <w:tabs>
          <w:tab w:leader="none" w:pos="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“Target” Number of Options subject to this Agreement, multiplied by (B) the greater of (1) one hundred percent (100%) or (2) the TSR Performance Multiplier as of the Measurement Date, as determined by the Committee and certified in writing immediately prior to such Change in Control.</w:t>
      </w:r>
    </w:p>
    <w:p>
      <w:pPr>
        <w:spacing w:after="0" w:line="154" w:lineRule="exact"/>
        <w:rPr>
          <w:rFonts w:ascii="Arial" w:cs="Arial" w:eastAsia="Arial" w:hAnsi="Arial"/>
          <w:sz w:val="18"/>
          <w:szCs w:val="18"/>
          <w:color w:val="auto"/>
        </w:rPr>
      </w:pPr>
    </w:p>
    <w:p>
      <w:pPr>
        <w:ind w:left="-8" w:right="360" w:firstLine="1492"/>
        <w:spacing w:after="0" w:line="264" w:lineRule="auto"/>
        <w:tabs>
          <w:tab w:leader="none" w:pos="1866" w:val="left"/>
        </w:tabs>
        <w:numPr>
          <w:ilvl w:val="3"/>
          <w:numId w:val="37"/>
        </w:numPr>
        <w:rPr>
          <w:rFonts w:ascii="Arial" w:cs="Arial" w:eastAsia="Arial" w:hAnsi="Arial"/>
          <w:sz w:val="16"/>
          <w:szCs w:val="16"/>
          <w:color w:val="auto"/>
        </w:rPr>
      </w:pPr>
      <w:r>
        <w:rPr>
          <w:rFonts w:ascii="Arial" w:cs="Arial" w:eastAsia="Arial" w:hAnsi="Arial"/>
          <w:sz w:val="16"/>
          <w:szCs w:val="16"/>
          <w:color w:val="auto"/>
        </w:rPr>
        <w:t>In the event of a Change in Control on or after October 31, [insert grant year + 4], if the Certification Date has not yet occurred prior to the date of such Change in Control, the “</w:t>
      </w:r>
      <w:r>
        <w:rPr>
          <w:rFonts w:ascii="Arial" w:cs="Arial" w:eastAsia="Arial" w:hAnsi="Arial"/>
          <w:sz w:val="16"/>
          <w:szCs w:val="16"/>
          <w:b w:val="1"/>
          <w:bCs w:val="1"/>
          <w:i w:val="1"/>
          <w:iCs w:val="1"/>
          <w:color w:val="auto"/>
        </w:rPr>
        <w:t>Performance-Vested Options</w:t>
      </w:r>
      <w:r>
        <w:rPr>
          <w:rFonts w:ascii="Arial" w:cs="Arial" w:eastAsia="Arial" w:hAnsi="Arial"/>
          <w:sz w:val="16"/>
          <w:szCs w:val="16"/>
          <w:color w:val="auto"/>
        </w:rPr>
        <w:t>” shall be determined as of immediately prior to such Change in Control and shall be determined by multiplying equal to (A) the “Target” Number of Options subject to this Agreement, multiplied by</w:t>
      </w:r>
    </w:p>
    <w:p>
      <w:pPr>
        <w:ind w:left="292" w:hanging="292"/>
        <w:spacing w:after="0"/>
        <w:tabs>
          <w:tab w:leader="none" w:pos="2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TSR Performance Multiplier as of the Measurement Date.</w:t>
      </w:r>
    </w:p>
    <w:p>
      <w:pPr>
        <w:spacing w:after="0" w:line="157" w:lineRule="exact"/>
        <w:rPr>
          <w:rFonts w:ascii="Arial" w:cs="Arial" w:eastAsia="Arial" w:hAnsi="Arial"/>
          <w:sz w:val="18"/>
          <w:szCs w:val="18"/>
          <w:color w:val="auto"/>
        </w:rPr>
      </w:pPr>
    </w:p>
    <w:p>
      <w:pPr>
        <w:ind w:left="-8" w:right="180" w:firstLine="1492"/>
        <w:spacing w:after="0" w:line="238" w:lineRule="auto"/>
        <w:tabs>
          <w:tab w:leader="none" w:pos="1905" w:val="left"/>
        </w:tabs>
        <w:numPr>
          <w:ilvl w:val="3"/>
          <w:numId w:val="38"/>
        </w:numPr>
        <w:rPr>
          <w:rFonts w:ascii="Arial" w:cs="Arial" w:eastAsia="Arial" w:hAnsi="Arial"/>
          <w:sz w:val="18"/>
          <w:szCs w:val="18"/>
          <w:color w:val="auto"/>
        </w:rPr>
      </w:pPr>
      <w:r>
        <w:rPr>
          <w:rFonts w:ascii="Arial" w:cs="Arial" w:eastAsia="Arial" w:hAnsi="Arial"/>
          <w:sz w:val="18"/>
          <w:szCs w:val="18"/>
          <w:color w:val="auto"/>
        </w:rPr>
        <w:t>In the event of a Change in Control prior to the date on which all of the Performance-Vested Options have also become Time-Vested Options pursuant to Section 2 above, you shall continue to be eligible to vest in such Performance-Vested Options pursuant to Section 2 following the date of such Change in Control.</w:t>
      </w:r>
    </w:p>
    <w:p>
      <w:pPr>
        <w:spacing w:after="0" w:line="154" w:lineRule="exact"/>
        <w:rPr>
          <w:rFonts w:ascii="Arial" w:cs="Arial" w:eastAsia="Arial" w:hAnsi="Arial"/>
          <w:sz w:val="18"/>
          <w:szCs w:val="18"/>
          <w:color w:val="auto"/>
        </w:rPr>
      </w:pPr>
    </w:p>
    <w:p>
      <w:pPr>
        <w:ind w:left="-8" w:right="60" w:firstLine="464"/>
        <w:spacing w:after="0" w:line="236" w:lineRule="auto"/>
        <w:tabs>
          <w:tab w:leader="none" w:pos="79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xml:space="preserve">. Any portion of this Option award and any Options which do not become (or are no longer eligible to become) Time-Vested Options and/or Performance-Vested Options as a result of your Termination of Service prior to the fourth anniversary of the Grant Date or as a result of less than the “Maximum” Number of Options subject to this Option award becoming “Performance-Vested Options” by reason of the TSR Performance Multiplier being less than 175% shall automatically and without further action be cancelled and forfeited by you on the date of your Termination of Service or the Measurement Date, as applicable, and you shall have no further right or interest in or with respect to such portion of this Option award. In no event will more than the “Maximum” Number of Options subject to this Option award vest and become exercisable pursuant to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55" w:lineRule="exact"/>
        <w:rPr>
          <w:sz w:val="20"/>
          <w:szCs w:val="20"/>
          <w:color w:val="auto"/>
        </w:rPr>
      </w:pPr>
    </w:p>
    <w:p>
      <w:pPr>
        <w:ind w:left="792" w:hanging="336"/>
        <w:spacing w:after="0"/>
        <w:tabs>
          <w:tab w:leader="none" w:pos="79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Exhibit A</w:t>
      </w:r>
      <w:r>
        <w:rPr>
          <w:rFonts w:ascii="Arial" w:cs="Arial" w:eastAsia="Arial" w:hAnsi="Arial"/>
          <w:sz w:val="18"/>
          <w:szCs w:val="18"/>
          <w:color w:val="auto"/>
        </w:rPr>
        <w:t>, the following terms shall have the meanings given below:</w:t>
      </w:r>
    </w:p>
    <w:p>
      <w:pPr>
        <w:spacing w:after="0" w:line="137" w:lineRule="exact"/>
        <w:rPr>
          <w:rFonts w:ascii="Arial" w:cs="Arial" w:eastAsia="Arial" w:hAnsi="Arial"/>
          <w:sz w:val="18"/>
          <w:szCs w:val="18"/>
          <w:color w:val="auto"/>
        </w:rPr>
      </w:pPr>
    </w:p>
    <w:p>
      <w:pPr>
        <w:jc w:val="both"/>
        <w:ind w:left="-8" w:right="60" w:firstLine="921"/>
        <w:spacing w:after="0" w:line="244" w:lineRule="auto"/>
        <w:tabs>
          <w:tab w:leader="none" w:pos="1363"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Beginning Market Value</w:t>
      </w:r>
      <w:r>
        <w:rPr>
          <w:rFonts w:ascii="Arial" w:cs="Arial" w:eastAsia="Arial" w:hAnsi="Arial"/>
          <w:sz w:val="18"/>
          <w:szCs w:val="18"/>
          <w:color w:val="auto"/>
        </w:rPr>
        <w:t xml:space="preserve">” means, for each of the Company and the Peer Companies for the Performance Period, the average of the closing price per share of the company’s stock for the twenty (20) consecutive trading days beginning with and including the first day of the Performance Period (or, if the first day of the Performance Period is not a trading day, the immediately preceding trading day) as published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or such other authoritative source as the Committee may determine.</w:t>
      </w:r>
    </w:p>
    <w:p>
      <w:pPr>
        <w:spacing w:after="0" w:line="130" w:lineRule="exact"/>
        <w:rPr>
          <w:rFonts w:ascii="Arial" w:cs="Arial" w:eastAsia="Arial" w:hAnsi="Arial"/>
          <w:sz w:val="18"/>
          <w:szCs w:val="18"/>
          <w:color w:val="auto"/>
        </w:rPr>
      </w:pPr>
    </w:p>
    <w:p>
      <w:pPr>
        <w:jc w:val="both"/>
        <w:ind w:left="-8" w:right="180" w:firstLine="921"/>
        <w:spacing w:after="0" w:line="248" w:lineRule="auto"/>
        <w:tabs>
          <w:tab w:leader="none" w:pos="1315"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Certification Date</w:t>
      </w:r>
      <w:r>
        <w:rPr>
          <w:rFonts w:ascii="Arial" w:cs="Arial" w:eastAsia="Arial" w:hAnsi="Arial"/>
          <w:sz w:val="18"/>
          <w:szCs w:val="18"/>
          <w:color w:val="auto"/>
        </w:rPr>
        <w:t xml:space="preserve">” means the date on which the Committee certifies the TSR Performance Multiplier, which certification shall occur no later than thirty (30) days following the Measurement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Measurement Date is the date of a Change in Control, the Certification Date shall be the date of such Change in Control.</w:t>
      </w:r>
    </w:p>
    <w:p>
      <w:pPr>
        <w:spacing w:after="0" w:line="128" w:lineRule="exact"/>
        <w:rPr>
          <w:rFonts w:ascii="Arial" w:cs="Arial" w:eastAsia="Arial" w:hAnsi="Arial"/>
          <w:sz w:val="18"/>
          <w:szCs w:val="18"/>
          <w:color w:val="auto"/>
        </w:rPr>
      </w:pPr>
    </w:p>
    <w:p>
      <w:pPr>
        <w:ind w:left="1312" w:hanging="399"/>
        <w:spacing w:after="0"/>
        <w:tabs>
          <w:tab w:leader="none" w:pos="131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 and include each of the following:</w:t>
      </w:r>
    </w:p>
    <w:p>
      <w:pPr>
        <w:spacing w:after="0" w:line="177" w:lineRule="exact"/>
        <w:rPr>
          <w:rFonts w:ascii="Arial" w:cs="Arial" w:eastAsia="Arial" w:hAnsi="Arial"/>
          <w:sz w:val="18"/>
          <w:szCs w:val="18"/>
          <w:color w:val="auto"/>
        </w:rPr>
      </w:pPr>
    </w:p>
    <w:p>
      <w:pPr>
        <w:ind w:left="-8" w:firstLine="1492"/>
        <w:spacing w:after="0" w:line="236" w:lineRule="auto"/>
        <w:tabs>
          <w:tab w:leader="none" w:pos="1866" w:val="left"/>
        </w:tabs>
        <w:numPr>
          <w:ilvl w:val="2"/>
          <w:numId w:val="40"/>
        </w:numPr>
        <w:rPr>
          <w:rFonts w:ascii="Arial" w:cs="Arial" w:eastAsia="Arial" w:hAnsi="Arial"/>
          <w:sz w:val="18"/>
          <w:szCs w:val="18"/>
          <w:color w:val="auto"/>
        </w:rPr>
      </w:pPr>
      <w:r>
        <w:rPr>
          <w:rFonts w:ascii="Arial" w:cs="Arial" w:eastAsia="Arial" w:hAnsi="Arial"/>
          <w:sz w:val="18"/>
          <w:szCs w:val="18"/>
          <w:color w:val="auto"/>
        </w:rPr>
        <w:t>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p>
    <w:p>
      <w:pPr>
        <w:spacing w:after="0" w:line="14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32"/>
          </w:cols>
          <w:pgMar w:left="248" w:top="291" w:right="319" w:bottom="1440" w:gutter="0" w:footer="0" w:header="0"/>
        </w:sectPr>
      </w:pPr>
    </w:p>
    <w:bookmarkStart w:id="65" w:name="page66"/>
    <w:bookmarkEnd w:id="65"/>
    <w:p>
      <w:pPr>
        <w:ind w:firstLine="1492"/>
        <w:spacing w:after="0" w:line="238" w:lineRule="auto"/>
        <w:tabs>
          <w:tab w:leader="none" w:pos="1919"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individuals who, as of the Grant Date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two-thirds of the members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election, or nomination for election by the Company’s common stockholders, of any new director was approved by a vote of at least two-thirds of the Incumbent Board, such new director shall, for purposes of this definition, be considered as a member of the Incumbent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Arial" w:cs="Arial" w:eastAsia="Arial" w:hAnsi="Arial"/>
          <w:sz w:val="18"/>
          <w:szCs w:val="18"/>
          <w:b w:val="1"/>
          <w:bCs w:val="1"/>
          <w:i w:val="1"/>
          <w:iCs w:val="1"/>
          <w:color w:val="auto"/>
        </w:rPr>
        <w:t>Proxy Contest</w:t>
      </w:r>
      <w:r>
        <w:rPr>
          <w:rFonts w:ascii="Arial" w:cs="Arial" w:eastAsia="Arial" w:hAnsi="Arial"/>
          <w:sz w:val="18"/>
          <w:szCs w:val="18"/>
          <w:color w:val="auto"/>
        </w:rPr>
        <w:t>”) including by reason of any agreement intended to avoid or settle any Election Contest or Proxy Contest; or</w:t>
      </w:r>
    </w:p>
    <w:p>
      <w:pPr>
        <w:spacing w:after="0" w:line="160" w:lineRule="exact"/>
        <w:rPr>
          <w:rFonts w:ascii="Arial" w:cs="Arial" w:eastAsia="Arial" w:hAnsi="Arial"/>
          <w:sz w:val="18"/>
          <w:szCs w:val="18"/>
          <w:color w:val="auto"/>
        </w:rPr>
      </w:pPr>
    </w:p>
    <w:p>
      <w:pPr>
        <w:ind w:right="60" w:firstLine="1492"/>
        <w:spacing w:after="0" w:line="237" w:lineRule="auto"/>
        <w:tabs>
          <w:tab w:leader="none" w:pos="19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54" w:lineRule="exact"/>
        <w:rPr>
          <w:rFonts w:ascii="Arial" w:cs="Arial" w:eastAsia="Arial" w:hAnsi="Arial"/>
          <w:sz w:val="18"/>
          <w:szCs w:val="18"/>
          <w:color w:val="auto"/>
        </w:rPr>
      </w:pPr>
    </w:p>
    <w:p>
      <w:pPr>
        <w:ind w:right="180" w:firstLine="1948"/>
        <w:spacing w:after="0" w:line="236" w:lineRule="auto"/>
        <w:tabs>
          <w:tab w:leader="none" w:pos="23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157" w:lineRule="exact"/>
        <w:rPr>
          <w:rFonts w:ascii="Arial" w:cs="Arial" w:eastAsia="Arial" w:hAnsi="Arial"/>
          <w:sz w:val="18"/>
          <w:szCs w:val="18"/>
          <w:color w:val="auto"/>
        </w:rPr>
      </w:pPr>
    </w:p>
    <w:p>
      <w:pPr>
        <w:ind w:right="60" w:firstLine="1948"/>
        <w:spacing w:after="0" w:line="237" w:lineRule="auto"/>
        <w:tabs>
          <w:tab w:leader="none" w:pos="23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forty percent (40%) or more of the combined voting power of the Successor Entity;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person or group shall be treated for purposes of this Section 4(b)(iii)(B) as beneficially owning 40% or more of combined voting power of the Successor Entity solely as a result of the voting power held in the Company prior to the consummation of the transaction.</w:t>
      </w:r>
    </w:p>
    <w:p>
      <w:pPr>
        <w:spacing w:after="0" w:line="155" w:lineRule="exact"/>
        <w:rPr>
          <w:sz w:val="20"/>
          <w:szCs w:val="20"/>
          <w:color w:val="auto"/>
        </w:rPr>
      </w:pPr>
    </w:p>
    <w:p>
      <w:pPr>
        <w:ind w:right="200" w:firstLine="913"/>
        <w:spacing w:after="0" w:line="238" w:lineRule="auto"/>
        <w:rPr>
          <w:sz w:val="20"/>
          <w:szCs w:val="20"/>
          <w:color w:val="auto"/>
        </w:rPr>
      </w:pPr>
      <w:r>
        <w:rPr>
          <w:rFonts w:ascii="Arial" w:cs="Arial" w:eastAsia="Arial" w:hAnsi="Arial"/>
          <w:sz w:val="18"/>
          <w:szCs w:val="18"/>
          <w:color w:val="auto"/>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34" w:lineRule="exact"/>
        <w:rPr>
          <w:sz w:val="20"/>
          <w:szCs w:val="20"/>
          <w:color w:val="auto"/>
        </w:rPr>
      </w:pPr>
    </w:p>
    <w:p>
      <w:pPr>
        <w:ind w:firstLine="921"/>
        <w:spacing w:after="0" w:line="277" w:lineRule="auto"/>
        <w:tabs>
          <w:tab w:leader="none" w:pos="1322"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Ending Market Value</w:t>
      </w:r>
      <w:r>
        <w:rPr>
          <w:rFonts w:ascii="Arial" w:cs="Arial" w:eastAsia="Arial" w:hAnsi="Arial"/>
          <w:sz w:val="16"/>
          <w:szCs w:val="16"/>
          <w:color w:val="auto"/>
        </w:rPr>
        <w:t>” means, for each of the Company and the Peer Companies for the Performance Period, (i) in the event the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Date is October 31, [insert grant year + 4], the average of the closing price per share of the company’s stock for the last twenty</w:t>
      </w:r>
    </w:p>
    <w:p>
      <w:pPr>
        <w:ind w:right="120" w:firstLine="8"/>
        <w:spacing w:after="0" w:line="281" w:lineRule="auto"/>
        <w:tabs>
          <w:tab w:leader="none" w:pos="361"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consecutive trading days ending with and including the Measurement Date, or (ii) in the event the Measurement Date is the date of a Change in Control, the closing price per share of the company’s stock on the Measurement Date (or if the Measurement Date is not a trading day, the immediately preceding trading day)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authoritative source as the Committee may determine.</w:t>
      </w:r>
    </w:p>
    <w:p>
      <w:pPr>
        <w:spacing w:after="0" w:line="103" w:lineRule="exact"/>
        <w:rPr>
          <w:rFonts w:ascii="Arial" w:cs="Arial" w:eastAsia="Arial" w:hAnsi="Arial"/>
          <w:sz w:val="16"/>
          <w:szCs w:val="16"/>
          <w:color w:val="auto"/>
        </w:rPr>
      </w:pPr>
    </w:p>
    <w:p>
      <w:pPr>
        <w:ind w:right="460" w:firstLine="921"/>
        <w:spacing w:after="0" w:line="262" w:lineRule="auto"/>
        <w:tabs>
          <w:tab w:leader="none" w:pos="1323"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Measurement Date</w:t>
      </w:r>
      <w:r>
        <w:rPr>
          <w:rFonts w:ascii="Arial" w:cs="Arial" w:eastAsia="Arial" w:hAnsi="Arial"/>
          <w:sz w:val="18"/>
          <w:szCs w:val="18"/>
          <w:color w:val="auto"/>
        </w:rPr>
        <w:t>” means the first to occur of (a) October 31, [insert grant year + 4], or (b) the date on which a Change in Control occurs (or, in each case, if such date is not a trading day, the immediately preceding trading day).</w:t>
      </w:r>
    </w:p>
    <w:p>
      <w:pPr>
        <w:spacing w:after="0" w:line="115" w:lineRule="exact"/>
        <w:rPr>
          <w:rFonts w:ascii="Arial" w:cs="Arial" w:eastAsia="Arial" w:hAnsi="Arial"/>
          <w:sz w:val="18"/>
          <w:szCs w:val="18"/>
          <w:color w:val="auto"/>
        </w:rPr>
      </w:pPr>
    </w:p>
    <w:p>
      <w:pPr>
        <w:ind w:right="20" w:firstLine="921"/>
        <w:spacing w:after="0" w:line="244" w:lineRule="auto"/>
        <w:tabs>
          <w:tab w:leader="none" w:pos="1274"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Peer Companies</w:t>
      </w:r>
      <w:r>
        <w:rPr>
          <w:rFonts w:ascii="Arial" w:cs="Arial" w:eastAsia="Arial" w:hAnsi="Arial"/>
          <w:sz w:val="18"/>
          <w:szCs w:val="18"/>
          <w:color w:val="auto"/>
        </w:rPr>
        <w:t>” means those companies included in the S&amp;P Mid Cap 400 Index on the first day of the Performance Period (or if the first day of the Performance Period is not a trading day, the immediately preceding trading day) and which remain publicly-traded and listed on a national securities exchange through the last day of the Performance Period (or if the last day of the Performance Period is not a trading day, the immediately preceding trading day).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71" w:right="239" w:bottom="1440" w:gutter="0" w:footer="0" w:header="0"/>
        </w:sectPr>
      </w:pPr>
    </w:p>
    <w:bookmarkStart w:id="66" w:name="page67"/>
    <w:bookmarkEnd w:id="66"/>
    <w:p>
      <w:pPr>
        <w:ind w:left="1332" w:hanging="419"/>
        <w:spacing w:after="0"/>
        <w:tabs>
          <w:tab w:leader="none" w:pos="1332"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beginning on November 1, [insert grant year] and ending on the earlier to occur of</w:t>
      </w:r>
    </w:p>
    <w:p>
      <w:pPr>
        <w:spacing w:after="0" w:line="15" w:lineRule="exact"/>
        <w:rPr>
          <w:rFonts w:ascii="Arial" w:cs="Arial" w:eastAsia="Arial" w:hAnsi="Arial"/>
          <w:sz w:val="18"/>
          <w:szCs w:val="18"/>
          <w:color w:val="auto"/>
        </w:rPr>
      </w:pPr>
    </w:p>
    <w:p>
      <w:pPr>
        <w:ind w:left="212" w:hanging="212"/>
        <w:spacing w:after="0"/>
        <w:tabs>
          <w:tab w:leader="none" w:pos="2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October 31, [insert grant year + 4], or (ii) the date of a Change in Control.</w:t>
      </w:r>
    </w:p>
    <w:p>
      <w:pPr>
        <w:spacing w:after="0" w:line="137" w:lineRule="exact"/>
        <w:rPr>
          <w:rFonts w:ascii="Arial" w:cs="Arial" w:eastAsia="Arial" w:hAnsi="Arial"/>
          <w:sz w:val="18"/>
          <w:szCs w:val="18"/>
          <w:color w:val="auto"/>
        </w:rPr>
      </w:pPr>
    </w:p>
    <w:p>
      <w:pPr>
        <w:jc w:val="both"/>
        <w:ind w:left="-8" w:right="60" w:firstLine="921"/>
        <w:spacing w:after="0" w:line="248" w:lineRule="auto"/>
        <w:tabs>
          <w:tab w:leader="none" w:pos="1315"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Relative TSR Ranking</w:t>
      </w:r>
      <w:r>
        <w:rPr>
          <w:rFonts w:ascii="Arial" w:cs="Arial" w:eastAsia="Arial" w:hAnsi="Arial"/>
          <w:sz w:val="18"/>
          <w:szCs w:val="18"/>
          <w:color w:val="auto"/>
        </w:rPr>
        <w:t>” means the Company’s TSR relative to the TSRs of the Peer Companies. The Company’s Relative TSR Ranking will be determined by ranking the Company and the Peer Companies from highest to lowest according to their respective TSRs. After this ranking, the percentile performance of the Company relative to the Peer Companies will be determined as follows:</w:t>
      </w:r>
    </w:p>
    <w:p>
      <w:pPr>
        <w:spacing w:after="0" w:line="14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P = 1 – ((R-1)/(N-1))</w:t>
      </w:r>
    </w:p>
    <w:p>
      <w:pPr>
        <w:spacing w:after="0" w:line="198" w:lineRule="exact"/>
        <w:rPr>
          <w:sz w:val="20"/>
          <w:szCs w:val="20"/>
          <w:color w:val="auto"/>
        </w:rPr>
      </w:pPr>
    </w:p>
    <w:p>
      <w:pPr>
        <w:ind w:left="1752" w:right="220" w:hanging="850"/>
        <w:spacing w:after="0" w:line="239" w:lineRule="auto"/>
        <w:rPr>
          <w:sz w:val="20"/>
          <w:szCs w:val="20"/>
          <w:color w:val="auto"/>
        </w:rPr>
      </w:pPr>
      <w:r>
        <w:rPr>
          <w:rFonts w:ascii="Arial" w:cs="Arial" w:eastAsia="Arial" w:hAnsi="Arial"/>
          <w:sz w:val="18"/>
          <w:szCs w:val="18"/>
          <w:color w:val="auto"/>
        </w:rPr>
        <w:t>Where: “P”represents the Company’s percentile performance, which will be rounded, if necessary, to the nearest whole percentile by application of regular rounding.</w:t>
      </w:r>
    </w:p>
    <w:p>
      <w:pPr>
        <w:spacing w:after="0" w:line="74"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“N” represents the number of Peer Companies.</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“R” represents the Company’s ranking among the Peer Companies.</w:t>
      </w:r>
    </w:p>
    <w:p>
      <w:pPr>
        <w:spacing w:after="0" w:line="138" w:lineRule="exact"/>
        <w:rPr>
          <w:sz w:val="20"/>
          <w:szCs w:val="20"/>
          <w:color w:val="auto"/>
        </w:rPr>
      </w:pPr>
    </w:p>
    <w:p>
      <w:pPr>
        <w:ind w:left="-8" w:firstLine="921"/>
        <w:spacing w:after="0"/>
        <w:tabs>
          <w:tab w:leader="none" w:pos="12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TSR</w:t>
      </w:r>
      <w:r>
        <w:rPr>
          <w:rFonts w:ascii="Arial" w:cs="Arial" w:eastAsia="Arial" w:hAnsi="Arial"/>
          <w:sz w:val="18"/>
          <w:szCs w:val="18"/>
          <w:color w:val="auto"/>
        </w:rPr>
        <w:t>” means, with respect to the Performance Period, the total value delivered to stockholders of the Company (or of a Peer Company, as applicable), as measured by the change in the price of the Common Stock of the Company (or common stock of a Peer Company, as applicable) over the Performance Period (positive or negative) from the Beginning Market Value for the Performance Period to the Ending Market Value for such Performance Period, plus dividends paid over the Performance Period assuming dividends are reinvested based on the price of the Common Stock of the Company (or common stock of a Peer Company, as applicable) on the last trading day of the month during which the ex-dividend date occurs.</w:t>
      </w:r>
    </w:p>
    <w:p>
      <w:pPr>
        <w:spacing w:after="0" w:line="135" w:lineRule="exact"/>
        <w:rPr>
          <w:rFonts w:ascii="Arial" w:cs="Arial" w:eastAsia="Arial" w:hAnsi="Arial"/>
          <w:sz w:val="18"/>
          <w:szCs w:val="18"/>
          <w:color w:val="auto"/>
        </w:rPr>
      </w:pPr>
    </w:p>
    <w:p>
      <w:pPr>
        <w:jc w:val="both"/>
        <w:ind w:left="-8" w:right="280" w:firstLine="921"/>
        <w:spacing w:after="0" w:line="248" w:lineRule="auto"/>
        <w:tabs>
          <w:tab w:leader="none" w:pos="12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TSR Performance Multiplier</w:t>
      </w:r>
      <w:r>
        <w:rPr>
          <w:rFonts w:ascii="Arial" w:cs="Arial" w:eastAsia="Arial" w:hAnsi="Arial"/>
          <w:sz w:val="18"/>
          <w:szCs w:val="18"/>
          <w:color w:val="auto"/>
        </w:rPr>
        <w:t>” means, for the Performance Period, the performance multiplier determined pursuant to the chart below based on the Company’s Relative TSR Ranking. If the Company achieves a Relative TSR Ranking that falls between the foregoing levels, the Performance Multiplier will be determined by linear interpolation between the applicable levels.</w:t>
      </w:r>
    </w:p>
    <w:p>
      <w:pPr>
        <w:spacing w:after="0" w:line="156"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Relative TSR Ranking Relative to the S&amp;P Mid Cap</w:t>
            </w:r>
          </w:p>
        </w:tc>
        <w:tc>
          <w:tcPr>
            <w:tcW w:w="2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2"/>
        </w:trPr>
        <w:tc>
          <w:tcPr>
            <w:tcW w:w="34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400 for the Performance Period</w:t>
            </w:r>
          </w:p>
        </w:tc>
        <w:tc>
          <w:tcPr>
            <w:tcW w:w="4300" w:type="dxa"/>
            <w:vAlign w:val="bottom"/>
            <w:gridSpan w:val="3"/>
          </w:tcPr>
          <w:p>
            <w:pPr>
              <w:jc w:val="right"/>
              <w:ind w:right="240"/>
              <w:spacing w:after="0" w:line="152" w:lineRule="exact"/>
              <w:rPr>
                <w:sz w:val="20"/>
                <w:szCs w:val="20"/>
                <w:color w:val="auto"/>
              </w:rPr>
            </w:pPr>
            <w:r>
              <w:rPr>
                <w:rFonts w:ascii="Arial" w:cs="Arial" w:eastAsia="Arial" w:hAnsi="Arial"/>
                <w:sz w:val="14"/>
                <w:szCs w:val="14"/>
                <w:b w:val="1"/>
                <w:bCs w:val="1"/>
                <w:color w:val="auto"/>
              </w:rPr>
              <w:t>TSR Performance Multiplier</w:t>
            </w:r>
          </w:p>
        </w:tc>
      </w:tr>
      <w:tr>
        <w:trPr>
          <w:trHeight w:val="20"/>
        </w:trPr>
        <w:tc>
          <w:tcPr>
            <w:tcW w:w="200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90"/>
        </w:trPr>
        <w:tc>
          <w:tcPr>
            <w:tcW w:w="346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At or above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w:t>
            </w:r>
          </w:p>
        </w:tc>
        <w:tc>
          <w:tcPr>
            <w:tcW w:w="43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175%</w:t>
            </w:r>
          </w:p>
        </w:tc>
      </w:tr>
      <w:tr>
        <w:trPr>
          <w:trHeight w:val="203"/>
        </w:trPr>
        <w:tc>
          <w:tcPr>
            <w:tcW w:w="3460" w:type="dxa"/>
            <w:vAlign w:val="bottom"/>
            <w:gridSpan w:val="2"/>
          </w:tcPr>
          <w:p>
            <w:pPr>
              <w:spacing w:after="0" w:line="203" w:lineRule="exact"/>
              <w:rPr>
                <w:sz w:val="20"/>
                <w:szCs w:val="20"/>
                <w:color w:val="auto"/>
              </w:rPr>
            </w:pPr>
            <w:r>
              <w:rPr>
                <w:rFonts w:ascii="Arial" w:cs="Arial" w:eastAsia="Arial" w:hAnsi="Arial"/>
                <w:sz w:val="18"/>
                <w:szCs w:val="18"/>
                <w:color w:val="auto"/>
              </w:rPr>
              <w:t>At the 80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4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160%</w:t>
            </w:r>
          </w:p>
        </w:tc>
      </w:tr>
      <w:tr>
        <w:trPr>
          <w:trHeight w:val="203"/>
        </w:trPr>
        <w:tc>
          <w:tcPr>
            <w:tcW w:w="3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 the 70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4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w:t>
            </w:r>
          </w:p>
        </w:tc>
      </w:tr>
      <w:tr>
        <w:trPr>
          <w:trHeight w:val="203"/>
        </w:trPr>
        <w:tc>
          <w:tcPr>
            <w:tcW w:w="3460" w:type="dxa"/>
            <w:vAlign w:val="bottom"/>
            <w:gridSpan w:val="2"/>
          </w:tcPr>
          <w:p>
            <w:pPr>
              <w:spacing w:after="0" w:line="203" w:lineRule="exact"/>
              <w:rPr>
                <w:sz w:val="20"/>
                <w:szCs w:val="20"/>
                <w:color w:val="auto"/>
              </w:rPr>
            </w:pPr>
            <w:r>
              <w:rPr>
                <w:rFonts w:ascii="Arial" w:cs="Arial" w:eastAsia="Arial" w:hAnsi="Arial"/>
                <w:sz w:val="18"/>
                <w:szCs w:val="18"/>
                <w:color w:val="auto"/>
              </w:rPr>
              <w:t>At the 60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4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120%</w:t>
            </w:r>
          </w:p>
        </w:tc>
      </w:tr>
      <w:tr>
        <w:trPr>
          <w:trHeight w:val="203"/>
        </w:trPr>
        <w:tc>
          <w:tcPr>
            <w:tcW w:w="3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4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3460" w:type="dxa"/>
            <w:vAlign w:val="bottom"/>
            <w:gridSpan w:val="2"/>
          </w:tcPr>
          <w:p>
            <w:pPr>
              <w:spacing w:after="0" w:line="203" w:lineRule="exact"/>
              <w:rPr>
                <w:sz w:val="20"/>
                <w:szCs w:val="20"/>
                <w:color w:val="auto"/>
              </w:rPr>
            </w:pPr>
            <w:r>
              <w:rPr>
                <w:rFonts w:ascii="Arial" w:cs="Arial" w:eastAsia="Arial" w:hAnsi="Arial"/>
                <w:sz w:val="18"/>
                <w:szCs w:val="18"/>
                <w:color w:val="auto"/>
              </w:rPr>
              <w:t>At the 40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4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80%</w:t>
            </w:r>
          </w:p>
        </w:tc>
      </w:tr>
      <w:tr>
        <w:trPr>
          <w:trHeight w:val="203"/>
        </w:trPr>
        <w:tc>
          <w:tcPr>
            <w:tcW w:w="3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4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w:t>
            </w:r>
          </w:p>
        </w:tc>
      </w:tr>
      <w:tr>
        <w:trPr>
          <w:trHeight w:val="293"/>
        </w:trPr>
        <w:tc>
          <w:tcPr>
            <w:tcW w:w="3460" w:type="dxa"/>
            <w:vAlign w:val="bottom"/>
            <w:gridSpan w:val="2"/>
          </w:tcPr>
          <w:p>
            <w:pPr>
              <w:spacing w:after="0"/>
              <w:rPr>
                <w:sz w:val="20"/>
                <w:szCs w:val="20"/>
                <w:color w:val="auto"/>
              </w:rPr>
            </w:pPr>
            <w:r>
              <w:rPr>
                <w:rFonts w:ascii="Arial" w:cs="Arial" w:eastAsia="Arial" w:hAnsi="Arial"/>
                <w:sz w:val="18"/>
                <w:szCs w:val="18"/>
                <w:color w:val="auto"/>
              </w:rPr>
              <w:t>At or Below the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43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72"/>
        </w:trPr>
        <w:tc>
          <w:tcPr>
            <w:tcW w:w="20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300" w:type="dxa"/>
            <w:vAlign w:val="bottom"/>
            <w:gridSpan w:val="3"/>
          </w:tcPr>
          <w:p>
            <w:pPr>
              <w:jc w:val="right"/>
              <w:ind w:right="3700"/>
              <w:spacing w:after="0"/>
              <w:rPr>
                <w:sz w:val="20"/>
                <w:szCs w:val="20"/>
                <w:color w:val="auto"/>
              </w:rPr>
            </w:pPr>
            <w:r>
              <w:rPr>
                <w:rFonts w:ascii="Arial" w:cs="Arial" w:eastAsia="Arial" w:hAnsi="Arial"/>
                <w:sz w:val="18"/>
                <w:szCs w:val="18"/>
                <w:color w:val="auto"/>
              </w:rPr>
              <w:t>A-10</w:t>
            </w:r>
          </w:p>
        </w:tc>
      </w:tr>
    </w:tbl>
    <w:p>
      <w:pPr>
        <w:sectPr>
          <w:pgSz w:w="11900" w:h="16838" w:orient="portrait"/>
          <w:cols w:equalWidth="0" w:num="1">
            <w:col w:w="11392"/>
          </w:cols>
          <w:pgMar w:left="248" w:top="271" w:right="2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17"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17" w:lineRule="exact"/>
        <w:rPr>
          <w:rFonts w:ascii="Arial" w:cs="Arial" w:eastAsia="Arial" w:hAnsi="Arial"/>
          <w:sz w:val="18"/>
          <w:szCs w:val="18"/>
          <w:color w:val="auto"/>
        </w:rPr>
      </w:pPr>
    </w:p>
    <w:p>
      <w:pPr>
        <w:ind w:left="460" w:right="12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60" w:right="200" w:hanging="452"/>
        <w:spacing w:after="0" w:line="24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jc w:val="both"/>
        <w:ind w:left="900" w:right="24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900" w:right="6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900" w:right="2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900" w:right="32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460" w:right="20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ind w:left="900" w:right="200" w:hanging="446"/>
        <w:spacing w:after="0" w:line="246"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900" w:right="420" w:hanging="446"/>
        <w:spacing w:after="0" w:line="246"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8, 2018</w:t>
      </w:r>
      <w:r>
        <w:rPr>
          <w:sz w:val="20"/>
          <w:szCs w:val="20"/>
          <w:color w:val="auto"/>
        </w:rPr>
        <w:tab/>
      </w:r>
      <w:r>
        <w:rPr>
          <w:rFonts w:ascii="Arial" w:cs="Arial" w:eastAsia="Arial" w:hAnsi="Arial"/>
          <w:sz w:val="18"/>
          <w:szCs w:val="18"/>
          <w:color w:val="auto"/>
        </w:rPr>
        <w:t>/s/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-1905</wp:posOffset>
            </wp:positionV>
            <wp:extent cx="33274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Mark Dankberg</w:t>
      </w: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8"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CERTIFICATION OF CHIEF FINANCIAL OFFICER PURSUANT</w:t>
      </w:r>
    </w:p>
    <w:p>
      <w:pPr>
        <w:ind w:left="32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17"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17" w:lineRule="exact"/>
        <w:rPr>
          <w:rFonts w:ascii="Arial" w:cs="Arial" w:eastAsia="Arial" w:hAnsi="Arial"/>
          <w:sz w:val="18"/>
          <w:szCs w:val="18"/>
          <w:color w:val="auto"/>
        </w:rPr>
      </w:pPr>
    </w:p>
    <w:p>
      <w:pPr>
        <w:ind w:left="460" w:right="12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60" w:right="200" w:hanging="452"/>
        <w:spacing w:after="0" w:line="24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jc w:val="both"/>
        <w:ind w:left="900" w:right="24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900" w:right="6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900" w:right="2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900" w:right="32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460" w:right="20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ind w:left="900" w:right="200" w:hanging="446"/>
        <w:spacing w:after="0" w:line="246"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900" w:right="420" w:hanging="446"/>
        <w:spacing w:after="0" w:line="246"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8, 2018</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-1905</wp:posOffset>
            </wp:positionV>
            <wp:extent cx="33274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Shawn Duffy</w:t>
      </w: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212" w:lineRule="exact"/>
        <w:rPr>
          <w:sz w:val="20"/>
          <w:szCs w:val="20"/>
          <w:color w:val="auto"/>
        </w:rPr>
      </w:pPr>
    </w:p>
    <w:p>
      <w:pPr>
        <w:ind w:right="60" w:firstLine="464"/>
        <w:spacing w:after="0" w:line="246" w:lineRule="auto"/>
        <w:tabs>
          <w:tab w:leader="none" w:pos="7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2017 (the “Report”) fully complies with the requirements of Section 13(a) or Section 15(d), as applicable, of the Securities Exchange Act of 1934, as amended; and</w:t>
      </w:r>
    </w:p>
    <w:p>
      <w:pPr>
        <w:spacing w:after="0" w:line="196" w:lineRule="exact"/>
        <w:rPr>
          <w:rFonts w:ascii="Arial" w:cs="Arial" w:eastAsia="Arial" w:hAnsi="Arial"/>
          <w:sz w:val="18"/>
          <w:szCs w:val="18"/>
          <w:color w:val="auto"/>
        </w:rPr>
      </w:pPr>
    </w:p>
    <w:p>
      <w:pPr>
        <w:ind w:right="160" w:firstLine="464"/>
        <w:spacing w:after="0" w:line="246" w:lineRule="auto"/>
        <w:tabs>
          <w:tab w:leader="none" w:pos="7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8, 2018</w:t>
      </w:r>
      <w:r>
        <w:rPr>
          <w:sz w:val="20"/>
          <w:szCs w:val="20"/>
          <w:color w:val="auto"/>
        </w:rPr>
        <w:tab/>
      </w:r>
      <w:r>
        <w:rPr>
          <w:rFonts w:ascii="Arial" w:cs="Arial" w:eastAsia="Arial" w:hAnsi="Arial"/>
          <w:sz w:val="18"/>
          <w:szCs w:val="18"/>
          <w:color w:val="auto"/>
        </w:rPr>
        <w:t>/s/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-1905</wp:posOffset>
            </wp:positionV>
            <wp:extent cx="33274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Mark Dankberg</w:t>
      </w:r>
    </w:p>
    <w:p>
      <w:pPr>
        <w:ind w:left="61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212" w:lineRule="exact"/>
        <w:rPr>
          <w:sz w:val="20"/>
          <w:szCs w:val="20"/>
          <w:color w:val="auto"/>
        </w:rPr>
      </w:pPr>
    </w:p>
    <w:p>
      <w:pPr>
        <w:ind w:right="60" w:firstLine="464"/>
        <w:spacing w:after="0" w:line="246" w:lineRule="auto"/>
        <w:tabs>
          <w:tab w:leader="none" w:pos="7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2017 (the “Report”) fully complies with the requirements of Section 13(a) or Section 15(d), as applicable, of the Securities Exchange Act of 1934, as amended; and</w:t>
      </w:r>
    </w:p>
    <w:p>
      <w:pPr>
        <w:spacing w:after="0" w:line="196" w:lineRule="exact"/>
        <w:rPr>
          <w:rFonts w:ascii="Arial" w:cs="Arial" w:eastAsia="Arial" w:hAnsi="Arial"/>
          <w:sz w:val="18"/>
          <w:szCs w:val="18"/>
          <w:color w:val="auto"/>
        </w:rPr>
      </w:pPr>
    </w:p>
    <w:p>
      <w:pPr>
        <w:ind w:right="160" w:firstLine="464"/>
        <w:spacing w:after="0" w:line="246" w:lineRule="auto"/>
        <w:tabs>
          <w:tab w:leader="none" w:pos="7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8, 2018</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-1905</wp:posOffset>
            </wp:positionV>
            <wp:extent cx="33274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Shawn Duffy</w:t>
      </w:r>
    </w:p>
    <w:p>
      <w:pPr>
        <w:ind w:left="6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2"/>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77465F0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4">
    <w:nsid w:val="7724C67E"/>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4"/>
    </w:lvl>
  </w:abstractNum>
  <w:abstractNum w:abstractNumId="25">
    <w:nsid w:val="5C482A97"/>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26">
    <w:nsid w:val="2463B9EA"/>
    <w:multiLevelType w:val="hybridMultilevel"/>
    <w:lvl w:ilvl="0">
      <w:lvlJc w:val="left"/>
      <w:lvlText w:val="(%1)"/>
      <w:numFmt w:val="lowerLetter"/>
      <w:start w:val="3"/>
    </w:lvl>
    <w:lvl w:ilvl="1">
      <w:lvlJc w:val="left"/>
      <w:lvlText w:val="(%2)"/>
      <w:numFmt w:val="lowerLetter"/>
      <w:start w:val="9"/>
    </w:lvl>
  </w:abstractNum>
  <w:abstractNum w:abstractNumId="27">
    <w:nsid w:val="5E884A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28">
    <w:nsid w:val="51EAD36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29">
    <w:nsid w:val="2D517796"/>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2"/>
    </w:lvl>
    <w:lvl w:ilvl="3">
      <w:lvlJc w:val="left"/>
      <w:lvlText w:val="%4"/>
      <w:numFmt w:val="lowerLetter"/>
      <w:start w:val="1"/>
    </w:lvl>
  </w:abstractNum>
  <w:abstractNum w:abstractNumId="30">
    <w:nsid w:val="580BD78F"/>
    <w:multiLevelType w:val="hybridMultilevel"/>
    <w:lvl w:ilvl="0">
      <w:lvlJc w:val="left"/>
      <w:lvlText w:val="%1."/>
      <w:numFmt w:val="decimal"/>
      <w:start w:val="7"/>
    </w:lvl>
  </w:abstractNum>
  <w:abstractNum w:abstractNumId="31">
    <w:nsid w:val="153EA438"/>
    <w:multiLevelType w:val="hybridMultilevel"/>
    <w:lvl w:ilvl="0">
      <w:lvlJc w:val="left"/>
      <w:lvlText w:val="%1."/>
      <w:numFmt w:val="decimal"/>
      <w:start w:val="15"/>
    </w:lvl>
    <w:lvl w:ilvl="1">
      <w:lvlJc w:val="left"/>
      <w:lvlText w:val="(%2)"/>
      <w:numFmt w:val="lowerLetter"/>
      <w:start w:val="1"/>
    </w:lvl>
  </w:abstractNum>
  <w:abstractNum w:abstractNumId="32">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3">
    <w:nsid w:val="70A64E2A"/>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4">
    <w:nsid w:val="6A2342E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5">
    <w:nsid w:val="2A487CB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36">
    <w:nsid w:val="1D4ED43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37">
    <w:nsid w:val="725A06F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38">
    <w:nsid w:val="2CD89A32"/>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39">
    <w:nsid w:val="57E4CCA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0">
    <w:nsid w:val="7A6D8D3C"/>
    <w:multiLevelType w:val="hybridMultilevel"/>
    <w:lvl w:ilvl="0">
      <w:lvlJc w:val="left"/>
      <w:lvlText w:val="(%1)"/>
      <w:numFmt w:val="lowerRoman"/>
      <w:start w:val="2"/>
    </w:lvl>
    <w:lvl w:ilvl="1">
      <w:lvlJc w:val="left"/>
      <w:lvlText w:val="(%2)"/>
      <w:numFmt w:val="upperLetter"/>
      <w:start w:val="1"/>
    </w:lvl>
  </w:abstractNum>
  <w:abstractNum w:abstractNumId="41">
    <w:nsid w:val="4B588F54"/>
    <w:multiLevelType w:val="hybridMultilevel"/>
    <w:lvl w:ilvl="0">
      <w:lvlJc w:val="left"/>
      <w:lvlText w:val="%1"/>
      <w:numFmt w:val="decimal"/>
      <w:start w:val="1"/>
    </w:lvl>
    <w:lvl w:ilvl="1">
      <w:lvlJc w:val="left"/>
      <w:lvlText w:val="(%2)"/>
      <w:numFmt w:val="lowerLetter"/>
      <w:start w:val="4"/>
    </w:lvl>
  </w:abstractNum>
  <w:abstractNum w:abstractNumId="42">
    <w:nsid w:val="542289EC"/>
    <w:multiLevelType w:val="hybridMultilevel"/>
    <w:lvl w:ilvl="0">
      <w:lvlJc w:val="left"/>
      <w:lvlText w:val="(%1)"/>
      <w:numFmt w:val="decimal"/>
      <w:start w:val="20"/>
    </w:lvl>
    <w:lvl w:ilvl="1">
      <w:lvlJc w:val="left"/>
      <w:lvlText w:val="(%2)"/>
      <w:numFmt w:val="lowerLetter"/>
      <w:start w:val="5"/>
    </w:lvl>
  </w:abstractNum>
  <w:abstractNum w:abstractNumId="43">
    <w:nsid w:val="6DE91B18"/>
    <w:multiLevelType w:val="hybridMultilevel"/>
    <w:lvl w:ilvl="0">
      <w:lvlJc w:val="left"/>
      <w:lvlText w:val="%1"/>
      <w:numFmt w:val="lowerLetter"/>
      <w:start w:val="1"/>
    </w:lvl>
    <w:lvl w:ilvl="1">
      <w:lvlJc w:val="left"/>
      <w:lvlText w:val="(%2)"/>
      <w:numFmt w:val="lowerLetter"/>
      <w:start w:val="7"/>
    </w:lvl>
  </w:abstractNum>
  <w:abstractNum w:abstractNumId="44">
    <w:nsid w:val="38437FDB"/>
    <w:multiLevelType w:val="hybridMultilevel"/>
    <w:lvl w:ilvl="0">
      <w:lvlJc w:val="left"/>
      <w:lvlText w:val="(%1)"/>
      <w:numFmt w:val="lowerLetter"/>
      <w:start w:val="9"/>
    </w:lvl>
    <w:lvl w:ilvl="1">
      <w:lvlJc w:val="left"/>
      <w:lvlText w:val="(%2)"/>
      <w:numFmt w:val="lowerLetter"/>
      <w:start w:val="8"/>
    </w:lvl>
  </w:abstractNum>
  <w:abstractNum w:abstractNumId="45">
    <w:nsid w:val="7644A45C"/>
    <w:multiLevelType w:val="hybridMultilevel"/>
    <w:lvl w:ilvl="0">
      <w:lvlJc w:val="left"/>
      <w:lvlText w:val="(%1)"/>
      <w:numFmt w:val="lowerLetter"/>
      <w:start w:val="9"/>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lowerLetter"/>
      <w:start w:val="1"/>
    </w:lvl>
  </w:abstractNum>
  <w:abstractNum w:abstractNumId="49">
    <w:nsid w:val="749ABB4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2019-12-29T01:21:28Z</dcterms:created>
  <dcterms:modified xsi:type="dcterms:W3CDTF">2019-12-29T01:21:28Z</dcterms:modified>
</cp:coreProperties>
</file>