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5"/>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0"/>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5290185</wp:posOffset>
            </wp:positionH>
            <wp:positionV relativeFrom="paragraph">
              <wp:posOffset>-633095</wp:posOffset>
            </wp:positionV>
            <wp:extent cx="58420" cy="646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643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-633095</wp:posOffset>
            </wp:positionV>
            <wp:extent cx="58420" cy="646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64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22225</wp:posOffset>
            </wp:positionV>
            <wp:extent cx="6991985" cy="5534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1985" cy="553402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80" w:space="240"/>
            <w:col w:w="8560"/>
          </w:cols>
          <w:pgMar w:left="460" w:top="223"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NATHAN KRISHNA</w:t>
        </w:r>
      </w:hyperlink>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160"/>
              <w:spacing w:after="0"/>
              <w:rPr>
                <w:sz w:val="20"/>
                <w:szCs w:val="20"/>
                <w:color w:val="auto"/>
              </w:rPr>
            </w:pPr>
            <w:r>
              <w:rPr>
                <w:rFonts w:ascii="Arial" w:cs="Arial" w:eastAsia="Arial" w:hAnsi="Arial"/>
                <w:sz w:val="13"/>
                <w:szCs w:val="13"/>
                <w:color w:val="auto"/>
              </w:rPr>
              <w:t>(First)</w:t>
            </w:r>
          </w:p>
        </w:tc>
        <w:tc>
          <w:tcPr>
            <w:tcW w:w="150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3"/>
        </w:trPr>
        <w:tc>
          <w:tcPr>
            <w:tcW w:w="20" w:type="dxa"/>
            <w:vAlign w:val="bottom"/>
          </w:tcPr>
          <w:p>
            <w:pPr>
              <w:spacing w:after="0"/>
              <w:rPr>
                <w:sz w:val="23"/>
                <w:szCs w:val="23"/>
                <w:color w:val="auto"/>
              </w:rPr>
            </w:pPr>
          </w:p>
        </w:tc>
        <w:tc>
          <w:tcPr>
            <w:tcW w:w="2140" w:type="dxa"/>
            <w:vAlign w:val="bottom"/>
            <w:gridSpan w:val="2"/>
          </w:tcPr>
          <w:p>
            <w:pPr>
              <w:ind w:left="20"/>
              <w:spacing w:after="0"/>
              <w:rPr>
                <w:sz w:val="20"/>
                <w:szCs w:val="20"/>
                <w:color w:val="auto"/>
              </w:rPr>
            </w:pPr>
            <w:r>
              <w:rPr>
                <w:rFonts w:ascii="Arial" w:cs="Arial" w:eastAsia="Arial" w:hAnsi="Arial"/>
                <w:sz w:val="17"/>
                <w:szCs w:val="17"/>
                <w:color w:val="0000FF"/>
              </w:rPr>
              <w:t>6155 EL CAMINO REAL</w:t>
            </w:r>
          </w:p>
        </w:tc>
        <w:tc>
          <w:tcPr>
            <w:tcW w:w="1500" w:type="dxa"/>
            <w:vAlign w:val="bottom"/>
          </w:tcPr>
          <w:p>
            <w:pPr>
              <w:spacing w:after="0"/>
              <w:rPr>
                <w:sz w:val="23"/>
                <w:szCs w:val="23"/>
                <w:color w:val="auto"/>
              </w:rPr>
            </w:pPr>
          </w:p>
        </w:tc>
      </w:tr>
      <w:tr>
        <w:trPr>
          <w:trHeight w:val="204"/>
        </w:trPr>
        <w:tc>
          <w:tcPr>
            <w:tcW w:w="20" w:type="dxa"/>
            <w:vAlign w:val="bottom"/>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r>
      <w:tr>
        <w:trPr>
          <w:trHeight w:val="2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34"/>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CARLSBAD</w:t>
            </w:r>
          </w:p>
        </w:tc>
        <w:tc>
          <w:tcPr>
            <w:tcW w:w="1060" w:type="dxa"/>
            <w:vAlign w:val="bottom"/>
          </w:tcPr>
          <w:p>
            <w:pPr>
              <w:ind w:left="160"/>
              <w:spacing w:after="0"/>
              <w:rPr>
                <w:sz w:val="20"/>
                <w:szCs w:val="20"/>
                <w:color w:val="auto"/>
              </w:rPr>
            </w:pPr>
            <w:r>
              <w:rPr>
                <w:rFonts w:ascii="Arial" w:cs="Arial" w:eastAsia="Arial" w:hAnsi="Arial"/>
                <w:sz w:val="17"/>
                <w:szCs w:val="17"/>
                <w:color w:val="0000FF"/>
              </w:rPr>
              <w:t>CA</w:t>
            </w:r>
          </w:p>
        </w:tc>
        <w:tc>
          <w:tcPr>
            <w:tcW w:w="1500" w:type="dxa"/>
            <w:vAlign w:val="bottom"/>
          </w:tcPr>
          <w:p>
            <w:pPr>
              <w:ind w:left="320"/>
              <w:spacing w:after="0"/>
              <w:rPr>
                <w:sz w:val="20"/>
                <w:szCs w:val="20"/>
                <w:color w:val="auto"/>
              </w:rPr>
            </w:pPr>
            <w:r>
              <w:rPr>
                <w:rFonts w:ascii="Arial" w:cs="Arial" w:eastAsia="Arial" w:hAnsi="Arial"/>
                <w:sz w:val="17"/>
                <w:szCs w:val="17"/>
                <w:color w:val="0000FF"/>
              </w:rPr>
              <w:t>92009</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160"/>
              <w:spacing w:after="0"/>
              <w:rPr>
                <w:sz w:val="20"/>
                <w:szCs w:val="20"/>
                <w:color w:val="auto"/>
              </w:rPr>
            </w:pPr>
            <w:r>
              <w:rPr>
                <w:rFonts w:ascii="Arial" w:cs="Arial" w:eastAsia="Arial" w:hAnsi="Arial"/>
                <w:sz w:val="13"/>
                <w:szCs w:val="13"/>
                <w:color w:val="auto"/>
              </w:rPr>
              <w:t>(State)</w:t>
            </w:r>
          </w:p>
        </w:tc>
        <w:tc>
          <w:tcPr>
            <w:tcW w:w="150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VIASAT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VSAT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00"/>
              <w:spacing w:after="0" w:line="11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220" w:type="dxa"/>
            <w:vAlign w:val="bottom"/>
            <w:gridSpan w:val="3"/>
          </w:tcPr>
          <w:p>
            <w:pPr>
              <w:ind w:left="60"/>
              <w:spacing w:after="0"/>
              <w:rPr>
                <w:sz w:val="20"/>
                <w:szCs w:val="20"/>
                <w:color w:val="auto"/>
              </w:rPr>
            </w:pPr>
            <w:r>
              <w:rPr>
                <w:rFonts w:ascii="Arial" w:cs="Arial" w:eastAsia="Arial" w:hAnsi="Arial"/>
                <w:sz w:val="17"/>
                <w:szCs w:val="17"/>
                <w:color w:val="0000FF"/>
              </w:rPr>
              <w:t>08/17/2023</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300"/>
              <w:spacing w:after="0"/>
              <w:rPr>
                <w:sz w:val="20"/>
                <w:szCs w:val="20"/>
                <w:color w:val="auto"/>
              </w:rPr>
            </w:pPr>
            <w:r>
              <w:rPr>
                <w:rFonts w:ascii="Arial" w:cs="Arial" w:eastAsia="Arial" w:hAnsi="Arial"/>
                <w:sz w:val="17"/>
                <w:szCs w:val="17"/>
                <w:color w:val="0000FF"/>
              </w:rPr>
              <w:t>Chief Information Officer</w:t>
            </w: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2"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4"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580"/>
        <w:spacing w:after="0" w:line="24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3"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vMerge w:val="restart"/>
          </w:tcPr>
          <w:p>
            <w:pPr>
              <w:ind w:left="260"/>
              <w:spacing w:after="0"/>
              <w:rPr>
                <w:sz w:val="20"/>
                <w:szCs w:val="20"/>
                <w:color w:val="auto"/>
              </w:rPr>
            </w:pPr>
            <w:r>
              <w:rPr>
                <w:rFonts w:ascii="Arial" w:cs="Arial" w:eastAsia="Arial" w:hAnsi="Arial"/>
                <w:sz w:val="12"/>
                <w:szCs w:val="12"/>
                <w:b w:val="1"/>
                <w:bCs w:val="1"/>
                <w:color w:val="auto"/>
                <w:w w:val="99"/>
              </w:rPr>
              <w:t>(A) or</w:t>
            </w: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$.0001 par value common stock</w:t>
            </w:r>
          </w:p>
        </w:tc>
        <w:tc>
          <w:tcPr>
            <w:tcW w:w="1720" w:type="dxa"/>
            <w:vAlign w:val="bottom"/>
            <w:gridSpan w:val="2"/>
          </w:tcPr>
          <w:p>
            <w:pPr>
              <w:ind w:left="780"/>
              <w:spacing w:after="0"/>
              <w:rPr>
                <w:sz w:val="20"/>
                <w:szCs w:val="20"/>
                <w:color w:val="auto"/>
              </w:rPr>
            </w:pPr>
            <w:r>
              <w:rPr>
                <w:rFonts w:ascii="Arial" w:cs="Arial" w:eastAsia="Arial" w:hAnsi="Arial"/>
                <w:sz w:val="17"/>
                <w:szCs w:val="17"/>
                <w:color w:val="0000FF"/>
              </w:rPr>
              <w:t>08/17/2023</w:t>
            </w: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2"/>
                <w:szCs w:val="22"/>
                <w:color w:val="auto"/>
              </w:rPr>
            </w:pPr>
          </w:p>
        </w:tc>
        <w:tc>
          <w:tcPr>
            <w:tcW w:w="600" w:type="dxa"/>
            <w:vAlign w:val="bottom"/>
          </w:tcPr>
          <w:p>
            <w:pPr>
              <w:ind w:left="200"/>
              <w:spacing w:after="0"/>
              <w:rPr>
                <w:sz w:val="20"/>
                <w:szCs w:val="20"/>
                <w:color w:val="auto"/>
              </w:rPr>
            </w:pPr>
            <w:r>
              <w:rPr>
                <w:rFonts w:ascii="Arial" w:cs="Arial" w:eastAsia="Arial" w:hAnsi="Arial"/>
                <w:sz w:val="17"/>
                <w:szCs w:val="17"/>
                <w:color w:val="0000FF"/>
                <w:w w:val="89"/>
              </w:rPr>
              <w:t>7,500</w:t>
            </w:r>
          </w:p>
        </w:tc>
        <w:tc>
          <w:tcPr>
            <w:tcW w:w="600" w:type="dxa"/>
            <w:vAlign w:val="bottom"/>
          </w:tcPr>
          <w:p>
            <w:pPr>
              <w:ind w:left="38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ind w:left="20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0.00</w:t>
            </w:r>
          </w:p>
        </w:tc>
        <w:tc>
          <w:tcPr>
            <w:tcW w:w="1300" w:type="dxa"/>
            <w:vAlign w:val="bottom"/>
            <w:gridSpan w:val="3"/>
          </w:tcPr>
          <w:p>
            <w:pPr>
              <w:jc w:val="right"/>
              <w:ind w:right="361"/>
              <w:spacing w:after="0"/>
              <w:rPr>
                <w:sz w:val="20"/>
                <w:szCs w:val="20"/>
                <w:color w:val="auto"/>
              </w:rPr>
            </w:pPr>
            <w:r>
              <w:rPr>
                <w:rFonts w:ascii="Arial" w:cs="Arial" w:eastAsia="Arial" w:hAnsi="Arial"/>
                <w:sz w:val="17"/>
                <w:szCs w:val="17"/>
                <w:color w:val="0000FF"/>
              </w:rPr>
              <w:t>7,500</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$.0001 par value common stock</w:t>
            </w: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gridSpan w:val="3"/>
            <w:vMerge w:val="restart"/>
          </w:tcPr>
          <w:p>
            <w:pPr>
              <w:jc w:val="right"/>
              <w:ind w:right="321"/>
              <w:spacing w:after="0"/>
              <w:rPr>
                <w:sz w:val="20"/>
                <w:szCs w:val="20"/>
                <w:color w:val="auto"/>
              </w:rPr>
            </w:pPr>
            <w:r>
              <w:rPr>
                <w:rFonts w:ascii="Arial" w:cs="Arial" w:eastAsia="Arial" w:hAnsi="Arial"/>
                <w:sz w:val="17"/>
                <w:szCs w:val="17"/>
                <w:color w:val="0000FF"/>
              </w:rPr>
              <w:t>35,497</w:t>
            </w:r>
          </w:p>
        </w:tc>
        <w:tc>
          <w:tcPr>
            <w:tcW w:w="28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8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1100" w:type="dxa"/>
            <w:vAlign w:val="bottom"/>
          </w:tcPr>
          <w:p>
            <w:pPr>
              <w:ind w:left="260"/>
              <w:spacing w:after="0"/>
              <w:rPr>
                <w:sz w:val="20"/>
                <w:szCs w:val="20"/>
                <w:color w:val="auto"/>
              </w:rPr>
            </w:pPr>
            <w:r>
              <w:rPr>
                <w:rFonts w:ascii="Arial" w:cs="Arial" w:eastAsia="Arial" w:hAnsi="Arial"/>
                <w:sz w:val="13"/>
                <w:szCs w:val="13"/>
                <w:color w:val="0000FF"/>
              </w:rPr>
              <w:t>08/17/2023</w:t>
            </w:r>
          </w:p>
        </w:tc>
        <w:tc>
          <w:tcPr>
            <w:tcW w:w="1100" w:type="dxa"/>
            <w:vAlign w:val="bottom"/>
          </w:tcPr>
          <w:p>
            <w:pPr>
              <w:spacing w:after="0"/>
              <w:rPr>
                <w:sz w:val="21"/>
                <w:szCs w:val="21"/>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21"/>
                <w:szCs w:val="21"/>
                <w:color w:val="auto"/>
              </w:rPr>
            </w:pPr>
          </w:p>
        </w:tc>
        <w:tc>
          <w:tcPr>
            <w:tcW w:w="800" w:type="dxa"/>
            <w:vAlign w:val="bottom"/>
          </w:tcPr>
          <w:p>
            <w:pPr>
              <w:ind w:left="380"/>
              <w:spacing w:after="0"/>
              <w:rPr>
                <w:sz w:val="20"/>
                <w:szCs w:val="20"/>
                <w:color w:val="auto"/>
              </w:rPr>
            </w:pPr>
            <w:r>
              <w:rPr>
                <w:rFonts w:ascii="Arial" w:cs="Arial" w:eastAsia="Arial" w:hAnsi="Arial"/>
                <w:sz w:val="13"/>
                <w:szCs w:val="13"/>
                <w:color w:val="0000FF"/>
              </w:rPr>
              <w:t>7,500</w:t>
            </w: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21"/>
                <w:szCs w:val="21"/>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20"/>
                <w:szCs w:val="20"/>
                <w:color w:val="auto"/>
              </w:rPr>
            </w:pPr>
            <w:r>
              <w:rPr>
                <w:rFonts w:ascii="Arial" w:cs="Arial" w:eastAsia="Arial" w:hAnsi="Arial"/>
                <w:sz w:val="13"/>
                <w:szCs w:val="13"/>
                <w:color w:val="0000FF"/>
              </w:rPr>
              <w:t>common</w:t>
            </w:r>
          </w:p>
        </w:tc>
        <w:tc>
          <w:tcPr>
            <w:tcW w:w="520" w:type="dxa"/>
            <w:vAlign w:val="bottom"/>
          </w:tcPr>
          <w:p>
            <w:pPr>
              <w:ind w:left="40"/>
              <w:spacing w:after="0"/>
              <w:rPr>
                <w:sz w:val="20"/>
                <w:szCs w:val="20"/>
                <w:color w:val="auto"/>
              </w:rPr>
            </w:pPr>
            <w:r>
              <w:rPr>
                <w:rFonts w:ascii="Arial" w:cs="Arial" w:eastAsia="Arial" w:hAnsi="Arial"/>
                <w:sz w:val="17"/>
                <w:szCs w:val="17"/>
                <w:color w:val="0000FF"/>
              </w:rPr>
              <w:t>7,500</w:t>
            </w:r>
          </w:p>
        </w:tc>
        <w:tc>
          <w:tcPr>
            <w:tcW w:w="60" w:type="dxa"/>
            <w:vAlign w:val="bottom"/>
          </w:tcPr>
          <w:p>
            <w:pPr>
              <w:spacing w:after="0"/>
              <w:rPr>
                <w:sz w:val="21"/>
                <w:szCs w:val="21"/>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21"/>
                <w:szCs w:val="21"/>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50"/>
        </w:trPr>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ind w:left="60"/>
              <w:spacing w:after="0" w:line="144" w:lineRule="exact"/>
              <w:rPr>
                <w:sz w:val="20"/>
                <w:szCs w:val="20"/>
                <w:color w:val="auto"/>
              </w:rPr>
            </w:pPr>
            <w:r>
              <w:rPr>
                <w:rFonts w:ascii="Arial" w:cs="Arial" w:eastAsia="Arial" w:hAnsi="Arial"/>
                <w:sz w:val="13"/>
                <w:szCs w:val="13"/>
                <w:color w:val="0000FF"/>
              </w:rPr>
              <w:t>stock unit</w:t>
            </w:r>
          </w:p>
        </w:tc>
        <w:tc>
          <w:tcPr>
            <w:tcW w:w="7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ind w:left="100"/>
              <w:spacing w:after="0" w:line="144" w:lineRule="exact"/>
              <w:rPr>
                <w:sz w:val="20"/>
                <w:szCs w:val="20"/>
                <w:color w:val="auto"/>
              </w:rPr>
            </w:pPr>
            <w:r>
              <w:rPr>
                <w:rFonts w:ascii="Arial" w:cs="Arial" w:eastAsia="Arial" w:hAnsi="Arial"/>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-2025015</wp:posOffset>
            </wp:positionV>
            <wp:extent cx="29210" cy="20300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300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140" w:firstLine="4"/>
        <w:spacing w:after="0" w:line="254"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original restricted stock unit grant was for 30,000 restricted stock units on August 17, 2019. Subject to the reporting person's continued employment with the Issuer, the units vest and convert into shares of common stock (on a 1-for-1 basis) in four (4) equal annual installments beginning on August 17, 2020.</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Until vested, the restricted stock unit shall be subject to forfeiture in the event of termination of employment or service with the Issuer.</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Kathleen K. Hollenbeck,</w:t>
            </w:r>
          </w:p>
        </w:tc>
        <w:tc>
          <w:tcPr>
            <w:tcW w:w="36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08/21/2023</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9"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72387" TargetMode="External"/><Relationship Id="rId13" Type="http://schemas.openxmlformats.org/officeDocument/2006/relationships/hyperlink" Target="http://www.sec.gov/cgi-bin/browse-edgar?action=getcompany&amp;CIK=00007977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2023-08-21T17:47:55Z</dcterms:created>
  <dcterms:modified xsi:type="dcterms:W3CDTF">2023-08-21T17:47:55Z</dcterms:modified>
</cp:coreProperties>
</file>