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0" w:lineRule="exact"/>
        <w:rPr>
          <w:sz w:val="24"/>
          <w:szCs w:val="24"/>
          <w:color w:val="auto"/>
        </w:rPr>
      </w:pPr>
    </w:p>
    <w:p>
      <w:pPr>
        <w:ind w:left="460" w:right="40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0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26" w:right="299" w:bottom="1440" w:gutter="0" w:footer="0" w:header="0"/>
        </w:sectPr>
      </w:pPr>
    </w:p>
    <w:p>
      <w:pPr>
        <w:spacing w:after="0" w:line="11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94" w:lineRule="exact"/>
        <w:rPr>
          <w:sz w:val="24"/>
          <w:szCs w:val="24"/>
          <w:color w:val="auto"/>
        </w:rPr>
      </w:pPr>
    </w:p>
    <w:p>
      <w:pPr>
        <w:sectPr>
          <w:pgSz w:w="11900" w:h="16838" w:orient="portrait"/>
          <w:cols w:equalWidth="0" w:num="3">
            <w:col w:w="6160" w:space="620"/>
            <w:col w:w="140" w:space="580"/>
            <w:col w:w="3860"/>
          </w:cols>
          <w:pgMar w:left="240" w:top="226" w:right="2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133985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p>
      <w:pPr>
        <w:spacing w:after="0" w:line="254" w:lineRule="exact"/>
        <w:rPr>
          <w:sz w:val="24"/>
          <w:szCs w:val="24"/>
          <w:color w:val="auto"/>
        </w:rPr>
      </w:pPr>
    </w:p>
    <w:tbl>
      <w:tblPr>
        <w:tblLayout w:type="fixed"/>
        <w:tblInd w:w="2020" w:type="dxa"/>
        <w:tblCellMar>
          <w:top w:w="0" w:type="dxa"/>
          <w:left w:w="0" w:type="dxa"/>
          <w:bottom w:w="0" w:type="dxa"/>
          <w:right w:w="0" w:type="dxa"/>
        </w:tblCellMar>
      </w:tblPr>
      <w:tr>
        <w:trPr>
          <w:trHeight w:val="535"/>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192"/>
              <w:spacing w:after="0"/>
              <w:rPr>
                <w:sz w:val="20"/>
                <w:szCs w:val="20"/>
                <w:color w:val="auto"/>
              </w:rPr>
            </w:pPr>
            <w:r>
              <w:rPr>
                <w:rFonts w:ascii="Times New Roman" w:cs="Times New Roman" w:eastAsia="Times New Roman" w:hAnsi="Times New Roman"/>
                <w:sz w:val="43"/>
                <w:szCs w:val="43"/>
                <w:b w:val="1"/>
                <w:bCs w:val="1"/>
                <w:color w:val="auto"/>
                <w:w w:val="99"/>
              </w:rPr>
              <w:t>ViaSat, Inc.</w:t>
            </w:r>
          </w:p>
        </w:tc>
      </w:tr>
      <w:tr>
        <w:trPr>
          <w:trHeight w:val="230"/>
        </w:trPr>
        <w:tc>
          <w:tcPr>
            <w:tcW w:w="1760" w:type="dxa"/>
            <w:vAlign w:val="bottom"/>
          </w:tcPr>
          <w:p>
            <w:pPr>
              <w:spacing w:after="0"/>
              <w:rPr>
                <w:sz w:val="20"/>
                <w:szCs w:val="20"/>
                <w:color w:val="auto"/>
              </w:rPr>
            </w:pPr>
          </w:p>
        </w:tc>
        <w:tc>
          <w:tcPr>
            <w:tcW w:w="5400" w:type="dxa"/>
            <w:vAlign w:val="bottom"/>
            <w:gridSpan w:val="3"/>
          </w:tcPr>
          <w:p>
            <w:pPr>
              <w:jc w:val="center"/>
              <w:ind w:right="1452"/>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r>
      <w:tr>
        <w:trPr>
          <w:trHeight w:val="301"/>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400" w:type="dxa"/>
            <w:vAlign w:val="bottom"/>
            <w:gridSpan w:val="3"/>
          </w:tcPr>
          <w:p>
            <w:pPr>
              <w:jc w:val="center"/>
              <w:ind w:left="4257"/>
              <w:spacing w:after="0"/>
              <w:rPr>
                <w:sz w:val="20"/>
                <w:szCs w:val="20"/>
                <w:color w:val="auto"/>
              </w:rPr>
            </w:pPr>
            <w:r>
              <w:rPr>
                <w:rFonts w:ascii="Times New Roman" w:cs="Times New Roman" w:eastAsia="Times New Roman" w:hAnsi="Times New Roman"/>
                <w:sz w:val="18"/>
                <w:szCs w:val="18"/>
                <w:b w:val="1"/>
                <w:bCs w:val="1"/>
                <w:color w:val="auto"/>
                <w:w w:val="98"/>
              </w:rPr>
              <w:t>33-0174996</w:t>
            </w:r>
          </w:p>
        </w:tc>
      </w:tr>
      <w:tr>
        <w:trPr>
          <w:trHeight w:val="149"/>
        </w:trPr>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jc w:val="center"/>
              <w:ind w:left="11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jc w:val="center"/>
              <w:ind w:left="115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62"/>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212"/>
              <w:spacing w:after="0"/>
              <w:rPr>
                <w:sz w:val="20"/>
                <w:szCs w:val="20"/>
                <w:color w:val="auto"/>
              </w:rPr>
            </w:pPr>
            <w:r>
              <w:rPr>
                <w:rFonts w:ascii="Times New Roman" w:cs="Times New Roman" w:eastAsia="Times New Roman" w:hAnsi="Times New Roman"/>
                <w:sz w:val="18"/>
                <w:szCs w:val="18"/>
                <w:b w:val="1"/>
                <w:bCs w:val="1"/>
                <w:color w:val="auto"/>
                <w:w w:val="97"/>
              </w:rPr>
              <w:t>6155 El Camino Real</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gridSpan w:val="2"/>
          </w:tcPr>
          <w:p>
            <w:pPr>
              <w:jc w:val="center"/>
              <w:ind w:right="2192"/>
              <w:spacing w:after="0"/>
              <w:rPr>
                <w:sz w:val="20"/>
                <w:szCs w:val="20"/>
                <w:color w:val="auto"/>
              </w:rPr>
            </w:pPr>
            <w:r>
              <w:rPr>
                <w:rFonts w:ascii="Times New Roman" w:cs="Times New Roman" w:eastAsia="Times New Roman" w:hAnsi="Times New Roman"/>
                <w:sz w:val="18"/>
                <w:szCs w:val="18"/>
                <w:b w:val="1"/>
                <w:bCs w:val="1"/>
                <w:color w:val="auto"/>
                <w:w w:val="97"/>
              </w:rPr>
              <w:t>Carlsbad, California 92009</w:t>
            </w:r>
          </w:p>
        </w:tc>
      </w:tr>
      <w:tr>
        <w:trPr>
          <w:trHeight w:val="216"/>
        </w:trPr>
        <w:tc>
          <w:tcPr>
            <w:tcW w:w="1760" w:type="dxa"/>
            <w:vAlign w:val="bottom"/>
          </w:tcPr>
          <w:p>
            <w:pPr>
              <w:spacing w:after="0"/>
              <w:rPr>
                <w:sz w:val="18"/>
                <w:szCs w:val="18"/>
                <w:color w:val="auto"/>
              </w:rPr>
            </w:pPr>
          </w:p>
        </w:tc>
        <w:tc>
          <w:tcPr>
            <w:tcW w:w="3120" w:type="dxa"/>
            <w:vAlign w:val="bottom"/>
            <w:gridSpan w:val="2"/>
          </w:tcPr>
          <w:p>
            <w:pPr>
              <w:jc w:val="center"/>
              <w:ind w:left="657"/>
              <w:spacing w:after="0"/>
              <w:rPr>
                <w:sz w:val="20"/>
                <w:szCs w:val="20"/>
                <w:color w:val="auto"/>
              </w:rPr>
            </w:pPr>
            <w:r>
              <w:rPr>
                <w:rFonts w:ascii="Times New Roman" w:cs="Times New Roman" w:eastAsia="Times New Roman" w:hAnsi="Times New Roman"/>
                <w:sz w:val="18"/>
                <w:szCs w:val="18"/>
                <w:b w:val="1"/>
                <w:bCs w:val="1"/>
                <w:color w:val="auto"/>
                <w:w w:val="97"/>
              </w:rPr>
              <w:t>(760) 476-2200</w:t>
            </w:r>
          </w:p>
        </w:tc>
        <w:tc>
          <w:tcPr>
            <w:tcW w:w="2280" w:type="dxa"/>
            <w:vAlign w:val="bottom"/>
          </w:tcPr>
          <w:p>
            <w:pPr>
              <w:spacing w:after="0"/>
              <w:rPr>
                <w:sz w:val="18"/>
                <w:szCs w:val="18"/>
                <w:color w:val="auto"/>
              </w:rPr>
            </w:pPr>
          </w:p>
        </w:tc>
      </w:tr>
      <w:tr>
        <w:trPr>
          <w:trHeight w:val="178"/>
        </w:trPr>
        <w:tc>
          <w:tcPr>
            <w:tcW w:w="1760" w:type="dxa"/>
            <w:vAlign w:val="bottom"/>
          </w:tcPr>
          <w:p>
            <w:pPr>
              <w:spacing w:after="0"/>
              <w:rPr>
                <w:sz w:val="15"/>
                <w:szCs w:val="15"/>
                <w:color w:val="auto"/>
              </w:rPr>
            </w:pPr>
          </w:p>
        </w:tc>
        <w:tc>
          <w:tcPr>
            <w:tcW w:w="5400" w:type="dxa"/>
            <w:vAlign w:val="bottom"/>
            <w:gridSpan w:val="3"/>
          </w:tcPr>
          <w:p>
            <w:pPr>
              <w:jc w:val="center"/>
              <w:ind w:right="145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 and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0" w:lineRule="exact"/>
        <w:rPr>
          <w:sz w:val="24"/>
          <w:szCs w:val="24"/>
          <w:color w:val="auto"/>
        </w:rPr>
      </w:pPr>
    </w:p>
    <w:p>
      <w:pPr>
        <w:ind w:right="22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3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0" w:lineRule="exact"/>
        <w:rPr>
          <w:sz w:val="24"/>
          <w:szCs w:val="24"/>
          <w:color w:val="auto"/>
        </w:rPr>
      </w:pPr>
    </w:p>
    <w:p>
      <w:pPr>
        <w:ind w:right="100" w:firstLine="456"/>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4" w:lineRule="exact"/>
        <w:rPr>
          <w:sz w:val="24"/>
          <w:szCs w:val="24"/>
          <w:color w:val="auto"/>
        </w:rPr>
      </w:pPr>
    </w:p>
    <w:p>
      <w:pPr>
        <w:ind w:left="460" w:right="1620"/>
        <w:spacing w:after="0" w:line="31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$0.0001 par value, as of July 28, 2017 was 58,011,709.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0" w:type="dxa"/>
            <w:vAlign w:val="bottom"/>
            <w:gridSpan w:val="10"/>
            <w:vMerge w:val="restart"/>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PART I. FINANCIAL INFORMATION</w:t>
              </w:r>
            </w:hyperlink>
          </w:p>
        </w:tc>
        <w:tc>
          <w:tcPr>
            <w:tcW w:w="808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8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7"/>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Operations and Comprehensive Income (Loss)</w:t>
              </w:r>
            </w:hyperlink>
          </w:p>
        </w:tc>
        <w:tc>
          <w:tcPr>
            <w:tcW w:w="45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70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Notes to the Condensed Consolidated Financial Statements</w:t>
              </w:r>
            </w:hyperlink>
          </w:p>
        </w:tc>
        <w:tc>
          <w:tcPr>
            <w:tcW w:w="64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Item 3.</w:t>
              </w:r>
            </w:hyperlink>
          </w:p>
        </w:tc>
        <w:tc>
          <w:tcPr>
            <w:tcW w:w="6320" w:type="dxa"/>
            <w:vAlign w:val="bottom"/>
            <w:tcBorders>
              <w:top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Quantitative and Qualitative Disclosures About Market Risk</w:t>
              </w:r>
            </w:hyperlink>
          </w:p>
        </w:tc>
        <w:tc>
          <w:tcPr>
            <w:tcW w:w="4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Item 1A. Risk Factors</w:t>
              </w:r>
            </w:hyperlink>
          </w:p>
        </w:tc>
        <w:tc>
          <w:tcPr>
            <w:tcW w:w="95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6.</w:t>
              </w:r>
            </w:hyperlink>
          </w:p>
        </w:tc>
        <w:tc>
          <w:tcPr>
            <w:tcW w:w="62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Exhibits</w:t>
              </w:r>
            </w:hyperlink>
          </w:p>
        </w:tc>
        <w:tc>
          <w:tcPr>
            <w:tcW w:w="99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Signatures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June 30, 2017</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160,556</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66,194</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619,746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614,856</w:t>
            </w: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Satellites, net</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1,134,138</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1,108,270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559,386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605,528</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3,078,714</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84,014</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307,545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325,517</w:t>
            </w: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575,385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575,380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109,890</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1,248,278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1,216,722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ViaSat, Inc. stockholders’ equity</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Paid-in capital</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1,479,768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346,443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ViaSat, Inc. stockholders’ equity</w:t>
            </w:r>
          </w:p>
        </w:tc>
        <w:tc>
          <w:tcPr>
            <w:tcW w:w="1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1,827,330</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equity</w:t>
            </w:r>
          </w:p>
        </w:tc>
        <w:tc>
          <w:tcPr>
            <w:tcW w:w="1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1,830,436</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9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3,078,714</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2017</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4"/>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 revenues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166,118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Service revenues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213,926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202,454</w:t>
            </w:r>
          </w:p>
        </w:tc>
        <w:tc>
          <w:tcPr>
            <w:tcW w:w="0" w:type="dxa"/>
            <w:vAlign w:val="bottom"/>
          </w:tcPr>
          <w:p>
            <w:pPr>
              <w:spacing w:after="0"/>
              <w:rPr>
                <w:sz w:val="1"/>
                <w:szCs w:val="1"/>
                <w:color w:val="auto"/>
              </w:rPr>
            </w:pPr>
          </w:p>
        </w:tc>
      </w:tr>
      <w:tr>
        <w:trPr>
          <w:trHeight w:val="222"/>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380,044</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product revenues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122,645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137,851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89,173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45,065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(17,950)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losses of unconsolidated affiliate, net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 net of tax</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attributable to ViaSat, Inc.</w:t>
            </w:r>
          </w:p>
        </w:tc>
        <w:tc>
          <w:tcPr>
            <w:tcW w:w="1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income per share attributable to ViaSat, Inc. common stockholders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 attributable to ViaSat, Inc. common stockholders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basic net (loss) income per share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57,842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diluted net (loss) income per share</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57,842</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50,170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gain (loss) on hedging, net of tax</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(loss) income attributable to the noncontrolling interests, net of tax</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ViaSat, Inc.</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3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June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left="433"/>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(9,246)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income to net cash provided by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(9,377)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Equity in losses of unconsolidated affiliate,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cash resulting from changes in operating assets and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(8,203)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153,654</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property, equipment and satellites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9"/>
              </w:rPr>
              <w:t>(109,820)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(120,577)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(18,253)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(128,073)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(142,084)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revolving credit facility borrowings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Ex-Im credit facility borrowings, net of discount</w:t>
            </w: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 under equity plans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common stock in treasury (immediately retired) related to tax withholdings for stock-based compensation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 of common stock in satisfaction of certain accrued employee compensation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not paid for</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Exposure fees on Ex-Im credit facility expected to be financed through Ex-Im credit facility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7"/>
              </w:rPr>
              <w:t>ViaSat, Inc. Stockholders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280" w:type="dxa"/>
            <w:vAlign w:val="bottom"/>
            <w:tcBorders>
              <w:bottom w:val="single" w:sz="8" w:color="auto"/>
            </w:tcBorders>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4240" w:type="dxa"/>
            <w:vAlign w:val="bottom"/>
          </w:tcPr>
          <w:p>
            <w:pPr>
              <w:spacing w:after="0"/>
              <w:rPr>
                <w:sz w:val="10"/>
                <w:szCs w:val="10"/>
                <w:color w:val="auto"/>
              </w:rPr>
            </w:pPr>
          </w:p>
        </w:tc>
        <w:tc>
          <w:tcPr>
            <w:tcW w:w="880" w:type="dxa"/>
            <w:vAlign w:val="bottom"/>
            <w:gridSpan w:val="2"/>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1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2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2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2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8"/>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57,600,609</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$1,439,645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3,313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$1,737,931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106,937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17,290</w:t>
            </w:r>
          </w:p>
        </w:tc>
      </w:tr>
      <w:tr>
        <w:trPr>
          <w:trHeight w:val="202"/>
        </w:trPr>
        <w:tc>
          <w:tcPr>
            <w:tcW w:w="42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Shares issued in settlement of certain accrued employee</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liabilities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228,791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16,409</w:t>
            </w:r>
          </w:p>
        </w:tc>
      </w:tr>
      <w:tr>
        <w:trPr>
          <w:trHeight w:val="202"/>
        </w:trPr>
        <w:tc>
          <w:tcPr>
            <w:tcW w:w="4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RSU awards vesting, net of shares withheld for taxes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which have been retired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(1,931)</w:t>
            </w:r>
          </w:p>
        </w:tc>
      </w:tr>
      <w:tr>
        <w:trPr>
          <w:trHeight w:val="204"/>
        </w:trPr>
        <w:tc>
          <w:tcPr>
            <w:tcW w:w="42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Cumulative effect adjustment upon adoption of new</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 guidance (ASU 2016-09)</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58,011</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59,121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(9,039)</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(9,246)</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3,617</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58,011,009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74"/>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1,479,768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346,443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1,830,436</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92"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The accompanying condensed consolidated balance sheet at June 30, 2017, the condensed consolidated statements of operations and comprehensive income (loss) for the three months ended June 30, 2017 and 2016, the condensed consolidated statements of cash flows for the three months ended June 30, 2017 and 2016 and the condensed consolidated statement of equity for the three months ended June 30, 2017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2017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2017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1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assets, liabilities and results of operations of ViaSat, its wholly owned subsidiaries and its majority-owned subsidiaries, TrellisWare Technologies, Inc. (TrellisWare) and Euro Broadband Retail Sàrl (Euro Retail Co.).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39"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June 30, 2017 and 2016, the Company recorded losses of approximately $2.2 million and $0.4 million, respectively, related to loss contracts.</w:t>
      </w:r>
    </w:p>
    <w:p>
      <w:pPr>
        <w:spacing w:after="0" w:line="14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w:t>
      </w:r>
    </w:p>
    <w:p>
      <w:pPr>
        <w:sectPr>
          <w:pgSz w:w="11900" w:h="16838" w:orient="portrait"/>
          <w:cols w:equalWidth="0" w:num="1">
            <w:col w:w="11420"/>
          </w:cols>
          <w:pgMar w:left="240" w:top="455" w:right="239"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45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41"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331"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32" w:lineRule="exact"/>
        <w:rPr>
          <w:sz w:val="20"/>
          <w:szCs w:val="20"/>
          <w:color w:val="auto"/>
        </w:rPr>
      </w:pPr>
    </w:p>
    <w:p>
      <w:pPr>
        <w:jc w:val="both"/>
        <w:ind w:right="320" w:firstLine="456"/>
        <w:spacing w:after="0" w:line="262" w:lineRule="auto"/>
        <w:rPr>
          <w:sz w:val="20"/>
          <w:szCs w:val="20"/>
          <w:color w:val="auto"/>
        </w:rPr>
      </w:pPr>
      <w:r>
        <w:rPr>
          <w:rFonts w:ascii="Times New Roman" w:cs="Times New Roman" w:eastAsia="Times New Roman" w:hAnsi="Times New Roman"/>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12 months are recorded within other liabilities in the condensed consolidated financial statements.</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2016 and 2017. As of June 30,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2017 and March 31, 2017, the Company had $1.6 million and $1.8 million, respectively, in contract-related reserves for its estimate of potential refunds to customers for potential cost adjustments on several multi-year U.S. government cost reimbursable contracts (see Note 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June 30, 2017 and 2016 were $1.2 million and $0.8 million,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Commissions</w:t>
      </w:r>
    </w:p>
    <w:p>
      <w:pPr>
        <w:spacing w:after="0" w:line="94" w:lineRule="exact"/>
        <w:rPr>
          <w:sz w:val="20"/>
          <w:szCs w:val="20"/>
          <w:color w:val="auto"/>
        </w:rPr>
      </w:pPr>
    </w:p>
    <w:p>
      <w:pPr>
        <w:ind w:right="900" w:firstLine="456"/>
        <w:spacing w:after="0" w:line="275" w:lineRule="auto"/>
        <w:rPr>
          <w:sz w:val="20"/>
          <w:szCs w:val="20"/>
          <w:color w:val="auto"/>
        </w:rPr>
      </w:pPr>
      <w:r>
        <w:rPr>
          <w:rFonts w:ascii="Times New Roman" w:cs="Times New Roman" w:eastAsia="Times New Roman" w:hAnsi="Times New Roman"/>
          <w:sz w:val="18"/>
          <w:szCs w:val="18"/>
          <w:color w:val="auto"/>
        </w:rPr>
        <w:t>The Company compensates third parties based on specific commission programs directly related to certain product and service sales, and these commissions costs are expensed as incurred.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satellites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w:t>
      </w:r>
    </w:p>
    <w:p>
      <w:pPr>
        <w:sectPr>
          <w:pgSz w:w="11900" w:h="16838" w:orient="portrait"/>
          <w:cols w:equalWidth="0" w:num="1">
            <w:col w:w="11400"/>
          </w:cols>
          <w:pgMar w:left="240" w:top="455" w:right="259"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00"/>
          </w:cols>
          <w:pgMar w:left="240" w:top="455" w:right="25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useful lives of the assets.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1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Interest expense is capitalized on the carrying value of assets under construction, in accordance with the authoritative guidance for the capitalization of interest (ASC 835-20). With respect to assets under construction, including the ViaSat-2 satellite and related gateway and networking equipment (which commenced construction during the first quarter of fiscal year 2014), and the ViaSat-3 class satellites (which commenced construction during the fourth quarter of fiscal year 2016), the Company capitalized $14.6 million and $10.2 million of interest expense for the three months ended June 30, 2017 and 2016, respectively.</w:t>
      </w:r>
    </w:p>
    <w:p>
      <w:pPr>
        <w:spacing w:after="0" w:line="103"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The Company owns two satellites: ViaSat-1 (its first-generation high-capacity Ka-band spot-beam satellite, which was placed into service in January 2012) and WildBlue-1 (which was placed into service in March 2007). On June 1, 2017, the Company’s second-generation ViaSat-2 satellite was successfully launched into orbit, and the satellite manufacturer will transfer title and operation of the satellite to the Company following the successful completion of orbit raising, orbital placement and in-orbit testing. The Company currently has two third-generation ViaSat-3 class satellites under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June 30, 2017 were $266.2 million and $160.8 million, respectively. The total cost and accumulated depreciation of CPE units included in property and equipment, net, as of March 31, 2017 were $271.9 million and $158.2 million, respectively.</w:t>
      </w:r>
    </w:p>
    <w:p>
      <w:pPr>
        <w:spacing w:after="0" w:line="33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orbital slots and other licenses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capitalizes the costs of obtaining or acquiring patents, orbital slots and other licenses. Amortization of intangible assets that have finite lives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 provided for by the straight-line method over the shorter of the legal or estimated economic life. Total capitalized costs of $3.2 million related to patents were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in other assets as of June 30, 2017 and March 31, 2017. The Company capitalized costs of $15.4 million related to acquiring and obtaining orbital slots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licenses included in other assets as of June 30, 2017 and March 31, 2017. Accumulated amortization related to these assets was $2.2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 million as of June 30, 2017 and March 31, 2017, respectively. Amortization expense related to these assets was an insignificant amount for the three months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ended June 30, 2017 and 2016. If a patent, orbital slot or orbital license is rejected, abandoned or otherwise invalidated, the unamortized cost is expensed in that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During the three months ended June 30, 2017 and 2016, the Company did not write off any significant costs due to abandonment or impairment.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2017 and 2016, no amounts and $6.1 million, respectively, of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6.875% Senior Notes due 2020 (2020 Notes) and the Company’s direct loan facility with the Export-Import Bank of the United States for ViaSat-2 (the Ex-Im Credit Facility) are recorded as a direct deduction from the carrying amount of the related debt, consistent with debt discounts, in accordance with the authoritative guidance for imputation of interest (ASC 835-30).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$211.8 million and $203.7 million related to software developed for resale were included in other assets as of June 30, 2017 and March 31, 2017, respectively. The Company capitalized $17.8 million and $21.0 million of costs related to software developed for resale for the three months ended June 30, 2017 and 2016, respectively. Amortization expense for capitalized software development costs was $9.7 million and $7.7 million for the three months ended June 30, 2017 and 2016, respectively.</w:t>
      </w:r>
    </w:p>
    <w:p>
      <w:pPr>
        <w:sectPr>
          <w:pgSz w:w="11900" w:h="16838" w:orient="portrait"/>
          <w:cols w:equalWidth="0" w:num="1">
            <w:col w:w="11420"/>
          </w:cols>
          <w:pgMar w:left="240" w:top="455" w:right="23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$4.1 million and $4.2 million in accrued liabilities in the condensed consolidated balance sheets as of June 30, 2017 and March 31, 2017,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provisions</w:t>
      </w:r>
    </w:p>
    <w:p>
      <w:pPr>
        <w:spacing w:after="0" w:line="94"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2017 and March 31, 2017, no such amounts were accrued related to the aforementioned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94"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 — equity method</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earnings (losses)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held in treasury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2017 and March 31, 2017, the Company had no shares of common stock held in treasury.</w:t>
      </w:r>
    </w:p>
    <w:p>
      <w:pPr>
        <w:spacing w:after="0" w:line="171"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During the three months ended June 30, 2017 and 2016, the Company issued 72,811 and 72,581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27,514 and 26,596 shares of common stock at cost with a total value of $1.9 million during the first three months of fiscal years 2018 and 2017. The shares of common stock repurchased during the three months ended June 30, 2017 and 2016 were immediately retired. These retired shares remain as authorized stock; however they are considered to be unissued. The retirement of treasury stock had no impact on the Company’s total consolidated stockholders’ equity.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94"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2017 and 2016,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other current asset as of June 30, 2017 and as an accrued liability as of March 31, 2017. The notional value of foreign currency forward contracts outstanding as of June 30, 2017 and March 31, 2017 was $2.1 million and $2.6 million, respectively.</w:t>
      </w:r>
    </w:p>
    <w:p>
      <w:pPr>
        <w:spacing w:after="0" w:line="1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At June 30, 2017, the estimated net amount of unrealized gains or losses related to foreign currency forward contracts that was expected to be reclassified to earnings within the next 12 months was insignificant. The Company’s foreign currency forward contracts outstanding as of June 30, 2017 will mature within approximately 27 to 36 months from their inception. There were no gains or losses from ineffectiveness of these derivative instruments recorded for the three months ended June 30, 2017 and 2016.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Effective April 1, 2017, the Company adopted a change in accounting policy in accordance with ASU 2016-09, Compensation — Stock Compensation (ASC 718) to account for forfeitures as they occur. Prior to April 1, 2017, forfeitures were estimated at the date of grant and revised, if necessary, in subsequent periods if actual forfeitures differed from those estimates. The Company recognized $15.5 million and $12.8 million of stock-based compensation expense for the three months ended June 30, 2017 and 2016, respectively.</w:t>
      </w:r>
    </w:p>
    <w:p>
      <w:pPr>
        <w:spacing w:after="0" w:line="139"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Effective April 1, 2017, in accordance with ASU 2016-09, on a prospective basis, the Company recognizes excess tax benefits or deficiencies on vesting or settlement of awards as discrete items within income tax benefit or provision within net income (loss) and the related cash flows classified within operating activities. Prior to April 1, 2017 any unrealized excess tax benefits were tracked off the balance sheet and recognition of the benefits was deferred until realized through a reduction in taxes payable. When the excess tax benefits or deficiencies were realized, they were recognized in paid-in-capital and the related cash flows were classified as an outflow from operating activities and an inflow from financing activities. For the three months ended June 30, 2017 the Company recorded an insignificant amount of incremental tax benefits from stock options exercised and restricted stock unit awards released as an income tax benefit. For the three months ended June 30, 2016, the Company recorded no incremental tax benefits from stock options exercised and restricted stock unit awards released as the excess tax benefit from stock options exercised and restricted stock unit awards released increased the Company’s net operating loss carryforward.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4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for the year-to-date period. For the three months ended June 30, 2016, the Company used the actual effective tax rate method in calculating the income tax provision for the period as a reliable estimate of the annual effective tax rate could not be made.</w:t>
      </w:r>
    </w:p>
    <w:p>
      <w:pPr>
        <w:spacing w:after="0" w:line="136"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authoritative guidance</w:t>
      </w:r>
    </w:p>
    <w:p>
      <w:pPr>
        <w:spacing w:after="0" w:line="94"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currently plans to adopt the standard in fiscal year 2019 using the “modified retrospective method.” Under that method, the Company will apply the rules to all contracts existing as of April 1, 2018, recognizing in beginning retained earnings an adjustment for the cumulative effect of the change and providing additional disclosures comparing results to previous accounting standards.</w:t>
      </w:r>
    </w:p>
    <w:p>
      <w:pPr>
        <w:spacing w:after="0" w:line="147"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Upon initial evaluation, the Company believes the key changes in the standard that impact its revenue recognition relate to the deferral of commissions in the Company’s satellite service segment, which are currently expensed as incurred under the current standard. The requirement to defer incremental contract acquisition costs and recognize them with the transfer of the related good or service will result in the recognition of a deferred charge on the Company’s consolidated balance sheet and corresponding impact to the Company’s consolidated statement of operations and comprehensive income (loss).</w:t>
      </w:r>
    </w:p>
    <w:p>
      <w:pPr>
        <w:spacing w:after="0" w:line="10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(ASC 842). ASU 2016-02 requires lessees to recognize most leases on their balance sheets as lease liabilities with corresponding right-of-use assets and eliminates certain real estate-specific provisions.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2016-05, Derivatives and Hedging (ASC 815). ASU 2016-05 clarifies that a change in the counterparty to a derivative instrument, in and of itself, does not require dedesignation of a hedging relationship. This guidance became effective for the Company beginning in the first quarter of fiscal year 2018. The Company adopted this guidance in the first quarter of fiscal year 2018 on a prospective basis and the guidance did not have a material impact on the Company’s consolidated financial statements and disclosures.</w:t>
      </w:r>
    </w:p>
    <w:p>
      <w:pPr>
        <w:spacing w:after="0" w:line="13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2016-06, Derivatives and Hedging (ASC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This guidance became effective for the Company beginning in the first quarter of fiscal year 2018. The Company adopted this guidance in the first quarter of fiscal year 2018 on a modified retrospective basis and the guidance did not have a material impact on the Company’s consolidated financial statements and disclosures.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2016-07, Investment — Equity Method and Joint Ventures (ASC 323). ASU 2016-07 eliminates the requirement to apply the equity method of accounting retrospectively when a reporting entity obtains significant influence over a previously held investment. This guidance became effective for the Company beginning in the first quarter of fiscal year 2018. The Company adopted this guidance in the first quarter of fiscal year 2018 on a prospective basis and the guidance did not have a material impact on the Company’s consolidated financial statements and disclosures.</w:t>
      </w:r>
    </w:p>
    <w:p>
      <w:pPr>
        <w:spacing w:after="0" w:line="13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(ASC 718). ASU 2016-09 simplifies various aspects related to how share-based payments are accounted for and presented in the financial statements. The new guidance became effective for the Company beginning in fiscal year 2018. The Company adopted this guidance in the first quarter of fiscal year 2018. On a prospective basis the Company recognizes excess tax benefits or deficiencies on vesting or settlement of awards as discrete items within income tax benefit or provision within net income (loss) and the related cash flows classified within operating activities. With respect to the forfeiture accounting policy election, the Company elected to account for forfeitures as they occur, adopted on a modified retrospective basis as a cumulative effect adjustment to retained earnings. The election to account for forfeitures as they occur did not have a material impact on the Company’s consolidated financial statements and disclosures. See Note 9 for additional information regarding the impact of the adoption of this guidance.</w:t>
      </w:r>
    </w:p>
    <w:p>
      <w:pPr>
        <w:sectPr>
          <w:pgSz w:w="11900" w:h="16838" w:orient="portrait"/>
          <w:cols w:equalWidth="0" w:num="1">
            <w:col w:w="11420"/>
          </w:cols>
          <w:pgMar w:left="240" w:top="455"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will become effective for the Company beginning in fiscal year 2019, with early adoption permitted. The new standard will require adoption on a retrospective basis unless it is impracticable to apply, in which case the Company would be required to apply the amendments prospectively as of the earliest date practicable. The Company is currently evaluating the impact of this standard on its consolidated financial statements and disclosures.</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will become effective for the Company beginning in fiscal year 2019, with early adoption permitted. The new standard will require adoption on a modified retrospective basis through cumulative-effect adjustment directly to retained earnings as of the beginning of the period. The Company is currently evaluating the impact of this standard on its consolidated financial statements and disclosures.</w:t>
      </w:r>
    </w:p>
    <w:p>
      <w:pPr>
        <w:spacing w:after="0" w:line="139"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In October 2016, the FASB issued ASU 2016-17, Consolidation: Interests Held through Related Parties That Are Under Common Control (ASC 810). The amendments change how a reporting entity that is the single decision maker of a variable interest entity should treat indirect interests in the entity held through related parties that are under common control with the reporting entity when determining whether it is the primary beneficiary of that variable interest entity. The new standard became effective for the Company beginning in the first quarter of fiscal year 2018. The Company adopted this guidance in the first quarter of fiscal year 2018 on a retrospective basis and the guidance did not have a material impact on the Company’s consolidated financial statements and disclosures.</w:t>
      </w:r>
    </w:p>
    <w:p>
      <w:pPr>
        <w:spacing w:after="0" w:line="108" w:lineRule="exact"/>
        <w:rPr>
          <w:sz w:val="20"/>
          <w:szCs w:val="20"/>
          <w:color w:val="auto"/>
        </w:rPr>
      </w:pPr>
    </w:p>
    <w:p>
      <w:pPr>
        <w:jc w:val="both"/>
        <w:ind w:right="240" w:firstLine="456"/>
        <w:spacing w:after="0" w:line="287" w:lineRule="auto"/>
        <w:rPr>
          <w:sz w:val="20"/>
          <w:szCs w:val="20"/>
          <w:color w:val="auto"/>
        </w:rPr>
      </w:pPr>
      <w:r>
        <w:rPr>
          <w:rFonts w:ascii="Times New Roman" w:cs="Times New Roman" w:eastAsia="Times New Roman" w:hAnsi="Times New Roman"/>
          <w:sz w:val="16"/>
          <w:szCs w:val="16"/>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new standard will become effective for the Company beginning in fiscal year 2019, with early adoption permitted with limitations. The Company is currently evaluating the impact of this standard on its consolidated financial statements and disclosures.</w:t>
      </w:r>
    </w:p>
    <w:p>
      <w:pPr>
        <w:spacing w:after="0" w:line="132"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will become effective for the Company in fiscal year 2019, with early adoption permitted. The Company is currently evaluating the impact of this standard on its consolidated financial statements and disclosures.</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3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will become effective for the Company beginning in fiscal year 2019, with early adoption permitted. The Company is currently evaluating the impact of this standard on its consolidated financial statements and disclosures.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May 2017, the FASB issued ASU 2017-10, Service Concession Arrangements (ASC 853): Determining the Customer of the Operation Services. ASU 2017-10 provides clarity on determining the customer in a service concession arrangement. The standard will become effective for the Company beginning in fiscal year 2019, with early adoption permitted. The new standard will require adoption on a modified retrospective approach by recording a cumulative-effect adjustment to equity, beginning with the earliest period presented, or a retrospective approach. The Company is currently evaluating the impact of this standard on its consolidated financial statements and disclosures.</w:t>
      </w:r>
    </w:p>
    <w:p>
      <w:pPr>
        <w:sectPr>
          <w:pgSz w:w="11900" w:h="16838" w:orient="portrait"/>
          <w:cols w:equalWidth="0" w:num="1">
            <w:col w:w="11420"/>
          </w:cols>
          <w:pgMar w:left="240" w:top="455"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Composition of Certain Balance Sheet Captions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65"/>
        </w:trPr>
        <w:tc>
          <w:tcPr>
            <w:tcW w:w="7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Billed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115,662</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145,626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Unbilled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119,565</w:t>
            </w:r>
          </w:p>
        </w:tc>
        <w:tc>
          <w:tcPr>
            <w:tcW w:w="0" w:type="dxa"/>
            <w:vAlign w:val="bottom"/>
          </w:tcPr>
          <w:p>
            <w:pPr>
              <w:spacing w:after="0"/>
              <w:rPr>
                <w:sz w:val="1"/>
                <w:szCs w:val="1"/>
                <w:color w:val="auto"/>
              </w:rPr>
            </w:pPr>
          </w:p>
        </w:tc>
      </w:tr>
      <w:tr>
        <w:trPr>
          <w:trHeight w:val="223"/>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215,053</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Raw materials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56,096</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Work in process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Finished goods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81,285</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177,943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51,856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66,194</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Satellites (estimated useful life of 10-17 years)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559,380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559,380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Capital lease of satellite capacity — Anik F2 (estimated useful life of 10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99,090</w:t>
            </w:r>
          </w:p>
        </w:tc>
        <w:tc>
          <w:tcPr>
            <w:tcW w:w="0" w:type="dxa"/>
            <w:vAlign w:val="bottom"/>
          </w:tcPr>
          <w:p>
            <w:pPr>
              <w:spacing w:after="0"/>
              <w:rPr>
                <w:sz w:val="1"/>
                <w:szCs w:val="1"/>
                <w:color w:val="auto"/>
              </w:rPr>
            </w:pPr>
          </w:p>
        </w:tc>
      </w:tr>
      <w:tr>
        <w:trPr>
          <w:trHeight w:val="223"/>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Satellites under construction</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814,909</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1,473,379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1,434,824</w:t>
            </w:r>
          </w:p>
        </w:tc>
        <w:tc>
          <w:tcPr>
            <w:tcW w:w="0" w:type="dxa"/>
            <w:vAlign w:val="bottom"/>
          </w:tcPr>
          <w:p>
            <w:pPr>
              <w:spacing w:after="0"/>
              <w:rPr>
                <w:sz w:val="1"/>
                <w:szCs w:val="1"/>
                <w:color w:val="auto"/>
              </w:rPr>
            </w:pPr>
          </w:p>
        </w:tc>
      </w:tr>
      <w:tr>
        <w:trPr>
          <w:trHeight w:val="223"/>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(339,241)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(326,554)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1,134,138</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1,108,270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Equipment and software (estimated useful life of 2-7 years)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679,008</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CPE leased equipment (estimated useful life of 4-5 years)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266,190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271,917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Furniture and fixtures (estimated useful life of 7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30,539</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Leasehold improvements (estimated useful life of 2-17 years)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80,727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Building (estimated useful life of 24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Land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116,902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1,248,528</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1,202,589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(689,142)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(661,981)</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559,386</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acquired intangible assets,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Technology (weighted average useful life of 6 years)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88,827</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87,592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Contracts and customer relationships (weighted average useful life of 7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103,034</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Satellite co-location rights (weighted average useful life of 9 years)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Trade name (weighted average useful life of 3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23"/>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(weighted average useful life of 6 years)</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215,091</w:t>
            </w:r>
          </w:p>
        </w:tc>
        <w:tc>
          <w:tcPr>
            <w:tcW w:w="0" w:type="dxa"/>
            <w:vAlign w:val="bottom"/>
          </w:tcPr>
          <w:p>
            <w:pPr>
              <w:spacing w:after="0"/>
              <w:rPr>
                <w:sz w:val="1"/>
                <w:szCs w:val="1"/>
                <w:color w:val="auto"/>
              </w:rPr>
            </w:pPr>
          </w:p>
        </w:tc>
      </w:tr>
      <w:tr>
        <w:trPr>
          <w:trHeight w:val="223"/>
        </w:trPr>
        <w:tc>
          <w:tcPr>
            <w:tcW w:w="7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(177,233)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(173,414)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39,497</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2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65"/>
        </w:trPr>
        <w:tc>
          <w:tcPr>
            <w:tcW w:w="8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6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144,289</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$141,894</w:t>
            </w:r>
          </w:p>
        </w:tc>
      </w:tr>
      <w:tr>
        <w:trPr>
          <w:trHeight w:val="216"/>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200,880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134,764</w:t>
            </w: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211,766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203,686</w:t>
            </w:r>
          </w:p>
        </w:tc>
      </w:tr>
      <w:tr>
        <w:trPr>
          <w:trHeight w:val="216"/>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Patents, orbital slots and other licenses,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16,500</w:t>
            </w: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32,522</w:t>
            </w:r>
          </w:p>
        </w:tc>
      </w:tr>
      <w:tr>
        <w:trPr>
          <w:trHeight w:val="223"/>
        </w:trPr>
        <w:tc>
          <w:tcPr>
            <w:tcW w:w="8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605,528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529,366</w:t>
            </w:r>
          </w:p>
        </w:tc>
        <w:tc>
          <w:tcPr>
            <w:tcW w:w="6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Collections in excess of revenues and deferred 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76,682</w:t>
            </w:r>
          </w:p>
        </w:tc>
      </w:tr>
      <w:tr>
        <w:trPr>
          <w:trHeight w:val="216"/>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41,691</w:t>
            </w: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vacation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33,214</w:t>
            </w:r>
          </w:p>
        </w:tc>
      </w:tr>
      <w:tr>
        <w:trPr>
          <w:trHeight w:val="216"/>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Warranty reserve, 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7,796</w:t>
            </w: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65,576</w:t>
            </w:r>
          </w:p>
        </w:tc>
      </w:tr>
      <w:tr>
        <w:trPr>
          <w:trHeight w:val="223"/>
        </w:trPr>
        <w:tc>
          <w:tcPr>
            <w:tcW w:w="8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204,231</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224,959</w:t>
            </w:r>
          </w:p>
        </w:tc>
        <w:tc>
          <w:tcPr>
            <w:tcW w:w="6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revenue, long-term portion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4,617</w:t>
            </w:r>
          </w:p>
        </w:tc>
      </w:tr>
      <w:tr>
        <w:trPr>
          <w:trHeight w:val="216"/>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rent, long-term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10,743</w:t>
            </w: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Warranty reserve, long-term portion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3,262</w:t>
            </w:r>
          </w:p>
        </w:tc>
      </w:tr>
      <w:tr>
        <w:trPr>
          <w:trHeight w:val="216"/>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Satellite performance incentives obligation, long-term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19,164</w:t>
            </w:r>
          </w:p>
        </w:tc>
      </w:tr>
      <w:tr>
        <w:trPr>
          <w:trHeight w:val="216"/>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 long-term</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1,936</w:t>
            </w:r>
          </w:p>
        </w:tc>
      </w:tr>
      <w:tr>
        <w:trPr>
          <w:trHeight w:val="216"/>
        </w:trPr>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8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109,890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42,722</w:t>
            </w:r>
          </w:p>
        </w:tc>
        <w:tc>
          <w:tcPr>
            <w:tcW w:w="6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39" w:lineRule="exact"/>
        <w:rPr>
          <w:sz w:val="20"/>
          <w:szCs w:val="20"/>
          <w:color w:val="auto"/>
        </w:rPr>
      </w:pPr>
    </w:p>
    <w:p>
      <w:pPr>
        <w:ind w:left="440" w:hanging="324"/>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based on quoted market prices for identical assets or liabilities in active markets at the measurement date.</w:t>
      </w:r>
    </w:p>
    <w:p>
      <w:pPr>
        <w:spacing w:after="0" w:line="90" w:lineRule="exact"/>
        <w:rPr>
          <w:rFonts w:ascii="Times New Roman" w:cs="Times New Roman" w:eastAsia="Times New Roman" w:hAnsi="Times New Roman"/>
          <w:sz w:val="18"/>
          <w:szCs w:val="18"/>
          <w:color w:val="auto"/>
        </w:rPr>
      </w:pPr>
    </w:p>
    <w:p>
      <w:pPr>
        <w:ind w:left="440" w:right="80" w:hanging="324"/>
        <w:spacing w:after="0" w:line="262"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1" w:lineRule="exact"/>
        <w:rPr>
          <w:rFonts w:ascii="Times New Roman" w:cs="Times New Roman" w:eastAsia="Times New Roman" w:hAnsi="Times New Roman"/>
          <w:sz w:val="18"/>
          <w:szCs w:val="18"/>
          <w:color w:val="auto"/>
        </w:rPr>
      </w:pPr>
    </w:p>
    <w:p>
      <w:pPr>
        <w:ind w:left="440" w:right="40" w:hanging="324"/>
        <w:spacing w:after="0" w:line="275"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20"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The following tables present the Company’s hierarchy for its assets measured at fair value on a recurring basis as of June 30, 2017 and assets and liabilities measured at fair value on a recurring basis as of March 31, 2017. The Company had no liabilities measured at fair value on a recurring basis as of June 30, 2017:</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5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48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$1,005</w:t>
            </w:r>
          </w:p>
        </w:tc>
        <w:tc>
          <w:tcPr>
            <w:tcW w:w="460" w:type="dxa"/>
            <w:vAlign w:val="bottom"/>
          </w:tcPr>
          <w:p>
            <w:pPr>
              <w:spacing w:after="0"/>
              <w:rPr>
                <w:sz w:val="18"/>
                <w:szCs w:val="18"/>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1,005</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5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48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2,003</w:t>
            </w:r>
          </w:p>
        </w:tc>
        <w:tc>
          <w:tcPr>
            <w:tcW w:w="460" w:type="dxa"/>
            <w:vAlign w:val="bottom"/>
          </w:tcPr>
          <w:p>
            <w:pPr>
              <w:spacing w:after="0"/>
              <w:rPr>
                <w:sz w:val="18"/>
                <w:szCs w:val="18"/>
                <w:color w:val="auto"/>
              </w:rPr>
            </w:pPr>
          </w:p>
        </w:tc>
        <w:tc>
          <w:tcPr>
            <w:tcW w:w="4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2,003</w:t>
            </w: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5" w:right="29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455" w:right="29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section describes the valuation methodologies the Company uses to measure financial instruments at fair value:</w:t>
      </w:r>
    </w:p>
    <w:p>
      <w:pPr>
        <w:spacing w:after="0" w:line="169" w:lineRule="exact"/>
        <w:rPr>
          <w:sz w:val="20"/>
          <w:szCs w:val="20"/>
          <w:color w:val="auto"/>
        </w:rPr>
      </w:pPr>
    </w:p>
    <w:p>
      <w:pPr>
        <w:ind w:right="3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The Company’s cash equivalents consist of money market funds. Money market funds are valued using quoted prices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 an active market with sufficient volume and frequency of transactions (Level 1).</w:t>
      </w:r>
    </w:p>
    <w:p>
      <w:pPr>
        <w:spacing w:after="0" w:line="11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forward contracts </w:t>
      </w:r>
      <w:r>
        <w:rPr>
          <w:rFonts w:ascii="Times New Roman" w:cs="Times New Roman" w:eastAsia="Times New Roman" w:hAnsi="Times New Roman"/>
          <w:sz w:val="18"/>
          <w:szCs w:val="18"/>
          <w:color w:val="auto"/>
        </w:rPr>
        <w:t>— The Company uses derivative financial instruments to manage foreign currency risk relating to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Long-term debt </w:t>
      </w:r>
      <w:r>
        <w:rPr>
          <w:rFonts w:ascii="Times New Roman" w:cs="Times New Roman" w:eastAsia="Times New Roman" w:hAnsi="Times New Roman"/>
          <w:sz w:val="16"/>
          <w:szCs w:val="16"/>
          <w:color w:val="auto"/>
        </w:rPr>
        <w:t>— The Company’s long-term debt consists of borrowings under its Revolving Credit Facility and Ex-Im Credit Facility (collectively, the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Facilities), as well as $575.0 million in aggregate principal amount of 2020 Notes. Long-term debt related to the Revolving Credit Facility is reported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outstanding principal amount of borrowings, while long-term debt related to the Ex-Im Credit Facility and 2020 Notes is reported at amortized cost. However,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disclosure purposes, the Company is required to measure the fair value of outstanding debt on a recurring basis. As of June 30, 2017 and March 31, 2017,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Company’s outstanding long-term debt related to the 2020 Notes was determined using quoted prices in active markets (Level 1) and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$586.3 million and $587.9 million, respectively. The fair value of the Company’s long-term debt related to the Revolving Credit Facility approximates its carrying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due to its variable interest rate, which approximates a market interest rate. As of June 30, 2017 and March 31, 2017, the fair value of the Company’s long-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debt related to the Ex-Im Credit Facility was determined based on a discounted cash flow analysis using observable market interest rates for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similar terms (Level 2) and was approximately $298.5 million and $297.2 million, respectively.</w:t>
      </w:r>
    </w:p>
    <w:p>
      <w:pPr>
        <w:spacing w:after="0" w:line="15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Satellite performance incentives obligation </w:t>
      </w:r>
      <w:r>
        <w:rPr>
          <w:rFonts w:ascii="Times New Roman" w:cs="Times New Roman" w:eastAsia="Times New Roman" w:hAnsi="Times New Roman"/>
          <w:sz w:val="18"/>
          <w:szCs w:val="18"/>
          <w:color w:val="auto"/>
        </w:rPr>
        <w:t>— The Company’s contract with the manufacturer of ViaSat-1 requires the Company to make monthly in-orbit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performance incentive payments, including interest at 7.0%, over 15-year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obligation on a recurring basis. The fair value of the Company’s outstanding satellite performance incentives obligation is estimated to approximate its carrying value based on current rates (Level 2). As of June 30, 2017 and March 31, 2017, the Company’s estimated satellite performance incentives obligation and accrued interest was $21.6 million and $21.8 million,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Shares Used In Computing Diluted Net (Loss) Income Per Share</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2017</w:t>
            </w:r>
          </w:p>
        </w:tc>
        <w:tc>
          <w:tcPr>
            <w:tcW w:w="14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6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shares outstanding used in calculating basic net (loss) income per</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attributable to ViaSat, Inc. common stockholders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49,133</w:t>
            </w:r>
          </w:p>
        </w:tc>
        <w:tc>
          <w:tcPr>
            <w:tcW w:w="60" w:type="dxa"/>
            <w:vAlign w:val="bottom"/>
          </w:tcPr>
          <w:p>
            <w:pPr>
              <w:spacing w:after="0"/>
              <w:rPr>
                <w:sz w:val="19"/>
                <w:szCs w:val="19"/>
                <w:color w:val="auto"/>
              </w:rPr>
            </w:pPr>
          </w:p>
        </w:tc>
      </w:tr>
      <w:tr>
        <w:trPr>
          <w:trHeight w:val="204"/>
        </w:trPr>
        <w:tc>
          <w:tcPr>
            <w:tcW w:w="59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Options to purchase common stock as determined by application of the treasury</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method</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shd w:val="clear" w:color="auto" w:fill="CCEEFF"/>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Restricted stock units to acquire common stock as determined by application of</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treasury stock method</w:t>
            </w:r>
          </w:p>
        </w:tc>
        <w:tc>
          <w:tcPr>
            <w:tcW w:w="360" w:type="dxa"/>
            <w:vAlign w:val="bottom"/>
          </w:tcPr>
          <w:p>
            <w:pPr>
              <w:spacing w:after="0"/>
              <w:rPr>
                <w:sz w:val="19"/>
                <w:szCs w:val="19"/>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Pr>
          <w:p>
            <w:pPr>
              <w:spacing w:after="0"/>
              <w:rPr>
                <w:sz w:val="19"/>
                <w:szCs w:val="19"/>
                <w:color w:val="auto"/>
              </w:rPr>
            </w:pPr>
          </w:p>
        </w:tc>
      </w:tr>
      <w:tr>
        <w:trPr>
          <w:trHeight w:val="204"/>
        </w:trPr>
        <w:tc>
          <w:tcPr>
            <w:tcW w:w="59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Potentially issuable shares in connection with certain terms of the ViaSat 401(k)</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Profit Sharing Plan and Employee Stock Purchase Plan</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diluted net (loss) income per share attributable to</w:t>
            </w: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ViaSat, Inc. common stockholders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50,170</w:t>
            </w:r>
          </w:p>
        </w:tc>
        <w:tc>
          <w:tcPr>
            <w:tcW w:w="6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weighted average number of shares used to calculate basic and diluted net loss per share attributable to ViaSat, Inc. common stockholders is the same for the three months ended June 30, 2017, as the Company incurred a net loss attributable to ViaSat, Inc. common stockholders for such period and inclusion of potentially dilutive shares of common stock would be antidilutive. Potentially dilutive shares of common stock excluded from the calculation for the three months ended June 30, 2017 were 1,393,749 shares relating to stock options, 472,520 shares relating to restricted stock units and 198,800 shares relating to certain terms of the ViaSat 401(k) Profit Sharing Plan and Employee Stock Purchase Plan.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Antidilutive shares relating to stock options excluded from the calculation comprised 713,863 shares for the three months ended June 30, 2016.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Antidilutive shares relating to restricted stock units excluded from the calculation comprised 12,332 shares for the three months ended June 30, 2016.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p>
      <w:pPr>
        <w:spacing w:after="0" w:line="9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months ended June 30, 2017, the Company’s goodwill increased by $0.5 million, which related to the effects of foreign currency translation recorded within all three of the Company’s segments.</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Other acquired intangible assets are amortized using the straight-line method over their estimated useful lives of two to ten years. Amortization expense related to other acquired intangible assets was $3.3 million and $2.5 million for the three months ended June 30, 2017 and 2016, respectively.</w:t>
      </w:r>
    </w:p>
    <w:p>
      <w:pPr>
        <w:spacing w:after="0" w:line="120"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June 30, 2017</w:t>
            </w:r>
          </w:p>
        </w:tc>
        <w:tc>
          <w:tcPr>
            <w:tcW w:w="3560" w:type="dxa"/>
            <w:vAlign w:val="bottom"/>
            <w:gridSpan w:val="2"/>
            <w:shd w:val="clear" w:color="auto" w:fill="CCEEFF"/>
          </w:tcPr>
          <w:p>
            <w:pPr>
              <w:ind w:left="3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2018</w:t>
            </w:r>
          </w:p>
        </w:tc>
        <w:tc>
          <w:tcPr>
            <w:tcW w:w="356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2019</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2020</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2021</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2022</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340" w:type="dxa"/>
            <w:vAlign w:val="bottom"/>
            <w:vMerge w:val="restart"/>
          </w:tcPr>
          <w:p>
            <w:pPr>
              <w:jc w:val="right"/>
              <w:ind w:right="2812"/>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Notes and Other Long-Term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long-term debt consisted of the following as of June 30, 2017 and March 31, 2017:</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5"/>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3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Notes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Ex-Im Credit Facility (1)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879,425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879,422</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Unamortized premium/(discount and debt issuance costs),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(29,282)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(30,651)</w:t>
            </w: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830,843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848,483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258"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2017, included in Ex-Im Credit Facility and in unamortized discount and debt issuance costs on the Ex-Im Credit Facility was $29.5 million and $22.0 million, respectively, relating to the exposure fees accrued as of such date expected to be financed under the Ex-Im Credit Facility. As of March 31, 2017, included in Ex-Im Credit Facility and in unamortized discount and debt issuance costs on the Ex-Im Credit Facility was $29.5 million and $23.0 million, respectively, relating to the exposure fees accrued as of such date expected to be financed under the Ex-Im Credit Facility.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As of June 30, 2017, the Revolving Credit Facility provided an $800.0 million revolving line of credit (including up to $150.0 million of letters of credit), with a maturity date of May 24, 2021 (or March 16, 2020, if more than $200.0 million of the Company’s 2020 Notes are then outstanding and certain conditions are met).</w:t>
      </w:r>
    </w:p>
    <w:p>
      <w:pPr>
        <w:spacing w:after="0" w:line="13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w:t>
      </w:r>
    </w:p>
    <w:p>
      <w:pPr>
        <w:spacing w:after="0" w:line="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2017, none of the Company’s subsidiaries guaranteed the Revolving Credit Facility.</w:t>
      </w:r>
    </w:p>
    <w:p>
      <w:pPr>
        <w:spacing w:after="0" w:line="138"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Company was in compliance with its financial covenants under the Revolving Credit Facility as of June 30, 2017. At June 30, 2017, the Company had no outstanding borrowings under the Revolving Credit Facility and $37.1 million outstanding under standby letters of credit, leaving borrowing availability under the Revolving Credit Facility as of June 30, 2017 of $762.9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Ex-Im Credit Facility</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of June 30, 2017, the Ex-Im Credit Facility provided a $362.4 million senior secured direct loan facility, $321.2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$41.2 million (depending on the total amount of financing borrowed under the Ex-Im Credit Facility).</w:t>
      </w:r>
    </w:p>
    <w:p>
      <w:pPr>
        <w:spacing w:after="0" w:line="13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estimated to be between 4.5% and 4.8% as of June 30, 2017. The Ex-Im Credit Facility is guaranteed by ViaSat and is secured by first-priority liens on the ViaSat-2 satellite and related assets, as well as a pledge of the capital stock of the borrower under the facility.</w:t>
      </w:r>
    </w:p>
    <w:p>
      <w:pPr>
        <w:spacing w:after="0" w:line="13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Company was in compliance with its financial covenants under the Ex-Im Credit Facility as of June 30, 2017. At June 30, 2017, the Company had $274.6 million in principal amount of outstanding borrowings under the Ex-Im Credit Facility and had accrued $29.5 million in completion exposure fees expected to be financed under the Ex-Im Credit Facility. As of June 30, 2017, the undrawn commitment under the Ex-Im Credit Facility was $58.3 million (excluding $29.5 million of accrued completion exposure fees), of which $52.5 million was available to finance ViaSat-2 related costs once incurred. Borrowings under the Ex-Im Credit Facility were issued with a discount of $36.6 million (comprising the initial $6.0 million exposure fee, the completion exposure fees accrued as of June 30, 2017, and other customary fees). Borrowings under the Ex-Im Credit Facility are recorded as current portion of long-term debt and as other long-term debt, net of unamortized discount and debt issuance costs, in the Company’s condensed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2020</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February 2012, the Company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the Company’s condensed consolidated financial statements. In October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 The 2020 Notes are recorded as long-term debt, net of unamortized premium and debt issuance costs, in the Company’s condensed consolidated financial statements.</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2020 Notes are required to be guaranteed on an unsecured senior basis by each of the Company’s existing and future subsidiaries that guarantees the Revolving Credit Facility. As of June 30, 2017,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ectPr>
          <w:pgSz w:w="11900" w:h="16838" w:orient="portrait"/>
          <w:cols w:equalWidth="0" w:num="1">
            <w:col w:w="11420"/>
          </w:cols>
          <w:pgMar w:left="240" w:top="455"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40" w:firstLine="456"/>
        <w:spacing w:after="0" w:line="339" w:lineRule="auto"/>
        <w:rPr>
          <w:sz w:val="20"/>
          <w:szCs w:val="20"/>
          <w:color w:val="auto"/>
        </w:rPr>
      </w:pPr>
      <w:r>
        <w:rPr>
          <w:rFonts w:ascii="Times New Roman" w:cs="Times New Roman" w:eastAsia="Times New Roman" w:hAnsi="Times New Roman"/>
          <w:sz w:val="16"/>
          <w:szCs w:val="16"/>
          <w:color w:val="auto"/>
        </w:rPr>
        <w:t>The 2020 Notes may be redeemed, in whole or in part, at any time during the 12 months beginning on June 15, 2017 at a redemption price of 101.719%, and at any time on or after June 15, 2018 at a redemption price of 100%, in each case plus accrued and unpaid interest, if any, thereon to the redemption date.</w:t>
      </w:r>
    </w:p>
    <w:p>
      <w:pPr>
        <w:spacing w:after="0" w:line="7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Product Warranty</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2017 and 2016:</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11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2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liability for warranties issued in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Pr>
          <w:p>
            <w:pPr>
              <w:spacing w:after="0"/>
              <w:rPr>
                <w:sz w:val="18"/>
                <w:szCs w:val="18"/>
                <w:color w:val="auto"/>
              </w:rPr>
            </w:pPr>
          </w:p>
        </w:tc>
      </w:tr>
      <w:tr>
        <w:trPr>
          <w:trHeight w:val="202"/>
        </w:trPr>
        <w:tc>
          <w:tcPr>
            <w:tcW w:w="624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Settlements made (in cash or in kind) during</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the period</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(1,470)</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(2,149)</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2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92"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In May 2013, the Company entered into an agreement to purchase the ViaSat-2 satellite from The Boeing Company (Boeing) at a price of approximately $358.0 million, plus an additional amount for launch support services to be performed by Boeing. In April 2017, the satellite construction agreement was amended to replace the remaining milestone payments for the satellite under the agreement with approximately $21.0 million of in-orbit satellite performance incentives payments, excluding interest, payable monthly over a nine-year period commencing one month after the completion of in-orbit testing, subject to the continued satisfactory performance of the satellite.</w:t>
      </w:r>
    </w:p>
    <w:p>
      <w:pPr>
        <w:spacing w:after="0" w:line="139"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July 2016, the Company entered into two separate agreements with Boeing for the construction and purchase of two ViaSat-3 class satellites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 first ViaSat-3 class satellite is expected to provide broadband services over the Americas, and the second is expected to provide broadband services over Europe, the Middle East and Africa.</w:t>
      </w:r>
    </w:p>
    <w:p>
      <w:pPr>
        <w:spacing w:after="0" w:line="108"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March 2016, the Company’s 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 During the fourth quarter of fiscal year 2017, based on further developments in that investigation and TrellisWare’s discussions with the U.S. Attorney’s Office, the Company accrued a total loss contingency of $11.8 million in SG&amp;A expenses in its government systems segment, which consisted of $11.4 million in uncharacterized damages and $0.4 million in penalties. The impact of the loss contingency on</w:t>
      </w:r>
    </w:p>
    <w:p>
      <w:pPr>
        <w:sectPr>
          <w:pgSz w:w="11900" w:h="16838" w:orient="portrait"/>
          <w:cols w:equalWidth="0" w:num="1">
            <w:col w:w="11420"/>
          </w:cols>
          <w:pgMar w:left="240" w:top="455"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net income attributable to ViaSat, Inc. stockholders for fiscal year 2017, net of tax, was $4.0 million, with the related amount of $3.7 million recorded to net (loss) income attributable to noncontrolling interests, net of tax. As of June 30, 2017, the total loss contingency was recorded in accrued liabilities and other long term liabilities in the condensed consolidated balance sheet in the amounts of $8.8 million and $3.0 million, respectively. At this time, the Company cannot determine with certainty how or whether the TrellisWare investigation will conclude or whether this will be the final amount of damages and penalties.</w:t>
      </w:r>
    </w:p>
    <w:p>
      <w:pPr>
        <w:spacing w:after="0" w:line="103"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2016 and 2017. As of June 30,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2017 and March 31, 2017, the Company had $1.6 million and $1.8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9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2017, the Company recorded an income tax benefit of $9.2 million, resulting in an effective tax benefit rate of 51.2%. For the three months ended June 30, 2016, the Company recorded an income tax provision of $0.8 million, resulting in an effective tax rate of 27.3%. The effective tax benefit rate in the first quarter of fiscal year 2018 was higher than the U.S. statutory rate due primarily to the benefit of research and development tax credits. The effective tax rate in the first quarter of fiscal year 2017 was lower than the U.S. statutory rate due primarily to the benefit of research and development tax credits offset by increases in valuation allowances on state net operating losses and state research and development tax credits.</w:t>
      </w:r>
    </w:p>
    <w:p>
      <w:pPr>
        <w:spacing w:after="0" w:line="139"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When a reliable estimate of the annual effective tax rate cannot be made, the Company computes its provision for income taxes using the actual effective tax rate method for the year-to-date period. For the three months ended June 30, 2016, the Company used the actual effective tax rate method in calculating the income tax provision for the period as a reliable estimate of the annual effective tax rate could not be made.</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3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For the three months ended June 30, 2017, the Company’s gross unrecognized tax benefits increased by $1.2 million. In the next 12 months it is reasonably possible that the amount of unrecognized tax benefits will not change significantly.</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ASU 2016-09, which the Company adopted during the first quarter of fiscal year 2018, the Company recorded a cumulative effect adjustment as of the beginning of the first quarter of fiscal year 2018 to increase retained earnings by $58.7 million with a corresponding increase to deferred tax assets to recognize net operating loss carryforwards attributable to excess tax benefits on share-based compensation that had not been previously recognized. On a prospective basis,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Equity Method Investments and Related-Party Transactions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Eutelsat strategic partnering arrangement</w:t>
      </w:r>
    </w:p>
    <w:p>
      <w:pPr>
        <w:spacing w:after="0" w:line="9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March 2017, the Company acquired a 49% interest in Euro Broadband Infrastructure Sàrl (Euro Infrastructure Co.) for $139.5 million as part of the consummation of the Company’s strategic partnering arrangement with Eutelsat S.A. (together with its affiliates,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which are recorded in accumulated other comprehensive income (loss). The Company records its proportionate share of the results of Euro Infrastructure Co., and any related basis difference amortization expense, within equity in earnings (losses) of unconsolidated affiliate, net, one quarter in arrears. Accordingly, the Company began including its share of the results of Euro Infrastructure Co. (from the date of the Company’s investment in Euro Infrastructure Co. on March 3, 2017 through March 31, 2017) in its condensed consolidated financial statements for the three months ended June 30, 2017.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47"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difference between the Company’s carrying value of its investment in Euro Infrastructure Co. and its proportionate share of the net assets of Euro Infrastructure Co. as of June 30, 2017 and March 31, 2017 is summarized as follows: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June 30, 2017</w:t>
            </w:r>
          </w:p>
        </w:tc>
        <w:tc>
          <w:tcPr>
            <w:tcW w:w="13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investment in Euro Infrastructure Co.</w:t>
            </w:r>
          </w:p>
        </w:tc>
        <w:tc>
          <w:tcPr>
            <w:tcW w:w="6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144,289</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Proportionate share of net assets of Euro Infrastructure Co.</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Excess carrying value of investment over proportionate share of net</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3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excess carrying value has been primarily assigned to:</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Tangible assets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(20,241)</w:t>
            </w: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identifiable intangible assets have useful lives of up to 11 years and a weighted average useful life of approximately ten years, and tangible assets have useful lives of up to 11 years and a weighted average useful life of approximately 11 years. The preliminary allocation is subject to revision as a more detailed analysis is completed and additional information on the assets and liabilities of Euro Infrastructure Co. as of the closing date becomes available. Any change in the net assets of Euro Infrastructure Co. will change the amount of the purchase price allocable to goodwill. Goodwill is not deductible for tax purposes.</w:t>
      </w:r>
    </w:p>
    <w:p>
      <w:pPr>
        <w:spacing w:after="0" w:line="103"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Company’s share of loss on its investment in Euro Infrastructure Co. was $0.5 million for the three months ended June 30, 2017 (consisting of the Company’s share of equity in Euro Infrastructure Co.’s loss, including amortization of the difference in the historical basis of the Company’s contribution). The Company did not hold any investment in Euro Infrastructure Co. in the prior year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94"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Transactions with the equity method investee are considered related-party transactions. Related-party transactions entered into between Euro Infrastructure Co. and its subsidiaries, on the one hand, and the Company and its subsidiaries, on the other hand, in the ordinary course of business for the period from and after the date of the Company’s investment in Euro Infrastructure Co. in March 2017 and as of June 30, 2017 were insignificant.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June 30, 2017</w:t>
            </w:r>
          </w:p>
        </w:tc>
        <w:tc>
          <w:tcPr>
            <w:tcW w:w="1720" w:type="dxa"/>
            <w:vAlign w:val="bottom"/>
            <w:tcBorders>
              <w:bottom w:val="single" w:sz="8" w:color="auto"/>
            </w:tcBorders>
            <w:gridSpan w:val="2"/>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4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ind w:right="146"/>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80" w:type="dxa"/>
            <w:vAlign w:val="bottom"/>
          </w:tcPr>
          <w:p>
            <w:pPr>
              <w:spacing w:after="0"/>
              <w:rPr>
                <w:sz w:val="18"/>
                <w:szCs w:val="18"/>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paid</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tcPr>
          <w:p>
            <w:pPr>
              <w:spacing w:after="0"/>
              <w:rPr>
                <w:sz w:val="19"/>
                <w:szCs w:val="19"/>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r>
      <w:tr>
        <w:trPr>
          <w:trHeight w:val="336"/>
        </w:trPr>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5"/>
        </w:trPr>
        <w:tc>
          <w:tcPr>
            <w:tcW w:w="49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6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142"/>
        </w:trPr>
        <w:tc>
          <w:tcPr>
            <w:tcW w:w="4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46"/>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Collections in excess of revenues and deferred revenues</w:t>
            </w:r>
          </w:p>
        </w:tc>
        <w:tc>
          <w:tcPr>
            <w:tcW w:w="12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188" w:lineRule="exact"/>
        <w:rPr>
          <w:sz w:val="20"/>
          <w:szCs w:val="20"/>
          <w:color w:val="auto"/>
        </w:rPr>
      </w:pPr>
    </w:p>
    <w:p>
      <w:pPr>
        <w:ind w:right="4540" w:firstLine="8"/>
        <w:spacing w:after="0" w:line="275" w:lineRule="auto"/>
        <w:tabs>
          <w:tab w:leader="none" w:pos="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 Infrastructure Co. and its subsidiaries were not related parties in the prior year period. ** Amount was insignificant.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revenues and operating profits (losses) for the three months ended June 30, 2017 and 2016 were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top w:val="single" w:sz="8" w:color="auto"/>
              <w:bottom w:val="single" w:sz="8" w:color="auto"/>
            </w:tcBorders>
            <w:gridSpan w:val="3"/>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w w:val="93"/>
              </w:rPr>
              <w:t>June 30, 2017</w:t>
            </w:r>
          </w:p>
        </w:tc>
        <w:tc>
          <w:tcPr>
            <w:tcW w:w="11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Satellite 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Product (1)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Service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151,997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Product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Service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Product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Service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380,044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profits (losses):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Satellite services (1)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(66,125)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Elimination of intersegment operating profits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Segment operating (loss) profit before corporate and amortization of acquired</w:t>
            </w: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(14,690)</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(3,260)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VIASAT,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460" w:hanging="452"/>
        <w:spacing w:after="0" w:line="258"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revenues and operating profits in the satellite services segment for the three months ended June 30, 2016 included $6.6 million relating to amounts realized under the Company’s settlement agreement entered into in fiscal year 2015 with Space Systems Loral, Inc. and its former parent company Loral Space &amp; Communications, Inc. As of March 31, 2017, all payments pursuant to this settlement agreement had been recorded and no further impacts to the Company’s consolidated financial statements are anticipated related to this settlement agreement.</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2017 and March 31, 2017 were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Satellite services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 networks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systems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310,405</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326,242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segment assets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551,824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587,962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assets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2,526,890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2,366,691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3,078,714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2,954,653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acquired intangible assets, net and goodwill included in segment assets as of June 30, 2017 and March 31, 2017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4"/>
              </w:rPr>
              <w:t>Other Acquired Intangible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Assets, Net</w:t>
            </w:r>
          </w:p>
        </w:tc>
        <w:tc>
          <w:tcPr>
            <w:tcW w:w="7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ind w:right="179"/>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219"/>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216"/>
              <w:spacing w:after="0" w:line="125" w:lineRule="exact"/>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0"/>
                <w:szCs w:val="10"/>
                <w:color w:val="auto"/>
              </w:rPr>
            </w:pPr>
          </w:p>
        </w:tc>
      </w:tr>
      <w:tr>
        <w:trPr>
          <w:trHeight w:val="165"/>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June 30, 2017</w:t>
            </w:r>
          </w:p>
        </w:tc>
        <w:tc>
          <w:tcPr>
            <w:tcW w:w="5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March 31, 2017</w:t>
            </w:r>
          </w:p>
        </w:tc>
        <w:tc>
          <w:tcPr>
            <w:tcW w:w="5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June 30, 2017</w:t>
            </w:r>
          </w:p>
        </w:tc>
        <w:tc>
          <w:tcPr>
            <w:tcW w:w="5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142"/>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13,815</w:t>
            </w: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44,003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43,930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62,601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62,367</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39,497</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119,876</w:t>
            </w:r>
          </w:p>
        </w:tc>
        <w:tc>
          <w:tcPr>
            <w:tcW w:w="6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acquired intangible assets by segment for the three months ended June 30, 2017 and 2016 was as follows: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June 30, 2017</w:t>
            </w:r>
          </w:p>
        </w:tc>
        <w:tc>
          <w:tcPr>
            <w:tcW w:w="1540" w:type="dxa"/>
            <w:vAlign w:val="bottom"/>
            <w:gridSpan w:val="3"/>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June 30, 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w:t>
            </w:r>
          </w:p>
        </w:tc>
        <w:tc>
          <w:tcPr>
            <w:tcW w:w="2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w:t>
            </w:r>
          </w:p>
        </w:tc>
        <w:tc>
          <w:tcPr>
            <w:tcW w:w="2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7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 of acquired intangible assets</w:t>
            </w:r>
          </w:p>
        </w:tc>
        <w:tc>
          <w:tcPr>
            <w:tcW w:w="25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74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500" w:type="dxa"/>
            <w:vAlign w:val="bottom"/>
            <w:vMerge w:val="restart"/>
          </w:tcPr>
          <w:p>
            <w:pPr>
              <w:jc w:val="right"/>
              <w:ind w:right="1772"/>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160"/>
        <w:spacing w:after="0" w:line="34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 w:firstLine="456"/>
        <w:spacing w:after="0" w:line="284" w:lineRule="auto"/>
        <w:rPr>
          <w:sz w:val="20"/>
          <w:szCs w:val="20"/>
          <w:color w:val="auto"/>
        </w:rPr>
      </w:pPr>
      <w:r>
        <w:rPr>
          <w:rFonts w:ascii="Times New Roman" w:cs="Times New Roman" w:eastAsia="Times New Roman" w:hAnsi="Times New Roman"/>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including the orbit raising, orbital placement, in-orbit testing, transfer of control to us and entry into service of our ViaSat-2 satellite and the timing thereof;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the failure of the ViaSat-2 satellite to successfully complete orbit raising, orbital placement or in-orbit testing; our ability to realize the anticipated benefits of the ViaSat-2 and ViaSat-3 class satellites and any future satellite we may construct or acquire; unexpected expenses related to our satellite projects; our ability to realize the anticipated benefits of our strategic partnering arrangement with Eutelsat S.A. (together with its affiliates, Eutelsat) or any of our acquisitions;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2017,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conduct our business through three segments: satellite services, commercial networks and government systems.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Satellite Services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satellite services business uses our proprietary technology platform to provide satellite-based high-speed broadband services with multiple applications to consumers, enterprises, commercial airlines and mobile broadband customers. Our proprietary Ka-band satellites are at the core of our technology platform. The ViaSat-1 satellite (our first-generation high-capacity Ka-band spot-beam satellite) was placed into service in January 2012. On June 1, 2017, our second-generation ViaSat-2 satellite was successfully launched into orbit, and the satellite manufacturer will transfer title and operation of the satellite to us following the successful completion of orbit raising, orbital placement and in-orbit testing. We currently have two third-generation ViaSat-3 class satellites under construction. We also own the WildBlue-1 satellite, which was placed into service in March 2007.</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services offered by our satellite services segment are comprised of:</w:t>
      </w:r>
    </w:p>
    <w:p>
      <w:pPr>
        <w:spacing w:after="0" w:line="90" w:lineRule="exact"/>
        <w:rPr>
          <w:sz w:val="20"/>
          <w:szCs w:val="20"/>
          <w:color w:val="auto"/>
        </w:rPr>
      </w:pPr>
    </w:p>
    <w:p>
      <w:pPr>
        <w:jc w:val="both"/>
        <w:ind w:left="900" w:right="340" w:hanging="325"/>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broadband services under the Exede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Wildblue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brands, which provide consumers and businesses with high-speed broadband internet access and Voice over Internet Protocol (VoIP) services. As of June 30, 2017, we provided broadband internet services to approximately 625,000 consumer and small business subscribers.</w:t>
      </w:r>
    </w:p>
    <w:p>
      <w:pPr>
        <w:spacing w:after="0" w:line="51"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In-flight services including our flagship ViaSat in-flight internet services and aviation software services. As of June 30, 2017, 568 commercial aircraft were in service utilizing our ViaSat in-flight internet services.</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services, which provide global network management and high-speed internet connectivity services for customers using airborne, maritime and ground-mobile satellite systems.</w:t>
      </w:r>
    </w:p>
    <w:p>
      <w:pPr>
        <w:spacing w:after="0" w:line="38"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broadband services, which include business connectivity, live on-line event streaming, oil and natural gas data gathering services and high-definition satellite news gathering.</w:t>
      </w:r>
    </w:p>
    <w:p>
      <w:pPr>
        <w:spacing w:after="0" w:line="12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On March 3, 2017, we consummated our strategic partnering arrangement with Eutelsat for the ownership and operation of satellite broadband infrastructure, equipment, and provision of satellite-based broadband internet services in the European region. At the closing of the transaction, Eutelsat contributed and transferred assets relating to its existing wholesale satellite broadband business (including its KA-SAT satellite) to a subsidiary of Eutelsat, Euro Broadband Infrastructure Sàrl (Euro Infrastructure Co.), in exchange for the issuance of new shares in such subsidiary, and immediately following such contribution and issuance, we purchased 49% of the issued shares of Euro Infrastructure Co. from Eutelsat for cash consideration of $139.5 million. Our total net cash outlay for this investment in Euro Infrastructure Co., including approximately $2.4 million of transaction costs, was approximately $141.9 million. Also at the closing, Eutelsat purchased 49% of the issued shares of our subsidiary, Euro Broadband Retail Sàrl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 services in the European region.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Networks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57"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broadband satellite communication systems, designed for use in aircraft and seagoing vessels.</w:t>
      </w:r>
    </w:p>
    <w:p>
      <w:pPr>
        <w:spacing w:after="0" w:line="90"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satellite networks, including next-generation satellite network infrastructure and ground terminals to access Ka-band broadband services on high-capacity satellites.</w:t>
      </w:r>
    </w:p>
    <w:p>
      <w:pPr>
        <w:spacing w:after="0" w:line="38" w:lineRule="exact"/>
        <w:rPr>
          <w:rFonts w:ascii="Times New Roman" w:cs="Times New Roman" w:eastAsia="Times New Roman" w:hAnsi="Times New Roman"/>
          <w:sz w:val="18"/>
          <w:szCs w:val="18"/>
          <w:color w:val="auto"/>
        </w:rPr>
      </w:pPr>
    </w:p>
    <w:p>
      <w:pPr>
        <w:ind w:left="900" w:right="62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Antenna systems specializing in earth imaging, remote sensing, mobile satellite communication, Ka-band earth stations and other multi-band antennas.</w:t>
      </w:r>
    </w:p>
    <w:p>
      <w:pPr>
        <w:spacing w:after="0" w:line="38" w:lineRule="exact"/>
        <w:rPr>
          <w:rFonts w:ascii="Times New Roman" w:cs="Times New Roman" w:eastAsia="Times New Roman" w:hAnsi="Times New Roman"/>
          <w:sz w:val="18"/>
          <w:szCs w:val="18"/>
          <w:color w:val="auto"/>
        </w:rPr>
      </w:pPr>
    </w:p>
    <w:p>
      <w:pPr>
        <w:ind w:left="900" w:right="40" w:hanging="325"/>
        <w:spacing w:after="0" w:line="25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MMIC chips and WAN compression for enterprise networks,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Systems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(DoD), allied foreign governments, allied armed forces, public safety first-responders and remote government employees.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products and services of our government systems segment include:</w:t>
      </w:r>
    </w:p>
    <w:p>
      <w:pPr>
        <w:spacing w:after="0" w:line="90" w:lineRule="exact"/>
        <w:rPr>
          <w:sz w:val="20"/>
          <w:szCs w:val="20"/>
          <w:color w:val="auto"/>
        </w:rPr>
      </w:pPr>
    </w:p>
    <w:p>
      <w:pPr>
        <w:ind w:left="900" w:right="140" w:hanging="325"/>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ectPr>
          <w:pgSz w:w="11900" w:h="16838" w:orient="portrait"/>
          <w:cols w:equalWidth="0" w:num="1">
            <w:col w:w="11420"/>
          </w:cols>
          <w:pgMar w:left="240" w:top="455"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00" w:hanging="325"/>
        <w:spacing w:after="0" w:line="25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 mobile vehicles and fixed applications.</w:t>
      </w:r>
    </w:p>
    <w:p>
      <w:pPr>
        <w:spacing w:after="0" w:line="55" w:lineRule="exact"/>
        <w:rPr>
          <w:rFonts w:ascii="Times New Roman" w:cs="Times New Roman" w:eastAsia="Times New Roman" w:hAnsi="Times New Roman"/>
          <w:sz w:val="18"/>
          <w:szCs w:val="18"/>
          <w:color w:val="auto"/>
        </w:rPr>
      </w:pPr>
    </w:p>
    <w:p>
      <w:pPr>
        <w:ind w:left="900" w:right="300" w:hanging="325"/>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information assurance products, which provide advanced, high-speed IP-based “Type 1” and High Assurance Internet Protocol Encryption (HAIPE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)-compliant encryption solutions that enable military and government users to communicate information securely over networks, and that secure data stored on computers and storage devices.</w:t>
      </w:r>
    </w:p>
    <w:p>
      <w:pPr>
        <w:spacing w:after="0" w:line="51" w:lineRule="exact"/>
        <w:rPr>
          <w:rFonts w:ascii="Times New Roman" w:cs="Times New Roman" w:eastAsia="Times New Roman" w:hAnsi="Times New Roman"/>
          <w:sz w:val="18"/>
          <w:szCs w:val="18"/>
          <w:color w:val="auto"/>
        </w:rPr>
      </w:pPr>
    </w:p>
    <w:p>
      <w:pPr>
        <w:ind w:left="900" w:right="140" w:hanging="325"/>
        <w:spacing w:after="0" w:line="310" w:lineRule="auto"/>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Tactical data links, including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satellite services segment revenues are primarily derived from our fixed broadband services business, our in-flight services business and our worldwide managed network services.</w:t>
      </w:r>
    </w:p>
    <w:p>
      <w:pPr>
        <w:spacing w:after="0" w:line="120"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Revenues in our commercial networks and government systems segments are primarily derived from three types of contracts: fixed-price, time-and-materials and cost-reimbursement contracts. Fixed-price contracts (which require us to provide products and services under a contract at a specified price) comprised approximately 87% of our total revenues for these segments for the three months ended June 30, 2017 and 2016.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4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18% and 23% of our total revenues in the three months ended June 30, 2017 and 2016, respectively.</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12% and 7% of total revenues during the three months ended June 30, 2017 and 2016, respectively. As a government contractor, we are able to recover a portion of our IR&amp;D expenses pursuant to our government contracts.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June 30, 2017 and 2016, we recorded losses of approximately $2.2 million and $0.4 million, respectively, related to loss contracts.</w:t>
      </w:r>
    </w:p>
    <w:p>
      <w:pPr>
        <w:spacing w:after="0" w:line="14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June 30, 2017 would change our loss before income taxes by an insignificant amount.</w:t>
      </w:r>
    </w:p>
    <w:p>
      <w:pPr>
        <w:spacing w:after="0" w:line="14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32" w:lineRule="exact"/>
        <w:rPr>
          <w:sz w:val="20"/>
          <w:szCs w:val="20"/>
          <w:color w:val="auto"/>
        </w:rPr>
      </w:pPr>
    </w:p>
    <w:p>
      <w:pPr>
        <w:ind w:right="160" w:firstLine="456"/>
        <w:spacing w:after="0" w:line="287" w:lineRule="auto"/>
        <w:rPr>
          <w:sz w:val="20"/>
          <w:szCs w:val="20"/>
          <w:color w:val="auto"/>
        </w:rPr>
      </w:pPr>
      <w:r>
        <w:rPr>
          <w:rFonts w:ascii="Times New Roman" w:cs="Times New Roman" w:eastAsia="Times New Roman" w:hAnsi="Times New Roman"/>
          <w:sz w:val="16"/>
          <w:szCs w:val="16"/>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1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41"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the 12 months are recorded within other liabilities in the condensed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94"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satellites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own two satellites: ViaSat-1 (our first-generation high-capacity Ka-band spot-beam satellite, which was placed into service in January 2012) and WildBlue-1 (which was placed into service in March 2007). On June 1, 2017, our second-generation ViaSat-2 satellite was successfully launched into orbit, and the satellite manufacturer will transfer title and operation of the satellite to us following the successful completion of orbit raising, orbital placement and in-orbit testing. We currently have two third-generation ViaSat-3 class satellites under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and other long-term assets (property, equipment and satellites, and other assets, including goodwill)</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2017 and 2016.</w:t>
      </w:r>
    </w:p>
    <w:p>
      <w:pPr>
        <w:spacing w:after="0" w:line="14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accordance with ASC 350, we assess qualitative factors to determine whether goodwill is impaired. Furthermore, in addition to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2017, we concluded that estimated fair values of our reporting units significantly exceed their respective carrying values.</w:t>
      </w:r>
    </w:p>
    <w:p>
      <w:pPr>
        <w:spacing w:after="0" w:line="13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03"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Based on our qualitative and quantitative assessment performed during the fourth quarter of fiscal year 2017, we concluded that it was more likely than not that the estimated fair value of our reporting units exceeded their carrying value as of March 31, 2017 and, therefore, determined it was not necessary to perform the two-step goodwill impairment test.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valuation allowance on deferred tax assets</w:t>
      </w:r>
    </w:p>
    <w:p>
      <w:pPr>
        <w:spacing w:after="0" w:line="9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$17.7 million at March 31, 2017 to $18.5 million at June 30, 2017. The valuation allowance primarily relates to state net operating loss carryforwards and research and development tax credit carryforwards available to reduce state income taxes.</w:t>
      </w:r>
    </w:p>
    <w:p>
      <w:pPr>
        <w:spacing w:after="0" w:line="14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3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as a percentage of total revenues, income statement data for the periods indicated:</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5"/>
        </w:trPr>
        <w:tc>
          <w:tcPr>
            <w:tcW w:w="3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88"/>
              </w:rPr>
              <w:t>June 30,</w:t>
            </w:r>
          </w:p>
        </w:tc>
        <w:tc>
          <w:tcPr>
            <w:tcW w:w="5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200" w:type="dxa"/>
            <w:vAlign w:val="bottom"/>
          </w:tcPr>
          <w:p>
            <w:pPr>
              <w:spacing w:after="0"/>
              <w:rPr>
                <w:sz w:val="10"/>
                <w:szCs w:val="10"/>
                <w:color w:val="auto"/>
              </w:rPr>
            </w:pPr>
          </w:p>
        </w:tc>
      </w:tr>
      <w:tr>
        <w:trPr>
          <w:trHeight w:val="165"/>
        </w:trPr>
        <w:tc>
          <w:tcPr>
            <w:tcW w:w="322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Product revenues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 revenues</w:t>
            </w:r>
          </w:p>
        </w:tc>
        <w:tc>
          <w:tcPr>
            <w:tcW w:w="4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product revenues</w:t>
            </w:r>
          </w:p>
        </w:tc>
        <w:tc>
          <w:tcPr>
            <w:tcW w:w="4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shd w:val="clear" w:color="auto" w:fill="CCEEFF"/>
          </w:tcPr>
          <w:p>
            <w:pPr>
              <w:spacing w:after="0"/>
              <w:rPr>
                <w:sz w:val="18"/>
                <w:szCs w:val="18"/>
                <w:color w:val="auto"/>
              </w:rPr>
            </w:pPr>
          </w:p>
        </w:tc>
      </w:tr>
      <w:tr>
        <w:trPr>
          <w:trHeight w:val="228"/>
        </w:trPr>
        <w:tc>
          <w:tcPr>
            <w:tcW w:w="3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service revenues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spacing w:after="0"/>
              <w:rPr>
                <w:sz w:val="19"/>
                <w:szCs w:val="19"/>
                <w:color w:val="auto"/>
              </w:rPr>
            </w:pPr>
          </w:p>
        </w:tc>
      </w:tr>
      <w:tr>
        <w:trPr>
          <w:trHeight w:val="350"/>
        </w:trPr>
        <w:tc>
          <w:tcPr>
            <w:tcW w:w="3220" w:type="dxa"/>
            <w:vAlign w:val="bottom"/>
          </w:tcPr>
          <w:p>
            <w:pPr>
              <w:spacing w:after="0"/>
              <w:rPr>
                <w:sz w:val="24"/>
                <w:szCs w:val="24"/>
                <w:color w:val="auto"/>
              </w:rPr>
            </w:pPr>
          </w:p>
        </w:tc>
        <w:tc>
          <w:tcPr>
            <w:tcW w:w="3680" w:type="dxa"/>
            <w:vAlign w:val="bottom"/>
          </w:tcPr>
          <w:p>
            <w:pPr>
              <w:jc w:val="right"/>
              <w:ind w:right="2392"/>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1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5"/>
        </w:trPr>
        <w:tc>
          <w:tcPr>
            <w:tcW w:w="708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5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ViaSat, Inc.</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2017 vs. Three Months Ended June 30, 2016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48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80" w:type="dxa"/>
            <w:vAlign w:val="bottom"/>
          </w:tcPr>
          <w:p>
            <w:pPr>
              <w:spacing w:after="0"/>
              <w:rPr>
                <w:sz w:val="10"/>
                <w:szCs w:val="10"/>
                <w:color w:val="auto"/>
              </w:rPr>
            </w:pP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5020" w:type="dxa"/>
            <w:vAlign w:val="bottom"/>
            <w:gridSpan w:val="2"/>
          </w:tcPr>
          <w:p>
            <w:pPr>
              <w:jc w:val="right"/>
              <w:ind w:right="62"/>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7"/>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500" w:type="dxa"/>
            <w:vAlign w:val="bottom"/>
          </w:tcPr>
          <w:p>
            <w:pPr>
              <w:spacing w:after="0"/>
              <w:rPr>
                <w:sz w:val="13"/>
                <w:szCs w:val="13"/>
                <w:color w:val="auto"/>
              </w:rPr>
            </w:pPr>
          </w:p>
        </w:tc>
        <w:tc>
          <w:tcPr>
            <w:tcW w:w="108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4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$ 166.1</w:t>
            </w:r>
          </w:p>
        </w:tc>
        <w:tc>
          <w:tcPr>
            <w:tcW w:w="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160.7</w:t>
            </w: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4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total revenues grew by $16.9 million as a result of an $11.5 million increase in service revenues and a $5.4 million increase in product revenues. The service revenue increase was primarily driven by increases of $6.3 million in our satellite services segment and $3.4 million in our government systems segment. The product revenue increase was driven by an increase of $34.0 million in our government systems segment, partially offset by decreases of $22.1 million in our commercial networks segment and $6.5 million in our satellite services segment. The decrease in product revenue in our satellite services segment reflected the payments under our settlement agreement with Space Systems Loral, Inc. and its former parent company Loral Space &amp; Communications, Inc. (the Settlement Agreement) recognized as product revenue in the prior year period. As of March 31, 2017 all payments pursuant to the Settlement Agreement had been recorded and no further impacts to our consolidated financial statements are anticipated related to the Settlement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48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80" w:type="dxa"/>
            <w:vAlign w:val="bottom"/>
          </w:tcPr>
          <w:p>
            <w:pPr>
              <w:spacing w:after="0"/>
              <w:rPr>
                <w:sz w:val="10"/>
                <w:szCs w:val="10"/>
                <w:color w:val="auto"/>
              </w:rPr>
            </w:pP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5020" w:type="dxa"/>
            <w:vAlign w:val="bottom"/>
            <w:gridSpan w:val="2"/>
          </w:tcPr>
          <w:p>
            <w:pPr>
              <w:jc w:val="right"/>
              <w:ind w:right="62"/>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7"/>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500" w:type="dxa"/>
            <w:vAlign w:val="bottom"/>
          </w:tcPr>
          <w:p>
            <w:pPr>
              <w:spacing w:after="0"/>
              <w:rPr>
                <w:sz w:val="13"/>
                <w:szCs w:val="13"/>
                <w:color w:val="auto"/>
              </w:rPr>
            </w:pPr>
          </w:p>
        </w:tc>
        <w:tc>
          <w:tcPr>
            <w:tcW w:w="108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revenues</w:t>
            </w:r>
          </w:p>
        </w:tc>
        <w:tc>
          <w:tcPr>
            <w:tcW w:w="4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$ 122.6</w:t>
            </w:r>
          </w:p>
        </w:tc>
        <w:tc>
          <w:tcPr>
            <w:tcW w:w="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w:t>
            </w: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revenues</w:t>
            </w:r>
          </w:p>
        </w:tc>
        <w:tc>
          <w:tcPr>
            <w:tcW w:w="4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$ 260.5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Cost of revenues increased by $12.2 million due to increases of $10.3 million in cost of service revenues and $2.0 million in cost of product revenues. The cost of service revenue increase was primarily due to increased service revenues, which generated a $7.2 million increase in cost of service revenues on a constant margin basis. This cost of service revenue increase mainly related to our fixed broadband services and in-flight services in our satellite services segment and government satellite communication systems services in our government systems segment, coupled with lower margins for our in-flight services and Exede broadband services in our satellite services segment due to large-scale commercial air in-flight connectivity service ramp up and preparation for the ViaSat-2 service launch. The cost of product revenue increase was primarily due to increased product revenues, causing a $9.4 million increase in cost of product revenues on a constant margin basis, prior to the effects of product revenues related to the implied license under the Settlement Agreement. This cost of product revenue increase mainly related to our tactical data links products and global mobile broadband products in our government systems segment, and was partially offset by improved margins across our government systems segment.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360" w:type="dxa"/>
            <w:vAlign w:val="bottom"/>
            <w:vMerge w:val="restart"/>
          </w:tcPr>
          <w:p>
            <w:pPr>
              <w:spacing w:after="0"/>
              <w:rPr>
                <w:sz w:val="10"/>
                <w:szCs w:val="10"/>
                <w:color w:val="auto"/>
              </w:rPr>
            </w:pPr>
          </w:p>
        </w:tc>
        <w:tc>
          <w:tcPr>
            <w:tcW w:w="192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0"/>
                <w:szCs w:val="10"/>
                <w:color w:val="auto"/>
              </w:rPr>
            </w:pPr>
          </w:p>
        </w:tc>
        <w:tc>
          <w:tcPr>
            <w:tcW w:w="1160" w:type="dxa"/>
            <w:vAlign w:val="bottom"/>
            <w:gridSpan w:val="3"/>
          </w:tcPr>
          <w:p>
            <w:pPr>
              <w:jc w:val="center"/>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440" w:type="dxa"/>
            <w:vAlign w:val="bottom"/>
            <w:gridSpan w:val="2"/>
          </w:tcPr>
          <w:p>
            <w:pPr>
              <w:jc w:val="right"/>
              <w:ind w:right="46"/>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3"/>
                <w:szCs w:val="13"/>
                <w:color w:val="auto"/>
              </w:rPr>
            </w:pPr>
          </w:p>
        </w:tc>
        <w:tc>
          <w:tcPr>
            <w:tcW w:w="860" w:type="dxa"/>
            <w:vAlign w:val="bottom"/>
            <w:gridSpan w:val="2"/>
          </w:tcPr>
          <w:p>
            <w:pPr>
              <w:jc w:val="right"/>
              <w:ind w:right="8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Pr>
          <w:p>
            <w:pPr>
              <w:spacing w:after="0"/>
              <w:rPr>
                <w:sz w:val="13"/>
                <w:szCs w:val="13"/>
                <w:color w:val="auto"/>
              </w:rPr>
            </w:pPr>
          </w:p>
        </w:tc>
        <w:tc>
          <w:tcPr>
            <w:tcW w:w="1160" w:type="dxa"/>
            <w:vAlign w:val="bottom"/>
            <w:gridSpan w:val="3"/>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89.2</w:t>
            </w:r>
          </w:p>
        </w:tc>
        <w:tc>
          <w:tcPr>
            <w:tcW w:w="28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79.4</w:t>
            </w: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w:t>
            </w:r>
          </w:p>
        </w:tc>
        <w:tc>
          <w:tcPr>
            <w:tcW w:w="5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$9.8 million increase in selling, general and administrative (SG&amp;A) expenses was primarily attributable to higher support costs of $10.5 million spread across all three segments. SG&amp;A expenses consisted primarily of personnel costs and expenses for business development, marketing and sales, bid and proposal, facilities, finance, contract administration and general management.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research and development</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260" w:type="dxa"/>
            <w:vAlign w:val="bottom"/>
            <w:vMerge w:val="restart"/>
          </w:tcPr>
          <w:p>
            <w:pPr>
              <w:spacing w:after="0"/>
              <w:rPr>
                <w:sz w:val="10"/>
                <w:szCs w:val="10"/>
                <w:color w:val="auto"/>
              </w:rPr>
            </w:pPr>
          </w:p>
        </w:tc>
        <w:tc>
          <w:tcPr>
            <w:tcW w:w="10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0"/>
                <w:szCs w:val="10"/>
                <w:color w:val="auto"/>
              </w:rPr>
            </w:pPr>
          </w:p>
        </w:tc>
        <w:tc>
          <w:tcPr>
            <w:tcW w:w="1160" w:type="dxa"/>
            <w:vAlign w:val="bottom"/>
            <w:gridSpan w:val="2"/>
          </w:tcPr>
          <w:p>
            <w:pPr>
              <w:jc w:val="center"/>
              <w:ind w:right="5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4260" w:type="dxa"/>
            <w:vAlign w:val="bottom"/>
            <w:vMerge w:val="continue"/>
          </w:tcPr>
          <w:p>
            <w:pPr>
              <w:spacing w:after="0"/>
              <w:rPr>
                <w:sz w:val="13"/>
                <w:szCs w:val="13"/>
                <w:color w:val="auto"/>
              </w:rPr>
            </w:pPr>
          </w:p>
        </w:tc>
        <w:tc>
          <w:tcPr>
            <w:tcW w:w="520" w:type="dxa"/>
            <w:vAlign w:val="bottom"/>
          </w:tcPr>
          <w:p>
            <w:pPr>
              <w:jc w:val="right"/>
              <w:ind w:right="47"/>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Pr>
          <w:p>
            <w:pPr>
              <w:spacing w:after="0"/>
              <w:rPr>
                <w:sz w:val="13"/>
                <w:szCs w:val="13"/>
                <w:color w:val="auto"/>
              </w:rPr>
            </w:pPr>
          </w:p>
        </w:tc>
        <w:tc>
          <w:tcPr>
            <w:tcW w:w="580" w:type="dxa"/>
            <w:vAlign w:val="bottom"/>
          </w:tcPr>
          <w:p>
            <w:pPr>
              <w:jc w:val="right"/>
              <w:ind w:right="86"/>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13"/>
                <w:szCs w:val="13"/>
                <w:color w:val="auto"/>
              </w:rPr>
            </w:pPr>
          </w:p>
        </w:tc>
        <w:tc>
          <w:tcPr>
            <w:tcW w:w="1160" w:type="dxa"/>
            <w:vAlign w:val="bottom"/>
            <w:gridSpan w:val="2"/>
          </w:tcPr>
          <w:p>
            <w:pPr>
              <w:jc w:val="center"/>
              <w:ind w:right="5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6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research and development</w:t>
            </w:r>
          </w:p>
        </w:tc>
        <w:tc>
          <w:tcPr>
            <w:tcW w:w="5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45.1</w:t>
            </w:r>
          </w:p>
        </w:tc>
        <w:tc>
          <w:tcPr>
            <w:tcW w:w="5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25.2</w:t>
            </w:r>
          </w:p>
        </w:tc>
        <w:tc>
          <w:tcPr>
            <w:tcW w:w="5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19.9</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$19.9 million increase in IR&amp;D expenses was primarily the result of increased IR&amp;D efforts of $15.0 million in our commercial networks segment (primarily related to an increase in IR&amp;D efforts relating to next-generation satellite payload technologies for our ViaSat-3 class satellites and mobile broadband satellite communication systems for commercial airline platforms) and $4.9 million in our government systems segment (primarily related to research increases in the development of next-generation dual band mobility solutions).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9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amortize our acquired intangible assets from prior acquisitions over their estimated useful lives, which range from two to ten years. The $0.7 million increase in amortization of acquired intangible assets in the first quarter of fiscal year 2018 compared to the prior year period was primarily the result of our acquisition of Aerodocs Limited (Arconics) in November 2016. Current and expected amortization expense for acquired intangible assets for each of the following periods is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June 30, 2017</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60" w:type="dxa"/>
            <w:vAlign w:val="bottom"/>
            <w:shd w:val="clear" w:color="auto" w:fill="CCEEFF"/>
          </w:tcPr>
          <w:p>
            <w:pPr>
              <w:spacing w:after="0"/>
              <w:rPr>
                <w:sz w:val="18"/>
                <w:szCs w:val="18"/>
                <w:color w:val="auto"/>
              </w:rPr>
            </w:pPr>
          </w:p>
        </w:tc>
      </w:tr>
      <w:tr>
        <w:trPr>
          <w:trHeight w:val="32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the remainder of fiscal year 2018</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60" w:type="dxa"/>
            <w:vAlign w:val="bottom"/>
          </w:tcPr>
          <w:p>
            <w:pPr>
              <w:spacing w:after="0"/>
              <w:rPr>
                <w:sz w:val="24"/>
                <w:szCs w:val="24"/>
                <w:color w:val="auto"/>
              </w:rPr>
            </w:pPr>
          </w:p>
        </w:tc>
      </w:tr>
      <w:tr>
        <w:trPr>
          <w:trHeight w:val="21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 fiscal year 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Expected for fiscal year 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39,497</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$0.2 million decrease in interest income in the three months ended June 30, 2017 compared to the prior year period was primarily due to the effect of payments under the Settlement Agreement recognized as interest income in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$5.1 million decrease in interest expense in the three months ended June 30, 2017 compared to the prior year period was primarily due to an increase of $4.4 million in the amount of interest capitalized during the first quarter of fiscal year 2018 compared to the prior year period. Capitalized interest expense during the three months ended June 30, 2017 and 2016 related to the construction of our ViaSat-2 satellite and related gateway and networking equipment, construction of our ViaSat-3 class satellites and other assets.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(provision for) income taxes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2017, we recorded an income tax benefit of $9.2 million, resulting in an effective tax benefit rate of 51.2%. For the three months ended June 30, 2016, we recorded an income tax provision of $0.8 million, resulting in an effective tax rate of 27.3%. The effective tax rates for the periods differed from the U.S. statutory rate due primarily to the benefit of research and development tax credits. The effective tax rate in the first quarter of fiscal year 2017 also reflects an increase in valuation allowances on state net operating losses and state research and development tax credits.</w:t>
      </w:r>
    </w:p>
    <w:p>
      <w:pPr>
        <w:spacing w:after="0" w:line="136"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 However, when a reliable estimate cannot be made, we compute our provision for income taxes using the actual effective tax rate method for the year-to-date period. For the three months ended June 30, 2016, we used the actual effective tax rate method in calculating the income tax provision for the period as a reliable estimate of the annual effective tax rate could not be made.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for the Three Months Ended June 30, 2017 vs. Three Months Ended June 30, 2016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 services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3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0"/>
                <w:szCs w:val="10"/>
                <w:color w:val="auto"/>
              </w:rPr>
            </w:pPr>
          </w:p>
        </w:tc>
        <w:tc>
          <w:tcPr>
            <w:tcW w:w="11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40"/>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7"/>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480" w:type="dxa"/>
            <w:vAlign w:val="bottom"/>
          </w:tcPr>
          <w:p>
            <w:pPr>
              <w:spacing w:after="0"/>
              <w:rPr>
                <w:sz w:val="13"/>
                <w:szCs w:val="13"/>
                <w:color w:val="auto"/>
              </w:rPr>
            </w:pPr>
          </w:p>
        </w:tc>
        <w:tc>
          <w:tcPr>
            <w:tcW w:w="11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4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152.0</w:t>
            </w:r>
          </w:p>
        </w:tc>
        <w:tc>
          <w:tcPr>
            <w:tcW w:w="12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152.2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satellite services segment revenues decreased slightly by $0.2 million primarily as a result of a $6.5 million decrease in product revenues, partially offset by a $6.3 million increase in service revenues. The decrease in product revenues reflected the payments under the Settlement Agreement recognized as product revenue in the prior year period. As of March 31, 2017 all payments pursuant to the Settlement Agreement had been recorded and no further impacts to our consolidated financial statements are anticipated related to the Settlement Agreement. The increase in service revenues was primarily driven by expansion of our in-flight services, as well as fixed broadband services due to higher average revenue per broadband subscriber compared to the prior year period (which more than offset the effects of the decrease in the overall number of residential subscribers). As of June 30, 2017, 568 commercial aircraft were in service utilizing our in-flight internet services, compared to 509 commercial aircraft in service as of June 30, 2016. Total subscribers of our broadband internet services decreased year over year, with approximately 625,000 subscribers at June 30, 2017 compared to 696,000 subscribers at June 30, 2016.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3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060" w:type="dxa"/>
            <w:vAlign w:val="bottom"/>
            <w:vMerge w:val="restart"/>
          </w:tcPr>
          <w:p>
            <w:pPr>
              <w:spacing w:after="0"/>
              <w:rPr>
                <w:sz w:val="10"/>
                <w:szCs w:val="10"/>
                <w:color w:val="auto"/>
              </w:rPr>
            </w:pPr>
          </w:p>
        </w:tc>
        <w:tc>
          <w:tcPr>
            <w:tcW w:w="90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680" w:type="dxa"/>
            <w:vAlign w:val="bottom"/>
          </w:tcPr>
          <w:p>
            <w:pPr>
              <w:spacing w:after="0"/>
              <w:rPr>
                <w:sz w:val="10"/>
                <w:szCs w:val="10"/>
                <w:color w:val="auto"/>
              </w:rPr>
            </w:pPr>
          </w:p>
        </w:tc>
        <w:tc>
          <w:tcPr>
            <w:tcW w:w="1200" w:type="dxa"/>
            <w:vAlign w:val="bottom"/>
            <w:gridSpan w:val="2"/>
          </w:tcPr>
          <w:p>
            <w:pPr>
              <w:jc w:val="center"/>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4060" w:type="dxa"/>
            <w:vAlign w:val="bottom"/>
            <w:vMerge w:val="continue"/>
          </w:tcPr>
          <w:p>
            <w:pPr>
              <w:spacing w:after="0"/>
              <w:rPr>
                <w:sz w:val="13"/>
                <w:szCs w:val="13"/>
                <w:color w:val="auto"/>
              </w:rPr>
            </w:pPr>
          </w:p>
        </w:tc>
        <w:tc>
          <w:tcPr>
            <w:tcW w:w="480" w:type="dxa"/>
            <w:vAlign w:val="bottom"/>
          </w:tcPr>
          <w:p>
            <w:pPr>
              <w:jc w:val="right"/>
              <w:ind w:right="24"/>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3"/>
                <w:szCs w:val="13"/>
                <w:color w:val="auto"/>
              </w:rPr>
            </w:pPr>
          </w:p>
        </w:tc>
        <w:tc>
          <w:tcPr>
            <w:tcW w:w="760" w:type="dxa"/>
            <w:vAlign w:val="bottom"/>
            <w:gridSpan w:val="2"/>
          </w:tcPr>
          <w:p>
            <w:pPr>
              <w:jc w:val="right"/>
              <w:ind w:right="4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Pr>
          <w:p>
            <w:pPr>
              <w:spacing w:after="0"/>
              <w:rPr>
                <w:sz w:val="13"/>
                <w:szCs w:val="13"/>
                <w:color w:val="auto"/>
              </w:rPr>
            </w:pPr>
          </w:p>
        </w:tc>
        <w:tc>
          <w:tcPr>
            <w:tcW w:w="120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$ 18.8</w:t>
            </w:r>
          </w:p>
        </w:tc>
        <w:tc>
          <w:tcPr>
            <w:tcW w:w="42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$ 30.9</w:t>
            </w:r>
          </w:p>
        </w:tc>
        <w:tc>
          <w:tcPr>
            <w:tcW w:w="6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  (12.0)</w:t>
            </w:r>
          </w:p>
        </w:tc>
        <w:tc>
          <w:tcPr>
            <w:tcW w:w="6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20.3%</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decrease in our satellite services segment operating profit was driven primarily by lower earnings contributions of $9.7 million primarily due to the decrease in product revenues resulting from the completion of payments under the Settlement Agreement during fiscal year 2017, as well as increases in cost of service revenues related to in-flight services and fixed broadband services due to large-scale commercial air in-flight connectivity service ramp up and preparation for the ViaSat-2 service launch.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networks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400" w:type="dxa"/>
            <w:vAlign w:val="bottom"/>
          </w:tcPr>
          <w:p>
            <w:pPr>
              <w:spacing w:after="0"/>
              <w:rPr>
                <w:sz w:val="10"/>
                <w:szCs w:val="10"/>
                <w:color w:val="auto"/>
              </w:rPr>
            </w:pPr>
          </w:p>
        </w:tc>
        <w:tc>
          <w:tcPr>
            <w:tcW w:w="5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0"/>
                <w:szCs w:val="10"/>
                <w:color w:val="auto"/>
              </w:rPr>
            </w:pPr>
          </w:p>
        </w:tc>
        <w:tc>
          <w:tcPr>
            <w:tcW w:w="5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0"/>
                <w:szCs w:val="10"/>
                <w:color w:val="auto"/>
              </w:rPr>
            </w:pPr>
          </w:p>
        </w:tc>
        <w:tc>
          <w:tcPr>
            <w:tcW w:w="114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0"/>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7"/>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Pr>
          <w:p>
            <w:pPr>
              <w:spacing w:after="0"/>
              <w:rPr>
                <w:sz w:val="13"/>
                <w:szCs w:val="13"/>
                <w:color w:val="auto"/>
              </w:rPr>
            </w:pPr>
          </w:p>
        </w:tc>
        <w:tc>
          <w:tcPr>
            <w:tcW w:w="11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44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58.6</w:t>
            </w: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4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commercial networks segment revenues decreased by $20.3 million, due to a $22.1 million decrease in product revenues, offset by a $1.8 million increase in service revenues. The decrease in product revenues was primarily due to a decrease of $22.4 million in fixed satellite networks products (mainly due to a decrease in broadband terminal orders from our large-scale Australian Ka-band infrastructure project that commenced last fiscal 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loss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120" w:type="dxa"/>
            <w:vAlign w:val="bottom"/>
            <w:vMerge w:val="restart"/>
          </w:tcPr>
          <w:p>
            <w:pPr>
              <w:spacing w:after="0"/>
              <w:rPr>
                <w:sz w:val="10"/>
                <w:szCs w:val="10"/>
                <w:color w:val="auto"/>
              </w:rPr>
            </w:pPr>
          </w:p>
        </w:tc>
        <w:tc>
          <w:tcPr>
            <w:tcW w:w="184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7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(Increase)</w:t>
            </w:r>
          </w:p>
        </w:tc>
        <w:tc>
          <w:tcPr>
            <w:tcW w:w="9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2400" w:type="dxa"/>
            <w:vAlign w:val="bottom"/>
            <w:gridSpan w:val="2"/>
          </w:tcPr>
          <w:p>
            <w:pPr>
              <w:jc w:val="right"/>
              <w:ind w:right="66"/>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Pr>
          <w:p>
            <w:pPr>
              <w:spacing w:after="0"/>
              <w:rPr>
                <w:sz w:val="13"/>
                <w:szCs w:val="13"/>
                <w:color w:val="auto"/>
              </w:rPr>
            </w:pPr>
          </w:p>
        </w:tc>
        <w:tc>
          <w:tcPr>
            <w:tcW w:w="480" w:type="dxa"/>
            <w:vAlign w:val="bottom"/>
          </w:tcPr>
          <w:p>
            <w:pPr>
              <w:jc w:val="right"/>
              <w:ind w:right="2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9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Decrease</w:t>
            </w: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8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 (66.1)</w:t>
            </w:r>
          </w:p>
        </w:tc>
        <w:tc>
          <w:tcPr>
            <w:tcW w:w="72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0"/>
              </w:rPr>
              <w:t>$ (38.5)</w:t>
            </w:r>
          </w:p>
        </w:tc>
        <w:tc>
          <w:tcPr>
            <w:tcW w:w="4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4"/>
              </w:rPr>
              <w:t>$  (27.6)</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3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(146.1)%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$27.6 million increase in our commercial networks segment operating loss was driven primarily by a $15.0 million increase in IR&amp;D expenses (primarily due to an increase in IR&amp;D efforts relating to next-generation satellite payload technologies for our ViaSat-3 class satellites and mobile broadband satellite communication systems for commercial airline platforms) and lower earnings contributions of $8.8 million (primarily due to lower revenues in fixed satellite network products and lower margins in our mobile broadband satellite communication systems due to a ramp up of mobile terminal deliveries that are expected to occur in the second half of fiscal year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systems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48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80" w:type="dxa"/>
            <w:vAlign w:val="bottom"/>
          </w:tcPr>
          <w:p>
            <w:pPr>
              <w:spacing w:after="0"/>
              <w:rPr>
                <w:sz w:val="10"/>
                <w:szCs w:val="10"/>
                <w:color w:val="auto"/>
              </w:rPr>
            </w:pP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2"/>
        </w:trPr>
        <w:tc>
          <w:tcPr>
            <w:tcW w:w="2000" w:type="dxa"/>
            <w:vAlign w:val="bottom"/>
            <w:gridSpan w:val="2"/>
            <w:vMerge w:val="continue"/>
          </w:tcPr>
          <w:p>
            <w:pPr>
              <w:spacing w:after="0"/>
              <w:rPr>
                <w:sz w:val="13"/>
                <w:szCs w:val="13"/>
                <w:color w:val="auto"/>
              </w:rPr>
            </w:pPr>
          </w:p>
        </w:tc>
        <w:tc>
          <w:tcPr>
            <w:tcW w:w="5020" w:type="dxa"/>
            <w:vAlign w:val="bottom"/>
            <w:gridSpan w:val="2"/>
          </w:tcPr>
          <w:p>
            <w:pPr>
              <w:jc w:val="right"/>
              <w:ind w:right="62"/>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7"/>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500" w:type="dxa"/>
            <w:vAlign w:val="bottom"/>
          </w:tcPr>
          <w:p>
            <w:pPr>
              <w:spacing w:after="0"/>
              <w:rPr>
                <w:sz w:val="13"/>
                <w:szCs w:val="13"/>
                <w:color w:val="auto"/>
              </w:rPr>
            </w:pPr>
          </w:p>
        </w:tc>
        <w:tc>
          <w:tcPr>
            <w:tcW w:w="108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product revenues</w:t>
            </w:r>
          </w:p>
        </w:tc>
        <w:tc>
          <w:tcPr>
            <w:tcW w:w="4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$ 129.4</w:t>
            </w:r>
          </w:p>
        </w:tc>
        <w:tc>
          <w:tcPr>
            <w:tcW w:w="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95.4</w:t>
            </w: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34.0</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Segment service revenues</w:t>
            </w:r>
          </w:p>
        </w:tc>
        <w:tc>
          <w:tcPr>
            <w:tcW w:w="4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5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$ 182.6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government systems segment revenues increased by $37.4 million due to increases of $34.0 million in product revenues and $3.4 million in service revenues. The product revenue increase was primarily due to a $14.9 million increase in tactical data link products, an $11.0 million increase in global mobile broadband products and an $8.1 million increase in government satellite communication systems. The service revenue increase was primarily due to a $2.7 million increase in global mobile broadband services and a $2.6 million increase in government satellite communication systems services, partially offset by a $1.2 million decrease in our network management services for Wi-Fi and other internet access networks.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240" w:top="455" w:right="3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profit</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Dollar</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25"/>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220" w:type="dxa"/>
            <w:vAlign w:val="bottom"/>
            <w:vMerge w:val="restart"/>
          </w:tcPr>
          <w:p>
            <w:pPr>
              <w:spacing w:after="0"/>
              <w:rPr>
                <w:sz w:val="10"/>
                <w:szCs w:val="10"/>
                <w:color w:val="auto"/>
              </w:rPr>
            </w:pPr>
          </w:p>
        </w:tc>
        <w:tc>
          <w:tcPr>
            <w:tcW w:w="194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30,</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440" w:type="dxa"/>
            <w:vAlign w:val="bottom"/>
            <w:gridSpan w:val="2"/>
          </w:tcPr>
          <w:p>
            <w:pPr>
              <w:jc w:val="right"/>
              <w:ind w:right="46"/>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3"/>
                <w:szCs w:val="13"/>
                <w:color w:val="auto"/>
              </w:rPr>
            </w:pPr>
          </w:p>
        </w:tc>
        <w:tc>
          <w:tcPr>
            <w:tcW w:w="760" w:type="dxa"/>
            <w:vAlign w:val="bottom"/>
            <w:gridSpan w:val="2"/>
          </w:tcPr>
          <w:p>
            <w:pPr>
              <w:jc w:val="right"/>
              <w:ind w:right="22"/>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54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8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(Decrease)</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19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$ 32.6</w:t>
            </w:r>
          </w:p>
        </w:tc>
        <w:tc>
          <w:tcPr>
            <w:tcW w:w="4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$ 18.0</w:t>
            </w:r>
          </w:p>
        </w:tc>
        <w:tc>
          <w:tcPr>
            <w:tcW w:w="42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14.6</w:t>
            </w:r>
          </w:p>
        </w:tc>
        <w:tc>
          <w:tcPr>
            <w:tcW w:w="5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segment revenues</w:t>
            </w:r>
          </w:p>
        </w:tc>
        <w:tc>
          <w:tcPr>
            <w:tcW w:w="2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17.9%</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$14.6 million increase in our government systems segment operating profit reflected higher earnings contributions of $23.1 million primarily due to higher revenues in our tactical data links products, global mobile broadband products and services and government satellite communication systems products. This operating profit increase was partially offset by overall higher IR&amp;D costs of $4.9 million (primarily related to research increases in the development of next-generation dual band mobility solutions) and higher SG&amp;A costs of $3.6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reflected in the table below, our overall firm and funded backlog increased during the first three months of fiscal year 2018. The increases in both firm and funded backlog were attributable to increases in our government systems segment.</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June 30, 2017</w:t>
            </w:r>
          </w:p>
        </w:tc>
        <w:tc>
          <w:tcPr>
            <w:tcW w:w="1700" w:type="dxa"/>
            <w:vAlign w:val="bottom"/>
            <w:gridSpan w:val="4"/>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w w:val="94"/>
              </w:rPr>
              <w:t>March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Satellite services segment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9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Government systems segment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9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18"/>
                <w:szCs w:val="18"/>
                <w:u w:val="single" w:color="auto"/>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Funded backlog</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services segment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9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Commercial networks segment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74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firm backlog does not include contract options. Of the $1.1 billion in firm backlog, $487.0 million is expected to be delivered during the remaining nine months of fiscal year 2018, and the balance is expected to be delivered in fiscal year 2019 and thereafter. We include in our backlog only those orders for which we have accepted purchase orders. Backlog does not include contracts with our Exede broadband internet subscribers in our satellite services segment, nor does it include anticipated purchase orders and requests for the installation of in-flight broadband systems or future recurring internet services revenues under commercial in-flight internet agreements recorded in our commercial networks and satellite services segments, respectively. As of June 30, 2017, we expect to install in-flight broadband systems on approximately 840 additional aircraft under our existing customer agreements with commercial airlines, approximately 50 of which relate to accepted purchase orders (and are included in firm backlog in our commercial networks segment) and approximately 790 of which relate to anticipated purchase orders and requests under existing customer agreements. There can be no assurance that all anticipated purchase orders and requests will be placed.</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total new awards were approximately $441.8 million and $336.3 million for the three months ended June 30, 2017 and 2016, respectively.</w:t>
      </w:r>
    </w:p>
    <w:p>
      <w:pPr>
        <w:spacing w:after="0" w:line="17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240" w:top="455" w:right="3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We have financed our operations to date primarily with cash flows from operations, bank line of credit financing, debt financing, export credit agency financing and equity financing. At June 30, 2017, we had $160.6 million in cash and cash equivalents, $312.2 million in working capital, no outstanding borrowings under our revolving credit facility (the Revolving Credit Facility) and $274.6 million in principal amount of outstanding borrowings under our direct loan facility with the Export-Import Bank of the United States for ViaSat-2 (the Ex-Im Credit Facility and, together with the Revolving Credit Facility, the Credit Facilities), and we had accrued $29.5 million in completion exposure fees expected to be financed under the Ex-Im Credit Facility. At March 31, 2017, we had $130.1 million in cash and cash equivalents, $289.3 million in working capital, no outstanding borrowings under our Revolving Credit Facility and</w:t>
      </w:r>
    </w:p>
    <w:p>
      <w:pPr>
        <w:spacing w:after="0" w:line="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$274.6 million in principal amount of outstanding borrowings under our Ex-Im Credit Facility, and we had accrued $29.5 million in completion exposure fees expected to be financed under the Ex-Im Credit Facility. We invest our cash in excess of current operating requirements in short-term, interest-bearing, investment-grade securities.</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upon many factors, including the timing and amount of cash required for our satellite projects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and strategic partnering arrangements (such as our Eutelsat strategic partnering arrangement)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39"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12 months.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first three months of fiscal year 2018 was $153.7 million compared to $62.1 million in the prior year period. This $91.5 million increase was primarily driven by a $104.3 million year-over-year decrease in cash used to fund net operating assets needs, partially offset by our operating results (net income adjusted for depreciation, amortization and other non-cash charges) which used $12.8 million of higher cash outflows year-over-year. The decrease in cash used to fund net operating assets during the first three months of fiscal year 2018 when compared to the prior year period was primarily due to an increase in our collections in excess of revenues and deferred revenues included in accrued liabilities and other liabilities across all three segments, as well as lower combined billed and unbilled accounts receivable, net, attributable to the timing of contractual milestones for certain larger development programs in our government systems and commercial networks segments.</w:t>
      </w:r>
    </w:p>
    <w:p>
      <w:pPr>
        <w:spacing w:after="0" w:line="14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the first three months of fiscal year 2018 was $128.1 million compared to $142.1 million in the prior year period. The decrease in cash used in investing activities year-over-year reflects a decrease of $21.2 million in cash used for satellite construction, partially offset by increases of $5.7 million in capital expenditures for property and other general purpose equipment and $4.7 million for the construction of earth stations and network operation systems related to the ViaSat-2 satellite.</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for the first three months of fiscal year 2018 was $4.9 million compared to $85.3 million for the prior year period. This $80.4 million decrease in cash provided by financing activities year-over-year was primarily related to a year-over-year decrease of $67.2 million in net proceeds from borrowings under our Ex-Im Credit Facility as well as a $20.0 million decrease in proceeds from borrowings under our Revolving Credit Facility during the first three months of fiscal year 2018, compared to the prior year period. This decrease was partially offset by a year-over-year decrease of $6.3 million related to payments of debt issuance costs.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Satellite-related activities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May 2013, we entered into an agreement to purchase the ViaSat-2 satellite from The Boeing Company (Boeing). In April 2017, the satellite construction agreement was amended to replace the remaining milestone payments for the satellite under the agreement with approximately $21.0 million of in-orbit satellite performance incentive payments, excluding interest, payable monthly over a nine-year period commencing one month after the completion of in-orbit testing, subject to the continued satisfactory performance of the satellite. On June 1, 2017, ViaSat-2 was successfully launched into orbit. Boeing will transfer control of the satellite to us following the successful completion of orbit raising, orbital placement and in-orbit testing.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believe the roll-out of our ViaSat-2 satellite and related ground infrastructure will impact our financial results in our satellite services segment in the remainder of fiscal year 2018 and beyond. In particular, we expect to continue to incur capital expenditures in ground infrastructure for the satellite, and to increase our investment in subscriber acquisition costs after ViaSat-2 is placed into service as we expand our subscriber base for our Exede broadband services. However, there can be no assurance that we will be successful in our expansion plans. During the period from 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which negatively impacted income from our operations during that period, included costs associated with depreciation, earth station connectivity, subscriber acquisition costs, logistics, customer care and various support systems. We expect the relative impact of the launch and roll-out of our ViaSat-2 satellite and related ground infrastructure to our financial results to be less than we experienced in relation to the launch and roll-out of our ViaSat-1 satellite and related ground infrastructure.</w:t>
      </w:r>
    </w:p>
    <w:p>
      <w:pPr>
        <w:spacing w:after="0" w:line="141"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In July 2016, we entered into two separate agreements with Boeing for the construction and purchase of two ViaSat-3 class satellites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These agreements supersede the prior limited authorization to proceed, which was entered into during the fourth quarter of fiscal year 2016. The first ViaSat-3 class satellite is expected to provide broadband services over the Americas, and the second is expected to provide broadband services over the Europe, Middle East and Africa (EMEA) region. The projected aggregate total project cost for the two ViaSat-3 class satellites, including the satellites, launches, insurance and related earth station infrastructure, through satellite launch is estimated to be between $1.2 billion and $1.4 billion, and will depend on the timing of the earth station infrastructure roll-out of each satellite and the method we use to procure fiber access.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331" w:lineRule="exact"/>
        <w:rPr>
          <w:sz w:val="20"/>
          <w:szCs w:val="20"/>
          <w:color w:val="auto"/>
        </w:rPr>
      </w:pPr>
    </w:p>
    <w:p>
      <w:pPr>
        <w:jc w:val="both"/>
        <w:ind w:right="200" w:firstLine="456"/>
        <w:spacing w:after="0" w:line="339" w:lineRule="auto"/>
        <w:rPr>
          <w:sz w:val="20"/>
          <w:szCs w:val="20"/>
          <w:color w:val="auto"/>
        </w:rPr>
      </w:pPr>
      <w:r>
        <w:rPr>
          <w:rFonts w:ascii="Times New Roman" w:cs="Times New Roman" w:eastAsia="Times New Roman" w:hAnsi="Times New Roman"/>
          <w:sz w:val="16"/>
          <w:szCs w:val="16"/>
          <w:color w:val="auto"/>
        </w:rPr>
        <w:t>Our IR&amp;D investments in our ViaSat-3 class satellites currently under construction are expected to continue to negatively impact our financial results in our commercial networks segment in fiscal year 2018, with our investments in related ground infrastructure development continuing in subsequent fiscal years.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94"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As of June 30, 2017, the Revolving Credit Facility provided an $800.0 million revolving line of credit (including up to $150.0 million of letters of credit) with a maturity date of May 24, 2021 (or March 16, 2020, if more than $200.0 million of our 2020 Notes are then outstanding and certain conditions are met).</w:t>
      </w:r>
    </w:p>
    <w:p>
      <w:pPr>
        <w:spacing w:after="0" w:line="7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June 30, 2017, none of our subsidiaries guaranteed the Revolving Credit Facility.</w:t>
      </w:r>
    </w:p>
    <w:p>
      <w:pPr>
        <w:spacing w:after="0" w:line="13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3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At June 30, 2017, we had no outstanding borrowings under the Revolving Credit Facility and $37.1 million outstanding under standby letters of credit, leaving borrowing availability under the Revolving Credit Facility as of June 30, 2017 of $762.9 million.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Ex-Im Credit Facility</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June 30, 2017, the Ex-Im Credit Facility provided a $362.4 million senior secured direct loan facility, $321.2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$41.2 million (depending on the total amount of financing borrowed under the Ex-Im Credit Facility).</w:t>
      </w:r>
    </w:p>
    <w:p>
      <w:pPr>
        <w:spacing w:after="0" w:line="136"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estimated to be between 4.5% and 4.8% as of June 30, 2017. The Ex-Im Credit Facility is guaranteed by ViaSat and is secured by first-priority liens on the ViaSat-2 satellite and related assets as well as a pledge of the capital stock of the borrower under the facility.</w:t>
      </w:r>
    </w:p>
    <w:p>
      <w:pPr>
        <w:sectPr>
          <w:pgSz w:w="11900" w:h="16838" w:orient="portrait"/>
          <w:cols w:equalWidth="0" w:num="1">
            <w:col w:w="11400"/>
          </w:cols>
          <w:pgMar w:left="240" w:top="455" w:right="25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At June 30, 2017, we had $274.6 million in principal amount of outstanding borrowings under the Ex-Im Credit Facility and had accrued $29.5 million in completion exposure fees expected to be financed under the Ex-Im Credit Facility. As of June 30, 2017, the undrawn commitment under the Ex-Im Credit Facility was $58.3 million (excluding $29.5 million of accrued completion exposure fees), of which $52.5 million was available to finance ViaSat-2 related costs once incurred. Borrowings under the Ex-Im Credit Facility were issued with a discount of $36.6 million (comprising the initial $6.0 million exposure fee, the completion exposure fees accrued as of June 30, 2017 and other customary fees). The borrowings under the Ex-Im Credit Facility are recorded as current portion of long-term debt and as other long-term debt, net of unamortized discount and debt issuance costs, in our condensed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2020</w:t>
      </w:r>
    </w:p>
    <w:p>
      <w:pPr>
        <w:spacing w:after="0" w:line="94"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4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2020 Notes are required to be guaranteed on an unsecured senior basis by each of our existing and future subsidiaries that guarantees the Revolving Credit Facility. As of June 30, 2017,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39"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39"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The 2020 Notes may be redeemed, in whole or in part, at any time during the 12 months beginning on June 15, 2017 at a redemption price of 101.719%, and at any time on or after June 15, 2018 at a redemption price of 100%, in each case plus accrued and unpaid interest, if any, thereon to the redemption date.</w:t>
      </w:r>
    </w:p>
    <w:p>
      <w:pPr>
        <w:spacing w:after="0" w:line="74"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obligations at June 30,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5"/>
              </w:rPr>
              <w:t>For the</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Remainder of</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including interest where applicable)</w:t>
            </w:r>
          </w:p>
        </w:tc>
        <w:tc>
          <w:tcPr>
            <w:tcW w:w="10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Fiscal Year</w:t>
            </w:r>
          </w:p>
        </w:tc>
        <w:tc>
          <w:tcPr>
            <w:tcW w:w="280" w:type="dxa"/>
            <w:vAlign w:val="bottom"/>
          </w:tcPr>
          <w:p>
            <w:pPr>
              <w:spacing w:after="0"/>
              <w:rPr>
                <w:sz w:val="14"/>
                <w:szCs w:val="14"/>
                <w:color w:val="auto"/>
              </w:rPr>
            </w:pPr>
          </w:p>
        </w:tc>
        <w:tc>
          <w:tcPr>
            <w:tcW w:w="26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Fiscal Years Ending</w:t>
            </w:r>
          </w:p>
        </w:tc>
        <w:tc>
          <w:tcPr>
            <w:tcW w:w="0" w:type="dxa"/>
            <w:vAlign w:val="bottom"/>
          </w:tcPr>
          <w:p>
            <w:pPr>
              <w:spacing w:after="0"/>
              <w:rPr>
                <w:sz w:val="1"/>
                <w:szCs w:val="1"/>
                <w:color w:val="auto"/>
              </w:rPr>
            </w:pPr>
          </w:p>
        </w:tc>
      </w:tr>
      <w:tr>
        <w:trPr>
          <w:trHeight w:val="129"/>
        </w:trPr>
        <w:tc>
          <w:tcPr>
            <w:tcW w:w="66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8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2019-2020</w:t>
            </w:r>
          </w:p>
        </w:tc>
        <w:tc>
          <w:tcPr>
            <w:tcW w:w="94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2021-2022</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6"/>
              </w:rPr>
              <w:t>Thereafter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leases and satellite capacity agreements</w:t>
            </w: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490,645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56,036</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$124,253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97,031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$213,325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2020 Notes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693,594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594,765</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Ex-Im Credit Facility(1)</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85,548</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performance incentives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5,861</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commitments including satellite-related agreements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1,037,527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462,234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72,584</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2,590,245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543,197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759,807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855,789</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140" w:hanging="452"/>
        <w:spacing w:after="0" w:line="25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 As of June 30, 2017, we had accrued $29.5 million in completion exposure fees expected to be financed under the Ex-Im Credit Facility.</w:t>
      </w:r>
    </w:p>
    <w:p>
      <w:pPr>
        <w:spacing w:after="0" w:line="139"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3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Our condensed consolidated balance sheets included $109.9 million and $42.7 million of “other liabilities” as of June 30, 2017 and March 31, 2017,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had no material off-balance sheet arrangements at June 30, 2017 as defined in Regulation S-K Item 303(a)(4) other than as discussed under Contractual Obligations above or disclosed in the notes to our consolidated financial statements included in this report or in our Annual Report on Form 10-K for the year ended March 31, 2017.</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Guidance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regarding recently adopted and issued accounting pronouncements, see Note 1 to the condensed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June 30, 2017, we had no outstanding borrowings under our Revolving Credit Facility, $274.6 million in principal amount of outstanding borrowings under our Ex-Im Credit Facility, as well as $29.5 million in accrued completion exposure fees expected to be financed under the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3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June 30, 2017 and 2016.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4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primary interest rate under the Revolving Credit Facility is the Eurodollar rate plus an applicable margin that is based on our total leverage ratio. Under the Revolving Credit Facility, the effective interest rate as of June 30, 2017 that would have been applied to any new Eurodollar based borrowings under the Revolving Credit Facility was approximately 3.74%. As of June 30, 2017, we had no outstanding borrowings under our Revolving Credit Facility. Accordingly, assuming the outstanding balance remained constant over a year, changes in interests rates applicable to our Revolving Credit Facility would have no effect on our interest incurred and cash flow.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generally conduct our business in U.S. dollars. However, as our international business is conducted in a variety of foreign currencies, we are exposed to fluctuations in foreign currency exchange rates. The closing of our strategic partnering arrangement with Eutelsat during the fourth quarter of fiscal year 2017 and related investment in Euro Infrastructure Co., which is denominated in Euros, increases our exposure to foreign currency risk.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39" w:lineRule="exact"/>
        <w:rPr>
          <w:sz w:val="20"/>
          <w:szCs w:val="20"/>
          <w:color w:val="auto"/>
        </w:rPr>
      </w:pPr>
    </w:p>
    <w:p>
      <w:pPr>
        <w:ind w:right="300" w:firstLine="456"/>
        <w:spacing w:after="0" w:line="301" w:lineRule="auto"/>
        <w:rPr>
          <w:sz w:val="20"/>
          <w:szCs w:val="20"/>
          <w:color w:val="auto"/>
        </w:rPr>
      </w:pPr>
      <w:r>
        <w:rPr>
          <w:rFonts w:ascii="Times New Roman" w:cs="Times New Roman" w:eastAsia="Times New Roman" w:hAnsi="Times New Roman"/>
          <w:sz w:val="16"/>
          <w:szCs w:val="16"/>
          <w:color w:val="auto"/>
        </w:rPr>
        <w:t>As of June 30, 2017, we had a number of foreign currency forward contracts outstanding which are intended to reduce the foreign currency risk for amounts payable to vendors in Euros. The foreign currency forward contracts with a notional amount of $2.1 million had an insignificant amount of fair value recorded in other current assets as of June 30, 2017. If the foreign currency forward rate for the Euro to the U.S. dollar on these foreign currency forward contracts had changed by 10%, the fair value of these foreign currency forward contracts as of June 30, 2017 would have changed by an insignificant amount.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2017, the end of the period covered by this report. Based upon the foregoing, our Chief Executive Officer and Chief Financial Officer concluded that our disclosure controls and procedures were effective at a reasonable assurance level as of June 30, 2017.</w:t>
      </w:r>
    </w:p>
    <w:p>
      <w:pPr>
        <w:spacing w:after="0" w:line="136"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20"/>
          </w:cols>
          <w:pgMar w:left="24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you should carefully consider the factors discussed in Part I, Item 1A, “Risk Factors” in our Annual Report on Form 10-K for the fiscal year ended March 31, 2017,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 Index on page 45 is incorporated herein by reference as the list of exhibits required as part of this report.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20"/>
          </w:cols>
          <w:pgMar w:left="24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VIASAT, INC.</w:t>
      </w:r>
    </w:p>
    <w:p>
      <w:pPr>
        <w:spacing w:after="0" w:line="22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August 9, 2017</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Mark Dankberg</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HAWN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Shawn Duffy</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00"/>
          </w:cols>
          <w:pgMar w:left="240" w:top="455" w:right="11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29"/>
        </w:trPr>
        <w:tc>
          <w:tcPr>
            <w:tcW w:w="112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6160" w:type="dxa"/>
            <w:vAlign w:val="bottom"/>
            <w:gridSpan w:val="2"/>
          </w:tcPr>
          <w:p>
            <w:pPr>
              <w:ind w:left="2340"/>
              <w:spacing w:after="0" w:line="109" w:lineRule="exact"/>
              <w:rPr>
                <w:sz w:val="20"/>
                <w:szCs w:val="20"/>
                <w:color w:val="auto"/>
              </w:rPr>
            </w:pPr>
            <w:r>
              <w:rPr>
                <w:rFonts w:ascii="Times New Roman" w:cs="Times New Roman" w:eastAsia="Times New Roman" w:hAnsi="Times New Roman"/>
                <w:sz w:val="12"/>
                <w:szCs w:val="12"/>
                <w:b w:val="1"/>
                <w:bCs w:val="1"/>
                <w:color w:val="auto"/>
              </w:rPr>
              <w:t>Exhibit Description</w:t>
            </w:r>
          </w:p>
        </w:tc>
        <w:tc>
          <w:tcPr>
            <w:tcW w:w="7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Form</w:t>
            </w:r>
          </w:p>
        </w:tc>
        <w:tc>
          <w:tcPr>
            <w:tcW w:w="86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File No.</w:t>
            </w:r>
          </w:p>
        </w:tc>
        <w:tc>
          <w:tcPr>
            <w:tcW w:w="8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Exhibit</w:t>
            </w:r>
          </w:p>
        </w:tc>
        <w:tc>
          <w:tcPr>
            <w:tcW w:w="640" w:type="dxa"/>
            <w:vAlign w:val="bottom"/>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Filing Date</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Pursuant to 18 U.S.C. Section 1350, as Adopted Pursuant to</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Labels Linkbase</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Herewith</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400" w:space="420"/>
            <w:col w:w="540"/>
          </w:cols>
          <w:pgMar w:left="240" w:top="455" w:right="2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ViaSat,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Mark Dankberg</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ViaSat,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7"/>
          <w:szCs w:val="17"/>
          <w:color w:val="auto"/>
        </w:rPr>
        <w:t>/s/ S</w:t>
      </w:r>
      <w:r>
        <w:rPr>
          <w:rFonts w:ascii="Times New Roman" w:cs="Times New Roman" w:eastAsia="Times New Roman" w:hAnsi="Times New Roman"/>
          <w:sz w:val="14"/>
          <w:szCs w:val="14"/>
          <w:color w:val="auto"/>
        </w:rPr>
        <w:t>HAWN</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Shawn Duffy</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4" w:lineRule="exact"/>
        <w:rPr>
          <w:sz w:val="20"/>
          <w:szCs w:val="20"/>
          <w:color w:val="auto"/>
        </w:rPr>
      </w:pPr>
    </w:p>
    <w:p>
      <w:pPr>
        <w:ind w:right="180" w:firstLine="464"/>
        <w:spacing w:after="0" w:line="282" w:lineRule="auto"/>
        <w:tabs>
          <w:tab w:leader="none" w:pos="7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June 30,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Mark Dankberg</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4" w:lineRule="exact"/>
        <w:rPr>
          <w:sz w:val="20"/>
          <w:szCs w:val="20"/>
          <w:color w:val="auto"/>
        </w:rPr>
      </w:pPr>
    </w:p>
    <w:p>
      <w:pPr>
        <w:ind w:right="180" w:firstLine="464"/>
        <w:spacing w:after="0" w:line="282" w:lineRule="auto"/>
        <w:tabs>
          <w:tab w:leader="none" w:pos="7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June 30,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7"/>
          <w:szCs w:val="17"/>
          <w:color w:val="auto"/>
        </w:rPr>
        <w:t>/s/ S</w:t>
      </w:r>
      <w:r>
        <w:rPr>
          <w:rFonts w:ascii="Times New Roman" w:cs="Times New Roman" w:eastAsia="Times New Roman" w:hAnsi="Times New Roman"/>
          <w:sz w:val="14"/>
          <w:szCs w:val="14"/>
          <w:color w:val="auto"/>
        </w:rPr>
        <w:t>HAWN</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Shawn Duffy</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2019-12-29T05:56:56Z</dcterms:created>
  <dcterms:modified xsi:type="dcterms:W3CDTF">2019-12-29T05:56:56Z</dcterms:modified>
</cp:coreProperties>
</file>