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49530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 w:lineRule="exact"/>
        <w:rPr>
          <w:sz w:val="24"/>
          <w:szCs w:val="24"/>
          <w:color w:val="auto"/>
        </w:rPr>
      </w:pPr>
    </w:p>
    <w:p>
      <w:pPr>
        <w:ind w:left="3460" w:right="1600" w:hanging="3452"/>
        <w:spacing w:after="0" w:line="326" w:lineRule="auto"/>
        <w:tabs>
          <w:tab w:leader="none" w:pos="41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2020.</w:t>
      </w: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80"/>
        <w:spacing w:after="0"/>
        <w:tabs>
          <w:tab w:leader="none" w:pos="678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tbl>
      <w:tblPr>
        <w:tblLayout w:type="fixed"/>
        <w:tblInd w:w="1860" w:type="dxa"/>
        <w:tblCellMar>
          <w:top w:w="0" w:type="dxa"/>
          <w:left w:w="0" w:type="dxa"/>
          <w:bottom w:w="0" w:type="dxa"/>
          <w:right w:w="0" w:type="dxa"/>
        </w:tblCellMar>
      </w:tblPr>
      <w:tr>
        <w:trPr>
          <w:trHeight w:val="209"/>
        </w:trPr>
        <w:tc>
          <w:tcPr>
            <w:tcW w:w="3960" w:type="dxa"/>
            <w:vAlign w:val="bottom"/>
          </w:tcPr>
          <w:p>
            <w:pPr>
              <w:jc w:val="center"/>
              <w:ind w:right="1965"/>
              <w:spacing w:after="0"/>
              <w:rPr>
                <w:sz w:val="20"/>
                <w:szCs w:val="20"/>
                <w:color w:val="auto"/>
              </w:rPr>
            </w:pPr>
            <w:r>
              <w:rPr>
                <w:rFonts w:ascii="Arial" w:cs="Arial" w:eastAsia="Arial" w:hAnsi="Arial"/>
                <w:sz w:val="18"/>
                <w:szCs w:val="18"/>
                <w:b w:val="1"/>
                <w:bCs w:val="1"/>
                <w:color w:val="auto"/>
              </w:rPr>
              <w:t>Delaware</w:t>
            </w:r>
          </w:p>
        </w:tc>
        <w:tc>
          <w:tcPr>
            <w:tcW w:w="3180" w:type="dxa"/>
            <w:vAlign w:val="bottom"/>
          </w:tcPr>
          <w:p>
            <w:pPr>
              <w:jc w:val="center"/>
              <w:ind w:left="1985"/>
              <w:spacing w:after="0"/>
              <w:rPr>
                <w:sz w:val="20"/>
                <w:szCs w:val="20"/>
                <w:color w:val="auto"/>
              </w:rPr>
            </w:pPr>
            <w:r>
              <w:rPr>
                <w:rFonts w:ascii="Arial" w:cs="Arial" w:eastAsia="Arial" w:hAnsi="Arial"/>
                <w:sz w:val="18"/>
                <w:szCs w:val="18"/>
                <w:b w:val="1"/>
                <w:bCs w:val="1"/>
                <w:color w:val="auto"/>
                <w:w w:val="99"/>
              </w:rPr>
              <w:t>33-0174996</w:t>
            </w:r>
          </w:p>
        </w:tc>
      </w:tr>
      <w:tr>
        <w:trPr>
          <w:trHeight w:val="149"/>
        </w:trPr>
        <w:tc>
          <w:tcPr>
            <w:tcW w:w="3960" w:type="dxa"/>
            <w:vAlign w:val="bottom"/>
          </w:tcPr>
          <w:p>
            <w:pPr>
              <w:jc w:val="center"/>
              <w:ind w:right="1985"/>
              <w:spacing w:after="0"/>
              <w:rPr>
                <w:sz w:val="20"/>
                <w:szCs w:val="20"/>
                <w:color w:val="auto"/>
              </w:rPr>
            </w:pPr>
            <w:r>
              <w:rPr>
                <w:rFonts w:ascii="Arial" w:cs="Arial" w:eastAsia="Arial" w:hAnsi="Arial"/>
                <w:sz w:val="13"/>
                <w:szCs w:val="13"/>
                <w:b w:val="1"/>
                <w:bCs w:val="1"/>
                <w:color w:val="auto"/>
              </w:rPr>
              <w:t>(State or other jurisdiction of</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960" w:type="dxa"/>
            <w:vAlign w:val="bottom"/>
          </w:tcPr>
          <w:p>
            <w:pPr>
              <w:jc w:val="center"/>
              <w:ind w:right="1965"/>
              <w:spacing w:after="0"/>
              <w:rPr>
                <w:sz w:val="20"/>
                <w:szCs w:val="20"/>
                <w:color w:val="auto"/>
              </w:rPr>
            </w:pPr>
            <w:r>
              <w:rPr>
                <w:rFonts w:ascii="Arial" w:cs="Arial" w:eastAsia="Arial" w:hAnsi="Arial"/>
                <w:sz w:val="13"/>
                <w:szCs w:val="13"/>
                <w:b w:val="1"/>
                <w:bCs w:val="1"/>
                <w:color w:val="auto"/>
              </w:rPr>
              <w:t>incorporation or organization)</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Identification No.)</w:t>
            </w:r>
          </w:p>
        </w:tc>
      </w:tr>
    </w:tbl>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3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(Trading Symbol)</w:t>
            </w: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96"/>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Common Stock, par value $0.0001 per share</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VSAT</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The Nasdaq Stock Market LLC</w:t>
            </w:r>
          </w:p>
        </w:tc>
      </w:tr>
    </w:tbl>
    <w:p>
      <w:pPr>
        <w:spacing w:after="0" w:line="40" w:lineRule="exact"/>
        <w:rPr>
          <w:sz w:val="24"/>
          <w:szCs w:val="24"/>
          <w:color w:val="auto"/>
        </w:rPr>
      </w:pPr>
    </w:p>
    <w:p>
      <w:pPr>
        <w:ind w:right="260" w:firstLine="510"/>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jc w:val="both"/>
        <w:ind w:right="660" w:firstLine="51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ind w:right="440" w:firstLine="51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46" w:right="339" w:bottom="1440" w:gutter="0" w:footer="0" w:header="0"/>
        </w:sectPr>
      </w:pPr>
    </w:p>
    <w:p>
      <w:pPr>
        <w:spacing w:after="0" w:line="21"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p>
    <w:p>
      <w:pPr>
        <w:spacing w:after="0" w:line="90"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p>
    <w:p>
      <w:pPr>
        <w:spacing w:after="0" w:line="150" w:lineRule="exact"/>
        <w:rPr>
          <w:sz w:val="24"/>
          <w:szCs w:val="24"/>
          <w:color w:val="auto"/>
        </w:rPr>
      </w:pPr>
    </w:p>
    <w:p>
      <w:pPr>
        <w:ind w:left="8440"/>
        <w:spacing w:after="0"/>
        <w:rPr>
          <w:sz w:val="20"/>
          <w:szCs w:val="20"/>
          <w:color w:val="auto"/>
        </w:rPr>
      </w:pPr>
      <w:r>
        <w:rPr>
          <w:rFonts w:ascii="Arial" w:cs="Arial" w:eastAsia="Arial" w:hAnsi="Arial"/>
          <w:sz w:val="18"/>
          <w:szCs w:val="18"/>
          <w:color w:val="auto"/>
        </w:rPr>
        <w:t>Emerging growth company</w:t>
      </w:r>
    </w:p>
    <w:p>
      <w:pPr>
        <w:spacing w:after="0" w:line="77" w:lineRule="exact"/>
        <w:rPr>
          <w:sz w:val="24"/>
          <w:szCs w:val="24"/>
          <w:color w:val="auto"/>
        </w:rPr>
      </w:pPr>
    </w:p>
    <w:p>
      <w:pPr>
        <w:ind w:right="280" w:firstLine="51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January 22, 2021 was 68,505,328.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960" w:space="60"/>
            <w:col w:w="220"/>
          </w:cols>
          <w:pgMar w:left="320" w:top="3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34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3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Income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Equity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the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8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3.</w:t>
              </w:r>
            </w:hyperlink>
          </w:p>
        </w:tc>
        <w:tc>
          <w:tcPr>
            <w:tcW w:w="9760" w:type="dxa"/>
            <w:vAlign w:val="bottom"/>
          </w:tcPr>
          <w:p>
            <w:pPr>
              <w:ind w:left="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4"/>
        </w:trPr>
        <w:tc>
          <w:tcPr>
            <w:tcW w:w="580" w:type="dxa"/>
            <w:vAlign w:val="bottom"/>
          </w:tcPr>
          <w:p>
            <w:pPr>
              <w:spacing w:after="0" w:line="194"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4.</w:t>
              </w:r>
            </w:hyperlink>
          </w:p>
        </w:tc>
        <w:tc>
          <w:tcPr>
            <w:tcW w:w="9760" w:type="dxa"/>
            <w:vAlign w:val="bottom"/>
          </w:tcPr>
          <w:p>
            <w:pPr>
              <w:ind w:left="20"/>
              <w:spacing w:after="0" w:line="194"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line="194"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8"/>
        </w:trPr>
        <w:tc>
          <w:tcPr>
            <w:tcW w:w="10340" w:type="dxa"/>
            <w:vAlign w:val="bottom"/>
            <w:gridSpan w:val="2"/>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PART II. OTHER INFORMATION</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1.</w:t>
              </w:r>
            </w:hyperlink>
          </w:p>
        </w:tc>
        <w:tc>
          <w:tcPr>
            <w:tcW w:w="9760" w:type="dxa"/>
            <w:vAlign w:val="bottom"/>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1A. 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6.</w:t>
              </w:r>
            </w:hyperlink>
          </w:p>
        </w:tc>
        <w:tc>
          <w:tcPr>
            <w:tcW w:w="9760" w:type="dxa"/>
            <w:vAlign w:val="bottom"/>
          </w:tcPr>
          <w:p>
            <w:pPr>
              <w:ind w:left="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10340" w:type="dxa"/>
            <w:vAlign w:val="bottom"/>
            <w:gridSpan w:val="2"/>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9760" w:type="dxa"/>
            <w:vAlign w:val="bottom"/>
          </w:tcPr>
          <w:p>
            <w:pPr>
              <w:ind w:left="500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97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As of</w:t>
            </w:r>
          </w:p>
        </w:tc>
      </w:tr>
      <w:tr>
        <w:trPr>
          <w:trHeight w:val="175"/>
        </w:trPr>
        <w:tc>
          <w:tcPr>
            <w:tcW w:w="5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2020</w:t>
            </w:r>
          </w:p>
        </w:tc>
      </w:tr>
      <w:tr>
        <w:trPr>
          <w:trHeight w:val="169"/>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92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317,344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304,309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202,792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330,698</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334,919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116,281</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967,603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1,045,704</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satellites, net</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2,973,733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2,586,735</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331,066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308,441</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122,448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121,197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842,777</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807,352</w:t>
            </w:r>
          </w:p>
        </w:tc>
        <w:tc>
          <w:tcPr>
            <w:tcW w:w="100" w:type="dxa"/>
            <w:vAlign w:val="bottom"/>
            <w:shd w:val="clear" w:color="auto" w:fill="CFF0FC"/>
          </w:tcPr>
          <w:p>
            <w:pPr>
              <w:spacing w:after="0"/>
              <w:rPr>
                <w:sz w:val="18"/>
                <w:szCs w:val="18"/>
                <w:color w:val="auto"/>
              </w:rPr>
            </w:pPr>
          </w:p>
        </w:tc>
      </w:tr>
      <w:tr>
        <w:trPr>
          <w:trHeight w:val="249"/>
        </w:trPr>
        <w:tc>
          <w:tcPr>
            <w:tcW w:w="59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5,248,706</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4,883,868</w:t>
            </w:r>
          </w:p>
        </w:tc>
        <w:tc>
          <w:tcPr>
            <w:tcW w:w="100" w:type="dxa"/>
            <w:vAlign w:val="bottom"/>
          </w:tcPr>
          <w:p>
            <w:pPr>
              <w:spacing w:after="0"/>
              <w:rPr>
                <w:sz w:val="21"/>
                <w:szCs w:val="21"/>
                <w:color w:val="auto"/>
              </w:rPr>
            </w:pPr>
          </w:p>
        </w:tc>
      </w:tr>
      <w:tr>
        <w:trPr>
          <w:trHeight w:val="197"/>
        </w:trPr>
        <w:tc>
          <w:tcPr>
            <w:tcW w:w="5920" w:type="dxa"/>
            <w:vAlign w:val="bottom"/>
            <w:tcBorders>
              <w:top w:val="single" w:sz="8" w:color="CFF0FC"/>
            </w:tcBorders>
            <w:shd w:val="clear" w:color="auto" w:fill="CFF0FC"/>
          </w:tcPr>
          <w:p>
            <w:pPr>
              <w:ind w:left="24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122,342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183,601</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Accrued and other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485,565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391,190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33,735</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29,788</w:t>
            </w:r>
          </w:p>
        </w:tc>
        <w:tc>
          <w:tcPr>
            <w:tcW w:w="100" w:type="dxa"/>
            <w:vAlign w:val="bottom"/>
            <w:shd w:val="clear" w:color="auto" w:fill="CFF0FC"/>
          </w:tcPr>
          <w:p>
            <w:pPr>
              <w:spacing w:after="0"/>
              <w:rPr>
                <w:sz w:val="18"/>
                <w:szCs w:val="18"/>
                <w:color w:val="auto"/>
              </w:rPr>
            </w:pPr>
          </w:p>
        </w:tc>
      </w:tr>
      <w:tr>
        <w:trPr>
          <w:trHeight w:val="209"/>
        </w:trPr>
        <w:tc>
          <w:tcPr>
            <w:tcW w:w="59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641,642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604,579</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Senior notes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1,682,523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1,285,497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121,225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536,166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303,950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286,550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152,040</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120,934</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1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2,901,380</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2,833,726</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Equity:</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2,070,353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1,788,456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241,707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245,373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(6,048)</w:t>
            </w:r>
          </w:p>
        </w:tc>
      </w:tr>
      <w:tr>
        <w:trPr>
          <w:trHeight w:val="210"/>
        </w:trPr>
        <w:tc>
          <w:tcPr>
            <w:tcW w:w="59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2,318,681</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2,027,787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28,645</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2,347,326</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2,050,142</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5,248,706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4"/>
                <w:szCs w:val="14"/>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266,514</w:t>
            </w:r>
          </w:p>
        </w:tc>
        <w:tc>
          <w:tcPr>
            <w:tcW w:w="160" w:type="dxa"/>
            <w:vAlign w:val="bottom"/>
          </w:tcPr>
          <w:p>
            <w:pPr>
              <w:spacing w:after="0"/>
              <w:rPr>
                <w:sz w:val="18"/>
                <w:szCs w:val="18"/>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303,090</w:t>
            </w:r>
          </w:p>
        </w:tc>
        <w:tc>
          <w:tcPr>
            <w:tcW w:w="140" w:type="dxa"/>
            <w:vAlign w:val="bottom"/>
          </w:tcPr>
          <w:p>
            <w:pPr>
              <w:spacing w:after="0"/>
              <w:rPr>
                <w:sz w:val="18"/>
                <w:szCs w:val="18"/>
                <w:color w:val="auto"/>
              </w:rPr>
            </w:pPr>
          </w:p>
        </w:tc>
        <w:tc>
          <w:tcPr>
            <w:tcW w:w="4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773,128</w:t>
            </w:r>
          </w:p>
        </w:tc>
        <w:tc>
          <w:tcPr>
            <w:tcW w:w="140" w:type="dxa"/>
            <w:vAlign w:val="bottom"/>
          </w:tcPr>
          <w:p>
            <w:pPr>
              <w:spacing w:after="0"/>
              <w:rPr>
                <w:sz w:val="18"/>
                <w:szCs w:val="18"/>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873,535</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4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887,197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843,982</w:t>
            </w:r>
          </w:p>
        </w:tc>
        <w:tc>
          <w:tcPr>
            <w:tcW w:w="100" w:type="dxa"/>
            <w:vAlign w:val="bottom"/>
            <w:shd w:val="clear" w:color="auto" w:fill="CFF0FC"/>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575,559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588,224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1,660,325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1,717,517</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196,895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576,677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634,113</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564,675</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378,884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388,528</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99,952</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4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Borders>
              <w:bottom w:val="single" w:sz="8" w:color="CFF0FC"/>
            </w:tcBorders>
          </w:tcPr>
          <w:p>
            <w:pPr>
              <w:spacing w:after="0"/>
              <w:rPr>
                <w:sz w:val="18"/>
                <w:szCs w:val="18"/>
                <w:color w:val="auto"/>
              </w:rPr>
            </w:pPr>
          </w:p>
        </w:tc>
      </w:tr>
      <w:tr>
        <w:trPr>
          <w:trHeight w:val="20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(7,880)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(9,276)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(27,194)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(29,990)</w:t>
            </w:r>
          </w:p>
        </w:tc>
      </w:tr>
      <w:tr>
        <w:trPr>
          <w:trHeight w:val="20"/>
        </w:trPr>
        <w:tc>
          <w:tcPr>
            <w:tcW w:w="42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(4,144)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(7,008)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8,731</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Equity in income of unconsolidated affiliate, net</w:t>
            </w:r>
          </w:p>
        </w:tc>
        <w:tc>
          <w:tcPr>
            <w:tcW w:w="4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FF0FC"/>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8,915</w:t>
            </w:r>
          </w:p>
        </w:tc>
        <w:tc>
          <w:tcPr>
            <w:tcW w:w="100" w:type="dxa"/>
            <w:vAlign w:val="bottom"/>
          </w:tcPr>
          <w:p>
            <w:pPr>
              <w:spacing w:after="0"/>
              <w:rPr>
                <w:sz w:val="18"/>
                <w:szCs w:val="18"/>
                <w:color w:val="auto"/>
              </w:rPr>
            </w:pPr>
          </w:p>
        </w:tc>
      </w:tr>
      <w:tr>
        <w:trPr>
          <w:trHeight w:val="215"/>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Less: net income attributable to</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noncontrolling interest, net of tax</w:t>
            </w:r>
          </w:p>
        </w:tc>
        <w:tc>
          <w:tcPr>
            <w:tcW w:w="40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4,114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6,290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10,713</w:t>
            </w:r>
          </w:p>
        </w:tc>
        <w:tc>
          <w:tcPr>
            <w:tcW w:w="100" w:type="dxa"/>
            <w:vAlign w:val="bottom"/>
            <w:shd w:val="clear" w:color="auto" w:fill="CFF0FC"/>
          </w:tcPr>
          <w:p>
            <w:pPr>
              <w:spacing w:after="0"/>
              <w:rPr>
                <w:sz w:val="17"/>
                <w:szCs w:val="17"/>
                <w:color w:val="auto"/>
              </w:rPr>
            </w:pPr>
          </w:p>
        </w:tc>
      </w:tr>
      <w:tr>
        <w:trPr>
          <w:trHeight w:val="249"/>
        </w:trPr>
        <w:tc>
          <w:tcPr>
            <w:tcW w:w="426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6,760</w:t>
            </w:r>
          </w:p>
        </w:tc>
        <w:tc>
          <w:tcPr>
            <w:tcW w:w="160" w:type="dxa"/>
            <w:vAlign w:val="bottom"/>
          </w:tcPr>
          <w:p>
            <w:pPr>
              <w:spacing w:after="0"/>
              <w:rPr>
                <w:sz w:val="21"/>
                <w:szCs w:val="21"/>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6,476</w:t>
            </w:r>
          </w:p>
        </w:tc>
        <w:tc>
          <w:tcPr>
            <w:tcW w:w="140" w:type="dxa"/>
            <w:vAlign w:val="bottom"/>
          </w:tcPr>
          <w:p>
            <w:pPr>
              <w:spacing w:after="0"/>
              <w:rPr>
                <w:sz w:val="21"/>
                <w:szCs w:val="21"/>
                <w:color w:val="auto"/>
              </w:rPr>
            </w:pPr>
          </w:p>
        </w:tc>
        <w:tc>
          <w:tcPr>
            <w:tcW w:w="4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(3,666)</w:t>
            </w:r>
          </w:p>
        </w:tc>
        <w:tc>
          <w:tcPr>
            <w:tcW w:w="6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(1,798)</w:t>
            </w:r>
          </w:p>
        </w:tc>
      </w:tr>
      <w:tr>
        <w:trPr>
          <w:trHeight w:val="196"/>
        </w:trPr>
        <w:tc>
          <w:tcPr>
            <w:tcW w:w="42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Basic net income (loss) per share attributable</w:t>
            </w:r>
          </w:p>
        </w:tc>
        <w:tc>
          <w:tcPr>
            <w:tcW w:w="40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to Viasat, Inc. common stockholders</w:t>
            </w:r>
          </w:p>
        </w:tc>
        <w:tc>
          <w:tcPr>
            <w:tcW w:w="840" w:type="dxa"/>
            <w:vAlign w:val="bottom"/>
            <w:gridSpan w:val="2"/>
            <w:shd w:val="clear" w:color="auto" w:fill="CFF0FC"/>
          </w:tcPr>
          <w:p>
            <w:pPr>
              <w:jc w:val="right"/>
              <w:ind w:right="268"/>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
              <w:spacing w:after="0" w:line="203"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0.10</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(0.06)</w:t>
            </w:r>
          </w:p>
        </w:tc>
        <w:tc>
          <w:tcPr>
            <w:tcW w:w="680" w:type="dxa"/>
            <w:vAlign w:val="bottom"/>
            <w:gridSpan w:val="2"/>
            <w:shd w:val="clear" w:color="auto" w:fill="CFF0FC"/>
          </w:tcPr>
          <w:p>
            <w:pPr>
              <w:jc w:val="right"/>
              <w:ind w:right="428"/>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(0.03)</w:t>
            </w:r>
          </w:p>
        </w:tc>
      </w:tr>
      <w:tr>
        <w:trPr>
          <w:trHeight w:val="215"/>
        </w:trPr>
        <w:tc>
          <w:tcPr>
            <w:tcW w:w="4260" w:type="dxa"/>
            <w:vAlign w:val="bottom"/>
          </w:tcPr>
          <w:p>
            <w:pPr>
              <w:spacing w:after="0"/>
              <w:rPr>
                <w:sz w:val="20"/>
                <w:szCs w:val="20"/>
                <w:color w:val="auto"/>
              </w:rPr>
            </w:pPr>
            <w:r>
              <w:rPr>
                <w:rFonts w:ascii="Arial" w:cs="Arial" w:eastAsia="Arial" w:hAnsi="Arial"/>
                <w:sz w:val="18"/>
                <w:szCs w:val="18"/>
                <w:color w:val="auto"/>
              </w:rPr>
              <w:t>Diluted net income (loss) per share attributable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260" w:type="dxa"/>
            <w:vAlign w:val="bottom"/>
          </w:tcPr>
          <w:p>
            <w:pPr>
              <w:ind w:left="160"/>
              <w:spacing w:after="0" w:line="203" w:lineRule="exact"/>
              <w:rPr>
                <w:sz w:val="20"/>
                <w:szCs w:val="20"/>
                <w:color w:val="auto"/>
              </w:rPr>
            </w:pPr>
            <w:r>
              <w:rPr>
                <w:rFonts w:ascii="Arial" w:cs="Arial" w:eastAsia="Arial" w:hAnsi="Arial"/>
                <w:sz w:val="18"/>
                <w:szCs w:val="18"/>
                <w:color w:val="auto"/>
              </w:rPr>
              <w:t>to Viasat, Inc. common stockholders</w:t>
            </w:r>
          </w:p>
        </w:tc>
        <w:tc>
          <w:tcPr>
            <w:tcW w:w="840" w:type="dxa"/>
            <w:vAlign w:val="bottom"/>
            <w:gridSpan w:val="2"/>
          </w:tcPr>
          <w:p>
            <w:pPr>
              <w:jc w:val="right"/>
              <w:ind w:right="268"/>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0.10</w:t>
            </w:r>
          </w:p>
        </w:tc>
        <w:tc>
          <w:tcPr>
            <w:tcW w:w="160" w:type="dxa"/>
            <w:vAlign w:val="bottom"/>
          </w:tcPr>
          <w:p>
            <w:pPr>
              <w:spacing w:after="0"/>
              <w:rPr>
                <w:sz w:val="17"/>
                <w:szCs w:val="17"/>
                <w:color w:val="auto"/>
              </w:rPr>
            </w:pPr>
          </w:p>
        </w:tc>
        <w:tc>
          <w:tcPr>
            <w:tcW w:w="260" w:type="dxa"/>
            <w:vAlign w:val="bottom"/>
            <w:gridSpan w:val="2"/>
          </w:tcPr>
          <w:p>
            <w:pPr>
              <w:jc w:val="right"/>
              <w:ind w:right="8"/>
              <w:spacing w:after="0" w:line="203"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0.10</w:t>
            </w:r>
          </w:p>
        </w:tc>
        <w:tc>
          <w:tcPr>
            <w:tcW w:w="140" w:type="dxa"/>
            <w:vAlign w:val="bottom"/>
          </w:tcPr>
          <w:p>
            <w:pPr>
              <w:spacing w:after="0"/>
              <w:rPr>
                <w:sz w:val="17"/>
                <w:szCs w:val="17"/>
                <w:color w:val="auto"/>
              </w:rPr>
            </w:pPr>
          </w:p>
        </w:tc>
        <w:tc>
          <w:tcPr>
            <w:tcW w:w="460" w:type="dxa"/>
            <w:vAlign w:val="bottom"/>
            <w:gridSpan w:val="2"/>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(0.06)</w:t>
            </w:r>
          </w:p>
        </w:tc>
        <w:tc>
          <w:tcPr>
            <w:tcW w:w="680" w:type="dxa"/>
            <w:vAlign w:val="bottom"/>
            <w:gridSpan w:val="2"/>
          </w:tcPr>
          <w:p>
            <w:pPr>
              <w:jc w:val="right"/>
              <w:ind w:right="428"/>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(0.03)</w:t>
            </w:r>
          </w:p>
        </w:tc>
      </w:tr>
      <w:tr>
        <w:trPr>
          <w:trHeight w:val="215"/>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basic net income</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(loss) per share</w:t>
            </w:r>
          </w:p>
        </w:tc>
        <w:tc>
          <w:tcPr>
            <w:tcW w:w="4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67,995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61,813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65,704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61,405</w:t>
            </w:r>
          </w:p>
        </w:tc>
        <w:tc>
          <w:tcPr>
            <w:tcW w:w="100" w:type="dxa"/>
            <w:vAlign w:val="bottom"/>
            <w:shd w:val="clear" w:color="auto" w:fill="CFF0FC"/>
          </w:tcPr>
          <w:p>
            <w:pPr>
              <w:spacing w:after="0"/>
              <w:rPr>
                <w:sz w:val="17"/>
                <w:szCs w:val="17"/>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8"/>
                <w:szCs w:val="18"/>
                <w:color w:val="auto"/>
              </w:rPr>
              <w:t>Shares used in computing diluted net income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260" w:type="dxa"/>
            <w:vAlign w:val="bottom"/>
          </w:tcPr>
          <w:p>
            <w:pPr>
              <w:ind w:left="160"/>
              <w:spacing w:after="0" w:line="203" w:lineRule="exact"/>
              <w:rPr>
                <w:sz w:val="20"/>
                <w:szCs w:val="20"/>
                <w:color w:val="auto"/>
              </w:rPr>
            </w:pPr>
            <w:r>
              <w:rPr>
                <w:rFonts w:ascii="Arial" w:cs="Arial" w:eastAsia="Arial" w:hAnsi="Arial"/>
                <w:sz w:val="18"/>
                <w:szCs w:val="18"/>
                <w:color w:val="auto"/>
              </w:rPr>
              <w:t>(loss) per share</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68,668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62,916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65,704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61,405</w:t>
            </w:r>
          </w:p>
        </w:tc>
        <w:tc>
          <w:tcPr>
            <w:tcW w:w="100" w:type="dxa"/>
            <w:vAlign w:val="bottom"/>
          </w:tcPr>
          <w:p>
            <w:pPr>
              <w:spacing w:after="0"/>
              <w:rPr>
                <w:sz w:val="17"/>
                <w:szCs w:val="17"/>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7,760</w:t>
            </w:r>
          </w:p>
        </w:tc>
        <w:tc>
          <w:tcPr>
            <w:tcW w:w="160" w:type="dxa"/>
            <w:vAlign w:val="bottom"/>
          </w:tcPr>
          <w:p>
            <w:pPr>
              <w:spacing w:after="0"/>
              <w:rPr>
                <w:sz w:val="18"/>
                <w:szCs w:val="18"/>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10,590</w:t>
            </w:r>
          </w:p>
        </w:tc>
        <w:tc>
          <w:tcPr>
            <w:tcW w:w="140" w:type="dxa"/>
            <w:vAlign w:val="bottom"/>
          </w:tcPr>
          <w:p>
            <w:pPr>
              <w:spacing w:after="0"/>
              <w:rPr>
                <w:sz w:val="18"/>
                <w:szCs w:val="18"/>
                <w:color w:val="auto"/>
              </w:rPr>
            </w:pPr>
          </w:p>
        </w:tc>
        <w:tc>
          <w:tcPr>
            <w:tcW w:w="4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2,624</w:t>
            </w:r>
          </w:p>
        </w:tc>
        <w:tc>
          <w:tcPr>
            <w:tcW w:w="140" w:type="dxa"/>
            <w:vAlign w:val="bottom"/>
          </w:tcPr>
          <w:p>
            <w:pPr>
              <w:spacing w:after="0"/>
              <w:rPr>
                <w:sz w:val="18"/>
                <w:szCs w:val="18"/>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8,915</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Unrealized gain on hedging, net of tax</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r>
      <w:tr>
        <w:trPr>
          <w:trHeight w:val="215"/>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2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 tax</w:t>
            </w:r>
          </w:p>
        </w:tc>
        <w:tc>
          <w:tcPr>
            <w:tcW w:w="4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9,047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(2,371)</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12,662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(6,091)</w:t>
            </w:r>
          </w:p>
        </w:tc>
      </w:tr>
      <w:tr>
        <w:trPr>
          <w:trHeight w:val="20"/>
        </w:trPr>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(5,859)</w:t>
            </w:r>
          </w:p>
        </w:tc>
      </w:tr>
      <w:tr>
        <w:trPr>
          <w:trHeight w:val="210"/>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16,807</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8,403</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8"/>
                <w:szCs w:val="18"/>
                <w:color w:val="auto"/>
              </w:rPr>
              <w:t>Less: comprehensive income attributable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26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to noncontrolling interest, net of tax</w:t>
            </w:r>
          </w:p>
        </w:tc>
        <w:tc>
          <w:tcPr>
            <w:tcW w:w="4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4,114</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6,290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10,713</w:t>
            </w:r>
          </w:p>
        </w:tc>
        <w:tc>
          <w:tcPr>
            <w:tcW w:w="100" w:type="dxa"/>
            <w:vAlign w:val="bottom"/>
            <w:tcBorders>
              <w:bottom w:val="single" w:sz="8" w:color="CFF0FC"/>
            </w:tcBorders>
          </w:tcPr>
          <w:p>
            <w:pPr>
              <w:spacing w:after="0"/>
              <w:rPr>
                <w:sz w:val="17"/>
                <w:szCs w:val="17"/>
                <w:color w:val="auto"/>
              </w:rPr>
            </w:pPr>
          </w:p>
        </w:tc>
      </w:tr>
      <w:tr>
        <w:trPr>
          <w:trHeight w:val="20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 attributable to</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w:t>
            </w:r>
          </w:p>
        </w:tc>
        <w:tc>
          <w:tcPr>
            <w:tcW w:w="840" w:type="dxa"/>
            <w:vAlign w:val="bottom"/>
            <w:gridSpan w:val="2"/>
            <w:shd w:val="clear" w:color="auto" w:fill="CFF0FC"/>
          </w:tcPr>
          <w:p>
            <w:pPr>
              <w:jc w:val="right"/>
              <w:ind w:right="268"/>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15,807</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
              <w:spacing w:after="0" w:line="203"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4,289</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8,996</w:t>
            </w: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28"/>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(7,657)</w:t>
            </w: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4"/>
          </w:tcPr>
          <w:p>
            <w:pPr>
              <w:jc w:val="right"/>
              <w:ind w:right="123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r>
      <w:tr>
        <w:trPr>
          <w:trHeight w:val="169"/>
        </w:trPr>
        <w:tc>
          <w:tcPr>
            <w:tcW w:w="7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4"/>
                <w:szCs w:val="14"/>
                <w:color w:val="auto"/>
              </w:rPr>
            </w:pPr>
          </w:p>
        </w:tc>
      </w:tr>
      <w:tr>
        <w:trPr>
          <w:trHeight w:val="169"/>
        </w:trPr>
        <w:tc>
          <w:tcPr>
            <w:tcW w:w="7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20" w:type="dxa"/>
            <w:vAlign w:val="bottom"/>
            <w:gridSpan w:val="5"/>
          </w:tcPr>
          <w:p>
            <w:pPr>
              <w:jc w:val="right"/>
              <w:ind w:right="16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2,624</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8,915</w:t>
            </w:r>
          </w:p>
        </w:tc>
        <w:tc>
          <w:tcPr>
            <w:tcW w:w="120" w:type="dxa"/>
            <w:vAlign w:val="bottom"/>
          </w:tcPr>
          <w:p>
            <w:pPr>
              <w:spacing w:after="0"/>
              <w:rPr>
                <w:sz w:val="18"/>
                <w:szCs w:val="18"/>
                <w:color w:val="auto"/>
              </w:rPr>
            </w:pPr>
          </w:p>
        </w:tc>
      </w:tr>
      <w:tr>
        <w:trPr>
          <w:trHeight w:val="193"/>
        </w:trPr>
        <w:tc>
          <w:tcPr>
            <w:tcW w:w="714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Adjustments to reconcile net income to net cash provided by</w:t>
            </w: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1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241,935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207,950</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47,159</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64,967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64,236</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disposition of fixed 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33,578</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non-cash adjustments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(9,394)</w:t>
            </w: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cash resulting from changes in operating</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assets and liabilities:</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123,374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(23,596)</w:t>
            </w: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(39,988)</w:t>
            </w: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(47,897)</w:t>
            </w: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24,017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(39,004)</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8,384</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102,603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16,596</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(6,787)</w:t>
            </w: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(16,644)</w:t>
            </w:r>
          </w:p>
        </w:tc>
      </w:tr>
      <w:tr>
        <w:trPr>
          <w:trHeight w:val="210"/>
        </w:trPr>
        <w:tc>
          <w:tcPr>
            <w:tcW w:w="714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557,374</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293,362</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Purchase of property, equipment and satellites</w:t>
            </w:r>
          </w:p>
        </w:tc>
        <w:tc>
          <w:tcPr>
            <w:tcW w:w="18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(655,672)</w:t>
            </w:r>
          </w:p>
        </w:tc>
        <w:tc>
          <w:tcPr>
            <w:tcW w:w="20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(548,225)</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patents, licenses and other assets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(47,164)</w:t>
            </w: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(49,613)</w:t>
            </w:r>
          </w:p>
        </w:tc>
      </w:tr>
      <w:tr>
        <w:trPr>
          <w:trHeight w:val="216"/>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insurance claims on ViaSat-2 satellite</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FF0FC"/>
            </w:tcBorders>
          </w:tcPr>
          <w:p>
            <w:pPr>
              <w:spacing w:after="0"/>
              <w:rPr>
                <w:sz w:val="18"/>
                <w:szCs w:val="18"/>
                <w:color w:val="auto"/>
              </w:rPr>
            </w:pPr>
          </w:p>
        </w:tc>
      </w:tr>
      <w:tr>
        <w:trPr>
          <w:trHeight w:val="21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(702,836)</w:t>
            </w: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(595,561)</w:t>
            </w: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borrowings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Payments of debt borrowings</w:t>
            </w:r>
          </w:p>
        </w:tc>
        <w:tc>
          <w:tcPr>
            <w:tcW w:w="18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(414,604)</w:t>
            </w:r>
          </w:p>
        </w:tc>
        <w:tc>
          <w:tcPr>
            <w:tcW w:w="20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(27,142)</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(5,060)</w:t>
            </w: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(2,479)</w:t>
            </w: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under equity plans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19,101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38,093</w:t>
            </w:r>
          </w:p>
        </w:tc>
        <w:tc>
          <w:tcPr>
            <w:tcW w:w="120" w:type="dxa"/>
            <w:vAlign w:val="bottom"/>
          </w:tcPr>
          <w:p>
            <w:pPr>
              <w:spacing w:after="0"/>
              <w:rPr>
                <w:sz w:val="18"/>
                <w:szCs w:val="18"/>
                <w:color w:val="auto"/>
              </w:rPr>
            </w:pP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common stock in treasury (immediately retired) related</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to tax withholdings for stock-based compensation</w:t>
            </w:r>
          </w:p>
        </w:tc>
        <w:tc>
          <w:tcPr>
            <w:tcW w:w="18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(13,013)</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(28,268)</w:t>
            </w:r>
          </w:p>
        </w:tc>
      </w:tr>
      <w:tr>
        <w:trPr>
          <w:trHeight w:val="215"/>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common stock issued in private placement, net</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140" w:type="dxa"/>
            <w:vAlign w:val="bottom"/>
          </w:tcPr>
          <w:p>
            <w:pPr>
              <w:ind w:left="400"/>
              <w:spacing w:after="0" w:line="203" w:lineRule="exact"/>
              <w:rPr>
                <w:sz w:val="20"/>
                <w:szCs w:val="20"/>
                <w:color w:val="auto"/>
              </w:rPr>
            </w:pPr>
            <w:r>
              <w:rPr>
                <w:rFonts w:ascii="Arial" w:cs="Arial" w:eastAsia="Arial" w:hAnsi="Arial"/>
                <w:sz w:val="18"/>
                <w:szCs w:val="18"/>
                <w:color w:val="auto"/>
              </w:rPr>
              <w:t>of issuance costs</w:t>
            </w:r>
          </w:p>
        </w:tc>
        <w:tc>
          <w:tcPr>
            <w:tcW w:w="18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174,749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financing activities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(4,280)</w:t>
            </w: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(1,746)</w:t>
            </w:r>
          </w:p>
        </w:tc>
      </w:tr>
      <w:tr>
        <w:trPr>
          <w:trHeight w:val="210"/>
        </w:trPr>
        <w:tc>
          <w:tcPr>
            <w:tcW w:w="714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156,893</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88,458</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w:t>
            </w:r>
          </w:p>
        </w:tc>
      </w:tr>
      <w:tr>
        <w:trPr>
          <w:trHeight w:val="20"/>
        </w:trPr>
        <w:tc>
          <w:tcPr>
            <w:tcW w:w="7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(213,923)</w:t>
            </w: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304,309</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261,701</w:t>
            </w:r>
          </w:p>
        </w:tc>
        <w:tc>
          <w:tcPr>
            <w:tcW w:w="120" w:type="dxa"/>
            <w:vAlign w:val="bottom"/>
            <w:shd w:val="clear" w:color="auto" w:fill="CFF0FC"/>
          </w:tcPr>
          <w:p>
            <w:pPr>
              <w:spacing w:after="0"/>
              <w:rPr>
                <w:sz w:val="18"/>
                <w:szCs w:val="18"/>
                <w:color w:val="auto"/>
              </w:rPr>
            </w:pPr>
          </w:p>
        </w:tc>
      </w:tr>
      <w:tr>
        <w:trPr>
          <w:trHeight w:val="250"/>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317,344</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47,778</w:t>
            </w:r>
          </w:p>
        </w:tc>
        <w:tc>
          <w:tcPr>
            <w:tcW w:w="120" w:type="dxa"/>
            <w:vAlign w:val="bottom"/>
            <w:tcBorders>
              <w:bottom w:val="single" w:sz="8" w:color="CFF0FC"/>
            </w:tcBorders>
          </w:tcPr>
          <w:p>
            <w:pPr>
              <w:spacing w:after="0"/>
              <w:rPr>
                <w:sz w:val="21"/>
                <w:szCs w:val="21"/>
                <w:color w:val="auto"/>
              </w:rPr>
            </w:pPr>
          </w:p>
        </w:tc>
      </w:tr>
      <w:tr>
        <w:trPr>
          <w:trHeight w:val="197"/>
        </w:trPr>
        <w:tc>
          <w:tcPr>
            <w:tcW w:w="71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55,717</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17,900</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72,711</w:t>
            </w:r>
          </w:p>
        </w:tc>
        <w:tc>
          <w:tcPr>
            <w:tcW w:w="120" w:type="dxa"/>
            <w:vAlign w:val="bottom"/>
            <w:shd w:val="clear" w:color="auto" w:fill="CFF0FC"/>
          </w:tcPr>
          <w:p>
            <w:pPr>
              <w:spacing w:after="0"/>
              <w:rPr>
                <w:sz w:val="18"/>
                <w:szCs w:val="18"/>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ind w:left="58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20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Interest in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Issued</w:t>
            </w:r>
          </w:p>
        </w:tc>
        <w:tc>
          <w:tcPr>
            <w:tcW w:w="1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Subsidiary</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9"/>
          </w:tcPr>
          <w:p>
            <w:pPr>
              <w:jc w:val="right"/>
              <w:ind w:right="600"/>
              <w:spacing w:after="0"/>
              <w:rPr>
                <w:sz w:val="20"/>
                <w:szCs w:val="20"/>
                <w:color w:val="auto"/>
              </w:rPr>
            </w:pPr>
            <w:r>
              <w:rPr>
                <w:rFonts w:ascii="Arial" w:cs="Arial" w:eastAsia="Arial" w:hAnsi="Arial"/>
                <w:sz w:val="13"/>
                <w:szCs w:val="13"/>
                <w:b w:val="1"/>
                <w:bCs w:val="1"/>
                <w:color w:val="auto"/>
              </w:rPr>
              <w:t>(In thousands, except share data)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Three Months Ended December 31, 2020</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Balance at September 30, 2020</w:t>
            </w:r>
          </w:p>
        </w:tc>
        <w:tc>
          <w:tcPr>
            <w:tcW w:w="840" w:type="dxa"/>
            <w:vAlign w:val="bottom"/>
          </w:tcPr>
          <w:p>
            <w:pPr>
              <w:jc w:val="right"/>
              <w:spacing w:after="0"/>
              <w:rPr>
                <w:sz w:val="20"/>
                <w:szCs w:val="20"/>
                <w:color w:val="auto"/>
              </w:rPr>
            </w:pPr>
            <w:r>
              <w:rPr>
                <w:rFonts w:ascii="Arial" w:cs="Arial" w:eastAsia="Arial" w:hAnsi="Arial"/>
                <w:sz w:val="14"/>
                <w:szCs w:val="14"/>
                <w:color w:val="auto"/>
              </w:rPr>
              <w:t>67,532,869</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$ 2,047,525</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234,947</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(2,433)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27,645</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$ 2,307,691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356,523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9,895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9,895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25,199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25,199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614,936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(12,266)</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(12,266)</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6,760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9,047</w:t>
            </w:r>
          </w:p>
        </w:tc>
        <w:tc>
          <w:tcPr>
            <w:tcW w:w="2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4"/>
                <w:szCs w:val="14"/>
                <w:color w:val="auto"/>
              </w:rPr>
              <w:t>Balance at December 31, 2020</w:t>
            </w:r>
          </w:p>
        </w:tc>
        <w:tc>
          <w:tcPr>
            <w:tcW w:w="840" w:type="dxa"/>
            <w:vAlign w:val="bottom"/>
          </w:tcPr>
          <w:p>
            <w:pPr>
              <w:jc w:val="right"/>
              <w:spacing w:after="0"/>
              <w:rPr>
                <w:sz w:val="20"/>
                <w:szCs w:val="20"/>
                <w:color w:val="auto"/>
              </w:rPr>
            </w:pPr>
            <w:r>
              <w:rPr>
                <w:rFonts w:ascii="Arial" w:cs="Arial" w:eastAsia="Arial" w:hAnsi="Arial"/>
                <w:sz w:val="14"/>
                <w:szCs w:val="14"/>
                <w:color w:val="auto"/>
              </w:rPr>
              <w:t>68,504,328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$ 2,070,353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241,707</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6,614</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28,645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$ 2,347,326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b w:val="1"/>
                <w:bCs w:val="1"/>
                <w:color w:val="auto"/>
              </w:rPr>
              <w:t>For the Three Months Ended December 31, 2019</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Balance at September 30,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61,352,560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$ 1,751,924</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237,311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14,929</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$ 2,005,836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33,642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145,367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9,044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9,044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25,135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25,135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591,689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(25,140)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(25,140)</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6,476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4,114</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(2,187)</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tcPr>
          <w:p>
            <w:pPr>
              <w:spacing w:after="0"/>
              <w:rPr>
                <w:sz w:val="20"/>
                <w:szCs w:val="20"/>
                <w:color w:val="auto"/>
              </w:rPr>
            </w:pPr>
            <w:r>
              <w:rPr>
                <w:rFonts w:ascii="Arial" w:cs="Arial" w:eastAsia="Arial" w:hAnsi="Arial"/>
                <w:sz w:val="14"/>
                <w:szCs w:val="14"/>
                <w:color w:val="auto"/>
              </w:rPr>
              <w:t>Balance at December 31, 2019</w:t>
            </w:r>
          </w:p>
        </w:tc>
        <w:tc>
          <w:tcPr>
            <w:tcW w:w="840" w:type="dxa"/>
            <w:vAlign w:val="bottom"/>
          </w:tcPr>
          <w:p>
            <w:pPr>
              <w:jc w:val="right"/>
              <w:spacing w:after="0"/>
              <w:rPr>
                <w:sz w:val="20"/>
                <w:szCs w:val="20"/>
                <w:color w:val="auto"/>
              </w:rPr>
            </w:pPr>
            <w:r>
              <w:rPr>
                <w:rFonts w:ascii="Arial" w:cs="Arial" w:eastAsia="Arial" w:hAnsi="Arial"/>
                <w:sz w:val="14"/>
                <w:szCs w:val="14"/>
                <w:color w:val="auto"/>
              </w:rPr>
              <w:t>62,123,258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$ 1,762,996</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243,787</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19,043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$ 2,025,311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84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Other</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Retained</w:t>
            </w: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880" w:type="dxa"/>
            <w:vAlign w:val="bottom"/>
          </w:tcPr>
          <w:p>
            <w:pPr>
              <w:jc w:val="right"/>
              <w:ind w:right="108"/>
              <w:spacing w:after="0"/>
              <w:rPr>
                <w:sz w:val="20"/>
                <w:szCs w:val="20"/>
                <w:color w:val="auto"/>
              </w:rPr>
            </w:pPr>
            <w:r>
              <w:rPr>
                <w:rFonts w:ascii="Arial" w:cs="Arial" w:eastAsia="Arial" w:hAnsi="Arial"/>
                <w:sz w:val="13"/>
                <w:szCs w:val="13"/>
                <w:b w:val="1"/>
                <w:bCs w:val="1"/>
                <w:color w:val="auto"/>
              </w:rPr>
              <w:t>Interest in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Issued</w:t>
            </w:r>
          </w:p>
        </w:tc>
        <w:tc>
          <w:tcPr>
            <w:tcW w:w="1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3"/>
                <w:szCs w:val="13"/>
                <w:b w:val="1"/>
                <w:bCs w:val="1"/>
                <w:color w:val="auto"/>
              </w:rPr>
              <w:t>Subsidiary</w:t>
            </w:r>
          </w:p>
        </w:tc>
        <w:tc>
          <w:tcPr>
            <w:tcW w:w="2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20" w:type="dxa"/>
            <w:vAlign w:val="bottom"/>
            <w:tcBorders>
              <w:top w:val="single" w:sz="8" w:color="auto"/>
            </w:tcBorders>
            <w:gridSpan w:val="10"/>
          </w:tcPr>
          <w:p>
            <w:pPr>
              <w:jc w:val="right"/>
              <w:ind w:right="580"/>
              <w:spacing w:after="0"/>
              <w:rPr>
                <w:sz w:val="20"/>
                <w:szCs w:val="20"/>
                <w:color w:val="auto"/>
              </w:rPr>
            </w:pPr>
            <w:r>
              <w:rPr>
                <w:rFonts w:ascii="Arial" w:cs="Arial" w:eastAsia="Arial" w:hAnsi="Arial"/>
                <w:sz w:val="13"/>
                <w:szCs w:val="13"/>
                <w:b w:val="1"/>
                <w:bCs w:val="1"/>
                <w:color w:val="auto"/>
              </w:rPr>
              <w:t>(In thousands, except share data)</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Nine Months Ended December 31, 2020</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Balance at March 31, 2020</w:t>
            </w:r>
          </w:p>
        </w:tc>
        <w:tc>
          <w:tcPr>
            <w:tcW w:w="840" w:type="dxa"/>
            <w:vAlign w:val="bottom"/>
          </w:tcPr>
          <w:p>
            <w:pPr>
              <w:jc w:val="right"/>
              <w:spacing w:after="0"/>
              <w:rPr>
                <w:sz w:val="20"/>
                <w:szCs w:val="20"/>
                <w:color w:val="auto"/>
              </w:rPr>
            </w:pPr>
            <w:r>
              <w:rPr>
                <w:rFonts w:ascii="Arial" w:cs="Arial" w:eastAsia="Arial" w:hAnsi="Arial"/>
                <w:sz w:val="14"/>
                <w:szCs w:val="14"/>
                <w:color w:val="auto"/>
              </w:rPr>
              <w:t>62,147,140</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$ 1,788,456</w:t>
            </w:r>
          </w:p>
        </w:tc>
        <w:tc>
          <w:tcPr>
            <w:tcW w:w="1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245,373</w:t>
            </w:r>
          </w:p>
        </w:tc>
        <w:tc>
          <w:tcPr>
            <w:tcW w:w="140" w:type="dxa"/>
            <w:vAlign w:val="bottom"/>
          </w:tcPr>
          <w:p>
            <w:pPr>
              <w:spacing w:after="0"/>
              <w:rPr>
                <w:sz w:val="15"/>
                <w:szCs w:val="15"/>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(6,048)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22,355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$ 2,050,142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638,792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19,101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19,101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Common stock issued in private placement, net of</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issuance costs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4,474,559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0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174,748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174,749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75,655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75,655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580,846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25,406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25,406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662,991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(13,013)</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(13,013)</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Net (loss) income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(3,666)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6,290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12,662</w:t>
            </w:r>
          </w:p>
        </w:tc>
        <w:tc>
          <w:tcPr>
            <w:tcW w:w="2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4"/>
                <w:szCs w:val="14"/>
                <w:color w:val="auto"/>
              </w:rPr>
              <w:t>Balance at December 31, 2020</w:t>
            </w:r>
          </w:p>
        </w:tc>
        <w:tc>
          <w:tcPr>
            <w:tcW w:w="840" w:type="dxa"/>
            <w:vAlign w:val="bottom"/>
          </w:tcPr>
          <w:p>
            <w:pPr>
              <w:jc w:val="right"/>
              <w:spacing w:after="0"/>
              <w:rPr>
                <w:sz w:val="20"/>
                <w:szCs w:val="20"/>
                <w:color w:val="auto"/>
              </w:rPr>
            </w:pPr>
            <w:r>
              <w:rPr>
                <w:rFonts w:ascii="Arial" w:cs="Arial" w:eastAsia="Arial" w:hAnsi="Arial"/>
                <w:sz w:val="14"/>
                <w:szCs w:val="14"/>
                <w:color w:val="auto"/>
              </w:rPr>
              <w:t>68,504,328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$ 2,070,353</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241,707</w:t>
            </w: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6,614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28,645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$ 2,347,326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b w:val="1"/>
                <w:bCs w:val="1"/>
                <w:color w:val="auto"/>
              </w:rPr>
              <w:t>For the Nine Months Ended December 31, 2019</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60,550,093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$ 1,656,819</w:t>
            </w: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245,585</w:t>
            </w:r>
          </w:p>
        </w:tc>
        <w:tc>
          <w:tcPr>
            <w:tcW w:w="140" w:type="dxa"/>
            <w:vAlign w:val="bottom"/>
            <w:shd w:val="clear" w:color="auto" w:fill="CFF0FC"/>
          </w:tcPr>
          <w:p>
            <w:pPr>
              <w:spacing w:after="0"/>
              <w:rPr>
                <w:sz w:val="15"/>
                <w:szCs w:val="15"/>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$ 1,916,078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335,373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20,743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20,743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311,137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17,350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17,350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73,523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73,523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255,615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22,829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22,829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671,040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(28,268)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(28,268)</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(1,798)</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10,713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(5,859)</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(5,859)</w:t>
            </w: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62,123,258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$ 1,762,996</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243,787</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19,043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$ 2,025,311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accompanying condensed consolidated balance sheet at December 31, 2020, the condensed consolidated statements of operations and comprehensive income (loss) for the three and nine months ended December 31, 2020 and 2019, the condensed consolidated statements of cash flows for the nine months ended December 31, 2020 and 2019 and the condensed consolidated statements of equity for the three and nine months ended December 31, 2020 and 2019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2020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2020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1"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8"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During the second quarter of fiscal year 2021, the Company issued and sold an aggregate of 4,474,559 shares of the Company’s common stock at a purchase price of $ 39.11 per share to certain accredited investors in a private placement transaction exempt from registration under the Securities Act of 1933, as amended, resulting in net proceeds of approximately $174.7 million after deducting offering expenses.</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Company applies the five-step model under Accounting Standards Codification (ASC) 606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20" w:firstLine="510"/>
        <w:spacing w:after="0" w:line="234"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w:t>
      </w:r>
    </w:p>
    <w:p>
      <w:pPr>
        <w:spacing w:after="0" w:line="4" w:lineRule="exact"/>
        <w:rPr>
          <w:sz w:val="20"/>
          <w:szCs w:val="20"/>
          <w:color w:val="auto"/>
        </w:rPr>
      </w:pPr>
    </w:p>
    <w:p>
      <w:pPr>
        <w:ind w:left="5580" w:right="1140" w:hanging="5572"/>
        <w:spacing w:after="0" w:line="496" w:lineRule="auto"/>
        <w:tabs>
          <w:tab w:leader="none" w:pos="414"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discussed further below under “Leases - Lessor accounting”, for broadband equipment leased to consumer broadband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21"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99"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90"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2019 or 2020. As of December 31, 2020, the DCAA had completed its incurred cost audit for fiscal years 2004 and 2016 and approved the Company’s incurred costs for those fiscal years, as well as approved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2020 and March 31, 2020, the Company had $8.8 million and $7.8 million, respectively, in contract-related reserves for its estimate of potential refunds to customers for potential cost adjustments on several multi-year U.S. Government cost reimbursable contracts (see Note 8 — Commitments and Contingencies for more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0" w:lineRule="exact"/>
        <w:rPr>
          <w:sz w:val="20"/>
          <w:szCs w:val="20"/>
          <w:color w:val="auto"/>
        </w:rPr>
      </w:pPr>
    </w:p>
    <w:p>
      <w:pPr>
        <w:ind w:right="28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December 31, 2020, the aggregate amount of the transaction price allocated to remaining performance obligations was $2.4 billion, of which the Company expects to recognize a little over half over the next twelve months, with the balance recognized thereafter.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and nine months ended</w:t>
      </w:r>
    </w:p>
    <w:p>
      <w:pPr>
        <w:spacing w:after="0"/>
        <w:rPr>
          <w:sz w:val="20"/>
          <w:szCs w:val="20"/>
          <w:color w:val="auto"/>
        </w:rPr>
      </w:pPr>
      <w:r>
        <w:rPr>
          <w:rFonts w:ascii="Arial" w:cs="Arial" w:eastAsia="Arial" w:hAnsi="Arial"/>
          <w:sz w:val="18"/>
          <w:szCs w:val="18"/>
          <w:color w:val="auto"/>
        </w:rPr>
        <w:t>December 31, 2020 and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 December 31, 2020</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3"/>
                <w:szCs w:val="13"/>
                <w:color w:val="auto"/>
              </w:rPr>
            </w:pPr>
          </w:p>
        </w:tc>
        <w:tc>
          <w:tcPr>
            <w:tcW w:w="15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4"/>
          </w:tcPr>
          <w:p>
            <w:pPr>
              <w:jc w:val="center"/>
              <w:ind w:right="1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75,690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190,824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266,514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220,789</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14,409</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309,045</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220,789</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90,099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264,671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575,559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Nine Months Ended December 31, 2020</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3"/>
                <w:szCs w:val="13"/>
                <w:color w:val="auto"/>
              </w:rPr>
            </w:pPr>
          </w:p>
        </w:tc>
        <w:tc>
          <w:tcPr>
            <w:tcW w:w="15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09"/>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4"/>
          </w:tcPr>
          <w:p>
            <w:pPr>
              <w:jc w:val="center"/>
              <w:ind w:right="1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197,560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575,568</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773,128</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638,660</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38,561</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209,976</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887,197</w:t>
            </w:r>
          </w:p>
        </w:tc>
        <w:tc>
          <w:tcPr>
            <w:tcW w:w="100" w:type="dxa"/>
            <w:vAlign w:val="bottom"/>
            <w:tcBorders>
              <w:bottom w:val="single" w:sz="8" w:color="CFF0FC"/>
            </w:tcBorders>
          </w:tcPr>
          <w:p>
            <w:pPr>
              <w:spacing w:after="0"/>
              <w:rPr>
                <w:sz w:val="18"/>
                <w:szCs w:val="18"/>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638,660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236,121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785,544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1,660,325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 December 31, 2019</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3"/>
                <w:szCs w:val="13"/>
                <w:color w:val="auto"/>
              </w:rPr>
            </w:pPr>
          </w:p>
        </w:tc>
        <w:tc>
          <w:tcPr>
            <w:tcW w:w="15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4"/>
          </w:tcPr>
          <w:p>
            <w:pPr>
              <w:jc w:val="center"/>
              <w:ind w:right="1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229,908</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303,090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211,700</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285,134</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211,700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84,726</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291,798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Nine Months Ended December 31, 2019</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3"/>
                <w:szCs w:val="13"/>
                <w:color w:val="auto"/>
              </w:rPr>
            </w:pPr>
          </w:p>
        </w:tc>
        <w:tc>
          <w:tcPr>
            <w:tcW w:w="15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4"/>
          </w:tcPr>
          <w:p>
            <w:pPr>
              <w:jc w:val="center"/>
              <w:ind w:right="1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212,226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661,309</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873,535</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614,232</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39,520</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190,230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843,982</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614,232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251,746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851,539</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1,717,517</w:t>
            </w:r>
          </w:p>
        </w:tc>
        <w:tc>
          <w:tcPr>
            <w:tcW w:w="100" w:type="dxa"/>
            <w:vAlign w:val="bottom"/>
            <w:shd w:val="clear" w:color="auto" w:fill="CFF0FC"/>
          </w:tcPr>
          <w:p>
            <w:pPr>
              <w:spacing w:after="0"/>
              <w:rPr>
                <w:sz w:val="18"/>
                <w:szCs w:val="18"/>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Revenues from the U.S. Government as an individual customer comprised approximately 28% and 30% of total revenues for the three and nine months ended December 31, 2020, respectively, and approximately 30% of total revenues for both the three and nine months ended December 31, 2019, mainly reported within the government systems segment. Revenues from the Company’s other customers, mainly reported within the commercial networks and satellite services segments, comprised approximately 72% and 70% of total revenues for the three and nine months ended December 31, 2020, respectively, and approximately 70% of total revenues for both the three and nine months ended December 31, 2019.</w:t>
      </w:r>
    </w:p>
    <w:p>
      <w:pPr>
        <w:spacing w:after="0" w:line="191"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and in-flight services.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ind w:right="180" w:firstLine="510"/>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91% and 88% of the Company’s total revenues for these segments for the three and nine months ended December 31, 2020, respectively, and approximately 89% of the Company’s total revenues for these segments for both the three and nine months ended December 31, 2019.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3" w:lineRule="exact"/>
        <w:rPr>
          <w:sz w:val="20"/>
          <w:szCs w:val="20"/>
          <w:color w:val="auto"/>
        </w:rPr>
      </w:pPr>
    </w:p>
    <w:p>
      <w:pPr>
        <w:ind w:right="140" w:firstLine="510"/>
        <w:spacing w:after="0" w:line="253" w:lineRule="auto"/>
        <w:rPr>
          <w:sz w:val="20"/>
          <w:szCs w:val="20"/>
          <w:color w:val="auto"/>
        </w:rPr>
      </w:pPr>
      <w:r>
        <w:rPr>
          <w:rFonts w:ascii="Arial" w:cs="Arial" w:eastAsia="Arial" w:hAnsi="Arial"/>
          <w:sz w:val="17"/>
          <w:szCs w:val="17"/>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20% and 23% of its total revenues for the three and nine months ended December 31, 2020, respectively, and approximately 24% and 23% of its total revenues for the three and nine months ended December 31, 2019,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89"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December 31, 2020 and March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right"/>
              <w:ind w:right="899"/>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 of</w:t>
            </w:r>
          </w:p>
        </w:tc>
      </w:tr>
      <w:tr>
        <w:trPr>
          <w:trHeight w:val="175"/>
        </w:trPr>
        <w:tc>
          <w:tcPr>
            <w:tcW w:w="5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right"/>
              <w:ind w:right="419"/>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15"/>
                <w:szCs w:val="15"/>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March 31, 2020</w:t>
            </w:r>
          </w:p>
        </w:tc>
      </w:tr>
      <w:tr>
        <w:trPr>
          <w:trHeight w:val="210"/>
        </w:trPr>
        <w:tc>
          <w:tcPr>
            <w:tcW w:w="5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60,951</w:t>
            </w:r>
          </w:p>
        </w:tc>
        <w:tc>
          <w:tcPr>
            <w:tcW w:w="5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75,661</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59"/>
              <w:spacing w:after="0"/>
              <w:rPr>
                <w:sz w:val="20"/>
                <w:szCs w:val="20"/>
                <w:color w:val="auto"/>
              </w:rPr>
            </w:pPr>
            <w:r>
              <w:rPr>
                <w:rFonts w:ascii="Arial" w:cs="Arial" w:eastAsia="Arial" w:hAnsi="Arial"/>
                <w:sz w:val="18"/>
                <w:szCs w:val="18"/>
                <w:color w:val="auto"/>
              </w:rPr>
              <w:t>206,807</w:t>
            </w:r>
          </w:p>
        </w:tc>
        <w:tc>
          <w:tcPr>
            <w:tcW w:w="5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123,019</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97,485</w:t>
            </w:r>
          </w:p>
        </w:tc>
        <w:tc>
          <w:tcPr>
            <w:tcW w:w="5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80,802</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both"/>
        <w:ind w:right="620" w:firstLine="510"/>
        <w:spacing w:after="0" w:line="246" w:lineRule="auto"/>
        <w:rPr>
          <w:sz w:val="20"/>
          <w:szCs w:val="20"/>
          <w:color w:val="auto"/>
        </w:rPr>
      </w:pPr>
      <w:r>
        <w:rPr>
          <w:rFonts w:ascii="Arial" w:cs="Arial" w:eastAsia="Arial" w:hAnsi="Arial"/>
          <w:sz w:val="18"/>
          <w:szCs w:val="18"/>
          <w:color w:val="auto"/>
        </w:rPr>
        <w:t>Unbilled accounts receivable decreased $14.7 million during the nine months ended December 31, 2020, primarily driven by an increase in billings in the Company’s government systems segment.</w:t>
      </w:r>
    </w:p>
    <w:p>
      <w:pPr>
        <w:spacing w:after="0" w:line="143" w:lineRule="exact"/>
        <w:rPr>
          <w:sz w:val="20"/>
          <w:szCs w:val="20"/>
          <w:color w:val="auto"/>
        </w:rPr>
      </w:pPr>
    </w:p>
    <w:p>
      <w:pPr>
        <w:ind w:right="180" w:firstLine="510"/>
        <w:spacing w:after="0"/>
        <w:rPr>
          <w:sz w:val="20"/>
          <w:szCs w:val="20"/>
          <w:color w:val="auto"/>
        </w:rPr>
      </w:pPr>
      <w:r>
        <w:rPr>
          <w:rFonts w:ascii="Arial" w:cs="Arial" w:eastAsia="Arial" w:hAnsi="Arial"/>
          <w:sz w:val="18"/>
          <w:szCs w:val="18"/>
          <w:color w:val="auto"/>
        </w:rPr>
        <w:t>Collections in excess of revenues and deferred revenues increased $83.8 million during the nine months ended December 31, 2020, primarily driven by advances on goods or services received in excess of revenue recognized in the Company’s commercial networks segment.</w:t>
      </w:r>
    </w:p>
    <w:p>
      <w:pPr>
        <w:spacing w:after="0" w:line="149" w:lineRule="exact"/>
        <w:rPr>
          <w:sz w:val="20"/>
          <w:szCs w:val="20"/>
          <w:color w:val="auto"/>
        </w:rPr>
      </w:pPr>
    </w:p>
    <w:p>
      <w:pPr>
        <w:ind w:right="420" w:firstLine="510"/>
        <w:spacing w:after="0" w:line="257" w:lineRule="auto"/>
        <w:rPr>
          <w:sz w:val="20"/>
          <w:szCs w:val="20"/>
          <w:color w:val="auto"/>
        </w:rPr>
      </w:pPr>
      <w:r>
        <w:rPr>
          <w:rFonts w:ascii="Arial" w:cs="Arial" w:eastAsia="Arial" w:hAnsi="Arial"/>
          <w:sz w:val="17"/>
          <w:szCs w:val="17"/>
          <w:color w:val="auto"/>
        </w:rPr>
        <w:t>During the three and nine months ended December 31, 2020, the Company recognized revenue of $ 7.6 million and $82.2 million, respectively, that was previously included in the Company’s collections in excess of revenues and deferred revenues at March 31, 2020. During the three and nine months ended December 31, 2019, the Company recognized revenue of $13.5 million and $84.7 million, respectively, that was previously included in the Company’s collections in excess of revenues and deferred revenues at March 31, 2019.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17 years. Leasehold improvements are capitalized and amortized using the straight-line method over the shorter of the lease term or the life of the improvement.</w:t>
      </w:r>
    </w:p>
    <w:p>
      <w:pPr>
        <w:spacing w:after="0" w:line="159"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49"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$21.8 million and $57.7 million of interest expense for the three and nine months ended December 31, 2020, respectively, and $14.3 million and $38.6 million for the three and nine months ended December 31, 2019, respectively.</w:t>
      </w:r>
    </w:p>
    <w:p>
      <w:pPr>
        <w:spacing w:after="0" w:line="15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Company owns three satellites in service (ViaSat-2, ViaSat-1 and WildBlue-1) and has lifetime leases of Ka-band capacity on two satellites. The Company also has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December 31, 2020 were $410.9 million and $186.8 million, respectively. The total cost and accumulated depreciation of CPE units included in property, equipment and satellites, net, as of March 31, 2020 were $399.3 million and $165.7 million, respectively.</w:t>
      </w:r>
    </w:p>
    <w:p>
      <w:pPr>
        <w:spacing w:after="0" w:line="153"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corrective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fiscal years 2019 and 2020, the Company received an aggregate of $188.0 million of insurance proceeds related to the ViaSat-2 satellite. The ViaSat-2 satellite was primarily financed by the Company’s direct loan facility with the Export-Import Bank of the United States for ViaSat-2 (the Ex-Im Credit Facility) (see Note 6 — Senior Notes and Other Long-Term Debt for more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information). Pursuant to the terms of the Ex-Im Credit Facility, the proceeds received from the insurance claims for ViaSat-2 were used to pay down outstanding borrowings under the Ex-Im Credit Facility.</w:t>
      </w:r>
    </w:p>
    <w:p>
      <w:pPr>
        <w:spacing w:after="0" w:line="143" w:lineRule="exact"/>
        <w:rPr>
          <w:sz w:val="20"/>
          <w:szCs w:val="20"/>
          <w:color w:val="auto"/>
        </w:rPr>
      </w:pPr>
    </w:p>
    <w:p>
      <w:pPr>
        <w:ind w:right="100" w:firstLine="510"/>
        <w:spacing w:after="0" w:line="246"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w:t>
      </w:r>
    </w:p>
    <w:p>
      <w:pPr>
        <w:spacing w:after="0" w:line="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within depreciation expense (see Note 1 — Basis of Presentation – Leases for more information). The Company’s finance leases consist primarily of satellite lifetime Ka-band capacity leases and have remaining terms from one year to six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81"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right="200" w:firstLine="8"/>
        <w:spacing w:after="0" w:line="238"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twelve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81" w:lineRule="exact"/>
        <w:rPr>
          <w:sz w:val="20"/>
          <w:szCs w:val="20"/>
          <w:color w:val="auto"/>
        </w:rPr>
      </w:pPr>
    </w:p>
    <w:p>
      <w:pPr>
        <w:ind w:right="80" w:firstLine="510"/>
        <w:spacing w:after="0" w:line="248" w:lineRule="auto"/>
        <w:rPr>
          <w:sz w:val="20"/>
          <w:szCs w:val="20"/>
          <w:color w:val="auto"/>
        </w:rPr>
      </w:pPr>
      <w:r>
        <w:rPr>
          <w:rFonts w:ascii="Arial" w:cs="Arial" w:eastAsia="Arial" w:hAnsi="Arial"/>
          <w:sz w:val="17"/>
          <w:szCs w:val="17"/>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w:t>
      </w:r>
    </w:p>
    <w:p>
      <w:pPr>
        <w:spacing w:after="0" w:line="2" w:lineRule="exact"/>
        <w:rPr>
          <w:sz w:val="20"/>
          <w:szCs w:val="20"/>
          <w:color w:val="auto"/>
        </w:rPr>
      </w:pPr>
    </w:p>
    <w:p>
      <w:pPr>
        <w:ind w:right="320" w:firstLine="8"/>
        <w:spacing w:after="0" w:line="246" w:lineRule="auto"/>
        <w:tabs>
          <w:tab w:leader="none" w:pos="39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also a lessor for certain insignificant communications equipment. These leases meet the criteria for operating lease classification. Lease income associated with these leases is not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jc w:val="both"/>
        <w:ind w:right="60" w:firstLine="510"/>
        <w:spacing w:after="0" w:line="248" w:lineRule="auto"/>
        <w:rPr>
          <w:sz w:val="20"/>
          <w:szCs w:val="20"/>
          <w:color w:val="auto"/>
        </w:rPr>
      </w:pPr>
      <w:r>
        <w:rPr>
          <w:rFonts w:ascii="Arial" w:cs="Arial" w:eastAsia="Arial" w:hAnsi="Arial"/>
          <w:sz w:val="17"/>
          <w:szCs w:val="17"/>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$3.4 million and $3.3 million related to patents were included in other assets as of December 31, 2020 and March 31, 2020, respectively.</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Company capitalized costs of $53.8 million and $39.5 million related to acquiring and obtaining orbital slots and other licenses included in other assets as of December 31, 2020 and March 31, 2020, respectively. Accumulated amortization related to these assets was</w:t>
      </w:r>
    </w:p>
    <w:p>
      <w:pPr>
        <w:spacing w:after="0" w:line="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$4.1 million and $3.7 million as of December 31, 2020 and March 31, 2020, respectively. Amortization expense related to these assets was an insignificant amount for the three and nine months ended December 31, 2020 and 2019. If a patent, orbital slot or other license is rejected, abandoned or otherwise invalidated, the unamortized cost is expensed in that period. During the three and nine months ended December 31, 2020 and 2019, the Company did not write off any significant costs due to abandonment or impairment.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85" w:lineRule="exact"/>
        <w:rPr>
          <w:sz w:val="20"/>
          <w:szCs w:val="20"/>
          <w:color w:val="auto"/>
        </w:rPr>
      </w:pPr>
    </w:p>
    <w:p>
      <w:pPr>
        <w:ind w:firstLine="510"/>
        <w:spacing w:after="0" w:line="251" w:lineRule="auto"/>
        <w:rPr>
          <w:sz w:val="20"/>
          <w:szCs w:val="20"/>
          <w:color w:val="auto"/>
        </w:rPr>
      </w:pPr>
      <w:r>
        <w:rPr>
          <w:rFonts w:ascii="Arial" w:cs="Arial" w:eastAsia="Arial" w:hAnsi="Arial"/>
          <w:sz w:val="17"/>
          <w:szCs w:val="17"/>
          <w:color w:val="auto"/>
        </w:rPr>
        <w:t>Debt issuance costs are amortized and recognized as interest expense using the effective interest rate method, or, when the results are not materially different, on a straight-line basis over the expected term of the related debt. During the nine months ended December 31, 2020 and 2019, $5.1 million and no debt issuance costs were capitalized,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the Company’s 5.625% Senior Secured Notes due 2027 (the 2027 Notes), the Company’s 6.500% Senior Notes due 2028 (the 2028 Notes) and the Ex-Im Credit Facility are recorded as a direct deduction from the carrying amount of the related debt, consistent with debt discounts, in accordance with the authoritative guidance for imputation of interest (ASC 835-30).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20" w:firstLine="510"/>
        <w:spacing w:after="0" w:line="234"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$239.1 million and $242.7 million related to software developed for resale were included in other assets as of December 31, 2020 and March 31, 2020, respectively. The Company capitalized $13.0 million and</w:t>
      </w:r>
    </w:p>
    <w:p>
      <w:pPr>
        <w:spacing w:after="0" w:line="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$41.5 million of costs related to software developed for resale for the three and nine months ended December 31, 2020, respectively. The Company capitalized $13.4 million and $37.0 million of costs related to software developed for resale for the three and nine months ended December 31, 2019, respectively. Amortization expense for capitalized software development costs was $17.1 million and $45.1 million for the three and nine months ended December 31, 2020, respectively, and $13.9 million and $39.6 million for the three and nine months ended December 31, 2019, respectively.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right="60" w:firstLine="510"/>
        <w:spacing w:after="0" w:line="251" w:lineRule="auto"/>
        <w:rPr>
          <w:sz w:val="20"/>
          <w:szCs w:val="20"/>
          <w:color w:val="auto"/>
        </w:rPr>
      </w:pPr>
      <w:r>
        <w:rPr>
          <w:rFonts w:ascii="Arial" w:cs="Arial" w:eastAsia="Arial" w:hAnsi="Arial"/>
          <w:sz w:val="17"/>
          <w:szCs w:val="17"/>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$6.9 million and $6.2 million in accrued and other liabilities in the condensed consolidated balance sheets as of December 31, 2020 and March 31, 2020,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2020 and March 31, 2020, no such amounts were accrued related to the aforementioned provisions.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8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firstLine="510"/>
        <w:spacing w:after="0" w:line="252"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and March 31, 2020, the Company had no shares of common stock held in treasury.</w:t>
      </w:r>
    </w:p>
    <w:p>
      <w:pPr>
        <w:spacing w:after="0" w:line="158"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During the three months ended December 31, 2020 and 2019, the Company issued 963,565 and 932,074 shares of common stock, respectively, based on the vesting terms of certain restricted stock unit agreements. During the nine months ended December 31, 2020 and 2019, the Company issued 1,028,535 and 1,047,557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December 31, 2020 and 2019, the Company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repurchased 348,629 and 340,385 shares of common stock, respectively, at cost and with a total value of $12.3 million and $25.1 million, respectively. During the nine months ended December 31, 2020 and 2019, the Company repurchased 365,544 and 376,517 shares of common stock, respectively, at cost and with a total value of $13.0 million and $28.3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w:t>
      </w:r>
    </w:p>
    <w:p>
      <w:pPr>
        <w:spacing w:after="0" w:line="1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Company accounts for forfeitures as they occur. The Company recognized $21.7 million and $65.0 million of stock-based compensation expense for the three and nine months ended December 31, 2020, respectively. The Company recognized $21.9 million and $64.2 million of stock-based compensation expense for the three and nine months ended December 31,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research and development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nine months ended December 31, 2020 and 2019 by applying the actual effective tax rate to the pretax income (loss) for the three-month and nine-month periods.</w:t>
      </w:r>
    </w:p>
    <w:p>
      <w:pPr>
        <w:spacing w:after="0" w:line="153" w:lineRule="exact"/>
        <w:rPr>
          <w:sz w:val="20"/>
          <w:szCs w:val="20"/>
          <w:color w:val="auto"/>
        </w:rPr>
      </w:pPr>
    </w:p>
    <w:p>
      <w:pPr>
        <w:ind w:right="180" w:firstLine="510"/>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9" w:lineRule="exact"/>
        <w:rPr>
          <w:sz w:val="20"/>
          <w:szCs w:val="20"/>
          <w:color w:val="auto"/>
        </w:rPr>
      </w:pPr>
    </w:p>
    <w:p>
      <w:pPr>
        <w:ind w:right="60" w:firstLine="510"/>
        <w:spacing w:after="0" w:line="248"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(ASC 326). ASU 2016-13 requires credit losses on most financial assets measured at amortized cost and certain other instruments to be measured using an expected credit loss model (referred to as the current expected credit loss model). It also modifies the impairment model for available-for-sale debt securities and provides for a simplified accounting model for purchased financial assets with credit deterioration since their origination. In November 2018, the FASB issued ASU 2018-19, Codification Improvements to ASC 326, Financial Instruments — Credit Losses (ASC 326), which clarifies that impairment of receivables arising from operating leases should be accounted for in accordance with ASC 842, Leases. In April 2019, the FASB issued ASU 2019-04, Codification Improvements to ASC 326, Financial Instruments — Credit Losses, in May 2019, the FASB issued ASU 2019-05, Financial Instruments — Credit Losses (ASC</w:t>
      </w:r>
    </w:p>
    <w:p>
      <w:pPr>
        <w:spacing w:after="0" w:line="4" w:lineRule="exact"/>
        <w:rPr>
          <w:sz w:val="20"/>
          <w:szCs w:val="20"/>
          <w:color w:val="auto"/>
        </w:rPr>
      </w:pPr>
    </w:p>
    <w:p>
      <w:pPr>
        <w:ind w:right="20" w:firstLine="8"/>
        <w:spacing w:after="0" w:line="236" w:lineRule="auto"/>
        <w:tabs>
          <w:tab w:leader="none" w:pos="4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Targeted Relief, in November 2019, the FASB issued ASU 2019-11, Codification Improvements to ASC 326, Financial Instruments — Credit Losses, in February 2020, the FASB issued ASU 2020-02, Financial Instruments — Credit Losses (ASC 326) and Leases (ASC 842) Amendments to SEC Paragraphs Pursuant to SEC Staff Accounting Bulletin No. 119 and Update to SEC Section on Effective Date Related to ASU 2016-02, Leases (ASC 842) and in March 2020, the FASB issued ASU 2020-03, Codification Improvements to Financial Instruments. These recently issued ASUs do not change the core principle of the guidance in ASU 2016-13 but rather are intended to clarify and improve operability of certain topics included within ASU 2016-13. ASU 2018-19, ASU 2019-04, ASU 2019-05, ASU 2019-11, ASU 2020-02, and ASU 2020-03 have the same effective date and transition requirements as ASU 2016-13. The Company adopted the new guidance in the first quarter of fiscal year 2021 using the modified retrospective approach with application of the model to the Company’s accounts receivables. Under the new standard, the Company is required to recognize estimated credit losses expected to occur over the estimated life or remaining contractual life of an asset using a broader range of information including past events, current conditions and consideration of supportable forecasts about future economic conditions. The adoption of the standard had an insignificant impact on the Company’s consolidated financial statements and disclosures.</w:t>
      </w:r>
    </w:p>
    <w:p>
      <w:pPr>
        <w:spacing w:after="0" w:line="150"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Company adopted the new guidance in the first quarter of fiscal year 2021 and the guidance did not have a material impact on the Company’s consolidated financial statements and disclosures.</w:t>
      </w:r>
    </w:p>
    <w:p>
      <w:pPr>
        <w:spacing w:after="0" w:line="151"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In December 2019, the FASB issued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ASU 2019-12 is effective for the Company beginning in fiscal year 2022, with early adoption permitted. The Company is currently evaluating the impact of this standard on its consolidated financial statements and disclosures.</w:t>
      </w:r>
    </w:p>
    <w:p>
      <w:pPr>
        <w:spacing w:after="0" w:line="148"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In January 2020, the FASB issued ASU 2020-01, Investments – Equity Securities (ASC 321), Investments – Equity Method and Joint Ventures (ASC 323) and Derivatives and Hedging (ASC 815). ASU 2020-01 clarifies the interaction of the accounting for equity securities under ASC 321 and investments accounted for under the equity method of accounting under ASC 323, and the accounting for certain forward contracts and purchased options accounted for under ASC 815. The new standard will become effective for the Company beginning in fiscal year 2022, with early adoption permitted. The Company is currently evaluating the impact of this standard on its consolidated financial statements and disclosures.</w:t>
      </w:r>
    </w:p>
    <w:p>
      <w:pPr>
        <w:spacing w:after="0" w:line="151"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In March 2020, the FASB issued ASU 2020-04, Reference Rate Reform (ASC 848): Facilitation of the Effects of Reference Rate Reform on Financial Reporting. ASU 2020-04 provides temporary optional guidance to ease the potential accounting burden associated with the transition away from reference rates (such as the London Interbank Offered Rate) that are expected to be discontinued. ASU 2020-04 was effective upon issuance and can be applied for a limited time through December 31, 2022. The Company adopted the guidance upon issuance with no impact to the Company consolidated financial statements and disclosures.</w:t>
      </w:r>
    </w:p>
    <w:p>
      <w:pPr>
        <w:spacing w:after="0" w:line="18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May 2020, the SEC adopted Amendments to Financial Disclosures about Acquired and Disposed Businesses (the Final Rule). The Final Rule amends SEC rules related to separate financial statements of acquired businesses, and, among other things, revises the income test by adding a revenue component, which is one of the tests used to determine whether a subsidiary of an acquired or disposed business is significant. The Final Rule reduces the anomalous result that registrants with marginal or break-even net income (loss) may be more likely to have subsidiaries deemed significant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where they otherwise would not. The Final Rule became effective on January 1, 2021, with early adoption permitted. The Company early adopted the provisions of the Final Rule in the first quarter of fiscal year 2021. The guidance did not have a material impact on the Company’s consolidated financial statements and disclosures.</w:t>
      </w:r>
    </w:p>
    <w:p>
      <w:pPr>
        <w:spacing w:after="0" w:line="189"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In August 2020, the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new standard will become effective for the Company beginning in fiscal year 2023, with early adoption permitted, but no earlier than fiscal year 2022. The Company is currently evaluating the impact of this standard on its consolidated financial statements and disclosures.</w:t>
      </w:r>
    </w:p>
    <w:p>
      <w:pPr>
        <w:spacing w:after="0" w:line="191"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In October 2020, the FASB issued ASU 2020-08, Codification Improvements to Subtopic 310-20, Receivables – Nonrefundable Fees and Other Costs. ASU 2020-08 clarifies that a company should reevaluate whether a callable debt security is within the scope of ASC paragraph 310 -20-35-33 for each reporting period. The new standard will become effective for the Company beginning in fiscal year 2022. The Company is currently evaluating the impact of this standard on its consolidated financial statements and disclosures.</w:t>
      </w:r>
    </w:p>
    <w:p>
      <w:pPr>
        <w:spacing w:after="0" w:line="19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October 2020, the FASB issued ASU 2020-09, Debt (ASC 740) to update the SEC guidance in the Codification related to the Final Rule (issued in March 2020). The SEC guidance in the Codification has updated financial disclosures about guarantors and issuers of guaranteed securities and affiliates whose securities collateralize a registrant’s securities. The final rules, among other things, allow omission of financial statements with respect to guaranteed securities when certain criteria are met and became effective on January 4, 2021. The guidance does not have a material impact on the Company’s consolidated financial statements and disclosures.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In October 2020, the FASB issued ASU 2020-10, Codification Improvements, which is related to a project by the FASB to facilitate codification updates for technical corrections, clarifications and other minor improvements that are not expected to have a significant effect on current accounting practice or create a significant administrative cost to most entities. The new standard contains amendments that affect a wide variety of topics in the ASC. The various amendments in this new standard will become effective for the Company beginning in fiscal year 2022, with early adoption permitted. The Company is currently evaluating the impact of this standard on its consolidated financial statements and disclosures.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1"/>
                <w:szCs w:val="11"/>
                <w:b w:val="1"/>
                <w:bCs w:val="1"/>
                <w:color w:val="auto"/>
              </w:rPr>
              <w:t>As of</w:t>
            </w:r>
          </w:p>
        </w:tc>
        <w:tc>
          <w:tcPr>
            <w:tcW w:w="320" w:type="dxa"/>
            <w:vAlign w:val="bottom"/>
          </w:tcPr>
          <w:p>
            <w:pPr>
              <w:spacing w:after="0"/>
              <w:rPr>
                <w:sz w:val="10"/>
                <w:szCs w:val="10"/>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December 31, 2020</w:t>
            </w:r>
          </w:p>
        </w:tc>
        <w:tc>
          <w:tcPr>
            <w:tcW w:w="320" w:type="dxa"/>
            <w:vAlign w:val="bottom"/>
          </w:tcPr>
          <w:p>
            <w:pPr>
              <w:spacing w:after="0"/>
              <w:rPr>
                <w:sz w:val="11"/>
                <w:szCs w:val="11"/>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March 31, 2020</w:t>
            </w:r>
          </w:p>
        </w:tc>
        <w:tc>
          <w:tcPr>
            <w:tcW w:w="0" w:type="dxa"/>
            <w:vAlign w:val="bottom"/>
          </w:tcPr>
          <w:p>
            <w:pPr>
              <w:spacing w:after="0"/>
              <w:rPr>
                <w:sz w:val="1"/>
                <w:szCs w:val="1"/>
                <w:color w:val="auto"/>
              </w:rPr>
            </w:pPr>
          </w:p>
        </w:tc>
      </w:tr>
      <w:tr>
        <w:trPr>
          <w:trHeight w:val="128"/>
        </w:trPr>
        <w:tc>
          <w:tcPr>
            <w:tcW w:w="6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1"/>
                <w:szCs w:val="11"/>
                <w:b w:val="1"/>
                <w:bCs w:val="1"/>
                <w:color w:val="auto"/>
              </w:rPr>
              <w:t>(In thousands)</w:t>
            </w: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spacing w:after="0"/>
              <w:rPr>
                <w:sz w:val="20"/>
                <w:szCs w:val="20"/>
                <w:color w:val="auto"/>
              </w:rPr>
            </w:pPr>
            <w:r>
              <w:rPr>
                <w:rFonts w:ascii="Arial" w:cs="Arial" w:eastAsia="Arial" w:hAnsi="Arial"/>
                <w:sz w:val="12"/>
                <w:szCs w:val="12"/>
                <w:color w:val="auto"/>
              </w:rPr>
              <w:t>Accounts receivable, net:</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Billed</w:t>
            </w: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145,323</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260,431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Unbilled</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60,951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75,661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Allowance for doubtful accounts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2"/>
                <w:szCs w:val="12"/>
                <w:color w:val="auto"/>
              </w:rPr>
              <w:t>(3,482)</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(5,394)</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330,698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Inventories:</w:t>
            </w:r>
          </w:p>
        </w:tc>
        <w:tc>
          <w:tcPr>
            <w:tcW w:w="1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Raw materials</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95,872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83,353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Work in process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68,071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59,429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Finished goods</w:t>
            </w:r>
          </w:p>
        </w:tc>
        <w:tc>
          <w:tcPr>
            <w:tcW w:w="13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170,976</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151,634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334,919</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294,416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Prepaid expenses and other current assets:</w:t>
            </w:r>
          </w:p>
        </w:tc>
        <w:tc>
          <w:tcPr>
            <w:tcW w:w="13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3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Prepaid expenses</w:t>
            </w: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82,455</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84,872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30,093</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31,409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112,548</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116,281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Property, equipment and satellites, net:</w:t>
            </w:r>
          </w:p>
        </w:tc>
        <w:tc>
          <w:tcPr>
            <w:tcW w:w="13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3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Equipment and software (estimated useful life of 3-7 years)</w:t>
            </w: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1,424,548</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1,229,926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CPE leased equipment (estimated useful life of 4-5 years)</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410,879</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399,343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Furniture and fixtures (estimated useful life of 7 years)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57,582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54,688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Leasehold improvements (estimated useful life of 2-17 years)</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144,214</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137,287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Building (estimated useful life of 12 years)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8,923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Land</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Construction in progress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230,172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220,703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(estimated useful life of 12-17 years)</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969,952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969,952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173,322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171,801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under construction</w:t>
            </w:r>
          </w:p>
        </w:tc>
        <w:tc>
          <w:tcPr>
            <w:tcW w:w="13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1,264,177</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906,720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4,686,060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4,101,634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Less: accumulated depreciation and amortization</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(1,712,327)</w:t>
            </w: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(1,514,899)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8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2,973,733</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2,586,735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acquired intangible assets, net:</w:t>
            </w:r>
          </w:p>
        </w:tc>
        <w:tc>
          <w:tcPr>
            <w:tcW w:w="13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3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Technology (weighted average useful life of 6 years)</w:t>
            </w: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91,804</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89,228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Contracts and customer relationships (weighted average useful life of 7 years)</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103,724</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103,114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8,600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Trade name (weighted average useful life of 3 years)</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 (weighted average useful life of 8 years)</w:t>
            </w:r>
          </w:p>
        </w:tc>
        <w:tc>
          <w:tcPr>
            <w:tcW w:w="13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6,421</w:t>
            </w:r>
          </w:p>
        </w:tc>
        <w:tc>
          <w:tcPr>
            <w:tcW w:w="3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6,399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216,489</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213,281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Less: accumulated amortization</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2"/>
                <w:szCs w:val="12"/>
                <w:color w:val="auto"/>
              </w:rPr>
              <w:t>(205,410)</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(198,842)</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11,079</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Other assets:</w:t>
            </w:r>
          </w:p>
        </w:tc>
        <w:tc>
          <w:tcPr>
            <w:tcW w:w="1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 in unconsolidated affiliate</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168,787</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160,204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277,734</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276,331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Capitalized software costs, net</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239,104</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242,741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Patents, orbital slots and other licenses, net</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53,058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39,135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104,094</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88,941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842,777</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807,352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Accrued and other liabilities:</w:t>
            </w:r>
          </w:p>
        </w:tc>
        <w:tc>
          <w:tcPr>
            <w:tcW w:w="13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3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Collections in excess of revenues and deferred revenues</w:t>
            </w: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206,807</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123,019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Accrued employee compensation</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61,479</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72,654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Accrued vacation</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53,758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48,963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current portion</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6,115</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49,370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42,146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108,036</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98,175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485,565</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391,190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liabilities:</w:t>
            </w:r>
          </w:p>
        </w:tc>
        <w:tc>
          <w:tcPr>
            <w:tcW w:w="13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3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Deferred revenues, long-term portion</w:t>
            </w: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97,485</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80,802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long-term portion</w:t>
            </w: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5,766</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Satellite performance incentive obligations, long-term portion</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23,005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24,349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25,784</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152,040</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120,934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8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7"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jc w:val="both"/>
        <w:ind w:left="1000" w:right="4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720" w:firstLine="510"/>
        <w:spacing w:after="0" w:line="246" w:lineRule="auto"/>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December 31, 2020 and March 31, 2020.</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10"/>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right="180" w:firstLine="510"/>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3"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Ex-Im Credit Facility, 2025 Notes, 2027 Notes and 2028 Notes is reported at amortized cost. However, for disclosure purposes, the Company is required to measure the fair value of outstanding debt on a recurring basis. The fair value of the Company’s long-term debt related to the Revolving Credit Facility approximates its carrying amount due to its variable interest rate, which approximates a market interest rate. As of December 31, 2020 and March 31, 2020, the fair value of the Company’s long-term debt related to the Ex-Im Credit Facility was determined based on a discounted cash flow analysis using observable market interest rates for instruments with similar terms (Level 2) and was approximately $100.6 million and $118.1 million, respectively. As of December 31, 2020 and March 31, 2020, the estimated fair value of the Company’s outstanding long-term debt related to the 2025 Notes was determined based on actual or estimated bids and offers for the 2025 Notes in an over-the-counter market (Level 2) and was $716.0 million and $653.6 million, respectively. As of December 31, 2020 and March 31, 2020, the estimated fair value of the Company’s outstanding long-term debt related to the 2027 Notes was determined based on actual or estimated bids and offers for the 2027 Notes in an over-the-counter market (Level 2) and was $630.0 million and $603.2 million, respectively. As of December 31, 2020, the estimated fair value of the Company’s outstanding long-term debt related to the 2028 Notes (which were issued in June 2020) was determined based on actual or estimated bids and offers for the 2028 Notes in an over-the-counter market (Level 2) and was $432.1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right="80" w:firstLine="510"/>
        <w:spacing w:after="0" w:line="255" w:lineRule="auto"/>
        <w:rPr>
          <w:sz w:val="20"/>
          <w:szCs w:val="20"/>
          <w:color w:val="auto"/>
        </w:rPr>
      </w:pPr>
      <w:r>
        <w:rPr>
          <w:rFonts w:ascii="Arial" w:cs="Arial" w:eastAsia="Arial" w:hAnsi="Arial"/>
          <w:sz w:val="17"/>
          <w:szCs w:val="17"/>
          <w:i w:val="1"/>
          <w:iCs w:val="1"/>
          <w:color w:val="auto"/>
        </w:rPr>
        <w:t xml:space="preserve">Satellite performance incentive obligations </w:t>
      </w:r>
      <w:r>
        <w:rPr>
          <w:rFonts w:ascii="Arial" w:cs="Arial" w:eastAsia="Arial" w:hAnsi="Arial"/>
          <w:sz w:val="17"/>
          <w:szCs w:val="17"/>
          <w:color w:val="auto"/>
        </w:rPr>
        <w:t>— The Company’s contracts with the manufacturers of the ViaSat-1 and ViaSat-2 satellites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the Company to make monthly in-orbit satellite performance incentive payments, including interest, through fiscal year 2027 and fiscal year 2028, respectively,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December 31, 2020 and March 31, 2020, the Company’s estimated satellite performance incentive obligations relating to the ViaSat-1 and ViaSat-2 satellites, including accrued interest, were $27.7 million and $27.4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28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8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69"/>
        </w:trPr>
        <w:tc>
          <w:tcPr>
            <w:tcW w:w="4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c>
          <w:tcPr>
            <w:tcW w:w="170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 2019</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c>
          <w:tcPr>
            <w:tcW w:w="160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42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0" w:type="dxa"/>
            <w:vAlign w:val="bottom"/>
            <w:tcBorders>
              <w:top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8"/>
                <w:szCs w:val="18"/>
                <w:color w:val="auto"/>
              </w:rPr>
              <w:t>Common shares outstanding used in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200" w:type="dxa"/>
            <w:vAlign w:val="bottom"/>
          </w:tcPr>
          <w:p>
            <w:pPr>
              <w:ind w:left="140"/>
              <w:spacing w:after="0" w:line="202" w:lineRule="exact"/>
              <w:rPr>
                <w:sz w:val="20"/>
                <w:szCs w:val="20"/>
                <w:color w:val="auto"/>
              </w:rPr>
            </w:pPr>
            <w:r>
              <w:rPr>
                <w:rFonts w:ascii="Arial" w:cs="Arial" w:eastAsia="Arial" w:hAnsi="Arial"/>
                <w:sz w:val="18"/>
                <w:szCs w:val="18"/>
                <w:color w:val="auto"/>
              </w:rPr>
              <w:t>calculating basic net income (loss)</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tcPr>
          <w:p>
            <w:pPr>
              <w:ind w:left="140"/>
              <w:spacing w:after="0" w:line="202" w:lineRule="exact"/>
              <w:rPr>
                <w:sz w:val="20"/>
                <w:szCs w:val="20"/>
                <w:color w:val="auto"/>
              </w:rPr>
            </w:pPr>
            <w:r>
              <w:rPr>
                <w:rFonts w:ascii="Arial" w:cs="Arial" w:eastAsia="Arial" w:hAnsi="Arial"/>
                <w:sz w:val="18"/>
                <w:szCs w:val="18"/>
                <w:color w:val="auto"/>
              </w:rPr>
              <w:t>per share attributable to Viasat, Inc.</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tcPr>
          <w:p>
            <w:pPr>
              <w:ind w:left="140"/>
              <w:spacing w:after="0" w:line="203" w:lineRule="exact"/>
              <w:rPr>
                <w:sz w:val="20"/>
                <w:szCs w:val="20"/>
                <w:color w:val="auto"/>
              </w:rPr>
            </w:pPr>
            <w:r>
              <w:rPr>
                <w:rFonts w:ascii="Arial" w:cs="Arial" w:eastAsia="Arial" w:hAnsi="Arial"/>
                <w:sz w:val="18"/>
                <w:szCs w:val="18"/>
                <w:color w:val="auto"/>
              </w:rPr>
              <w:t>common stockholders</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67,995</w:t>
            </w:r>
          </w:p>
        </w:tc>
        <w:tc>
          <w:tcPr>
            <w:tcW w:w="1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61,813</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65,704</w:t>
            </w:r>
          </w:p>
        </w:tc>
        <w:tc>
          <w:tcPr>
            <w:tcW w:w="1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61,405</w:t>
            </w:r>
          </w:p>
        </w:tc>
        <w:tc>
          <w:tcPr>
            <w:tcW w:w="100" w:type="dxa"/>
            <w:vAlign w:val="bottom"/>
          </w:tcPr>
          <w:p>
            <w:pPr>
              <w:spacing w:after="0"/>
              <w:rPr>
                <w:sz w:val="17"/>
                <w:szCs w:val="17"/>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 as</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determined by application of the</w:t>
            </w: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treasury stock method</w:t>
            </w:r>
          </w:p>
        </w:tc>
        <w:tc>
          <w:tcPr>
            <w:tcW w:w="13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4200" w:type="dxa"/>
            <w:vAlign w:val="bottom"/>
          </w:tcPr>
          <w:p>
            <w:pPr>
              <w:spacing w:after="0"/>
              <w:rPr>
                <w:sz w:val="20"/>
                <w:szCs w:val="20"/>
                <w:color w:val="auto"/>
              </w:rPr>
            </w:pPr>
            <w:r>
              <w:rPr>
                <w:rFonts w:ascii="Arial" w:cs="Arial" w:eastAsia="Arial" w:hAnsi="Arial"/>
                <w:sz w:val="18"/>
                <w:szCs w:val="18"/>
                <w:color w:val="auto"/>
              </w:rPr>
              <w:t>Restricted stock units to acquire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200" w:type="dxa"/>
            <w:vAlign w:val="bottom"/>
          </w:tcPr>
          <w:p>
            <w:pPr>
              <w:ind w:left="140"/>
              <w:spacing w:after="0" w:line="202" w:lineRule="exact"/>
              <w:rPr>
                <w:sz w:val="20"/>
                <w:szCs w:val="20"/>
                <w:color w:val="auto"/>
              </w:rPr>
            </w:pPr>
            <w:r>
              <w:rPr>
                <w:rFonts w:ascii="Arial" w:cs="Arial" w:eastAsia="Arial" w:hAnsi="Arial"/>
                <w:sz w:val="18"/>
                <w:szCs w:val="18"/>
                <w:color w:val="auto"/>
              </w:rPr>
              <w:t>common stock as determined by</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tcPr>
          <w:p>
            <w:pPr>
              <w:ind w:left="140"/>
              <w:spacing w:after="0" w:line="202" w:lineRule="exact"/>
              <w:rPr>
                <w:sz w:val="20"/>
                <w:szCs w:val="20"/>
                <w:color w:val="auto"/>
              </w:rPr>
            </w:pPr>
            <w:r>
              <w:rPr>
                <w:rFonts w:ascii="Arial" w:cs="Arial" w:eastAsia="Arial" w:hAnsi="Arial"/>
                <w:sz w:val="18"/>
                <w:szCs w:val="18"/>
                <w:color w:val="auto"/>
              </w:rPr>
              <w:t>application of the treasury stock</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tcPr>
          <w:p>
            <w:pPr>
              <w:ind w:left="140"/>
              <w:spacing w:after="0" w:line="203" w:lineRule="exact"/>
              <w:rPr>
                <w:sz w:val="20"/>
                <w:szCs w:val="20"/>
                <w:color w:val="auto"/>
              </w:rPr>
            </w:pPr>
            <w:r>
              <w:rPr>
                <w:rFonts w:ascii="Arial" w:cs="Arial" w:eastAsia="Arial" w:hAnsi="Arial"/>
                <w:sz w:val="18"/>
                <w:szCs w:val="18"/>
                <w:color w:val="auto"/>
              </w:rPr>
              <w:t>method</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108</w:t>
            </w:r>
          </w:p>
        </w:tc>
        <w:tc>
          <w:tcPr>
            <w:tcW w:w="1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773</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Potentially issuable shares in</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connection with certain terms</w:t>
            </w: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of the ViaSat 401(k) Profit</w:t>
            </w: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Sharing Plan and Employee Stock</w:t>
            </w: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Purchase Plan</w:t>
            </w:r>
          </w:p>
        </w:tc>
        <w:tc>
          <w:tcPr>
            <w:tcW w:w="13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565</w:t>
            </w:r>
          </w:p>
        </w:tc>
        <w:tc>
          <w:tcPr>
            <w:tcW w:w="15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9"/>
        </w:trPr>
        <w:tc>
          <w:tcPr>
            <w:tcW w:w="4200" w:type="dxa"/>
            <w:vAlign w:val="bottom"/>
          </w:tcPr>
          <w:p>
            <w:pPr>
              <w:spacing w:after="0"/>
              <w:rPr>
                <w:sz w:val="20"/>
                <w:szCs w:val="20"/>
                <w:color w:val="auto"/>
              </w:rPr>
            </w:pPr>
            <w:r>
              <w:rPr>
                <w:rFonts w:ascii="Arial" w:cs="Arial" w:eastAsia="Arial" w:hAnsi="Arial"/>
                <w:sz w:val="18"/>
                <w:szCs w:val="18"/>
                <w:color w:val="auto"/>
              </w:rPr>
              <w:t>Shares used in computing diluted net</w:t>
            </w: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200" w:type="dxa"/>
            <w:vAlign w:val="bottom"/>
          </w:tcPr>
          <w:p>
            <w:pPr>
              <w:ind w:left="140"/>
              <w:spacing w:after="0" w:line="202" w:lineRule="exact"/>
              <w:rPr>
                <w:sz w:val="20"/>
                <w:szCs w:val="20"/>
                <w:color w:val="auto"/>
              </w:rPr>
            </w:pPr>
            <w:r>
              <w:rPr>
                <w:rFonts w:ascii="Arial" w:cs="Arial" w:eastAsia="Arial" w:hAnsi="Arial"/>
                <w:sz w:val="18"/>
                <w:szCs w:val="18"/>
                <w:color w:val="auto"/>
              </w:rPr>
              <w:t>income (loss) per share attributable</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tcPr>
          <w:p>
            <w:pPr>
              <w:ind w:left="140"/>
              <w:spacing w:after="0" w:line="203" w:lineRule="exact"/>
              <w:rPr>
                <w:sz w:val="20"/>
                <w:szCs w:val="20"/>
                <w:color w:val="auto"/>
              </w:rPr>
            </w:pPr>
            <w:r>
              <w:rPr>
                <w:rFonts w:ascii="Arial" w:cs="Arial" w:eastAsia="Arial" w:hAnsi="Arial"/>
                <w:sz w:val="18"/>
                <w:szCs w:val="18"/>
                <w:color w:val="auto"/>
              </w:rPr>
              <w:t>to Viasat, Inc. common stockholders</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68,668</w:t>
            </w:r>
          </w:p>
        </w:tc>
        <w:tc>
          <w:tcPr>
            <w:tcW w:w="1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62,916</w:t>
            </w: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65,704</w:t>
            </w:r>
          </w:p>
        </w:tc>
        <w:tc>
          <w:tcPr>
            <w:tcW w:w="1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61,405</w:t>
            </w:r>
          </w:p>
        </w:tc>
        <w:tc>
          <w:tcPr>
            <w:tcW w:w="100" w:type="dxa"/>
            <w:vAlign w:val="bottom"/>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Antidilutive shares excluded from the calculation for the three months ended December 31, 2020 and 2019 consisted of 1,082,081 and 489,293 shares related to stock options (other than TSR performance stock options), respectively, zero and 1,086,737 shares related to TSR performance stock options, respectively, and 2,928,601 and 68,256 shares related to restricted stock units, respectively.</w:t>
      </w:r>
    </w:p>
    <w:p>
      <w:pPr>
        <w:spacing w:after="0" w:line="18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nine months ended December 31, 2020 and 2019, as the Company incurred a net loss attributable to Viasat, Inc. common stockholders for such periods and inclusion of potentially dilutive weighted average shares of common stock would be antidilutive. Potentially dilutive weighted average shares excluded from the calculation for the nine months ended December 31, 2020 consisted of 1,176,106 shares related to stock options (other than TSR performance stock options), zero shares related to TSR performance stock options, 2,514,857 shares related to restricted stock units and 496,869 shares related to certain terms of the ViaSat 401(k) Profit Sharing Plan and Employee Stock Purchase Plan. Potentially dilutive weighted average shares excluded from the calculation for the nine months ended December 31, 2019 consisted of 201,761 shares related to stock options (other than TSR performance stock options), 910,494 shares related to TSR performance stock options, 949,324 shares related to restricted stock units, and 230,588 shares related to certain terms of the ViaSat 401(k) Profit Sharing Plan and Employee Stock Purchase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85" w:lineRule="exact"/>
        <w:rPr>
          <w:sz w:val="20"/>
          <w:szCs w:val="20"/>
          <w:color w:val="auto"/>
        </w:rPr>
      </w:pPr>
    </w:p>
    <w:p>
      <w:pPr>
        <w:ind w:right="220" w:firstLine="510"/>
        <w:spacing w:after="0"/>
        <w:rPr>
          <w:sz w:val="20"/>
          <w:szCs w:val="20"/>
          <w:color w:val="auto"/>
        </w:rPr>
      </w:pPr>
      <w:r>
        <w:rPr>
          <w:rFonts w:ascii="Arial" w:cs="Arial" w:eastAsia="Arial" w:hAnsi="Arial"/>
          <w:sz w:val="18"/>
          <w:szCs w:val="18"/>
          <w:color w:val="auto"/>
        </w:rPr>
        <w:t>During the nine months ended December 31, 2020, the increase in the Company’s goodwill related to the effects of foreign currency translation recorded within all three of the Company’s segments. During the nine months ended December 31, 2019, the increase in the Company’s goodwill related to the effects of foreign currency translation recorded within all three of the Company’s segments.</w:t>
      </w:r>
    </w:p>
    <w:p>
      <w:pPr>
        <w:spacing w:after="0" w:line="149" w:lineRule="exact"/>
        <w:rPr>
          <w:sz w:val="20"/>
          <w:szCs w:val="20"/>
          <w:color w:val="auto"/>
        </w:rPr>
      </w:pPr>
    </w:p>
    <w:p>
      <w:pPr>
        <w:ind w:right="420" w:firstLine="510"/>
        <w:spacing w:after="0" w:line="238"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$1.3 million and $1.9 million for the three months ended December 31, 2020 and 2019, respectively, and $4.2 million and $5.9 million for the nine months ended December 31, 2020 and 2019,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December 31, 2020 and March 31, 2020:</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r>
      <w:tr>
        <w:trPr>
          <w:trHeight w:val="175"/>
        </w:trPr>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r>
      <w:tr>
        <w:trPr>
          <w:trHeight w:val="169"/>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6"/>
          </w:tcPr>
          <w:p>
            <w:pPr>
              <w:jc w:val="right"/>
              <w:ind w:right="14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2028 Notes</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2027 Notes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98,261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117,913</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 lease obligations (see Note 1)</w:t>
            </w:r>
          </w:p>
        </w:tc>
        <w:tc>
          <w:tcPr>
            <w:tcW w:w="7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61,927</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64,956</w:t>
            </w:r>
          </w:p>
        </w:tc>
        <w:tc>
          <w:tcPr>
            <w:tcW w:w="80" w:type="dxa"/>
            <w:vAlign w:val="bottom"/>
            <w:tcBorders>
              <w:bottom w:val="single" w:sz="8" w:color="CFF0FC"/>
            </w:tcBorders>
          </w:tcPr>
          <w:p>
            <w:pPr>
              <w:spacing w:after="0"/>
              <w:rPr>
                <w:sz w:val="18"/>
                <w:szCs w:val="18"/>
                <w:color w:val="auto"/>
              </w:rPr>
            </w:pPr>
          </w:p>
        </w:tc>
      </w:tr>
      <w:tr>
        <w:trPr>
          <w:trHeight w:val="20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1,860,188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1,872,869</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Unamortized discount and debt issuance costs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(22,705)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(21,418)</w:t>
            </w: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7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29,788</w:t>
            </w:r>
          </w:p>
        </w:tc>
        <w:tc>
          <w:tcPr>
            <w:tcW w:w="80" w:type="dxa"/>
            <w:vAlign w:val="bottom"/>
            <w:shd w:val="clear" w:color="auto" w:fill="CFF0FC"/>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long-term debt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1,803,748</w:t>
            </w:r>
          </w:p>
        </w:tc>
        <w:tc>
          <w:tcPr>
            <w:tcW w:w="20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1,821,663</w:t>
            </w:r>
          </w:p>
        </w:tc>
        <w:tc>
          <w:tcPr>
            <w:tcW w:w="8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As of December 31, 2020, the Revolving Credit Facility provided a $ 700.0 million revolving line of credit (including up to $150.0 million of letters of credit), with a maturity date of January 18, 2024. At December 31, 2020, the Company had no outstanding borrowings under the Revolving Credit Facility and $ 35.9 million outstanding under standby letters of credit, leaving borrowing availability under the Revolving Credit Facility as of December 31, 2020 of $664.1 million.</w:t>
      </w:r>
    </w:p>
    <w:p>
      <w:pPr>
        <w:spacing w:after="0" w:line="151"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December 31, 2020, none of the Company’s subsidiaries guaranteed the Revolving Credit Facility.</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December 31, 2020.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As of December 31, 2020, the Company had $98.3 million in principal amount of outstanding borrowings under the Ex-Im Credit Facility.</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fiscal years 2019 and 2020, the Company received an aggregate of $ 188.0 million of insurance proceeds related to the ViaSat-2 satellite, all of which were used to pay down outstanding borrowings under the Ex-Im Credit Facility upon receipt (see Note 1 — Basis of Presentation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52"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December 31, 2020.</w:t>
      </w:r>
    </w:p>
    <w:p>
      <w:pPr>
        <w:spacing w:after="0" w:line="151"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51"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December 31, 2020,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49" w:lineRule="exact"/>
        <w:rPr>
          <w:sz w:val="20"/>
          <w:szCs w:val="20"/>
          <w:color w:val="auto"/>
        </w:rPr>
      </w:pPr>
    </w:p>
    <w:p>
      <w:pPr>
        <w:ind w:right="440" w:firstLine="510"/>
        <w:spacing w:after="0"/>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9" w:lineRule="exact"/>
        <w:rPr>
          <w:sz w:val="20"/>
          <w:szCs w:val="20"/>
          <w:color w:val="auto"/>
        </w:rPr>
      </w:pPr>
    </w:p>
    <w:p>
      <w:pPr>
        <w:ind w:right="440" w:firstLine="510"/>
        <w:spacing w:after="0" w:line="265" w:lineRule="auto"/>
        <w:rPr>
          <w:sz w:val="20"/>
          <w:szCs w:val="20"/>
          <w:color w:val="auto"/>
        </w:rPr>
      </w:pPr>
      <w:r>
        <w:rPr>
          <w:rFonts w:ascii="Arial" w:cs="Arial" w:eastAsia="Arial" w:hAnsi="Arial"/>
          <w:sz w:val="17"/>
          <w:szCs w:val="17"/>
          <w:color w:val="auto"/>
        </w:rPr>
        <w:t>Prior to July 15, 2023, the Company may redeem up to 40% of the 2028 Notes at a redemption price of 106.500% of the principal amount thereof, plus accrued and unpaid interest, if any, thereon to the redemption date, from the net cash proceeds of specified equity</w:t>
      </w:r>
    </w:p>
    <w:p>
      <w:pPr>
        <w:ind w:right="80"/>
        <w:spacing w:after="0" w:line="238" w:lineRule="auto"/>
        <w:rPr>
          <w:sz w:val="20"/>
          <w:szCs w:val="20"/>
          <w:color w:val="auto"/>
        </w:rPr>
      </w:pPr>
      <w:r>
        <w:rPr>
          <w:rFonts w:ascii="Arial" w:cs="Arial" w:eastAsia="Arial" w:hAnsi="Arial"/>
          <w:sz w:val="18"/>
          <w:szCs w:val="18"/>
          <w:color w:val="auto"/>
        </w:rPr>
        <w:t>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48" w:lineRule="exact"/>
        <w:rPr>
          <w:sz w:val="20"/>
          <w:szCs w:val="20"/>
          <w:color w:val="auto"/>
        </w:rPr>
      </w:pPr>
    </w:p>
    <w:p>
      <w:pPr>
        <w:jc w:val="both"/>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5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December 31, 2020, none of the Company’s subsidiaries guaranteed the 2027 Notes. The 2027 Notes are secured, equally and ratably with the Revolving Credit Facility and any future parity lien debt, by liens on substantially all of the Company’s assets.</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54" w:lineRule="exact"/>
        <w:rPr>
          <w:sz w:val="20"/>
          <w:szCs w:val="20"/>
          <w:color w:val="auto"/>
        </w:rPr>
      </w:pPr>
    </w:p>
    <w:p>
      <w:pPr>
        <w:ind w:right="440" w:firstLine="510"/>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ectPr>
          <w:pgSz w:w="11900" w:h="16838" w:orient="portrait"/>
          <w:cols w:equalWidth="0" w:num="1">
            <w:col w:w="11220"/>
          </w:cols>
          <w:pgMar w:left="320" w:top="118" w:right="35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5" w:name="page26"/>
    <w:bookmarkEnd w:id="25"/>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jc w:val="both"/>
        <w:ind w:right="4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December 31, 2020,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49" w:lineRule="exact"/>
        <w:rPr>
          <w:sz w:val="20"/>
          <w:szCs w:val="20"/>
          <w:color w:val="auto"/>
        </w:rPr>
      </w:pPr>
    </w:p>
    <w:p>
      <w:pPr>
        <w:ind w:right="360" w:firstLine="510"/>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1" w:lineRule="exact"/>
        <w:rPr>
          <w:sz w:val="20"/>
          <w:szCs w:val="20"/>
          <w:color w:val="auto"/>
        </w:rPr>
      </w:pPr>
    </w:p>
    <w:p>
      <w:pPr>
        <w:jc w:val="both"/>
        <w:ind w:right="4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31, 2020 and 2019:</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56"/>
        </w:trPr>
        <w:tc>
          <w:tcPr>
            <w:tcW w:w="4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30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4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69"/>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6,216</w:t>
            </w:r>
          </w:p>
        </w:tc>
        <w:tc>
          <w:tcPr>
            <w:tcW w:w="80" w:type="dxa"/>
            <w:vAlign w:val="bottom"/>
          </w:tcPr>
          <w:p>
            <w:pPr>
              <w:spacing w:after="0"/>
              <w:rPr>
                <w:sz w:val="18"/>
                <w:szCs w:val="18"/>
                <w:color w:val="auto"/>
              </w:rPr>
            </w:pPr>
          </w:p>
        </w:tc>
      </w:tr>
      <w:tr>
        <w:trPr>
          <w:trHeight w:val="215"/>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made (in cash or in kind) during the</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8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period</w:t>
            </w: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(3,882)</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(3,729)</w:t>
            </w: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11,881</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10,071</w:t>
            </w:r>
          </w:p>
        </w:tc>
        <w:tc>
          <w:tcPr>
            <w:tcW w:w="8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9" w:lineRule="exact"/>
        <w:rPr>
          <w:sz w:val="20"/>
          <w:szCs w:val="20"/>
          <w:color w:val="auto"/>
        </w:rPr>
      </w:pPr>
    </w:p>
    <w:p>
      <w:pPr>
        <w:ind w:right="260" w:firstLine="510"/>
        <w:spacing w:after="0" w:line="238" w:lineRule="auto"/>
        <w:rPr>
          <w:sz w:val="20"/>
          <w:szCs w:val="20"/>
          <w:color w:val="auto"/>
        </w:rPr>
      </w:pPr>
      <w:r>
        <w:rPr>
          <w:rFonts w:ascii="Arial" w:cs="Arial" w:eastAsia="Arial" w:hAnsi="Arial"/>
          <w:sz w:val="18"/>
          <w:szCs w:val="18"/>
          <w:color w:val="auto"/>
        </w:rPr>
        <w:t>In July 2016, the Company entered into two separate agreements with The Boeing Company (Boeing) for the construction and purchase of the Company’s first two ViaSat-3 class satellites and the integration of Viasat’s payload technologies into the satellites. In July 2019, the Company entered into an agreement with Boeing for the construction and purchase of a third ViaSat-3 class satellite and the integration of Viasat’s payload technologies into the satellite.</w:t>
      </w:r>
    </w:p>
    <w:p>
      <w:pPr>
        <w:spacing w:after="0" w:line="19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2019 or 2020. As of December 31, 2020,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Company does not know the outcome of any ongoing or future audits or reviews and adjustments, and if future adjustments exceed the Company’s estimates, its profitability would be adversely affected. As of December 31, 2020 and March 31, 2020, the Company had $8.8 million and $7.8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85"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nine months ended December 31, 2020 and 2019 by applying the actual effective tax rate to the income (loss) for the three-month and nine-month periods.</w:t>
      </w:r>
    </w:p>
    <w:p>
      <w:pPr>
        <w:spacing w:after="0" w:line="153"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For the three and nine months ended December 31, 2020, the Company recorded an income tax provision of $7.0 million and an insignificant amount, respectively, resulting in effective tax rates of 50% and 24%, respectively. The effective tax rates for the periods differed from the U.S. statutory rate primarily due to the expense for tax deficiencies upon settlement of stock-based compensation during the periods, partially offset by the benefit of federal and state R&amp;D tax credits.</w:t>
      </w:r>
    </w:p>
    <w:p>
      <w:pPr>
        <w:spacing w:after="0" w:line="151" w:lineRule="exact"/>
        <w:rPr>
          <w:sz w:val="20"/>
          <w:szCs w:val="20"/>
          <w:color w:val="auto"/>
        </w:rPr>
      </w:pPr>
    </w:p>
    <w:p>
      <w:pPr>
        <w:ind w:right="320" w:firstLine="510"/>
        <w:spacing w:after="0"/>
        <w:rPr>
          <w:sz w:val="20"/>
          <w:szCs w:val="20"/>
          <w:color w:val="auto"/>
        </w:rPr>
      </w:pPr>
      <w:r>
        <w:rPr>
          <w:rFonts w:ascii="Arial" w:cs="Arial" w:eastAsia="Arial" w:hAnsi="Arial"/>
          <w:sz w:val="18"/>
          <w:szCs w:val="18"/>
          <w:color w:val="auto"/>
        </w:rPr>
        <w:t>For the three and nine months ended December 31, 2019, the Company recorded an income tax benefit of $3.9 million and $8.7 million, respectively, resulting in effective tax benefit rates of negative 80% and positive 211%, respectively. The effective tax rates for the periods differed from the U.S. statutory rate due primarily to the benefit of federal and state R&amp;D tax credits.</w:t>
      </w:r>
    </w:p>
    <w:p>
      <w:pPr>
        <w:spacing w:after="0" w:line="14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51" w:lineRule="exact"/>
        <w:rPr>
          <w:sz w:val="20"/>
          <w:szCs w:val="20"/>
          <w:color w:val="auto"/>
        </w:rPr>
      </w:pPr>
    </w:p>
    <w:p>
      <w:pPr>
        <w:jc w:val="both"/>
        <w:ind w:right="180" w:firstLine="510"/>
        <w:spacing w:after="0"/>
        <w:rPr>
          <w:sz w:val="20"/>
          <w:szCs w:val="20"/>
          <w:color w:val="auto"/>
        </w:rPr>
      </w:pPr>
      <w:r>
        <w:rPr>
          <w:rFonts w:ascii="Arial" w:cs="Arial" w:eastAsia="Arial" w:hAnsi="Arial"/>
          <w:sz w:val="18"/>
          <w:szCs w:val="18"/>
          <w:color w:val="auto"/>
        </w:rPr>
        <w:t>For the three and nine months ended December 31, 2020, the Company’s gross unrecognized tax benefits increased by $5.1 million and $12.0 million, respectively. In the next 12 months it is reasonably possible that the amount of unrecognized tax benefits will not change significantly.</w:t>
      </w:r>
    </w:p>
    <w:p>
      <w:pPr>
        <w:spacing w:after="0" w:line="176" w:lineRule="exact"/>
        <w:rPr>
          <w:sz w:val="20"/>
          <w:szCs w:val="20"/>
          <w:color w:val="auto"/>
        </w:rPr>
      </w:pPr>
    </w:p>
    <w:p>
      <w:pPr>
        <w:ind w:right="180" w:firstLine="510"/>
        <w:spacing w:after="0" w:line="243" w:lineRule="auto"/>
        <w:rPr>
          <w:sz w:val="20"/>
          <w:szCs w:val="20"/>
          <w:color w:val="auto"/>
        </w:rPr>
      </w:pPr>
      <w:r>
        <w:rPr>
          <w:rFonts w:ascii="Arial" w:cs="Arial" w:eastAsia="Arial" w:hAnsi="Arial"/>
          <w:sz w:val="18"/>
          <w:szCs w:val="18"/>
          <w:color w:val="auto"/>
        </w:rPr>
        <w:t>In accordance with the authoritative guidance for share -based payments (ASC 718), the Company recognizes excess tax benefits or deficiencies on vesting or settlement of awards as an income tax benefit or expense within net income (loss) and the related cash flows classified within operating activities. In accordance with ASU 2016-09, during interim periods, excess tax benefits or deficiencies are recognized in income tax expense as discrete items in the reporting period in which they occur.</w:t>
      </w:r>
    </w:p>
    <w:p>
      <w:pPr>
        <w:spacing w:after="0" w:line="206" w:lineRule="exact"/>
        <w:rPr>
          <w:sz w:val="20"/>
          <w:szCs w:val="20"/>
          <w:color w:val="auto"/>
        </w:rPr>
      </w:pPr>
    </w:p>
    <w:p>
      <w:pPr>
        <w:ind w:right="5200"/>
        <w:spacing w:after="0" w:line="325"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Euro Broadband Infrastructure Sàrl</w:t>
      </w:r>
    </w:p>
    <w:p>
      <w:pPr>
        <w:spacing w:after="0" w:line="1"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a foreign currency translation gain, net of tax, of approximately $4.4 million and $5.9 million for the three and nine months ended December 31, 2020, respectively, in accumulated other comprehensive income (loss). The Company recorded foreign currency translation losses, net of tax, of approximately $4.2 million and $5.0 million for the three and nine months ended December 31, 2019,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for the three and nine months ended September 30, 2020 in its condensed consolidated financial statements for the three and nine months ended December 31, 2020, respectively, and the Company included its share of the results of Euro Infrastructure Co. for the three and nine months ended September 30, 2019 in its condensed consolidated financial statements for the three and nine months ended December 31, 2019, respectively. The Company’s investment in Euro Infrastructure Co. is presented at cost of investment plus its accumulated proportional share of income or loss, including amortization of the difference in the historical basis of the Company’s contribution, less any distributions it has received. On November 18, 2020, the Company entered into an agreement to purchase the remaining 51% interest in Euro Infrastructure Co. from Eutelsat (see Note 12 — Acquisitions for more information).</w:t>
      </w:r>
    </w:p>
    <w:p>
      <w:pPr>
        <w:sectPr>
          <w:pgSz w:w="11900" w:h="16838" w:orient="portrait"/>
          <w:cols w:equalWidth="0" w:num="1">
            <w:col w:w="11220"/>
          </w:cols>
          <w:pgMar w:left="320" w:top="118" w:right="35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December 31, 2020 and March 31, 2020 is summarized as follows: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168,787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160,204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20"/>
                <w:szCs w:val="20"/>
                <w:color w:val="auto"/>
              </w:rPr>
            </w:pPr>
            <w:r>
              <w:rPr>
                <w:rFonts w:ascii="Arial" w:cs="Arial" w:eastAsia="Arial" w:hAnsi="Arial"/>
                <w:sz w:val="17"/>
                <w:szCs w:val="17"/>
                <w:color w:val="auto"/>
              </w:rPr>
              <w:t>Less: proportionate share of net assets of Euro</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4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152,231</w:t>
            </w:r>
          </w:p>
        </w:tc>
        <w:tc>
          <w:tcPr>
            <w:tcW w:w="2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144,769</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shd w:val="clear" w:color="auto" w:fill="CFF0FC"/>
          </w:tcPr>
          <w:p>
            <w:pPr>
              <w:ind w:left="240"/>
              <w:spacing w:after="0" w:line="190" w:lineRule="exact"/>
              <w:rPr>
                <w:sz w:val="20"/>
                <w:szCs w:val="20"/>
                <w:color w:val="auto"/>
              </w:rPr>
            </w:pPr>
            <w:r>
              <w:rPr>
                <w:rFonts w:ascii="Arial" w:cs="Arial" w:eastAsia="Arial" w:hAnsi="Arial"/>
                <w:sz w:val="17"/>
                <w:szCs w:val="17"/>
                <w:color w:val="auto"/>
              </w:rPr>
              <w:t>Excess carrying value of investment over</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proportionate share of net assets</w:t>
            </w: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16,556</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15,435</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7"/>
                <w:szCs w:val="17"/>
                <w:color w:val="auto"/>
              </w:rPr>
              <w:t>The excess carrying value has been primarily</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140"/>
              <w:spacing w:after="0"/>
              <w:rPr>
                <w:sz w:val="20"/>
                <w:szCs w:val="20"/>
                <w:color w:val="auto"/>
              </w:rPr>
            </w:pPr>
            <w:r>
              <w:rPr>
                <w:rFonts w:ascii="Arial" w:cs="Arial" w:eastAsia="Arial" w:hAnsi="Arial"/>
                <w:sz w:val="17"/>
                <w:szCs w:val="17"/>
                <w:color w:val="auto"/>
              </w:rPr>
              <w:t>assigned to:</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22,838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(15,504)</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(16,142)</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16,556</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15,435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0"/>
        <w:spacing w:after="0" w:line="248" w:lineRule="auto"/>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4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Company’s share of income on its investment in Euro Infrastructure Co. was an insignificant amount for the three and nine months ended December 31, 2020, and $1.8 million and $4.3 million for the three and nine months ended December 31, 2019, respectively, consisting of the Company’s share of equity in Euro Infrastructure Co.’s income, including amortization of the difference in the historical basis of the Company’s contribution.</w:t>
      </w:r>
    </w:p>
    <w:p>
      <w:pPr>
        <w:spacing w:after="0" w:line="151" w:lineRule="exact"/>
        <w:rPr>
          <w:sz w:val="20"/>
          <w:szCs w:val="20"/>
          <w:color w:val="auto"/>
        </w:rPr>
      </w:pPr>
    </w:p>
    <w:p>
      <w:pPr>
        <w:ind w:right="920" w:firstLine="510"/>
        <w:spacing w:after="0" w:line="246" w:lineRule="auto"/>
        <w:rPr>
          <w:sz w:val="20"/>
          <w:szCs w:val="20"/>
          <w:color w:val="auto"/>
        </w:rPr>
      </w:pPr>
      <w:r>
        <w:rPr>
          <w:rFonts w:ascii="Arial" w:cs="Arial" w:eastAsia="Arial" w:hAnsi="Arial"/>
          <w:sz w:val="18"/>
          <w:szCs w:val="18"/>
          <w:color w:val="auto"/>
        </w:rPr>
        <w:t>Since acquiring its initial interest in Euro Infrastructure Co., the Company has recorded $11.2 million in retained earnings of undistributed cumulative earnings in equity interests, net of tax, as of December 31,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jc w:val="both"/>
        <w:ind w:right="380" w:firstLine="510"/>
        <w:spacing w:after="0"/>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160" w:type="dxa"/>
            <w:vAlign w:val="bottom"/>
          </w:tcPr>
          <w:p>
            <w:pPr>
              <w:spacing w:after="0"/>
              <w:rPr>
                <w:sz w:val="14"/>
                <w:szCs w:val="14"/>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9"/>
              </w:rPr>
              <w:t>December 31, 2020</w:t>
            </w: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2019</w:t>
            </w: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41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8,319</w:t>
            </w:r>
          </w:p>
        </w:tc>
        <w:tc>
          <w:tcPr>
            <w:tcW w:w="8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9,743</w:t>
            </w:r>
          </w:p>
        </w:tc>
        <w:tc>
          <w:tcPr>
            <w:tcW w:w="7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Expense – Euro Infrastructure Co.</w:t>
            </w:r>
          </w:p>
        </w:tc>
        <w:tc>
          <w:tcPr>
            <w:tcW w:w="3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4,163</w:t>
            </w: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1,815</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12,331</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10,720</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1,773</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9,995</w:t>
            </w:r>
          </w:p>
        </w:tc>
        <w:tc>
          <w:tcPr>
            <w:tcW w:w="7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8,605</w:t>
            </w:r>
          </w:p>
        </w:tc>
        <w:tc>
          <w:tcPr>
            <w:tcW w:w="100" w:type="dxa"/>
            <w:vAlign w:val="bottom"/>
            <w:shd w:val="clear" w:color="auto" w:fill="CFF0FC"/>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Cash paid – Euro Infrastructure Co.</w:t>
            </w:r>
          </w:p>
        </w:tc>
        <w:tc>
          <w:tcPr>
            <w:tcW w:w="38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7,867</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3,198</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20,947</w:t>
            </w:r>
          </w:p>
        </w:tc>
        <w:tc>
          <w:tcPr>
            <w:tcW w:w="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10,654</w:t>
            </w:r>
          </w:p>
        </w:tc>
        <w:tc>
          <w:tcPr>
            <w:tcW w:w="100" w:type="dxa"/>
            <w:vAlign w:val="bottom"/>
          </w:tcPr>
          <w:p>
            <w:pPr>
              <w:spacing w:after="0"/>
              <w:rPr>
                <w:sz w:val="19"/>
                <w:szCs w:val="19"/>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519"/>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r>
      <w:tr>
        <w:trPr>
          <w:trHeight w:val="175"/>
        </w:trPr>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March 31, 2020</w:t>
            </w:r>
          </w:p>
        </w:tc>
      </w:tr>
      <w:tr>
        <w:trPr>
          <w:trHeight w:val="169"/>
        </w:trPr>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5"/>
        </w:trPr>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Collections in excess of revenues and deferred</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revenues – Euro Infrastructure Co.</w:t>
            </w:r>
          </w:p>
        </w:tc>
        <w:tc>
          <w:tcPr>
            <w:tcW w:w="1000" w:type="dxa"/>
            <w:vAlign w:val="bottom"/>
            <w:gridSpan w:val="2"/>
            <w:shd w:val="clear" w:color="auto" w:fill="CFF0FC"/>
          </w:tcPr>
          <w:p>
            <w:pPr>
              <w:ind w:left="72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6,084</w:t>
            </w:r>
          </w:p>
        </w:tc>
        <w:tc>
          <w:tcPr>
            <w:tcW w:w="400" w:type="dxa"/>
            <w:vAlign w:val="bottom"/>
            <w:shd w:val="clear" w:color="auto" w:fill="CFF0FC"/>
          </w:tcPr>
          <w:p>
            <w:pPr>
              <w:jc w:val="right"/>
              <w:ind w:right="119"/>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5,832</w:t>
            </w:r>
          </w:p>
        </w:tc>
        <w:tc>
          <w:tcPr>
            <w:tcW w:w="80" w:type="dxa"/>
            <w:vAlign w:val="bottom"/>
            <w:shd w:val="clear" w:color="auto" w:fill="CFF0FC"/>
          </w:tcPr>
          <w:p>
            <w:pPr>
              <w:spacing w:after="0"/>
              <w:rPr>
                <w:sz w:val="17"/>
                <w:szCs w:val="17"/>
                <w:color w:val="auto"/>
              </w:rPr>
            </w:pPr>
          </w:p>
        </w:tc>
      </w:tr>
      <w:tr>
        <w:trPr>
          <w:trHeight w:val="230"/>
        </w:trPr>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Accounts payable – Euro Infrastructure Co.</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5,446</w:t>
            </w:r>
          </w:p>
        </w:tc>
        <w:tc>
          <w:tcPr>
            <w:tcW w:w="80" w:type="dxa"/>
            <w:vAlign w:val="bottom"/>
          </w:tcPr>
          <w:p>
            <w:pPr>
              <w:spacing w:after="0"/>
              <w:rPr>
                <w:sz w:val="19"/>
                <w:szCs w:val="19"/>
                <w:color w:val="auto"/>
              </w:rPr>
            </w:pPr>
          </w:p>
        </w:tc>
      </w:tr>
      <w:tr>
        <w:trPr>
          <w:trHeight w:val="81"/>
        </w:trPr>
        <w:tc>
          <w:tcPr>
            <w:tcW w:w="4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4640" w:type="dxa"/>
            <w:vAlign w:val="bottom"/>
            <w:gridSpan w:val="2"/>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50"/>
        </w:trPr>
        <w:tc>
          <w:tcPr>
            <w:tcW w:w="400" w:type="dxa"/>
            <w:vAlign w:val="bottom"/>
          </w:tcPr>
          <w:p>
            <w:pPr>
              <w:jc w:val="right"/>
              <w:ind w:right="230"/>
              <w:spacing w:after="0"/>
              <w:rPr>
                <w:sz w:val="20"/>
                <w:szCs w:val="20"/>
                <w:color w:val="auto"/>
              </w:rPr>
            </w:pPr>
            <w:r>
              <w:rPr>
                <w:rFonts w:ascii="Arial" w:cs="Arial" w:eastAsia="Arial" w:hAnsi="Arial"/>
                <w:sz w:val="18"/>
                <w:szCs w:val="18"/>
                <w:color w:val="auto"/>
                <w:w w:val="84"/>
              </w:rPr>
              <w:t>*</w:t>
            </w:r>
          </w:p>
        </w:tc>
        <w:tc>
          <w:tcPr>
            <w:tcW w:w="5740" w:type="dxa"/>
            <w:vAlign w:val="bottom"/>
            <w:gridSpan w:val="3"/>
          </w:tcPr>
          <w:p>
            <w:pPr>
              <w:ind w:left="320"/>
              <w:spacing w:after="0"/>
              <w:rPr>
                <w:sz w:val="20"/>
                <w:szCs w:val="20"/>
                <w:color w:val="auto"/>
              </w:rPr>
            </w:pPr>
            <w:r>
              <w:rPr>
                <w:rFonts w:ascii="Arial" w:cs="Arial" w:eastAsia="Arial" w:hAnsi="Arial"/>
                <w:sz w:val="18"/>
                <w:szCs w:val="18"/>
                <w:color w:val="auto"/>
              </w:rPr>
              <w:t>Amount was insignificant.</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Community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nine months ended December 31, 2020 and 2019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jc w:val="right"/>
              <w:ind w:right="95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r>
      <w:tr>
        <w:trPr>
          <w:trHeight w:val="169"/>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4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20" w:type="dxa"/>
            <w:vAlign w:val="bottom"/>
            <w:tcBorders>
              <w:top w:val="single" w:sz="8" w:color="auto"/>
            </w:tcBorders>
            <w:gridSpan w:val="6"/>
          </w:tcPr>
          <w:p>
            <w:pPr>
              <w:jc w:val="right"/>
              <w:ind w:right="13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220,789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211,700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638,660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614,232</w:t>
            </w:r>
          </w:p>
        </w:tc>
        <w:tc>
          <w:tcPr>
            <w:tcW w:w="120" w:type="dxa"/>
            <w:vAlign w:val="bottom"/>
            <w:tcBorders>
              <w:bottom w:val="single" w:sz="8" w:color="CFF0FC"/>
            </w:tcBorders>
          </w:tcPr>
          <w:p>
            <w:pPr>
              <w:spacing w:after="0"/>
              <w:rPr>
                <w:sz w:val="18"/>
                <w:szCs w:val="18"/>
                <w:color w:val="auto"/>
              </w:rPr>
            </w:pPr>
          </w:p>
        </w:tc>
      </w:tr>
      <w:tr>
        <w:trPr>
          <w:trHeight w:val="210"/>
        </w:trPr>
        <w:tc>
          <w:tcPr>
            <w:tcW w:w="4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220,789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638,660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614,232</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75,690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212,226</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39,520</w:t>
            </w:r>
          </w:p>
        </w:tc>
        <w:tc>
          <w:tcPr>
            <w:tcW w:w="120" w:type="dxa"/>
            <w:vAlign w:val="bottom"/>
            <w:tcBorders>
              <w:bottom w:val="single" w:sz="8" w:color="CFF0FC"/>
            </w:tcBorders>
          </w:tcPr>
          <w:p>
            <w:pPr>
              <w:spacing w:after="0"/>
              <w:rPr>
                <w:sz w:val="18"/>
                <w:szCs w:val="18"/>
                <w:color w:val="auto"/>
              </w:rPr>
            </w:pPr>
          </w:p>
        </w:tc>
      </w:tr>
      <w:tr>
        <w:trPr>
          <w:trHeight w:val="210"/>
        </w:trPr>
        <w:tc>
          <w:tcPr>
            <w:tcW w:w="4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90,099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251,746</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190,824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661,309</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209,976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190,230</w:t>
            </w:r>
          </w:p>
        </w:tc>
        <w:tc>
          <w:tcPr>
            <w:tcW w:w="120" w:type="dxa"/>
            <w:vAlign w:val="bottom"/>
            <w:tcBorders>
              <w:bottom w:val="single" w:sz="8" w:color="CFF0FC"/>
            </w:tcBorders>
          </w:tcPr>
          <w:p>
            <w:pPr>
              <w:spacing w:after="0"/>
              <w:rPr>
                <w:sz w:val="18"/>
                <w:szCs w:val="18"/>
                <w:color w:val="auto"/>
              </w:rPr>
            </w:pPr>
          </w:p>
        </w:tc>
      </w:tr>
      <w:tr>
        <w:trPr>
          <w:trHeight w:val="210"/>
        </w:trPr>
        <w:tc>
          <w:tcPr>
            <w:tcW w:w="4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264,671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291,798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785,544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851,539</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Elimination of intersegment revenues</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0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575,559</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588,224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1,660,325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1,717,517</w:t>
            </w:r>
          </w:p>
        </w:tc>
        <w:tc>
          <w:tcPr>
            <w:tcW w:w="120" w:type="dxa"/>
            <w:vAlign w:val="bottom"/>
            <w:shd w:val="clear" w:color="auto" w:fill="CFF0FC"/>
          </w:tcPr>
          <w:p>
            <w:pPr>
              <w:spacing w:after="0"/>
              <w:rPr>
                <w:sz w:val="18"/>
                <w:szCs w:val="18"/>
                <w:color w:val="auto"/>
              </w:rPr>
            </w:pP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11,457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21,083</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networks</w:t>
            </w: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(39,028)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(46,917)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(135,785)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(143,559)</w:t>
            </w: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50,644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167,160</w:t>
            </w:r>
          </w:p>
        </w:tc>
        <w:tc>
          <w:tcPr>
            <w:tcW w:w="120" w:type="dxa"/>
            <w:vAlign w:val="bottom"/>
          </w:tcPr>
          <w:p>
            <w:pPr>
              <w:spacing w:after="0"/>
              <w:rPr>
                <w:sz w:val="18"/>
                <w:szCs w:val="18"/>
                <w:color w:val="auto"/>
              </w:rPr>
            </w:pPr>
          </w:p>
        </w:tc>
      </w:tr>
      <w:tr>
        <w:trPr>
          <w:trHeight w:val="215"/>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Elimination of intersegment operating</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1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profits</w:t>
            </w:r>
          </w:p>
        </w:tc>
        <w:tc>
          <w:tcPr>
            <w:tcW w:w="1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Segment operating profit before corporate</w:t>
            </w: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120" w:type="dxa"/>
            <w:vAlign w:val="bottom"/>
          </w:tcPr>
          <w:p>
            <w:pPr>
              <w:ind w:left="160"/>
              <w:spacing w:after="0" w:line="202" w:lineRule="exact"/>
              <w:rPr>
                <w:sz w:val="20"/>
                <w:szCs w:val="20"/>
                <w:color w:val="auto"/>
              </w:rPr>
            </w:pPr>
            <w:r>
              <w:rPr>
                <w:rFonts w:ascii="Arial" w:cs="Arial" w:eastAsia="Arial" w:hAnsi="Arial"/>
                <w:sz w:val="18"/>
                <w:szCs w:val="18"/>
                <w:color w:val="auto"/>
              </w:rPr>
              <w:t>and amortization of acquired intangible</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20" w:type="dxa"/>
            <w:vAlign w:val="bottom"/>
          </w:tcPr>
          <w:p>
            <w:pPr>
              <w:ind w:left="160"/>
              <w:spacing w:after="0" w:line="203"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23,073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15,825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33,300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30,249</w:t>
            </w:r>
          </w:p>
        </w:tc>
        <w:tc>
          <w:tcPr>
            <w:tcW w:w="120" w:type="dxa"/>
            <w:vAlign w:val="bottom"/>
          </w:tcPr>
          <w:p>
            <w:pPr>
              <w:spacing w:after="0"/>
              <w:rPr>
                <w:sz w:val="17"/>
                <w:szCs w:val="17"/>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4120" w:type="dxa"/>
            <w:vAlign w:val="bottom"/>
          </w:tcPr>
          <w:p>
            <w:pPr>
              <w:ind w:left="260"/>
              <w:spacing w:after="0"/>
              <w:rPr>
                <w:sz w:val="20"/>
                <w:szCs w:val="20"/>
                <w:color w:val="auto"/>
              </w:rPr>
            </w:pPr>
            <w:r>
              <w:rPr>
                <w:rFonts w:ascii="Arial" w:cs="Arial" w:eastAsia="Arial" w:hAnsi="Arial"/>
                <w:sz w:val="18"/>
                <w:szCs w:val="18"/>
                <w:color w:val="auto"/>
              </w:rPr>
              <w:t>Amortization of acquired intangible</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12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6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(1,313)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(1,856)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(4,171)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(5,920)</w:t>
            </w:r>
          </w:p>
        </w:tc>
      </w:tr>
      <w:tr>
        <w:trPr>
          <w:trHeight w:val="20"/>
        </w:trPr>
        <w:tc>
          <w:tcPr>
            <w:tcW w:w="4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120" w:type="dxa"/>
            <w:vAlign w:val="bottom"/>
            <w:shd w:val="clear" w:color="auto" w:fill="CFF0FC"/>
          </w:tcPr>
          <w:p>
            <w:pPr>
              <w:spacing w:after="0"/>
              <w:rPr>
                <w:sz w:val="18"/>
                <w:szCs w:val="18"/>
                <w:color w:val="auto"/>
              </w:rPr>
            </w:pP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December 31, 2020 and March 31,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30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57,706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86,252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27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439,794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484,237</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758,758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27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4,581,260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4,125,110</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5,248,706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bottom w:val="single" w:sz="8" w:color="CFF0FC"/>
            </w:tcBorders>
            <w:vMerge w:val="restart"/>
          </w:tcPr>
          <w:p>
            <w:pPr>
              <w:jc w:val="right"/>
              <w:ind w:right="1230"/>
              <w:spacing w:after="0"/>
              <w:rPr>
                <w:sz w:val="20"/>
                <w:szCs w:val="20"/>
                <w:color w:val="auto"/>
              </w:rPr>
            </w:pPr>
            <w:r>
              <w:rPr>
                <w:rFonts w:ascii="Arial" w:cs="Arial" w:eastAsia="Arial" w:hAnsi="Arial"/>
                <w:sz w:val="18"/>
                <w:szCs w:val="18"/>
                <w:color w:val="auto"/>
              </w:rPr>
              <w:t>31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ind w:right="80" w:firstLine="510"/>
        <w:spacing w:after="0" w:line="246" w:lineRule="auto"/>
        <w:rPr>
          <w:sz w:val="20"/>
          <w:szCs w:val="20"/>
          <w:color w:val="auto"/>
        </w:rPr>
      </w:pPr>
      <w:r>
        <w:rPr>
          <w:rFonts w:ascii="Arial" w:cs="Arial" w:eastAsia="Arial" w:hAnsi="Arial"/>
          <w:sz w:val="18"/>
          <w:szCs w:val="18"/>
          <w:color w:val="auto"/>
        </w:rPr>
        <w:t>Other acquired intangible assets, net and goodwill included in segment assets as of December 31, 2020 and March 31, 2020 were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1038"/>
              <w:spacing w:after="0"/>
              <w:rPr>
                <w:sz w:val="20"/>
                <w:szCs w:val="20"/>
                <w:color w:val="auto"/>
              </w:rPr>
            </w:pPr>
            <w:r>
              <w:rPr>
                <w:rFonts w:ascii="Arial" w:cs="Arial" w:eastAsia="Arial" w:hAnsi="Arial"/>
                <w:sz w:val="14"/>
                <w:szCs w:val="14"/>
                <w:b w:val="1"/>
                <w:bCs w:val="1"/>
                <w:color w:val="auto"/>
              </w:rPr>
              <w:t>Assets, Net</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5"/>
                <w:szCs w:val="15"/>
                <w:color w:val="auto"/>
              </w:rPr>
            </w:pPr>
          </w:p>
        </w:tc>
      </w:tr>
      <w:tr>
        <w:trPr>
          <w:trHeight w:val="156"/>
        </w:trPr>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58"/>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458"/>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center"/>
              <w:ind w:right="700"/>
              <w:spacing w:after="0" w:line="156"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3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As of</w:t>
            </w:r>
          </w:p>
        </w:tc>
      </w:tr>
      <w:tr>
        <w:trPr>
          <w:trHeight w:val="175"/>
        </w:trPr>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18"/>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5"/>
                <w:szCs w:val="15"/>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2020</w:t>
            </w:r>
          </w:p>
        </w:tc>
      </w:tr>
      <w:tr>
        <w:trPr>
          <w:trHeight w:val="169"/>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66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13,489</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Commercial networks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43,981</w:t>
            </w: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0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4,580</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2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64,347</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63,727</w:t>
            </w:r>
          </w:p>
        </w:tc>
        <w:tc>
          <w:tcPr>
            <w:tcW w:w="100" w:type="dxa"/>
            <w:vAlign w:val="bottom"/>
            <w:shd w:val="clear" w:color="auto" w:fill="CFF0FC"/>
          </w:tcPr>
          <w:p>
            <w:pPr>
              <w:spacing w:after="0"/>
              <w:rPr>
                <w:sz w:val="18"/>
                <w:szCs w:val="18"/>
                <w:color w:val="auto"/>
              </w:rPr>
            </w:pPr>
          </w:p>
        </w:tc>
      </w:tr>
      <w:tr>
        <w:trPr>
          <w:trHeight w:val="209"/>
        </w:trPr>
        <w:tc>
          <w:tcPr>
            <w:tcW w:w="272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11,079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14,439</w:t>
            </w:r>
          </w:p>
        </w:tc>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122,448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121,197</w:t>
            </w:r>
          </w:p>
        </w:tc>
        <w:tc>
          <w:tcPr>
            <w:tcW w:w="10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10"/>
        <w:spacing w:after="0" w:line="246" w:lineRule="auto"/>
        <w:rPr>
          <w:sz w:val="20"/>
          <w:szCs w:val="20"/>
          <w:color w:val="auto"/>
        </w:rPr>
      </w:pPr>
      <w:r>
        <w:rPr>
          <w:rFonts w:ascii="Arial" w:cs="Arial" w:eastAsia="Arial" w:hAnsi="Arial"/>
          <w:sz w:val="18"/>
          <w:szCs w:val="18"/>
          <w:color w:val="auto"/>
        </w:rPr>
        <w:t>Amortization of acquired intangible assets by segment for the three and nine months ended December 31, 2020 and 2019 was as follows:</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4"/>
                <w:szCs w:val="1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1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98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82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networks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7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FF0FC"/>
          </w:tcPr>
          <w:p>
            <w:pPr>
              <w:spacing w:after="0"/>
              <w:rPr>
                <w:sz w:val="18"/>
                <w:szCs w:val="18"/>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8"/>
                <w:szCs w:val="18"/>
                <w:color w:val="auto"/>
              </w:rPr>
              <w:t>Total amortization of acquired</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040" w:type="dxa"/>
            <w:vAlign w:val="bottom"/>
          </w:tcPr>
          <w:p>
            <w:pPr>
              <w:ind w:left="140"/>
              <w:spacing w:after="0" w:line="203" w:lineRule="exact"/>
              <w:rPr>
                <w:sz w:val="20"/>
                <w:szCs w:val="20"/>
                <w:color w:val="auto"/>
              </w:rPr>
            </w:pPr>
            <w:r>
              <w:rPr>
                <w:rFonts w:ascii="Arial" w:cs="Arial" w:eastAsia="Arial" w:hAnsi="Arial"/>
                <w:sz w:val="18"/>
                <w:szCs w:val="18"/>
                <w:color w:val="auto"/>
              </w:rPr>
              <w:t>intangible assets</w:t>
            </w:r>
          </w:p>
        </w:tc>
        <w:tc>
          <w:tcPr>
            <w:tcW w:w="1140" w:type="dxa"/>
            <w:vAlign w:val="bottom"/>
            <w:gridSpan w:val="2"/>
          </w:tcPr>
          <w:p>
            <w:pPr>
              <w:jc w:val="right"/>
              <w:ind w:right="268"/>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1,313</w:t>
            </w:r>
          </w:p>
        </w:tc>
        <w:tc>
          <w:tcPr>
            <w:tcW w:w="980" w:type="dxa"/>
            <w:vAlign w:val="bottom"/>
            <w:gridSpan w:val="2"/>
          </w:tcPr>
          <w:p>
            <w:pPr>
              <w:jc w:val="right"/>
              <w:ind w:right="588"/>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1,856</w:t>
            </w:r>
          </w:p>
        </w:tc>
        <w:tc>
          <w:tcPr>
            <w:tcW w:w="820" w:type="dxa"/>
            <w:vAlign w:val="bottom"/>
            <w:gridSpan w:val="2"/>
          </w:tcPr>
          <w:p>
            <w:pPr>
              <w:jc w:val="right"/>
              <w:ind w:right="428"/>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4,171</w:t>
            </w:r>
          </w:p>
        </w:tc>
        <w:tc>
          <w:tcPr>
            <w:tcW w:w="220" w:type="dxa"/>
            <w:vAlign w:val="bottom"/>
          </w:tcPr>
          <w:p>
            <w:pPr>
              <w:spacing w:after="0"/>
              <w:rPr>
                <w:sz w:val="17"/>
                <w:szCs w:val="17"/>
                <w:color w:val="auto"/>
              </w:rPr>
            </w:pPr>
          </w:p>
        </w:tc>
        <w:tc>
          <w:tcPr>
            <w:tcW w:w="740" w:type="dxa"/>
            <w:vAlign w:val="bottom"/>
          </w:tcPr>
          <w:p>
            <w:pPr>
              <w:jc w:val="right"/>
              <w:ind w:right="556"/>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5,920</w:t>
            </w:r>
          </w:p>
        </w:tc>
        <w:tc>
          <w:tcPr>
            <w:tcW w:w="10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nine months ended December 31, 2020 and 2019 were as follows:</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5"/>
          </w:tcPr>
          <w:p>
            <w:pPr>
              <w:ind w:left="13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512,439</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1,523,969</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63,120</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136,356</w:t>
            </w:r>
          </w:p>
        </w:tc>
        <w:tc>
          <w:tcPr>
            <w:tcW w:w="100" w:type="dxa"/>
            <w:vAlign w:val="bottom"/>
            <w:tcBorders>
              <w:bottom w:val="single" w:sz="8" w:color="CFF0FC"/>
            </w:tcBorders>
          </w:tcPr>
          <w:p>
            <w:pPr>
              <w:spacing w:after="0"/>
              <w:rPr>
                <w:sz w:val="18"/>
                <w:szCs w:val="18"/>
                <w:color w:val="auto"/>
              </w:rPr>
            </w:pPr>
          </w:p>
        </w:tc>
      </w:tr>
      <w:tr>
        <w:trPr>
          <w:trHeight w:val="20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575,559</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1,660,325</w:t>
            </w:r>
          </w:p>
        </w:tc>
        <w:tc>
          <w:tcPr>
            <w:tcW w:w="10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8" w:right="379" w:bottom="1440" w:gutter="0" w:footer="0" w:header="0"/>
        </w:sectPr>
      </w:pPr>
    </w:p>
    <w:p>
      <w:pPr>
        <w:spacing w:after="0" w:line="3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sectPr>
          <w:pgSz w:w="11900" w:h="16838" w:orient="portrait"/>
          <w:cols w:equalWidth="0" w:num="2">
            <w:col w:w="8280" w:space="700"/>
            <w:col w:w="2220"/>
          </w:cols>
          <w:pgMar w:left="320" w:top="118" w:right="379" w:bottom="1440" w:gutter="0" w:footer="0" w:header="0"/>
          <w:type w:val="continuous"/>
        </w:sectPr>
      </w:pPr>
    </w:p>
    <w:tbl>
      <w:tblPr>
        <w:tblLayout w:type="fixed"/>
        <w:tblInd w:w="58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3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523,455</w:t>
            </w:r>
          </w:p>
        </w:tc>
        <w:tc>
          <w:tcPr>
            <w:tcW w:w="9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1,521,022</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6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64,769</w:t>
            </w:r>
          </w:p>
        </w:tc>
        <w:tc>
          <w:tcPr>
            <w:tcW w:w="24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196,495</w:t>
            </w:r>
          </w:p>
        </w:tc>
        <w:tc>
          <w:tcPr>
            <w:tcW w:w="10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3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588,224</w:t>
            </w:r>
          </w:p>
        </w:tc>
        <w:tc>
          <w:tcPr>
            <w:tcW w:w="9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1,717,517</w:t>
            </w:r>
          </w:p>
        </w:tc>
        <w:tc>
          <w:tcPr>
            <w:tcW w:w="10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Acquisitions</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On November 18, 2020, the Company entered into an agreement to purchase the remaining 51% interest in Euro Infrastructure Co. from Eutelsat for €140.0 million subject to customary net working capital and net debt adjustments. The purchase price is expected to be funded with available cash, resulting in a cash outlay of €50.0 million, after consideration of approximately €90.0 million of Euro Infrastructure Co.’s cash on hand. Consummation of the acquisition is subject to customary closing conditions and is expected to close in the fourth quarter of fiscal year 2021. The initial accounting for this acquisition will begin after the closing of the acquisition.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On December 20, 2020, the Company entered into an Agreement and Plan of Merger with RigNet, Inc. (RigNet), pursuant to which the Company has agreed to acquire RigNet in exchange for total consideration equal to the value of 0.1845 shares of the Company’s common stock for each share of RigNet common stock outstanding on the date of consummation of the acquisition. RigNet is a leading provider of ultra-secure, intelligent networking solutions and specialized applications. The Company will pay substantially all of the merger consideration at the closing of the acquisition in newly issued shares of the Company’s common stock, with cash amounts to be paid to RigNet stockholders in lieu of any fractional shares of the Company’s common stock. Consummation of the acquisition is subject to the expiration or termination of review under the Hart-Scott-Rodino Antitrust Improvements Act of 1976, receipt of certain other material regulatory consents and approvals, absence of a material adverse effect with respect to the Company’s or RigNet’s business or financial condition and other customary closing conditions, and is expected to close in the first quarter of fiscal year 2022. The initial accounting for this acquisition will begin after the closing of the acquisition.</w:t>
      </w:r>
    </w:p>
    <w:p>
      <w:pPr>
        <w:spacing w:after="0" w:line="152"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The transaction implies an enterprise value for RigNet of approximately $221.8 million, based on the closing price of the Company’s common stock and the number of RigNet shares of common stock outstanding as of the date of the agreement and RigNet’s net debt as of September 30, 2020 (which consisted of approximately $92.2 million in principal amount of RigNet debt, net of cash). Assuming no material change in the number of RigNet shares outstanding at the closing, and no closing adjustments, and taking into account expected treatment of equity-based awards at the closing of the transaction, the Company would issue approximately 4.0 million shares of the Company’s common stock at the closing (which would have comprised approximately 5.5% of the Company’s outstanding common stock had the acquisition been consummated on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ind w:right="2940"/>
        <w:spacing w:after="0" w:line="33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impact of the novel coronavirus (COVID-19) pandemic on our business;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our pending acquisitions of RigNet, Inc. (RigNet) and the remaining 51% interest in Euro Broadband Infrastructure Sàrl (Euro Infrastructure Co.); the number of in-flight connectivity (IFC) systems anticipated to be activated under existing contracts with commercial airlines;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2020,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vertical integration strategy and ability to effectively cross-deploy technologies between government and commercial applications and segments as well as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On November 18, 2020, we entered into an agreement to purchase the remaining 51% interest in Euro Infrastructure Co. from Eutelsat for €140.0 million subject to customary net working capital and net debt adjustments. The purchase price is expected to be funded with available cash, resulting in a cash outlay of €50.0 million, net of approximately € 90.0 million of Euro Infrastructure Co.’s cash on hand. Consummation of the acquisition is subject to customary closing conditions and is expected to close in the fourth quarter of fiscal year 2021.</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On December 20, 2020, we entered into an Agreement and Plan of Merger with RigNet, pursuant to which we have agreed to acquire RigNet in exchange for total consideration equal to the value of 0.1845 shares of our common stock for each share of RigNet common stock outstanding on the date of consummation of the acquisition. RigNet is a leading provider of ultra-secure, intelligent networking solutions and specialized applications. We will pay substantially all of the merger consideration at the closing of the acquisition in newly issued shares of our common stock, with cash amounts to be paid to RigNet stockholders in lieu of any fractional shares of our common stock. Consummation of the acquisition is subject to the expiration or termination of review under the Hart-Scott-Rodino Antitrust Improvements Act of 1976, receipt of certain other material regulatory consents and approvals, absence of a material adverse effect with respect to our or RigNet’s business or financial condition and other customary closing conditions, and is expected to close in the first quarter of fiscal year 2022. The initial accounting for this acquisition will begin after the closing of the acquisition.</w:t>
      </w:r>
    </w:p>
    <w:p>
      <w:pPr>
        <w:spacing w:after="0" w:line="153"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transaction implies an enterprise value for RigNet of approximately $221.8 million, based on the closing price of our common stock and the number of RigNet shares of common stock outstanding as of the date of the agreement and RigNet’s net debt as of September 30, 2020 (which consisted of approximately $92.2 million in principal amount of RigNet debt, net of cash). Assuming no material change in the number of RigNet shares outstanding at the closing, and no closing adjustments, and taking into account expected treatment of equity-based awards at the closing of the transaction, we would issue approximately 4.0 million shares of our common stock at the closing (which would have comprised approximately 5.5% of our outstanding common stock had the acquisition been consummated on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85" w:lineRule="exact"/>
        <w:rPr>
          <w:sz w:val="20"/>
          <w:szCs w:val="20"/>
          <w:color w:val="auto"/>
        </w:rPr>
      </w:pPr>
    </w:p>
    <w:p>
      <w:pPr>
        <w:ind w:right="440" w:firstLine="510"/>
        <w:spacing w:after="0"/>
        <w:rPr>
          <w:sz w:val="20"/>
          <w:szCs w:val="20"/>
          <w:color w:val="auto"/>
        </w:rPr>
      </w:pPr>
      <w:r>
        <w:rPr>
          <w:rFonts w:ascii="Arial" w:cs="Arial" w:eastAsia="Arial" w:hAnsi="Arial"/>
          <w:sz w:val="18"/>
          <w:szCs w:val="18"/>
          <w:color w:val="auto"/>
        </w:rPr>
        <w:t>During the second quarter of fiscal year 2021, we issued and sold an aggregate of 4,474,559 shares of our common stock at a purchase price of $39.11 per share to certain accredited investors in a private placement transaction exempt from registration under the Securities Act of 1933, as amended, resulting in net proceeds of approximately $174.7 million after deducting offering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85"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Although our financial results for the three and nine months ended December 31, 2020 continued to be impacted by the pandemic, the impact was not material to our financial position, results of operations or cash flows in those periods, with negative impacts particularly in our commercial air business offset by strong performance in other parts of our business. We continue to expect our diversified businesses to provide resiliency for the remainder of fiscal year 2021.</w:t>
      </w:r>
    </w:p>
    <w:p>
      <w:pPr>
        <w:spacing w:after="0" w:line="153"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Our government systems segment, which represented 46% and 47% of our total revenues during the three and nine months ended December 31, 2020, respectively, continued to perform in line with our expectations. Demand for products and services in our government systems segment remained strong despite the evolving COVID-19 pandemic, although our government business continued to experience some administrative delays on certain contractual vehicles as government customers continue to adjust to the challenges inherent in the remote work environment resulting from the COVID-19 pandemic.</w:t>
      </w:r>
    </w:p>
    <w:p>
      <w:pPr>
        <w:spacing w:after="0" w:line="148"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Since mid-March 2020, we have experienced an uptick in demand for our fixed broadband services in the United States, with net subscriber additions for our services fiscal year to date and increased demand for our premium highest speed plans. We also continue to participate in certain federal and state programs to ensure our residential and small business customers in the United States have access to connectivity during the pandemic. However, the COVID-19</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5" w:name="page36"/>
    <w:bookmarkEnd w:id="35"/>
    <w:p>
      <w:pPr>
        <w:ind w:right="40"/>
        <w:spacing w:after="0" w:line="236" w:lineRule="auto"/>
        <w:rPr>
          <w:sz w:val="20"/>
          <w:szCs w:val="20"/>
          <w:color w:val="auto"/>
        </w:rPr>
      </w:pPr>
      <w:r>
        <w:rPr>
          <w:rFonts w:ascii="Arial" w:cs="Arial" w:eastAsia="Arial" w:hAnsi="Arial"/>
          <w:sz w:val="18"/>
          <w:szCs w:val="18"/>
          <w:color w:val="auto"/>
        </w:rPr>
        <w:t>pandemic continues to impact our higher-margin in-flight services business and our mobile broadband satellite communications system business in our satellite services and commercial networks segments, respectively, due to the severe decline in global air traffic and resulting downturn in the commercial aviation market. While current airline traffic is still a fraction of the prior year activity, our in-flight services business showed modest improvement compared to the quarter ended September 30, 2020 with increased planes in service and passenger volumes. We expect to continue to see negative impacts on revenues and operating cash flows from our IFC businesses in the fourth quarter of fiscal year 2021 and potentially beyond, but for the effects to continue to lessen over time with increases in passenger air traffic and the return to service of additional currently inactive aircraft. In fiscal year 2020, less than 10% of our total revenues were generated by services and products provided to commercial airlines reported in our satellite services and commercial networks segments.</w:t>
      </w:r>
    </w:p>
    <w:p>
      <w:pPr>
        <w:spacing w:after="0" w:line="154" w:lineRule="exact"/>
        <w:rPr>
          <w:sz w:val="20"/>
          <w:szCs w:val="20"/>
          <w:color w:val="auto"/>
        </w:rPr>
      </w:pPr>
    </w:p>
    <w:p>
      <w:pPr>
        <w:ind w:right="380" w:firstLine="510"/>
        <w:spacing w:after="0" w:line="238" w:lineRule="auto"/>
        <w:rPr>
          <w:sz w:val="20"/>
          <w:szCs w:val="20"/>
          <w:color w:val="auto"/>
        </w:rPr>
      </w:pPr>
      <w:r>
        <w:rPr>
          <w:rFonts w:ascii="Arial" w:cs="Arial" w:eastAsia="Arial" w:hAnsi="Arial"/>
          <w:sz w:val="18"/>
          <w:szCs w:val="18"/>
          <w:color w:val="auto"/>
        </w:rPr>
        <w:t>The extent of the impact of the COVID-19 pandemic on our business in fiscal year 2021 and beyond will depend on many factors, including the duration and scope of the public health emergency, the extent, duration and effectiveness of containment actions taken, the speed and extent of vaccination programs, the extent of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around the globe for use in commercial applications. Our proprietary Ka-band satellites are at the core of our technology platform. We own three satellites in service over North America: our second-generation ViaSat-2 satellite (launched in 2017), our first-generation ViaSat-1 satellite (launched in 2011) and the WildBlue-1 satellite (launched in 2007), have lifetime leases of Ka-band capacity on two satellites, jointly own the KA-SAT satellite over Europe, Middle East and Africa (EMEA), and have access to additional Ka-band capacity on partner satellites around the globe through various arrangements with third parties. We also have a global constellation of three third-generation ViaSat-3 class satellites under construction. We expect our ViaSat-3 constellation, once in service, to enable us to deliver affordable connectivity across most of the world. The primary services offered by our satellite services segment are comprised of:</w:t>
      </w:r>
    </w:p>
    <w:p>
      <w:pPr>
        <w:spacing w:after="0" w:line="100" w:lineRule="exact"/>
        <w:rPr>
          <w:sz w:val="20"/>
          <w:szCs w:val="20"/>
          <w:color w:val="auto"/>
        </w:rPr>
      </w:pPr>
    </w:p>
    <w:p>
      <w:pPr>
        <w:ind w:left="1000" w:hanging="493"/>
        <w:spacing w:after="0" w:line="23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Voice over Internet Protocol (VoIP) services, primarily in the United States but also in various countries in Europe and Latin America. As of December 31, 2020, we provided fixed broadband services to approximately 596,000 U.S. subscribers (excluding subscribers whose service would have ordinarily been terminated in the absence of the Federal Communications Commission (FCC) Pledge and similar state programs we are currently participating in to ensure our customers have access to connectivity during the COVID-19 pandemic).</w:t>
      </w:r>
    </w:p>
    <w:p>
      <w:pPr>
        <w:spacing w:after="0" w:line="96" w:lineRule="exact"/>
        <w:rPr>
          <w:rFonts w:ascii="Arial" w:cs="Arial" w:eastAsia="Arial" w:hAnsi="Arial"/>
          <w:sz w:val="18"/>
          <w:szCs w:val="18"/>
          <w:color w:val="auto"/>
        </w:rPr>
      </w:pPr>
    </w:p>
    <w:p>
      <w:pPr>
        <w:ind w:left="1000" w:right="100" w:hanging="493"/>
        <w:spacing w:after="0" w:line="23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wireless in-flight entertainment and aviation software services. As of December 31, 2020, we had our IFC systems installed and in service on approximately 1,430 commercial aircraft, of which, due to impacts of the COVID-19 pandemic approximately 250 were inactive at quarter end. We anticipate our IFC services will be activated on approximately 1,010 additional commercial aircraft under existing customer agreements with commercial airlines. However, the timing of installation and entry into service for additional aircraft under existing customer agreements may be delayed due to COVID-19 impacts. There can be no assurance that anticipated IFC services will be activated on all such additional commercial aircraft. See the section entitled “COVID-19” above for a discussion of the impact of the COVID-19 pandemic on our in-flight services business.</w:t>
      </w:r>
    </w:p>
    <w:p>
      <w:pPr>
        <w:spacing w:after="0" w:line="126" w:lineRule="exact"/>
        <w:rPr>
          <w:rFonts w:ascii="Arial" w:cs="Arial" w:eastAsia="Arial" w:hAnsi="Arial"/>
          <w:sz w:val="18"/>
          <w:szCs w:val="18"/>
          <w:color w:val="auto"/>
        </w:rPr>
      </w:pPr>
    </w:p>
    <w:p>
      <w:pPr>
        <w:ind w:left="1000" w:right="20" w:hanging="493"/>
        <w:spacing w:after="0" w:line="241"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Community Internet services, which offer innovative, affordable, satellite-based connectivity in communities with poor or no other means of internet access.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and we are trialing services in advance of full commercial launch in other countries, including Brazil.</w:t>
      </w:r>
    </w:p>
    <w:p>
      <w:pPr>
        <w:spacing w:after="0" w:line="94" w:lineRule="exact"/>
        <w:rPr>
          <w:rFonts w:ascii="Arial" w:cs="Arial" w:eastAsia="Arial" w:hAnsi="Arial"/>
          <w:sz w:val="18"/>
          <w:szCs w:val="18"/>
          <w:color w:val="auto"/>
        </w:rPr>
      </w:pPr>
    </w:p>
    <w:p>
      <w:pPr>
        <w:ind w:left="1000" w:right="240" w:hanging="493"/>
        <w:spacing w:after="0" w:line="23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151" w:lineRule="exact"/>
        <w:rPr>
          <w:sz w:val="20"/>
          <w:szCs w:val="20"/>
          <w:color w:val="auto"/>
        </w:rPr>
      </w:pPr>
    </w:p>
    <w:p>
      <w:pPr>
        <w:ind w:right="80" w:firstLine="510"/>
        <w:spacing w:after="0" w:line="246" w:lineRule="auto"/>
        <w:rPr>
          <w:sz w:val="20"/>
          <w:szCs w:val="20"/>
          <w:color w:val="auto"/>
        </w:rPr>
      </w:pPr>
      <w:r>
        <w:rPr>
          <w:rFonts w:ascii="Arial" w:cs="Arial" w:eastAsia="Arial" w:hAnsi="Arial"/>
          <w:sz w:val="18"/>
          <w:szCs w:val="18"/>
          <w:color w:val="auto"/>
        </w:rPr>
        <w:t>Following the consummation of our pending acquisitions of Euro Infrastructure Co. and RigNet (see discussion above), the assets and results of operations of Euro Infrastructure Co. and RigNet will be included in our satellite services segment.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Commercial Networks</w:t>
      </w:r>
    </w:p>
    <w:p>
      <w:pPr>
        <w:spacing w:after="0" w:line="99"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mid earth orbit (MEO) and low earth orbit (LEO). The primary products, systems, solutions and services offered by our commercial networks segment are comprised of:</w:t>
      </w:r>
    </w:p>
    <w:p>
      <w:pPr>
        <w:spacing w:after="0" w:line="97"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44" w:lineRule="exact"/>
        <w:rPr>
          <w:rFonts w:ascii="Arial" w:cs="Arial" w:eastAsia="Arial" w:hAnsi="Arial"/>
          <w:sz w:val="18"/>
          <w:szCs w:val="18"/>
          <w:color w:val="auto"/>
        </w:rPr>
      </w:pPr>
    </w:p>
    <w:p>
      <w:pPr>
        <w:ind w:left="1000" w:right="720" w:hanging="493"/>
        <w:spacing w:after="0" w:line="24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88" w:lineRule="exact"/>
        <w:rPr>
          <w:rFonts w:ascii="Arial" w:cs="Arial" w:eastAsia="Arial" w:hAnsi="Arial"/>
          <w:sz w:val="18"/>
          <w:szCs w:val="18"/>
          <w:color w:val="auto"/>
        </w:rPr>
      </w:pPr>
    </w:p>
    <w:p>
      <w:pPr>
        <w:ind w:left="1000" w:right="1140" w:hanging="493"/>
        <w:spacing w:after="0" w:line="24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Antenna systems, including ground terminals and antennas for terrestrial and satellite applications, mobile satellite communication, Ka-band earth stations and other multi-band antennas.</w:t>
      </w:r>
    </w:p>
    <w:p>
      <w:pPr>
        <w:spacing w:after="0" w:line="88" w:lineRule="exact"/>
        <w:rPr>
          <w:rFonts w:ascii="Arial" w:cs="Arial" w:eastAsia="Arial" w:hAnsi="Arial"/>
          <w:sz w:val="18"/>
          <w:szCs w:val="18"/>
          <w:color w:val="auto"/>
        </w:rPr>
      </w:pPr>
    </w:p>
    <w:p>
      <w:pPr>
        <w:ind w:left="1000" w:right="780" w:hanging="493"/>
        <w:spacing w:after="0" w:line="24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88"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85"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94" w:lineRule="exact"/>
        <w:rPr>
          <w:sz w:val="20"/>
          <w:szCs w:val="20"/>
          <w:color w:val="auto"/>
        </w:rPr>
      </w:pPr>
    </w:p>
    <w:p>
      <w:pPr>
        <w:jc w:val="both"/>
        <w:ind w:left="1000" w:right="12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missions.</w:t>
      </w:r>
    </w:p>
    <w:p>
      <w:pPr>
        <w:spacing w:after="0" w:line="94" w:lineRule="exact"/>
        <w:rPr>
          <w:rFonts w:ascii="Arial" w:cs="Arial" w:eastAsia="Arial" w:hAnsi="Arial"/>
          <w:sz w:val="18"/>
          <w:szCs w:val="18"/>
          <w:color w:val="auto"/>
        </w:rPr>
      </w:pPr>
    </w:p>
    <w:p>
      <w:pPr>
        <w:ind w:left="1000" w:right="8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and fixed applications.</w:t>
      </w:r>
    </w:p>
    <w:p>
      <w:pPr>
        <w:spacing w:after="0" w:line="94" w:lineRule="exact"/>
        <w:rPr>
          <w:rFonts w:ascii="Arial" w:cs="Arial" w:eastAsia="Arial" w:hAnsi="Arial"/>
          <w:sz w:val="18"/>
          <w:szCs w:val="18"/>
          <w:color w:val="auto"/>
        </w:rPr>
      </w:pPr>
    </w:p>
    <w:p>
      <w:pPr>
        <w:ind w:left="1000" w:right="220" w:hanging="493"/>
        <w:spacing w:after="0" w:line="238"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96" w:lineRule="exact"/>
        <w:rPr>
          <w:rFonts w:ascii="Arial" w:cs="Arial" w:eastAsia="Arial" w:hAnsi="Arial"/>
          <w:sz w:val="18"/>
          <w:szCs w:val="18"/>
          <w:color w:val="auto"/>
        </w:rPr>
      </w:pPr>
    </w:p>
    <w:p>
      <w:pPr>
        <w:ind w:left="1000" w:hanging="493"/>
        <w:spacing w:after="0" w:line="238"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Small Tactical Terminal (STT) 2-channel radios for manned and unmanned applications, “disposable” defense data links, and our Multifunctional Information Distribution System (MIDS) and MIDS Joint Tactical Radio Systems (MIDS-JTRS) terminals for military fighter jets.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satellite services segment revenues are primarily derived from our fixed broadband services and in-flight services.</w:t>
      </w:r>
    </w:p>
    <w:p>
      <w:pPr>
        <w:spacing w:after="0" w:line="158" w:lineRule="exact"/>
        <w:rPr>
          <w:sz w:val="20"/>
          <w:szCs w:val="20"/>
          <w:color w:val="auto"/>
        </w:rPr>
      </w:pPr>
    </w:p>
    <w:p>
      <w:pPr>
        <w:jc w:val="both"/>
        <w:ind w:right="60" w:firstLine="510"/>
        <w:spacing w:after="0" w:line="237"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91% and 89% of our total revenues for these segments for the three months ended December 31, 2020 and 2019, respectively, and approximately 88% and 89% of our total revenues for these segments for the nine months ended December 31, 2020 and 2019,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7" w:name="page38"/>
    <w:bookmarkEnd w:id="37"/>
    <w:p>
      <w:pPr>
        <w:ind w:right="280"/>
        <w:spacing w:after="0" w:line="246" w:lineRule="auto"/>
        <w:rPr>
          <w:sz w:val="20"/>
          <w:szCs w:val="20"/>
          <w:color w:val="auto"/>
        </w:rPr>
      </w:pPr>
      <w:r>
        <w:rPr>
          <w:rFonts w:ascii="Arial" w:cs="Arial" w:eastAsia="Arial" w:hAnsi="Arial"/>
          <w:sz w:val="18"/>
          <w:szCs w:val="18"/>
          <w:color w:val="auto"/>
        </w:rPr>
        <w:t>from time-and-materials contracts (which reimburse us for the number of labor hours expended at an established hourly rate negotiated in the contract, plus the cost of materials utilized in providing such products or services).</w:t>
      </w:r>
    </w:p>
    <w:p>
      <w:pPr>
        <w:spacing w:after="0" w:line="143"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51" w:lineRule="exact"/>
        <w:rPr>
          <w:sz w:val="20"/>
          <w:szCs w:val="20"/>
          <w:color w:val="auto"/>
        </w:rPr>
      </w:pPr>
    </w:p>
    <w:p>
      <w:pPr>
        <w:ind w:right="240" w:firstLine="510"/>
        <w:spacing w:after="0" w:line="237"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20% and 24% of our total revenues for the three months ended December 31, 2020 and 2019, respectively, and approximately 23% of our total revenues for both the nine months ended December 31, 2020 and 2019.</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also incur independent research and development (IR&amp;D) expenses, which are not directly funded by a third party. IR&amp;D expenses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consist primarily of salaries and other personnel-related expenses, supplies, prototype materials, testing and certification related to research</w:t>
      </w:r>
    </w:p>
    <w:p>
      <w:pPr>
        <w:spacing w:after="0" w:line="234" w:lineRule="auto"/>
        <w:rPr>
          <w:sz w:val="20"/>
          <w:szCs w:val="20"/>
          <w:color w:val="auto"/>
        </w:rPr>
      </w:pPr>
      <w:r>
        <w:rPr>
          <w:rFonts w:ascii="Arial" w:cs="Arial" w:eastAsia="Arial" w:hAnsi="Arial"/>
          <w:sz w:val="18"/>
          <w:szCs w:val="18"/>
          <w:color w:val="auto"/>
        </w:rPr>
        <w:t>and development (R&amp;D) projects. IR&amp;D expenses were approximately 5% of total revenues during both the three months ended</w:t>
      </w:r>
    </w:p>
    <w:p>
      <w:pPr>
        <w:spacing w:after="0" w:line="235" w:lineRule="auto"/>
        <w:rPr>
          <w:sz w:val="20"/>
          <w:szCs w:val="20"/>
          <w:color w:val="auto"/>
        </w:rPr>
      </w:pPr>
      <w:r>
        <w:rPr>
          <w:rFonts w:ascii="Arial" w:cs="Arial" w:eastAsia="Arial" w:hAnsi="Arial"/>
          <w:sz w:val="18"/>
          <w:szCs w:val="18"/>
          <w:color w:val="auto"/>
        </w:rPr>
        <w:t>December 31, 2020 and 2019, and approximately 5% and 6% of total revenues during the nine months ended December 31, 2020 and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 As a government contractor, we are able to recover a portion of our IR&amp;D expenses pursuant to our government contracts.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89" w:lineRule="exact"/>
        <w:rPr>
          <w:sz w:val="20"/>
          <w:szCs w:val="20"/>
          <w:color w:val="auto"/>
        </w:rPr>
      </w:pPr>
    </w:p>
    <w:p>
      <w:pPr>
        <w:ind w:right="160" w:firstLine="510"/>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Basis of Presentation – Leases to our condensed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53" w:lineRule="exact"/>
        <w:rPr>
          <w:sz w:val="20"/>
          <w:szCs w:val="20"/>
          <w:color w:val="auto"/>
        </w:rPr>
      </w:pPr>
    </w:p>
    <w:p>
      <w:pPr>
        <w:ind w:right="560" w:firstLine="510"/>
        <w:spacing w:after="0" w:line="246"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8" w:name="page39"/>
    <w:bookmarkEnd w:id="38"/>
    <w:p>
      <w:pPr>
        <w:ind w:right="40"/>
        <w:spacing w:after="0" w:line="238" w:lineRule="auto"/>
        <w:rPr>
          <w:sz w:val="20"/>
          <w:szCs w:val="20"/>
          <w:color w:val="auto"/>
        </w:rPr>
      </w:pPr>
      <w:r>
        <w:rPr>
          <w:rFonts w:ascii="Arial" w:cs="Arial" w:eastAsia="Arial" w:hAnsi="Arial"/>
          <w:sz w:val="18"/>
          <w:szCs w:val="18"/>
          <w:color w:val="auto"/>
        </w:rPr>
        <w:t>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89" w:lineRule="exact"/>
        <w:rPr>
          <w:sz w:val="20"/>
          <w:szCs w:val="20"/>
          <w:color w:val="auto"/>
        </w:rPr>
      </w:pPr>
    </w:p>
    <w:p>
      <w:pPr>
        <w:ind w:right="40" w:firstLine="510"/>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99"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December 31, 2020 would change our income (loss) before income taxes by an insignificant amount.</w:t>
      </w:r>
    </w:p>
    <w:p>
      <w:pPr>
        <w:spacing w:after="0" w:line="18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9" w:name="page40"/>
    <w:bookmarkEnd w:id="39"/>
    <w:p>
      <w:pPr>
        <w:ind w:right="120"/>
        <w:spacing w:after="0"/>
        <w:rPr>
          <w:sz w:val="20"/>
          <w:szCs w:val="20"/>
          <w:color w:val="auto"/>
        </w:rPr>
      </w:pPr>
      <w:r>
        <w:rPr>
          <w:rFonts w:ascii="Arial" w:cs="Arial" w:eastAsia="Arial" w:hAnsi="Arial"/>
          <w:sz w:val="18"/>
          <w:szCs w:val="18"/>
          <w:color w:val="auto"/>
        </w:rPr>
        <w:t>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8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152"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We own three satellites in service (ViaSat-2, ViaSat-1 and WildBlue-1) and have lifetime leases of Ka-band capacity on two satellites. We also have a global constellation of three third-generation ViaSat-3 class satellites under construction. In addition, we own related earth stations and networking equipment for all of our satellites. Property, equipment and satellites, net also includes the customer premise equipment units leased to subscribers under a retail leasing program as part of our satellite services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ind w:right="140" w:firstLine="510"/>
        <w:spacing w:after="0" w:line="234" w:lineRule="auto"/>
        <w:rPr>
          <w:sz w:val="20"/>
          <w:szCs w:val="20"/>
          <w:color w:val="auto"/>
        </w:rPr>
      </w:pPr>
      <w:r>
        <w:rPr>
          <w:rFonts w:ascii="Arial" w:cs="Arial" w:eastAsia="Arial" w:hAnsi="Arial"/>
          <w:sz w:val="18"/>
          <w:szCs w:val="18"/>
          <w:color w:val="auto"/>
        </w:rPr>
        <w:t>For contracts entered into on or after April 1, 2019,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w:t>
      </w:r>
    </w:p>
    <w:p>
      <w:pPr>
        <w:spacing w:after="0" w:line="3" w:lineRule="exact"/>
        <w:rPr>
          <w:sz w:val="20"/>
          <w:szCs w:val="20"/>
          <w:color w:val="auto"/>
        </w:rPr>
      </w:pPr>
    </w:p>
    <w:p>
      <w:pPr>
        <w:ind w:right="20" w:firstLine="8"/>
        <w:spacing w:after="0" w:line="238"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1"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40"/>
        <w:spacing w:after="0" w:line="238" w:lineRule="auto"/>
        <w:rPr>
          <w:sz w:val="20"/>
          <w:szCs w:val="20"/>
          <w:color w:val="auto"/>
        </w:rPr>
      </w:pPr>
      <w:r>
        <w:rPr>
          <w:rFonts w:ascii="Arial" w:cs="Arial" w:eastAsia="Arial" w:hAnsi="Arial"/>
          <w:sz w:val="18"/>
          <w:szCs w:val="18"/>
          <w:color w:val="auto"/>
        </w:rPr>
        <w:t>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left="280" w:hanging="272"/>
        <w:spacing w:after="0" w:line="234"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00"/>
        <w:spacing w:after="0"/>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9"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31, 2020 and 2019.</w:t>
      </w:r>
    </w:p>
    <w:p>
      <w:pPr>
        <w:spacing w:after="0" w:line="14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ASU 2017-04 simplifies how we test goodwill for impairment by removing Step 2 from the goodwill impairment test.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jc w:val="both"/>
        <w:ind w:right="100" w:firstLine="510"/>
        <w:spacing w:after="0"/>
        <w:rPr>
          <w:sz w:val="20"/>
          <w:szCs w:val="20"/>
          <w:color w:val="auto"/>
        </w:rPr>
      </w:pPr>
      <w:r>
        <w:rPr>
          <w:rFonts w:ascii="Arial" w:cs="Arial" w:eastAsia="Arial" w:hAnsi="Arial"/>
          <w:sz w:val="18"/>
          <w:szCs w:val="18"/>
          <w:color w:val="auto"/>
        </w:rPr>
        <w:t>Furthermore, in addition to qualitative analysis, we believe it is appropriate to conduct a quantitative analysis periodically as a prudent review of our reporting unit goodwill fair values. We performed this analysis as of December 31, 2019, our annual impairment test date. Our quantitative analysis estimates the fair values of the reporting units using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1" w:name="page42"/>
    <w:bookmarkEnd w:id="41"/>
    <w:p>
      <w:pPr>
        <w:ind w:right="340"/>
        <w:spacing w:after="0" w:line="238" w:lineRule="auto"/>
        <w:rPr>
          <w:sz w:val="20"/>
          <w:szCs w:val="20"/>
          <w:color w:val="auto"/>
        </w:rPr>
      </w:pPr>
      <w:r>
        <w:rPr>
          <w:rFonts w:ascii="Arial" w:cs="Arial" w:eastAsia="Arial" w:hAnsi="Arial"/>
          <w:sz w:val="18"/>
          <w:szCs w:val="18"/>
          <w:color w:val="auto"/>
        </w:rPr>
        <w:t>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2020, we concluded that estimated fair values of our reporting units significantly exceed their respective carrying values.</w:t>
      </w:r>
    </w:p>
    <w:p>
      <w:pPr>
        <w:spacing w:after="0" w:line="151"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2020 and the additional qualitative and quantitative considerations as of March 31, 2020 in light of the significant decline in our market capitalization following the COVID-19 outbreak, we concluded that it was more likely than not that the estimated fair value of our reporting units exceeded their carrying value as of March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$42.6 million at March 31, 2020 to $48.0 million at December 31, 2020. The valuation allowance relates to state and foreign net operating loss carryforwards, state R&amp;D tax credit carryforwards and foreign tax credit carryforwards.</w:t>
      </w:r>
    </w:p>
    <w:p>
      <w:pPr>
        <w:spacing w:after="0" w:line="154"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r>
      <w:tr>
        <w:trPr>
          <w:trHeight w:val="156"/>
        </w:trPr>
        <w:tc>
          <w:tcPr>
            <w:tcW w:w="4980" w:type="dxa"/>
            <w:vAlign w:val="bottom"/>
          </w:tcPr>
          <w:p>
            <w:pPr>
              <w:spacing w:after="0"/>
              <w:rPr>
                <w:sz w:val="13"/>
                <w:szCs w:val="13"/>
                <w:color w:val="auto"/>
              </w:rPr>
            </w:pPr>
          </w:p>
        </w:tc>
        <w:tc>
          <w:tcPr>
            <w:tcW w:w="130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December 31,</w:t>
            </w:r>
          </w:p>
        </w:tc>
        <w:tc>
          <w:tcPr>
            <w:tcW w:w="130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jc w:val="right"/>
              <w:ind w:right="220"/>
              <w:spacing w:after="0" w:line="156"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49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p>
    <w:p>
      <w:pPr>
        <w:ind w:right="3880"/>
        <w:spacing w:after="0" w:line="350" w:lineRule="auto"/>
        <w:rPr>
          <w:sz w:val="20"/>
          <w:szCs w:val="20"/>
          <w:color w:val="auto"/>
        </w:rPr>
      </w:pPr>
      <w:r>
        <w:rPr>
          <w:rFonts w:ascii="Arial" w:cs="Arial" w:eastAsia="Arial" w:hAnsi="Arial"/>
          <w:sz w:val="18"/>
          <w:szCs w:val="18"/>
          <w:b w:val="1"/>
          <w:bCs w:val="1"/>
          <w:color w:val="auto"/>
        </w:rPr>
        <w:t xml:space="preserve">Three Months Ended December 31, 2020 vs. Three Months Ended December 31, 2019 </w:t>
      </w:r>
      <w:r>
        <w:rPr>
          <w:rFonts w:ascii="Arial" w:cs="Arial" w:eastAsia="Arial" w:hAnsi="Arial"/>
          <w:sz w:val="18"/>
          <w:szCs w:val="18"/>
          <w:i w:val="1"/>
          <w:iCs w:val="1"/>
          <w:color w:val="auto"/>
        </w:rPr>
        <w:t>Revenues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Our total revenues decreased by $ 12.7 million as a result of a $36.6 million decrease in product revenues, partially offset by a $23.9 million increase in service revenues. The product revenue decrease was driven primarily by a decrease of $39.1 million in our government systems segment, partially offset by a $2.5 million increase in our commercial networks segment. The service revenue increase was due to increases of $12.0 million in our government systems segment, $9.1 million in our satellite services segment and $2.9 million in our commercial networks segment.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Cost of revenues decreased $12.9 million due to a decrease of $17.2 million in cost of product revenues, partially offset by a $4.3 million increase in cost of service revenues. The cost of product revenue decrease primarily related to decreased product revenues, causing a $25.8 million decrease in cost of product revenues on a constant margin basis, mainly in our government systems segment. The decrease in cost of product revenues was partially offset by lower margins, driven by our government mobile broadband products and tactical satcom radio products in our government systems segment. The increase in cost of service revenues was primarily due to increased revenues from our government systems and satellite services segment.</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jc w:val="center"/>
              <w:ind w:right="22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The $3.6 million decrease in selling, general and administrative (SG&amp;A) expenses was driven primarily by decreases of $3.0 million in selling costs and $1.3 million in bid and proposal costs. The decrease in selling costs was reflected primarily in our satellite services and commercial networks segments, and the decrease in bid and proposal costs related primarily to our government systems segment. SG&amp;A expenses consisted primarily of personnel costs and expenses for business development, marketing and sales, bid and proposal, facilities, finance, contract administration and general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jc w:val="center"/>
              <w:ind w:right="22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88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32.2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right="440" w:firstLine="510"/>
        <w:spacing w:after="0" w:line="274" w:lineRule="auto"/>
        <w:rPr>
          <w:sz w:val="20"/>
          <w:szCs w:val="20"/>
          <w:color w:val="auto"/>
        </w:rPr>
      </w:pPr>
      <w:r>
        <w:rPr>
          <w:rFonts w:ascii="Arial" w:cs="Arial" w:eastAsia="Arial" w:hAnsi="Arial"/>
          <w:sz w:val="17"/>
          <w:szCs w:val="17"/>
          <w:color w:val="auto"/>
        </w:rPr>
        <w:t>The $3.4 million decrease in IR&amp;D expenses was mainly the result of a decrease of $4.4 million in IR&amp;D efforts in our commercial networks segment (primarily related to a decrease in IR&amp;D expenses related to next-generation satellite payload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8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insignificant decrease in amortization of acquired intangible assets in the third quarter of fiscal year 2021 compared to the prior year period was primarily the result of certain acquired intangibles in our commercial networks and satellite services segments becoming fully amortized during the prior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5" w:lineRule="exact"/>
        <w:rPr>
          <w:sz w:val="20"/>
          <w:szCs w:val="20"/>
          <w:color w:val="auto"/>
        </w:rPr>
      </w:pPr>
    </w:p>
    <w:p>
      <w:pPr>
        <w:ind w:right="180" w:firstLine="510"/>
        <w:spacing w:after="0" w:line="246" w:lineRule="auto"/>
        <w:rPr>
          <w:sz w:val="20"/>
          <w:szCs w:val="20"/>
          <w:color w:val="auto"/>
        </w:rPr>
      </w:pPr>
      <w:r>
        <w:rPr>
          <w:rFonts w:ascii="Arial" w:cs="Arial" w:eastAsia="Arial" w:hAnsi="Arial"/>
          <w:sz w:val="18"/>
          <w:szCs w:val="18"/>
          <w:color w:val="auto"/>
        </w:rPr>
        <w:t>The slight decrease in interest income for the three months ended December 31, 2020 compared to the prior year period was mainly the result of lower interest rates during the third quarter of fiscal year 2021 compared to the prior 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$1.4 million decrease in interest expense for the three months ended December 31, 2020 compared to the prior year period was primarily the result of an increase in the amount of interest capitalized during the third quarter of fiscal year 2021 compared to the period year period, partially offset by an increase in interest expense attributable to our 6.500% Senior Notes due 2028 (the 2028 Notes), which were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issued in the first quarter of fiscal year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81"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For the three months ended December 31, 2020, we recorded an income tax provision of $7.0 million, resulting in an effective tax rate of 50%. For the three months ended December 31, 2019, we recorded an income tax benefit of $3.9 million, resulting in an effective tax benefit rate of negative 80%. The effective tax rates for the periods differed from the U.S. statutory rate primarily due to the benefit of federal and state R&amp;D tax credits. In addition, the effective tax rate for the three months ended December 31, 2020 included the expense for tax deficiencies upon settlement of stock-based compensation during the period.</w:t>
      </w:r>
    </w:p>
    <w:p>
      <w:pPr>
        <w:spacing w:after="0" w:line="148" w:lineRule="exact"/>
        <w:rPr>
          <w:sz w:val="20"/>
          <w:szCs w:val="20"/>
          <w:color w:val="auto"/>
        </w:rPr>
      </w:pPr>
    </w:p>
    <w:p>
      <w:pPr>
        <w:ind w:right="20" w:firstLine="510"/>
        <w:spacing w:after="0" w:line="253" w:lineRule="auto"/>
        <w:rPr>
          <w:sz w:val="20"/>
          <w:szCs w:val="20"/>
          <w:color w:val="auto"/>
        </w:rPr>
      </w:pPr>
      <w:r>
        <w:rPr>
          <w:rFonts w:ascii="Arial" w:cs="Arial" w:eastAsia="Arial" w:hAnsi="Arial"/>
          <w:sz w:val="17"/>
          <w:szCs w:val="17"/>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4" w:name="page45"/>
    <w:bookmarkEnd w:id="44"/>
    <w:p>
      <w:pPr>
        <w:ind w:right="200"/>
        <w:spacing w:after="0" w:line="246" w:lineRule="auto"/>
        <w:rPr>
          <w:sz w:val="20"/>
          <w:szCs w:val="20"/>
          <w:color w:val="auto"/>
        </w:rPr>
      </w:pPr>
      <w:r>
        <w:rPr>
          <w:rFonts w:ascii="Arial" w:cs="Arial" w:eastAsia="Arial" w:hAnsi="Arial"/>
          <w:sz w:val="18"/>
          <w:szCs w:val="18"/>
          <w:color w:val="auto"/>
        </w:rPr>
        <w:t>taxes for the three months ended December 31, 2020 and 2019 by applying the actual effective tax rates to the income for the three-month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31, 2020 vs. Three Months Ended December 31, 2019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Our satellite services segment revenues increased by $9.1 million due to an increase in service revenues. The increase in service revenues was primarily driven by the expansion of our fixed broadband services and higher average revenue per fixed broadband subscriber in the United States (ARPU) when compared to the prior year period, partially offset by a decrease in service revenues from our in-flight services. Total subscribers at December 31, 2020 were approximately 596,000 compared to 586,000 subscribers at December 31, 2019. The increase in ARPU reflected a higher mix of new and existing subscribers choosing Viasat’s premium highest speed plans. The in-flight service revenue decrease was driven primarily by a 14% decrease in the number of commercial aircraft using in-flight services through our IFC systems as of quarter end as a result of the COVID-19 pandemic. In addition, our third quarter fiscal year 2021 in-flight service revenues continued to be impacted by reduced passenger air traffic, the number of inactive installed aircraft and lower capacity on active installed aircraft as a result of the COVID-19 pandemic.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right"/>
              <w:ind w:right="360"/>
              <w:spacing w:after="0" w:line="156"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jc w:val="center"/>
              <w:ind w:right="240"/>
              <w:spacing w:after="0" w:line="156"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$7.9 million increase in our satellite services segment operating profit was driven primarily by higher earnings contributions of $6.2 million, primarily due to an increase in revenues and improved margins from our fixed broadband services, reflecting the strength of the low variable costs structure of our fixed broadband services business as the business continues to scale. The increase in our satellite services segment operating profit was also due to a decrease in SG&amp;A costs of $1.9 million. This was partially offset by lower margins resulting from the negative impact of the COVID-19 pandemic on our in-flight services business and an increase in costs related to our investments in emerging global broadband businesses.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78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73.2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11.5</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78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84.7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gridSpan w:val="3"/>
          </w:tcPr>
          <w:p>
            <w:pPr>
              <w:jc w:val="right"/>
              <w:ind w:right="148"/>
              <w:spacing w:after="0"/>
              <w:rPr>
                <w:sz w:val="20"/>
                <w:szCs w:val="20"/>
                <w:color w:val="auto"/>
              </w:rPr>
            </w:pPr>
            <w:r>
              <w:rPr>
                <w:rFonts w:ascii="Arial" w:cs="Arial" w:eastAsia="Arial" w:hAnsi="Arial"/>
                <w:sz w:val="18"/>
                <w:szCs w:val="18"/>
                <w:color w:val="auto"/>
              </w:rPr>
              <w:t>45</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5" w:name="page46"/>
    <w:bookmarkEnd w:id="45"/>
    <w:p>
      <w:pPr>
        <w:ind w:firstLine="510"/>
        <w:spacing w:after="0" w:line="237" w:lineRule="auto"/>
        <w:rPr>
          <w:sz w:val="20"/>
          <w:szCs w:val="20"/>
          <w:color w:val="auto"/>
        </w:rPr>
      </w:pPr>
      <w:r>
        <w:rPr>
          <w:rFonts w:ascii="Arial" w:cs="Arial" w:eastAsia="Arial" w:hAnsi="Arial"/>
          <w:sz w:val="18"/>
          <w:szCs w:val="18"/>
          <w:color w:val="auto"/>
        </w:rPr>
        <w:t>Our commercial networks segment revenues increased by $5.4 million, due to a $2.9 million increase in service revenues and a $2.5 million increase in product revenues. The increase in service revenues was primarily driven by an increase in fixed satellite network services. The increase in product revenues was primarily due to increases of $7.5 million in antenna systems products and $4.1 million in fixed satellite networks products, partially offset by a decrease of $8.2 million in mobile broadband satellite communication systems products due to decreased IFC terminal deliveries resulting from the severe decline in global air traffic and resulting downturn in the commercial aviation market as a result of the COVID-19 pandemic.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380"/>
              <w:spacing w:after="0" w:line="156"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3"/>
          </w:tcPr>
          <w:p>
            <w:pPr>
              <w:jc w:val="center"/>
              <w:ind w:right="380"/>
              <w:spacing w:after="0" w:line="156"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jc w:val="both"/>
        <w:ind w:right="60" w:firstLine="510"/>
        <w:spacing w:after="0"/>
        <w:rPr>
          <w:sz w:val="20"/>
          <w:szCs w:val="20"/>
          <w:color w:val="auto"/>
        </w:rPr>
      </w:pPr>
      <w:r>
        <w:rPr>
          <w:rFonts w:ascii="Arial" w:cs="Arial" w:eastAsia="Arial" w:hAnsi="Arial"/>
          <w:sz w:val="18"/>
          <w:szCs w:val="18"/>
          <w:color w:val="auto"/>
        </w:rPr>
        <w:t>The $7.9 million reduction in our commercial networks segment operating loss was driven primarily by a $4.4 million decrease in IR&amp;D expenses (primarily related to next-generation satellite payload technologies) and higher earnings contributions of $3.3 million, primarily due to higher revenues and improved margins in our fixed satellite networks services.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19%</w:t>
            </w: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Our government systems segment revenues decreased by $27.1 million due to a decrease of $39.1 million in product revenues, partially offset by an increase of $12.0 million in service revenues. The decrease in product revenues was mainly due to a $23.9 million decrease in government mobile broadband products, a $22.6 million decrease in tactical satcom radio products and a $6.6 million decrease in government satellite communication systems products, partially offset by an $8.4 million increase in tactical data link products and a $5.9 million increase in cybersecurity and information assurance products. Our government systems segment continued to show some impacts from the pandemic, which has somewhat complicated product manufacturing and shipments, but new government systems segment awards remained very strong through the end of the third quarter of fiscal year 2021. The service revenue increase was primarily due to an $8.2 million increase in government mobile broadband services, a $2.0 million increase in tactical satcom radio services and a $2.0 million increase in tactical data link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right"/>
              <w:ind w:right="360"/>
              <w:spacing w:after="0" w:line="156"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jc w:val="center"/>
              <w:ind w:right="24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59.1</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320" w:firstLine="510"/>
        <w:spacing w:after="0" w:line="238" w:lineRule="auto"/>
        <w:rPr>
          <w:sz w:val="20"/>
          <w:szCs w:val="20"/>
          <w:color w:val="auto"/>
        </w:rPr>
      </w:pPr>
      <w:r>
        <w:rPr>
          <w:rFonts w:ascii="Arial" w:cs="Arial" w:eastAsia="Arial" w:hAnsi="Arial"/>
          <w:sz w:val="18"/>
          <w:szCs w:val="18"/>
          <w:color w:val="auto"/>
        </w:rPr>
        <w:t>The $ 8.5 million decrease in our government systems segment operating profit was primarily due to lower earnings contributions of $9.2 million, primarily due to a decrease in revenues in our government mobile broadband products, tactical satcom radio products and government satellite communication systems products, and lower margins from our government mobile broadband products and tactical satcom radio products. This decrease was partially offset by lower SG&amp;A costs of $1.5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4180"/>
        <w:spacing w:after="0" w:line="365" w:lineRule="auto"/>
        <w:rPr>
          <w:sz w:val="20"/>
          <w:szCs w:val="20"/>
          <w:color w:val="auto"/>
        </w:rPr>
      </w:pPr>
      <w:r>
        <w:rPr>
          <w:rFonts w:ascii="Arial" w:cs="Arial" w:eastAsia="Arial" w:hAnsi="Arial"/>
          <w:sz w:val="18"/>
          <w:szCs w:val="18"/>
          <w:b w:val="1"/>
          <w:bCs w:val="1"/>
          <w:color w:val="auto"/>
        </w:rPr>
        <w:t xml:space="preserve">Nine Months Ended December 31, 2020 vs. Nine Months Ended December 31, 2019 </w:t>
      </w:r>
      <w:r>
        <w:rPr>
          <w:rFonts w:ascii="Arial" w:cs="Arial" w:eastAsia="Arial" w:hAnsi="Arial"/>
          <w:sz w:val="18"/>
          <w:szCs w:val="18"/>
          <w:i w:val="1"/>
          <w:iCs w:val="1"/>
          <w:color w:val="auto"/>
        </w:rPr>
        <w:t>Revenues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773.1</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Our total revenues decreased by $ 57.2 million as a result of a $100.4 million decrease in product revenues, partially offset by a $43.2 million increase in service revenues. The decrease in product revenues was driven primarily by decreases of $85.7 million in our government systems segment and $14.7 million in our commercial networks segment. The service revenue increase was due to increases of $24.4 million in our satellite services segment and $19.7 million in our government systems segment.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576.7</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1,164.2</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Cost of revenues decreased by $34.6 million due to a decrease of $57.4 million in cost of product revenues, partially offset by an increase of $22.8 million in cost of service revenues. The cost of product revenue decrease was mainly due to decreased product revenues, causing a $72.9 million decrease in cost of product revenues on a constant margin basis, mainly from revenue decreases in our government systems and commercial networks segments. The cost of service revenue increase primarily related to increased revenues from our fixed broadband services business, partially offset by improved margins in our fixed broadband services business, reflecting the strength of the low variable costs structure of our fixed broadband services business as the business continues to scale.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jc w:val="center"/>
              <w:ind w:right="22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The $9.6 million decrease in SG&amp;A expenses was primarily due to a decrease in selling costs of $10.5 million and a decrease in bid and proposal costs of $5.8 million, partially offset by an increase in support costs of $6.7 million. The decrease in selling costs was reflected in all three segments, but was mainly driven by our satellite services segment. The decrease in bid and proposal costs was mainly from our government systems segment. The increase in support costs was primarily driven by our government systems and commercial networks segments. SG&amp;A expenses consisted primarily of personnel costs and expenses for business development, marketing and sales, bid and proposal, facilities, finance, contract administration and general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jc w:val="center"/>
              <w:ind w:right="22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2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r>
      <w:tr>
        <w:trPr>
          <w:trHeight w:val="634"/>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40" w:type="dxa"/>
            <w:vAlign w:val="bottom"/>
            <w:gridSpan w:val="3"/>
          </w:tcPr>
          <w:p>
            <w:pPr>
              <w:jc w:val="right"/>
              <w:ind w:right="88"/>
              <w:spacing w:after="0"/>
              <w:rPr>
                <w:sz w:val="20"/>
                <w:szCs w:val="20"/>
                <w:color w:val="auto"/>
              </w:rPr>
            </w:pPr>
            <w:r>
              <w:rPr>
                <w:rFonts w:ascii="Arial" w:cs="Arial" w:eastAsia="Arial" w:hAnsi="Arial"/>
                <w:sz w:val="18"/>
                <w:szCs w:val="18"/>
                <w:color w:val="auto"/>
              </w:rPr>
              <w:t>47</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ind w:right="260" w:firstLine="510"/>
        <w:spacing w:after="0" w:line="238" w:lineRule="auto"/>
        <w:rPr>
          <w:sz w:val="20"/>
          <w:szCs w:val="20"/>
          <w:color w:val="auto"/>
        </w:rPr>
      </w:pPr>
      <w:r>
        <w:rPr>
          <w:rFonts w:ascii="Arial" w:cs="Arial" w:eastAsia="Arial" w:hAnsi="Arial"/>
          <w:sz w:val="18"/>
          <w:szCs w:val="18"/>
          <w:color w:val="auto"/>
        </w:rPr>
        <w:t>The $16.0 million decrease in IR&amp;D expenses was mainly the result of a decrease of $13.7 million in IR&amp;D efforts in our commercial networks segment (primarily related to a decrease in IR&amp;D expenses related to next-generation satellite payload technologies) and a decrease of $2.3 million in our government systems segment (primarily related to a decrease in IR&amp;D expenses related to next-generation dual band mobility solutions).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$1.7 million decrease in amortization of acquired intangible assets in the first nine months of fiscal year 2021 compared to the prior year period was primarily the result of certain acquired intangibles in our satellite services and commercial networks segments becoming fully amortized during the last twelve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60" w:firstLine="510"/>
        <w:spacing w:after="0" w:line="246" w:lineRule="auto"/>
        <w:rPr>
          <w:sz w:val="20"/>
          <w:szCs w:val="20"/>
          <w:color w:val="auto"/>
        </w:rPr>
      </w:pPr>
      <w:r>
        <w:rPr>
          <w:rFonts w:ascii="Arial" w:cs="Arial" w:eastAsia="Arial" w:hAnsi="Arial"/>
          <w:sz w:val="18"/>
          <w:szCs w:val="18"/>
          <w:color w:val="auto"/>
        </w:rPr>
        <w:t>The $1.0 million decrease in interest income for the nine months ended December 31, 2020 compared to the prior year period was the result of lower interest rates during the first nine months of fiscal year 2021 compared to the prior 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$2.8 million decrease in interest expense in the nine months ended December 31, 2020 compared to the prior year period was primarily due to an increase in the amount of interest capitalized during the first nine months of fiscal year 2021 compared to the prior year period. This decrease in interest expense was partially offset by the addition of interest expense relating to the 2028 Notes, which were issued in the first quarter of fiscal year 2021, and higher outstanding borrowings under our Revolving Credit Facility (even though outstanding borrowings were repaid during the first quarter of fiscal year 2021 with proceeds from the issuance of the 2028 Notes in June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81"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For the nine months ended December 31, 2020, we recorded an income tax provision of an insignificant amount, resulting in an effective tax rate of 24%. For the nine months ended December 31, 2019, we recorded an income tax benefit of $8.7 million, resulting in an effective tax benefit rate of 211%. The effective tax rates for the periods differed from the U.S. statutory rate due primarily to the benefit of federal and state R&amp;D tax credits. In addition, the effective tax rate for the nine months ended December 31, 2020 included the expense for tax deficiencies upon settlement of stock-based compensation during the period.</w:t>
      </w:r>
    </w:p>
    <w:p>
      <w:pPr>
        <w:spacing w:after="0" w:line="148"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nine months ended December 31, 2020 and 2019 by applying the actual effective tax rates to the income (loss) for the nine-month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December 31, 2020 vs. Nine Months Ended December 31,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78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78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gridSpan w:val="3"/>
          </w:tcPr>
          <w:p>
            <w:pPr>
              <w:jc w:val="right"/>
              <w:ind w:right="148"/>
              <w:spacing w:after="0"/>
              <w:rPr>
                <w:sz w:val="20"/>
                <w:szCs w:val="20"/>
                <w:color w:val="auto"/>
              </w:rPr>
            </w:pPr>
            <w:r>
              <w:rPr>
                <w:rFonts w:ascii="Arial" w:cs="Arial" w:eastAsia="Arial" w:hAnsi="Arial"/>
                <w:sz w:val="18"/>
                <w:szCs w:val="18"/>
                <w:color w:val="auto"/>
              </w:rPr>
              <w:t>48</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left="520"/>
        <w:spacing w:after="0"/>
        <w:rPr>
          <w:sz w:val="20"/>
          <w:szCs w:val="20"/>
          <w:color w:val="auto"/>
        </w:rPr>
      </w:pPr>
      <w:r>
        <w:rPr>
          <w:rFonts w:ascii="Arial" w:cs="Arial" w:eastAsia="Arial" w:hAnsi="Arial"/>
          <w:sz w:val="18"/>
          <w:szCs w:val="18"/>
          <w:color w:val="auto"/>
        </w:rPr>
        <w:t>Our satellite services segment revenues increased by $24.4 million due to an increase in service revenues. The increase in service</w:t>
      </w:r>
    </w:p>
    <w:p>
      <w:pPr>
        <w:spacing w:after="0" w:line="234" w:lineRule="auto"/>
        <w:rPr>
          <w:sz w:val="20"/>
          <w:szCs w:val="20"/>
          <w:color w:val="auto"/>
        </w:rPr>
      </w:pPr>
      <w:r>
        <w:rPr>
          <w:rFonts w:ascii="Arial" w:cs="Arial" w:eastAsia="Arial" w:hAnsi="Arial"/>
          <w:sz w:val="18"/>
          <w:szCs w:val="18"/>
          <w:color w:val="auto"/>
        </w:rPr>
        <w:t>revenues was primarily driven by the expansion of our fixed broadband services and higher ARPU when compared to the prior year period,</w:t>
      </w:r>
    </w:p>
    <w:p>
      <w:pPr>
        <w:spacing w:after="0" w:line="235" w:lineRule="auto"/>
        <w:rPr>
          <w:sz w:val="20"/>
          <w:szCs w:val="20"/>
          <w:color w:val="auto"/>
        </w:rPr>
      </w:pPr>
      <w:r>
        <w:rPr>
          <w:rFonts w:ascii="Arial" w:cs="Arial" w:eastAsia="Arial" w:hAnsi="Arial"/>
          <w:sz w:val="18"/>
          <w:szCs w:val="18"/>
          <w:color w:val="auto"/>
        </w:rPr>
        <w:t>partially offset by a decrease in service revenues from our in-flight services. Total subscribers at December 31, 2020 were</w:t>
      </w:r>
    </w:p>
    <w:p>
      <w:pPr>
        <w:spacing w:after="0" w:line="235" w:lineRule="auto"/>
        <w:rPr>
          <w:sz w:val="20"/>
          <w:szCs w:val="20"/>
          <w:color w:val="auto"/>
        </w:rPr>
      </w:pPr>
      <w:r>
        <w:rPr>
          <w:rFonts w:ascii="Arial" w:cs="Arial" w:eastAsia="Arial" w:hAnsi="Arial"/>
          <w:sz w:val="18"/>
          <w:szCs w:val="18"/>
          <w:color w:val="auto"/>
        </w:rPr>
        <w:t>approximately 596,000 compared to 586,000 subscribers at December 31, 2019. The increase in ARPU reflected a higher mix of new and</w:t>
      </w:r>
    </w:p>
    <w:p>
      <w:pPr>
        <w:spacing w:after="0" w:line="235" w:lineRule="auto"/>
        <w:rPr>
          <w:sz w:val="20"/>
          <w:szCs w:val="20"/>
          <w:color w:val="auto"/>
        </w:rPr>
      </w:pPr>
      <w:r>
        <w:rPr>
          <w:rFonts w:ascii="Arial" w:cs="Arial" w:eastAsia="Arial" w:hAnsi="Arial"/>
          <w:sz w:val="18"/>
          <w:szCs w:val="18"/>
          <w:color w:val="auto"/>
        </w:rPr>
        <w:t>existing subscribers choosing Viasat’s premium highest speed plans. The in-flight service revenue decrease was driven primarily by a 14%</w:t>
      </w:r>
    </w:p>
    <w:p>
      <w:pPr>
        <w:spacing w:after="0" w:line="235" w:lineRule="auto"/>
        <w:rPr>
          <w:sz w:val="20"/>
          <w:szCs w:val="20"/>
          <w:color w:val="auto"/>
        </w:rPr>
      </w:pPr>
      <w:r>
        <w:rPr>
          <w:rFonts w:ascii="Arial" w:cs="Arial" w:eastAsia="Arial" w:hAnsi="Arial"/>
          <w:sz w:val="18"/>
          <w:szCs w:val="18"/>
          <w:color w:val="auto"/>
        </w:rPr>
        <w:t>decrease in the number of commercial aircraft using in-flight services through our IFC systems as of quarter end as a result of the COVID-19</w:t>
      </w:r>
    </w:p>
    <w:p>
      <w:pPr>
        <w:spacing w:after="0" w:line="234" w:lineRule="auto"/>
        <w:rPr>
          <w:sz w:val="20"/>
          <w:szCs w:val="20"/>
          <w:color w:val="auto"/>
        </w:rPr>
      </w:pPr>
      <w:r>
        <w:rPr>
          <w:rFonts w:ascii="Arial" w:cs="Arial" w:eastAsia="Arial" w:hAnsi="Arial"/>
          <w:sz w:val="18"/>
          <w:szCs w:val="18"/>
          <w:color w:val="auto"/>
        </w:rPr>
        <w:t>pandemic. In addition, our first nine months of fiscal year 2021 in-flight service revenues continued to be impacted by reduced passenger air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traffic, the number of inactive installed aircraft and lower capacity on active installed aircraft as a result of the COVID-19 pandemic.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right"/>
              <w:ind w:right="360"/>
              <w:spacing w:after="0" w:line="156"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jc w:val="center"/>
              <w:ind w:right="240"/>
              <w:spacing w:after="0" w:line="156"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$14.4 million increase in our satellite services segment operating profit was driven primarily by lower selling and support costs and increased revenues with significant flow through resulting in improved margins, reflecting the strength of the low variable costs structure of our fixed broadband services business as the business continues to scale. This was partially offset by lower margins resulting from the negative impact of the COVID-19 pandemic on our in-flight services business and an increase in costs related to our investments in emerging global broadband businesses.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44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49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Our commercial networks segment revenues decreased by $15.6 million, primarily due to a $14.7 million decrease in product revenues and a $1.0 million decrease in service revenues. The decrease in product revenues was primarily due to a decrease of $ 34.8 million in mobile broadband satellite communication systems products due to decreased IFC terminal deliveries resulting from the severe decline in global air traffic and resulting downturn in the commercial aviation market as a result of the COVID-19 pandemic, as well as a decrease of $3.9 million in satellite networking development programs products. The product revenue decrease was partially offset by increases of $16.3 million in antenna systems products and $5.8 million in fixed satellite networks products. The decrease in service revenues was primarily due to a $4.0 million decrease in mobile broadband satellite communication systems services, partially offset by an increase of $3.0 million in fixed satellite network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380"/>
              <w:spacing w:after="0" w:line="156"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3"/>
          </w:tcPr>
          <w:p>
            <w:pPr>
              <w:jc w:val="center"/>
              <w:ind w:right="380"/>
              <w:spacing w:after="0" w:line="156"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(135.8)</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(143.6)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Our commercial networks segment operating loss decreased by $7.8 million year-over-year. The decrease in operating loss was driven primarily by a $ 13.7 million decrease in IR&amp;D expenses (primarily related to next-generation satellite payload technologies), partially offset by lower earnings contributions of $5.5 million, driven by decreased revenues and lower margins related to our mobile broadband satellite communication systems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Our government systems segment revenues decreased by $66.0 million due to a decrease of $85.7 million in product revenues, partially offset by an increase of $19.7 million in service revenues. The product revenue decrease was primarily driven by a $47.9 million decrease in government mobile broadband products, a $26.8 million decrease in government satellite communication systems products and a $23.8 million decrease in tactical satcom radio products. The decrease in product revenues was partially offset by an increase of $7.2 million in cybersecurity and information assurance products and a $6.1 million increase in tactical data link products. Our government systems segment continued to show some impacts from the pandemic, which has somewhat complicated product manufacturing and shipments, but new government systems segment awards remained very strong through the third quarter of the fiscal year. The service revenue increase was primarily due to a $12.8 million increase in government mobile broadband services, a $4.0 million increase in tactical data link services and a $1.5 million increase in tactical satcom radio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right"/>
              <w:ind w:right="360"/>
              <w:spacing w:after="0" w:line="156"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jc w:val="right"/>
              <w:ind w:right="28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120" w:firstLine="510"/>
        <w:spacing w:after="0"/>
        <w:rPr>
          <w:sz w:val="20"/>
          <w:szCs w:val="20"/>
          <w:color w:val="auto"/>
        </w:rPr>
      </w:pPr>
      <w:r>
        <w:rPr>
          <w:rFonts w:ascii="Arial" w:cs="Arial" w:eastAsia="Arial" w:hAnsi="Arial"/>
          <w:sz w:val="18"/>
          <w:szCs w:val="18"/>
          <w:color w:val="auto"/>
        </w:rPr>
        <w:t>The $19.2 million decrease in our government systems segment operating profit was primarily due to lower earnings contributions of $22.9 million, primarily due to a decrease in revenues and lower margins from our government mobile broadband products and tactical satcom radio products, partially offset by lower IR&amp;D costs of $2.3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reflected in the table below, our overall firm and funded backlog increased during the first nine months of fiscal year 2021.</w:t>
      </w:r>
    </w:p>
    <w:p>
      <w:pPr>
        <w:spacing w:after="0" w:line="199"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643.0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5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5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5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w:t>
            </w:r>
          </w:p>
        </w:tc>
        <w:tc>
          <w:tcPr>
            <w:tcW w:w="1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2,150.7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The firm backlog does not include contract options. Of the $2.4 billion in firm backlog, a little over half is expected to be delivered during the next twelve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December 31, 2020, we had our IFC systems installed and in service on approximately 1,430</w:t>
      </w:r>
    </w:p>
    <w:p>
      <w:pPr>
        <w:spacing w:after="0" w:line="1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commercial aircraft, of which, due to impacts of the COVID-19 pandemic, approximately 250 were inactive at quarter end. While current airline traffic is still a fraction of the prior year activity, our in-flight services showed modest improvement in the quarter with increased planes in service</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50" w:name="page51"/>
    <w:bookmarkEnd w:id="50"/>
    <w:p>
      <w:pPr>
        <w:ind w:right="40"/>
        <w:spacing w:after="0" w:line="237" w:lineRule="auto"/>
        <w:rPr>
          <w:sz w:val="20"/>
          <w:szCs w:val="20"/>
          <w:color w:val="auto"/>
        </w:rPr>
      </w:pPr>
      <w:r>
        <w:rPr>
          <w:rFonts w:ascii="Arial" w:cs="Arial" w:eastAsia="Arial" w:hAnsi="Arial"/>
          <w:sz w:val="18"/>
          <w:szCs w:val="18"/>
          <w:color w:val="auto"/>
        </w:rPr>
        <w:t>and passenger volumes. We expect the negative impact on our IFC business from the pandemic to continue through the remainder of fiscal year 2021 and potentially beyond due to the severe decline in global air traffic and associated grounding of installed aircraft, but to lessen over time with increases in passenger air traffic. We anticipate our IFC services will be activated on approximately 1,010 additional commercial aircraft under existing customer agreements with commercial airlines.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49" w:lineRule="exact"/>
        <w:rPr>
          <w:sz w:val="20"/>
          <w:szCs w:val="20"/>
          <w:color w:val="auto"/>
        </w:rPr>
      </w:pPr>
    </w:p>
    <w:p>
      <w:pPr>
        <w:ind w:right="360" w:firstLine="510"/>
        <w:spacing w:after="0"/>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$643.4 million and $2.1 billion for the three and nine months ended December 31, 2020, respectively, compared to approximately $577.4 million and $1.8 billion for the three and nine months ended December 31, 2019, respectively.</w:t>
      </w:r>
    </w:p>
    <w:p>
      <w:pPr>
        <w:spacing w:after="0" w:line="149"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December 31, 2020, we had $317.3 million in cash and cash equivalents, $326.0 million in working capital, and no outstanding borrowings and borrowing availability of $664.1 million under our Revolving Credit Facility. On July 23, 2020, we issued and sold an aggregate of 4,474,559 shares of our common stock at a purchase price of $39.11 per share to certain accredited investors in a private placement transaction exempt from registration under the Securities Act of 1933, as amended, resulting in net proceeds of approximately $174.7 million after deducting offering expenses. At March 31, 2020, we had $304.3 million in cash and cash equivalents, $ 441.1 million in working capital, and $390.0 million in principal amount of outstanding borrowings and borrowing availability of $292.7 million under our Revolving Credit Facility. We invest our cash in excess of current operating requirements in short-term, highly liquid bank money market accounts.</w:t>
      </w:r>
    </w:p>
    <w:p>
      <w:pPr>
        <w:spacing w:after="0" w:line="153" w:lineRule="exact"/>
        <w:rPr>
          <w:sz w:val="20"/>
          <w:szCs w:val="20"/>
          <w:color w:val="auto"/>
        </w:rPr>
      </w:pPr>
    </w:p>
    <w:p>
      <w:pPr>
        <w:ind w:right="300" w:firstLine="510"/>
        <w:spacing w:after="0" w:line="23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51"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1" w:name="page52"/>
    <w:bookmarkEnd w:id="51"/>
    <w:p>
      <w:pPr>
        <w:ind w:right="240"/>
        <w:spacing w:after="0" w:line="246" w:lineRule="auto"/>
        <w:rPr>
          <w:sz w:val="20"/>
          <w:szCs w:val="20"/>
          <w:color w:val="auto"/>
        </w:rPr>
      </w:pPr>
      <w:r>
        <w:rPr>
          <w:rFonts w:ascii="Arial" w:cs="Arial" w:eastAsia="Arial" w:hAnsi="Arial"/>
          <w:sz w:val="18"/>
          <w:szCs w:val="18"/>
          <w:color w:val="auto"/>
        </w:rPr>
        <w:t>networks and government systems segments include contract duration and program performance. For example, if a program is performing well and meeting its contractual requirements, then its cash flow requirements are usually lower.</w:t>
      </w:r>
    </w:p>
    <w:p>
      <w:pPr>
        <w:spacing w:after="0" w:line="143"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1" w:lineRule="exact"/>
        <w:rPr>
          <w:sz w:val="20"/>
          <w:szCs w:val="20"/>
          <w:color w:val="auto"/>
        </w:rPr>
      </w:pPr>
    </w:p>
    <w:p>
      <w:pPr>
        <w:ind w:right="80" w:firstLine="510"/>
        <w:spacing w:after="0" w:line="253" w:lineRule="auto"/>
        <w:rPr>
          <w:sz w:val="20"/>
          <w:szCs w:val="20"/>
          <w:color w:val="auto"/>
        </w:rPr>
      </w:pPr>
      <w:r>
        <w:rPr>
          <w:rFonts w:ascii="Arial" w:cs="Arial" w:eastAsia="Arial" w:hAnsi="Arial"/>
          <w:sz w:val="17"/>
          <w:szCs w:val="17"/>
          <w:color w:val="auto"/>
        </w:rPr>
        <w:t>To date, COVID-19 has not had a significant impact on our liquidity, cash flows or capital resources. However, we have taken measures to mitigate the impact of COVID-19 on our business and financial position, including deferring certain capital expenditures, reducing discretionary expenditures and undertaking cost-reduction actions. Given our current cash position, outlook for funds generated from operations, borrowing availability under our Revolving Credit Facility of $664.1 million, cash needs and debt structure, we have not experienced to date, and do not expect to experience, any material issues with liquidity. 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Cash provided by operating activities for the first nine months of fiscal year 2021 was $557.4 million compared to $293.4 million in the prior year period. This $264.0 million increase was primarily driven by a $223.3 million year-over-year decrease in cash used to fund net operating assets and our operating results (net income adjusted for depreciation, amortization and other non-cash charges) which resulted in $40.7 million of higher cash provided by operating activities year-over-year. The decrease in cash used to fund net operating assets during the first nine months of fiscal year 2021 when compared to the prior year period was primarily due to an increase in cash inflows year-over-year from combined billed and unbilled accounts receivable, net, attributable to the timing of contractual milestones for certain larger development programs in our government systems segment as well as revenue decreases in our in-flight services business in our satellite services segment and an increase in our collections in excess of revenues and deferred revenues included in accrued liabilities due to the timing of milestone billings for certain larger development projects in our commercial networks segment.</w:t>
      </w:r>
    </w:p>
    <w:p>
      <w:pPr>
        <w:spacing w:after="0" w:line="153"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Cash used in investing activities for the first nine months of fiscal year 2021 was $702.8 million compared to $595.6 million in the prior year period. This $107.3 million increase in cash used in investing activities year-over-year reflects an increase of $105.2 million in cash used for ViaSat-3 constellation construction.</w:t>
      </w:r>
    </w:p>
    <w:p>
      <w:pPr>
        <w:spacing w:after="0" w:line="149" w:lineRule="exact"/>
        <w:rPr>
          <w:sz w:val="20"/>
          <w:szCs w:val="20"/>
          <w:color w:val="auto"/>
        </w:rPr>
      </w:pPr>
    </w:p>
    <w:p>
      <w:pPr>
        <w:jc w:val="both"/>
        <w:ind w:right="100" w:firstLine="510"/>
        <w:spacing w:after="0" w:line="264" w:lineRule="auto"/>
        <w:rPr>
          <w:sz w:val="20"/>
          <w:szCs w:val="20"/>
          <w:color w:val="auto"/>
        </w:rPr>
      </w:pPr>
      <w:r>
        <w:rPr>
          <w:rFonts w:ascii="Arial" w:cs="Arial" w:eastAsia="Arial" w:hAnsi="Arial"/>
          <w:sz w:val="18"/>
          <w:szCs w:val="18"/>
          <w:color w:val="auto"/>
        </w:rPr>
        <w:t>Cash provided by financing activities for the first nine months of fiscal year 2021 was $156.9 million compared to $88.5 million for the prior year period. This $68.4 million increase in cash provided by financing activities year-over-year was primarily related to $174.7 million in net proceeds from a private placement of common stock in July 2020 (after deducting offering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However, as the services we provide using the new satellite continue to scale, we expect to continue to expand the revenue base for our broadband services and gain operating cost efficiencies, which together we expect will yield incremental segment earnings contributions, partially offset by investments associated with our global business and emerging markets growth. However, there can be no assurance that we will be successful in significantly increasing revenues or achieving operating profit in our satellite services segment. We anticipate that we will incur a similar cycle of increased operating costs as we prepare for and launch commercial services on future satellites, including our ViaSat-3 constellation, followed by increases in revenue base and in scale.</w:t>
      </w:r>
    </w:p>
    <w:p>
      <w:pPr>
        <w:spacing w:after="0" w:line="14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Our first two ViaSat-3 class satellites, which are expected to cover the Americas and the EMEA region, respectively, entered the phase of full construction during the second half of fiscal year 2018. In July 2019, we entered into an agreement with The Boeing Company for the construction and purchase of a third ViaSat-3 class satellite and the integration of our payload technologies into the satellite. This satellite is expected to cover the Asia and Pacific region. We expect our ViaSat-3 constellation, once in service, to provide a substantial amount of capacity and to enable us to deliver affordable connectivity across most of the world. We are making good progress on our ViaSat-3 constellation, but the recent spikes in COVID-19 during the holidays and early part of calendar 2021 have led to intermittent supply chain and labor availability challenges as we work to complete the payload for the first ViaSat-3 satellite. While we were able to offset some of these impacts with schedule gains in other areas, at this time we believe that the launch of ViaSat-3 (Americas) will most likely move into the first quarter of calendar 2022. We believe we have adequate sources of funding for the ViaSat-3 class satellites, which include, but are not limited to,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50"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Our IR&amp;D investments are expected to continue through fiscal year 2021 and beyond relating to ViaSat-3 ground infrastructure and support of our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 opportunities and our overall</w:t>
      </w:r>
    </w:p>
    <w:p>
      <w:pPr>
        <w:spacing w:after="0" w:line="1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operating performance. Our total capital expenditures in fiscal year 2021 are expected to be higher than fiscal year 2020, as we have a third ViaSat-3 class satellite under construction, as well as increased ground network investments related to international expansion.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As of December 31, 2020, the Revolving Credit Facility provided a $700.0 million revolving line of credit (including up to $150.0 million of letters of credit), with a maturity date of January 18, 2024. As of December 31, 2020, we had no outstanding borrowings under the Revolving Credit Facility and $ 35.9 million outstanding under standby letters of credit, leaving borrowing availability under the Revolving Credit Facility as of December 31, 2020 of $664.1 million.</w:t>
      </w:r>
    </w:p>
    <w:p>
      <w:pPr>
        <w:spacing w:after="0" w:line="15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December 31, 2020, none of our subsidiaries guaranteed the Revolving Credit Facility.</w:t>
      </w:r>
    </w:p>
    <w:p>
      <w:pPr>
        <w:spacing w:after="0" w:line="148"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At December 31, 2020, we had $98.3 million in principal amount of outstanding borrowings under the Ex-Im Credit Facility.</w:t>
      </w:r>
    </w:p>
    <w:p>
      <w:pPr>
        <w:spacing w:after="0" w:line="151"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fiscal years 2019 and 2020, we received an aggregate of $188.0 million of insurance proceeds related to the ViaSat-2 satellite, all of which were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53"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95" w:lineRule="exact"/>
        <w:rPr>
          <w:sz w:val="20"/>
          <w:szCs w:val="20"/>
          <w:color w:val="auto"/>
        </w:rPr>
      </w:pPr>
    </w:p>
    <w:p>
      <w:pPr>
        <w:ind w:right="120" w:firstLine="510"/>
        <w:spacing w:after="0" w:line="255" w:lineRule="auto"/>
        <w:rPr>
          <w:sz w:val="20"/>
          <w:szCs w:val="20"/>
          <w:color w:val="auto"/>
        </w:rPr>
      </w:pPr>
      <w:r>
        <w:rPr>
          <w:rFonts w:ascii="Arial" w:cs="Arial" w:eastAsia="Arial" w:hAnsi="Arial"/>
          <w:sz w:val="17"/>
          <w:szCs w:val="17"/>
          <w:color w:val="auto"/>
        </w:rPr>
        <w:t>In June 2020, we issued $400.0 million in principal amount of 2028 Notes in a private placement to institutional buyers. The 2028 Notes were issued at face value and are recorded as long-term debt, net of debt issuance costs, in our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36"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our existing and future subsidiaries that guarantees the Revolving Credit Facility. As of December 31, 2020, none of our subsidiaries guaranteed the 2028 Notes. The 2028 Notes are our general senior unsecured obligations and rank equally in right of payment with all of our existing and future unsecured unsubordinated debt. The 2028 Notes are effectively junior in right of payment to our existing and future secured debt, including under the Revolving Credit Facility and the Ex-Im Credit Facility (collectively, our Credit Facilities) and the 2027 Notes (to the extent of the value of the assets securing such debt), are structurally subordinated to all existing and future liabilities (including trade payables) of our subsidiaries that do not guarantee the 2028 Notes, and are senior in right of payment to all of our existing and future subordinated indebtedness.</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indenture governing the 2028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148" w:lineRule="exact"/>
        <w:rPr>
          <w:sz w:val="20"/>
          <w:szCs w:val="20"/>
          <w:color w:val="auto"/>
        </w:rPr>
      </w:pPr>
    </w:p>
    <w:p>
      <w:pPr>
        <w:ind w:right="600" w:firstLine="510"/>
        <w:spacing w:after="0" w:line="246" w:lineRule="auto"/>
        <w:rPr>
          <w:sz w:val="20"/>
          <w:szCs w:val="20"/>
          <w:color w:val="auto"/>
        </w:rPr>
      </w:pPr>
      <w:r>
        <w:rPr>
          <w:rFonts w:ascii="Arial" w:cs="Arial" w:eastAsia="Arial" w:hAnsi="Arial"/>
          <w:sz w:val="18"/>
          <w:szCs w:val="18"/>
          <w:color w:val="auto"/>
        </w:rPr>
        <w:t>Prior to July 15, 2023, we may redeem up to 40% of the 2028 Notes at a redemption price of 106.500% of the principal amount thereof, plus accrued and unpaid interest, if any, thereon to the redemption date, from the net cash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54" w:name="page55"/>
    <w:bookmarkEnd w:id="54"/>
    <w:p>
      <w:pPr>
        <w:spacing w:after="0" w:line="236" w:lineRule="auto"/>
        <w:rPr>
          <w:sz w:val="20"/>
          <w:szCs w:val="20"/>
          <w:color w:val="auto"/>
        </w:rPr>
      </w:pPr>
      <w:r>
        <w:rPr>
          <w:rFonts w:ascii="Arial" w:cs="Arial" w:eastAsia="Arial" w:hAnsi="Arial"/>
          <w:sz w:val="18"/>
          <w:szCs w:val="18"/>
          <w:color w:val="auto"/>
        </w:rPr>
        <w:t>proceeds of specified equity offerings. We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52"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us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right="140" w:firstLine="510"/>
        <w:spacing w:after="0" w:line="255" w:lineRule="auto"/>
        <w:rPr>
          <w:sz w:val="20"/>
          <w:szCs w:val="20"/>
          <w:color w:val="auto"/>
        </w:rPr>
      </w:pPr>
      <w:r>
        <w:rPr>
          <w:rFonts w:ascii="Arial" w:cs="Arial" w:eastAsia="Arial" w:hAnsi="Arial"/>
          <w:sz w:val="17"/>
          <w:szCs w:val="17"/>
          <w:color w:val="auto"/>
        </w:rPr>
        <w:t>In March 2019, we issued $600.0 million in principal amount of 2027 Notes in a private placement to institutional buyers. The 2027 Notes were issued at face value and are recorded as long-term debt, net of debt issuance costs, in our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36" w:lineRule="exact"/>
        <w:rPr>
          <w:sz w:val="20"/>
          <w:szCs w:val="20"/>
          <w:color w:val="auto"/>
        </w:rPr>
      </w:pPr>
    </w:p>
    <w:p>
      <w:pPr>
        <w:ind w:right="220" w:firstLine="510"/>
        <w:spacing w:after="0"/>
        <w:rPr>
          <w:sz w:val="20"/>
          <w:szCs w:val="20"/>
          <w:color w:val="auto"/>
        </w:rPr>
      </w:pPr>
      <w:r>
        <w:rPr>
          <w:rFonts w:ascii="Arial" w:cs="Arial" w:eastAsia="Arial" w:hAnsi="Arial"/>
          <w:sz w:val="18"/>
          <w:szCs w:val="18"/>
          <w:color w:val="auto"/>
        </w:rPr>
        <w:t>The 2027 Notes are required to be guaranteed on a senior secured basis by each of our existing and future subsidiaries that guarantees the Revolving Credit Facility. As of December 31, 2020, none of our subsidiaries guaranteed the 2027 Notes. The 2027 Notes are secured, equally and ratably with the Revolving Credit Facility and any future parity lien debt, by liens on substantially all of our assets.</w:t>
      </w:r>
    </w:p>
    <w:p>
      <w:pPr>
        <w:spacing w:after="0" w:line="149"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The 2027 Notes are our general senior secured obligations and rank equally in right of payment with all of our existing and future unsubordinated debt. The 2027 Notes are effectively senior to all of our existing and future unsecured debt (including our 5.625% Senior Notes due 2025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our subsidiaries that do not guarantee the 2027 Notes (including obligations of the borrower under the Ex-Im Credit Facility), and are senior in right of payment to all of our existing and future subordinated indebtedness.</w:t>
      </w:r>
    </w:p>
    <w:p>
      <w:pPr>
        <w:spacing w:after="0" w:line="14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indenture governing the 2027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5" w:name="page56"/>
    <w:bookmarkEnd w:id="55"/>
    <w:p>
      <w:pPr>
        <w:ind w:firstLine="510"/>
        <w:spacing w:after="0" w:line="236" w:lineRule="auto"/>
        <w:rPr>
          <w:sz w:val="20"/>
          <w:szCs w:val="20"/>
          <w:color w:val="auto"/>
        </w:rPr>
      </w:pPr>
      <w:r>
        <w:rPr>
          <w:rFonts w:ascii="Arial" w:cs="Arial" w:eastAsia="Arial" w:hAnsi="Arial"/>
          <w:sz w:val="18"/>
          <w:szCs w:val="18"/>
          <w:color w:val="auto"/>
        </w:rPr>
        <w:t>Prior to April 15, 2022, we may redeem up to 40% of the 2027 Notes at a redemption price of 105.625% of the principal amount thereof, plus accrued and unpaid interest, if any, thereon to the redemption date, from the net cash proceeds of specified equity offerings. We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us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260" w:firstLine="510"/>
        <w:spacing w:after="0" w:line="237" w:lineRule="auto"/>
        <w:rPr>
          <w:sz w:val="20"/>
          <w:szCs w:val="20"/>
          <w:color w:val="auto"/>
        </w:rPr>
      </w:pPr>
      <w:r>
        <w:rPr>
          <w:rFonts w:ascii="Arial" w:cs="Arial" w:eastAsia="Arial" w:hAnsi="Arial"/>
          <w:sz w:val="18"/>
          <w:szCs w:val="18"/>
          <w:color w:val="auto"/>
        </w:rPr>
        <w:t>In September 2017, we issued $700.0 million in principal amount of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December 31, 2020,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our Credit Facilities and the 2027 Notes (to the extent of the value of the assets securing such debt), are structurally subordinated to all existing and future liabilities (including trade payables) of our subsidiaries that do not guarantee the 2025 Notes, and are senior in right of payment to all of our existing and future subordinated indebtedness.</w:t>
      </w:r>
    </w:p>
    <w:p>
      <w:pPr>
        <w:spacing w:after="0" w:line="14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148"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right"/>
              <w:ind w:right="732"/>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5"/>
                <w:szCs w:val="15"/>
                <w:color w:val="auto"/>
              </w:rPr>
            </w:pPr>
          </w:p>
        </w:tc>
      </w:tr>
      <w:tr>
        <w:trPr>
          <w:trHeight w:val="16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2022-2023</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2024-2025</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r>
      <w:tr>
        <w:trPr>
          <w:trHeight w:val="21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457,362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130,420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191,048</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2028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491,000</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2027 Notes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819,375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684,375</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2025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896,876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719,688</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104,693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Satellite performance incentives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18"/>
                <w:szCs w:val="18"/>
                <w:color w:val="auto"/>
              </w:rPr>
            </w:pPr>
          </w:p>
        </w:tc>
      </w:tr>
      <w:tr>
        <w:trPr>
          <w:trHeight w:val="215"/>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commitments including satellite-related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14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agreements</w:t>
            </w: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1,552,554</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411,809</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1,029,200</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83,523</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28,022</w:t>
            </w:r>
          </w:p>
        </w:tc>
        <w:tc>
          <w:tcPr>
            <w:tcW w:w="100" w:type="dxa"/>
            <w:vAlign w:val="bottom"/>
            <w:shd w:val="clear" w:color="auto" w:fill="CFF0FC"/>
          </w:tcPr>
          <w:p>
            <w:pPr>
              <w:spacing w:after="0"/>
              <w:rPr>
                <w:sz w:val="17"/>
                <w:szCs w:val="17"/>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4,544,737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470,181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1,436,529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477,473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2,160,554</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Our condensed consolidated balance sheets included $152.0 million and $120.9 million of “other liabilities” as of December 31, 2020 and March 31, 2020, respectively, which primarily consisted of the long-term portion of deferred revenues, the long-term portion of our satellite performance incentive obligations relating to the ViaSat-1 and ViaSat-2 satellites and our long-term warranty obligations. With the exception of the long-term portion of our satellite performance incentive obligations relating to the ViaSat-1 and ViaSat-2 satellites (which is included under “Satellite performance incentives”), these remaining liabilities have been excluded from the above table as the timing and/or the amount of any cash payment is uncertain. See Note 12 — Commitments to our consolidated financial statements included in our Annual Report on Form 10-K for the year ended March 31, 2020 for additional information regarding satellite performance incentive obligations relating to the ViaSat-1 and ViaSat-2 satellites. See Note 7 — Product Warranty to our condensed consolidated financial statements for a discussion of our product warranties.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5" w:lineRule="exact"/>
        <w:rPr>
          <w:sz w:val="20"/>
          <w:szCs w:val="20"/>
          <w:color w:val="auto"/>
        </w:rPr>
      </w:pPr>
    </w:p>
    <w:p>
      <w:pPr>
        <w:ind w:right="120" w:firstLine="510"/>
        <w:spacing w:after="0"/>
        <w:rPr>
          <w:sz w:val="20"/>
          <w:szCs w:val="20"/>
          <w:color w:val="auto"/>
        </w:rPr>
      </w:pPr>
      <w:r>
        <w:rPr>
          <w:rFonts w:ascii="Arial" w:cs="Arial" w:eastAsia="Arial" w:hAnsi="Arial"/>
          <w:sz w:val="18"/>
          <w:szCs w:val="18"/>
          <w:color w:val="auto"/>
        </w:rPr>
        <w:t>We had no material off-balance sheet arrangements at December 31, 2020 as defined in Regulation S-K Item 303(a)(4) other than as discussed under “Contractual Obligations” above or disclosed in the notes to our condensed consolidated financial statements included in this report or in our Annual Report on Form 10-K for the year ended March 31,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640" w:firstLine="510"/>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ind w:right="5540"/>
        <w:spacing w:after="0" w:line="333"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the 2025 Notes, the 2027 Notes and the 2028 Notes, and foreign currency forward contracts. We consider investments in highly liquid instruments purchased with a remaining maturity of three months or less at the date of purchase to be cash equivalents. As of December 31, 2020, we had no outstanding borrowings under our Revolving Credit Facility, $98.3 million in principal amount of outstanding borrowings under our Ex-Im Credit Facility, $700.0 million in aggregate principal amount outstanding of the 2025 Notes, $600.0 million in aggregate principal amount outstanding of the 2027 Notes and $ 400.0 million in aggregate principal amount outstanding of the 2028 Notes, and we held no short-term investments. Our 2025 Notes, 2027 Notes, 2028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3"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and nine months ended December 31, 2020 and 2019.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December 31, 2020 that would have been applied to any new Eurodollar-based borrowings under the Revolving Credit Facility was approximately 1.84%. As of December 31, 2020, we had no outstanding borrowings under our Revolving Credit Facility. Accordingly, assuming the outstanding balance remained constant over a year changes in the interest rates applicable to our Revolving Credit Facility would have no effect on our interest incurred or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investment in Euro Broadband Infrastructure Sàrl during the fourth quarter of fiscal year 2017, which is denominated in Euros, increases our exposure to foreign currency risk. A five percent variance in foreign currencies in which our international business is conducted would change our income (loss) before income taxes by an insignificant amount and $1.0 million for the three and nine months ended December 31, 2020, respectively, and by an insignificant amount for the three and nine months ended December 31, 2019.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and March 31, 2020, we had no foreign currency forward contracts outstanding.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2020, the end of the period covered by this report. Based upon the foregoing, our Chief Executive Officer and Chief Financial Officer concluded that our disclosure controls and procedures were effective at a reasonable assurance level as of December 31, 2020.</w:t>
      </w:r>
    </w:p>
    <w:p>
      <w:pPr>
        <w:spacing w:after="0" w:line="151" w:lineRule="exact"/>
        <w:rPr>
          <w:sz w:val="20"/>
          <w:szCs w:val="20"/>
          <w:color w:val="auto"/>
        </w:rPr>
      </w:pPr>
    </w:p>
    <w:p>
      <w:pPr>
        <w:ind w:right="420" w:firstLine="510"/>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5"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2020, which factors could materially affect our business, financial condition, liquidity or future results. The risks described in our reports on Forms 10-K and 10 -Q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Exhibit</w:t>
            </w: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4180" w:type="dxa"/>
            <w:vAlign w:val="bottom"/>
            <w:tcBorders>
              <w:bottom w:val="single" w:sz="8" w:color="auto"/>
            </w:tcBorders>
            <w:gridSpan w:val="10"/>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5"/>
                <w:szCs w:val="15"/>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1000" w:type="dxa"/>
            <w:vAlign w:val="bottom"/>
          </w:tcPr>
          <w:p>
            <w:pPr>
              <w:jc w:val="right"/>
              <w:ind w:right="333"/>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4260" w:type="dxa"/>
            <w:vAlign w:val="bottom"/>
            <w:gridSpan w:val="11"/>
          </w:tcPr>
          <w:p>
            <w:pPr>
              <w:spacing w:after="0"/>
              <w:rPr>
                <w:rFonts w:ascii="Arial" w:cs="Arial" w:eastAsia="Arial" w:hAnsi="Arial"/>
                <w:sz w:val="18"/>
                <w:szCs w:val="18"/>
                <w:color w:val="0000EE"/>
              </w:rPr>
            </w:pPr>
            <w:hyperlink r:id="rId80">
              <w:r>
                <w:rPr>
                  <w:rFonts w:ascii="Arial" w:cs="Arial" w:eastAsia="Arial" w:hAnsi="Arial"/>
                  <w:sz w:val="18"/>
                  <w:szCs w:val="18"/>
                  <w:color w:val="0000EE"/>
                </w:rPr>
                <w:t>Agreement and Plan of Merger, dated as of</w:t>
              </w:r>
            </w:hyperlink>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160" w:type="dxa"/>
            <w:vAlign w:val="bottom"/>
          </w:tcPr>
          <w:p>
            <w:pPr>
              <w:jc w:val="center"/>
              <w:ind w:left="59"/>
              <w:spacing w:after="0"/>
              <w:rPr>
                <w:sz w:val="20"/>
                <w:szCs w:val="20"/>
                <w:color w:val="auto"/>
              </w:rPr>
            </w:pPr>
            <w:r>
              <w:rPr>
                <w:rFonts w:ascii="Arial" w:cs="Arial" w:eastAsia="Arial" w:hAnsi="Arial"/>
                <w:sz w:val="18"/>
                <w:szCs w:val="18"/>
                <w:color w:val="auto"/>
                <w:w w:val="99"/>
              </w:rPr>
              <w:t>000-21767</w:t>
            </w:r>
          </w:p>
        </w:tc>
        <w:tc>
          <w:tcPr>
            <w:tcW w:w="80" w:type="dxa"/>
            <w:vAlign w:val="bottom"/>
          </w:tcPr>
          <w:p>
            <w:pPr>
              <w:spacing w:after="0"/>
              <w:rPr>
                <w:sz w:val="24"/>
                <w:szCs w:val="24"/>
                <w:color w:val="auto"/>
              </w:rPr>
            </w:pP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12/21/2020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60" w:type="dxa"/>
            <w:vAlign w:val="bottom"/>
            <w:gridSpan w:val="11"/>
          </w:tcPr>
          <w:p>
            <w:pPr>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December 20, 2020, by and among Viasat, Inc.,</w:t>
              </w:r>
            </w:hyperlink>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Royal Acquisition Sub, Inc. and RigNet, Inc</w:t>
              </w:r>
              <w:r>
                <w:rPr>
                  <w:rFonts w:ascii="Arial" w:cs="Arial" w:eastAsia="Arial" w:hAnsi="Arial"/>
                  <w:sz w:val="18"/>
                  <w:szCs w:val="18"/>
                  <w:u w:val="single" w:color="auto"/>
                  <w:color w:val="000000"/>
                </w:rPr>
                <w:t>.</w:t>
              </w:r>
            </w:hyperlink>
          </w:p>
        </w:tc>
        <w:tc>
          <w:tcPr>
            <w:tcW w:w="460" w:type="dxa"/>
            <w:vAlign w:val="bottom"/>
            <w:gridSpan w:val="5"/>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000" w:type="dxa"/>
            <w:vAlign w:val="bottom"/>
          </w:tcPr>
          <w:p>
            <w:pPr>
              <w:jc w:val="right"/>
              <w:ind w:right="333"/>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3740" w:type="dxa"/>
            <w:vAlign w:val="bottom"/>
            <w:tcBorders>
              <w:bottom w:val="single" w:sz="8" w:color="0000EE"/>
            </w:tcBorders>
            <w:gridSpan w:val="5"/>
          </w:tcPr>
          <w:p>
            <w:pPr>
              <w:spacing w:after="0"/>
              <w:rPr>
                <w:rFonts w:ascii="Arial" w:cs="Arial" w:eastAsia="Arial" w:hAnsi="Arial"/>
                <w:sz w:val="18"/>
                <w:szCs w:val="18"/>
                <w:color w:val="0000EE"/>
                <w:w w:val="99"/>
              </w:rPr>
            </w:pPr>
            <w:hyperlink r:id="rId81">
              <w:r>
                <w:rPr>
                  <w:rFonts w:ascii="Arial" w:cs="Arial" w:eastAsia="Arial" w:hAnsi="Arial"/>
                  <w:sz w:val="18"/>
                  <w:szCs w:val="18"/>
                  <w:color w:val="0000EE"/>
                  <w:w w:val="99"/>
                </w:rPr>
                <w:t>Support Agreement, dated as of December 20,</w:t>
              </w:r>
            </w:hyperlink>
          </w:p>
        </w:tc>
        <w:tc>
          <w:tcPr>
            <w:tcW w:w="520" w:type="dxa"/>
            <w:vAlign w:val="bottom"/>
            <w:gridSpan w:val="6"/>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160" w:type="dxa"/>
            <w:vAlign w:val="bottom"/>
          </w:tcPr>
          <w:p>
            <w:pPr>
              <w:jc w:val="center"/>
              <w:ind w:left="59"/>
              <w:spacing w:after="0"/>
              <w:rPr>
                <w:sz w:val="20"/>
                <w:szCs w:val="20"/>
                <w:color w:val="auto"/>
              </w:rPr>
            </w:pPr>
            <w:r>
              <w:rPr>
                <w:rFonts w:ascii="Arial" w:cs="Arial" w:eastAsia="Arial" w:hAnsi="Arial"/>
                <w:sz w:val="18"/>
                <w:szCs w:val="18"/>
                <w:color w:val="auto"/>
                <w:w w:val="99"/>
              </w:rPr>
              <w:t>000-21767</w:t>
            </w:r>
          </w:p>
        </w:tc>
        <w:tc>
          <w:tcPr>
            <w:tcW w:w="80" w:type="dxa"/>
            <w:vAlign w:val="bottom"/>
          </w:tcPr>
          <w:p>
            <w:pPr>
              <w:spacing w:after="0"/>
              <w:rPr>
                <w:sz w:val="24"/>
                <w:szCs w:val="24"/>
                <w:color w:val="auto"/>
              </w:rPr>
            </w:pP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12/21/2020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60" w:type="dxa"/>
            <w:vAlign w:val="bottom"/>
            <w:gridSpan w:val="11"/>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2020, by and between Viasat, Inc. and Digital</w:t>
              </w:r>
            </w:hyperlink>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Oilfield Investments LP</w:t>
              </w:r>
            </w:hyperlink>
          </w:p>
        </w:tc>
        <w:tc>
          <w:tcPr>
            <w:tcW w:w="660" w:type="dxa"/>
            <w:vAlign w:val="bottom"/>
            <w:gridSpan w:val="7"/>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333"/>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402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Certification of Chief Executive Officer Pursuant to</w:t>
              </w:r>
            </w:hyperlink>
          </w:p>
        </w:tc>
        <w:tc>
          <w:tcPr>
            <w:tcW w:w="2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11"/>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Section 302 of the Sarbanes-Oxley Act of 2002</w:t>
              </w:r>
            </w:hyperlink>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000" w:type="dxa"/>
            <w:vAlign w:val="bottom"/>
          </w:tcPr>
          <w:p>
            <w:pPr>
              <w:jc w:val="right"/>
              <w:ind w:right="333"/>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394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Certification of Chief Financial Officer Pursuant to</w:t>
              </w:r>
            </w:hyperlink>
          </w:p>
        </w:tc>
        <w:tc>
          <w:tcPr>
            <w:tcW w:w="3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11"/>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Section 302 of the Sarbanes-Oxley Act of 2002</w:t>
              </w:r>
            </w:hyperlink>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000" w:type="dxa"/>
            <w:vAlign w:val="bottom"/>
          </w:tcPr>
          <w:p>
            <w:pPr>
              <w:jc w:val="right"/>
              <w:ind w:right="333"/>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400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Certifications Pursuant to 18 U.S.C. Section 1350,</w:t>
              </w:r>
            </w:hyperlink>
          </w:p>
        </w:tc>
        <w:tc>
          <w:tcPr>
            <w:tcW w:w="26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60" w:type="dxa"/>
            <w:vAlign w:val="bottom"/>
            <w:gridSpan w:val="11"/>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as Adopted Pursuant to Section 906 of the</w:t>
              </w:r>
            </w:hyperlink>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Sarbanes-Oxley Act of 2002</w:t>
              </w:r>
            </w:hyperlink>
          </w:p>
        </w:tc>
        <w:tc>
          <w:tcPr>
            <w:tcW w:w="1180" w:type="dxa"/>
            <w:vAlign w:val="bottom"/>
            <w:tcBorders>
              <w:top w:val="single" w:sz="8" w:color="0000EE"/>
            </w:tcBorders>
          </w:tcPr>
          <w:p>
            <w:pPr>
              <w:spacing w:after="0"/>
              <w:rPr>
                <w:sz w:val="15"/>
                <w:szCs w:val="15"/>
                <w:color w:val="auto"/>
              </w:rPr>
            </w:pPr>
          </w:p>
        </w:tc>
        <w:tc>
          <w:tcPr>
            <w:tcW w:w="82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426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11"/>
          </w:tcPr>
          <w:p>
            <w:pPr>
              <w:spacing w:after="0" w:line="202" w:lineRule="exact"/>
              <w:rPr>
                <w:sz w:val="20"/>
                <w:szCs w:val="20"/>
                <w:color w:val="auto"/>
              </w:rPr>
            </w:pPr>
            <w:r>
              <w:rPr>
                <w:rFonts w:ascii="Arial" w:cs="Arial" w:eastAsia="Arial" w:hAnsi="Arial"/>
                <w:sz w:val="18"/>
                <w:szCs w:val="18"/>
                <w:color w:val="auto"/>
              </w:rPr>
              <w:t>document does not appear in the Interactive Data</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11"/>
          </w:tcPr>
          <w:p>
            <w:pPr>
              <w:spacing w:after="0" w:line="202" w:lineRule="exact"/>
              <w:rPr>
                <w:sz w:val="20"/>
                <w:szCs w:val="20"/>
                <w:color w:val="auto"/>
              </w:rPr>
            </w:pPr>
            <w:r>
              <w:rPr>
                <w:rFonts w:ascii="Arial" w:cs="Arial" w:eastAsia="Arial" w:hAnsi="Arial"/>
                <w:sz w:val="18"/>
                <w:szCs w:val="18"/>
                <w:color w:val="auto"/>
              </w:rPr>
              <w:t>File because its XBRL tags are embedded within the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gridSpan w:val="11"/>
          </w:tcPr>
          <w:p>
            <w:pPr>
              <w:spacing w:after="0"/>
              <w:rPr>
                <w:sz w:val="20"/>
                <w:szCs w:val="20"/>
                <w:color w:val="auto"/>
              </w:rPr>
            </w:pPr>
            <w:r>
              <w:rPr>
                <w:rFonts w:ascii="Arial" w:cs="Arial" w:eastAsia="Arial" w:hAnsi="Arial"/>
                <w:sz w:val="18"/>
                <w:szCs w:val="18"/>
                <w:color w:val="auto"/>
              </w:rPr>
              <w:t>inline XBRL document.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426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426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gridSpan w:val="11"/>
          </w:tcPr>
          <w:p>
            <w:pPr>
              <w:spacing w:after="0"/>
              <w:rPr>
                <w:sz w:val="20"/>
                <w:szCs w:val="20"/>
                <w:color w:val="auto"/>
              </w:rPr>
            </w:pPr>
            <w:r>
              <w:rPr>
                <w:rFonts w:ascii="Arial" w:cs="Arial" w:eastAsia="Arial" w:hAnsi="Arial"/>
                <w:sz w:val="18"/>
                <w:szCs w:val="18"/>
                <w:color w:val="auto"/>
              </w:rPr>
              <w:t>Linkbase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426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gridSpan w:val="11"/>
          </w:tcPr>
          <w:p>
            <w:pPr>
              <w:spacing w:after="0"/>
              <w:rPr>
                <w:sz w:val="20"/>
                <w:szCs w:val="20"/>
                <w:color w:val="auto"/>
              </w:rPr>
            </w:pPr>
            <w:r>
              <w:rPr>
                <w:rFonts w:ascii="Arial" w:cs="Arial" w:eastAsia="Arial" w:hAnsi="Arial"/>
                <w:sz w:val="18"/>
                <w:szCs w:val="18"/>
                <w:color w:val="auto"/>
              </w:rPr>
              <w:t>Linkbase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426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Labels Linkbase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426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gridSpan w:val="11"/>
          </w:tcPr>
          <w:p>
            <w:pPr>
              <w:spacing w:after="0"/>
              <w:rPr>
                <w:sz w:val="20"/>
                <w:szCs w:val="20"/>
                <w:color w:val="auto"/>
              </w:rPr>
            </w:pPr>
            <w:r>
              <w:rPr>
                <w:rFonts w:ascii="Arial" w:cs="Arial" w:eastAsia="Arial" w:hAnsi="Arial"/>
                <w:sz w:val="18"/>
                <w:szCs w:val="18"/>
                <w:color w:val="auto"/>
              </w:rPr>
              <w:t>Linkbase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00" w:type="dxa"/>
            <w:vAlign w:val="bottom"/>
          </w:tcPr>
          <w:p>
            <w:pPr>
              <w:ind w:left="1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26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gridSpan w:val="11"/>
          </w:tcPr>
          <w:p>
            <w:pPr>
              <w:spacing w:after="0"/>
              <w:rPr>
                <w:sz w:val="20"/>
                <w:szCs w:val="20"/>
                <w:color w:val="auto"/>
              </w:rPr>
            </w:pPr>
            <w:r>
              <w:rPr>
                <w:rFonts w:ascii="Arial" w:cs="Arial" w:eastAsia="Arial" w:hAnsi="Arial"/>
                <w:sz w:val="18"/>
                <w:szCs w:val="18"/>
                <w:color w:val="auto"/>
              </w:rPr>
              <w:t>XBRL and contained in Exhibit 101)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415"/>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0" w:name="page61"/>
    <w:bookmarkEnd w:id="60"/>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February 8, 2021</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ICK</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Rick Baldridge</w:t>
      </w:r>
    </w:p>
    <w:p>
      <w:pPr>
        <w:ind w:left="57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Shawn Duffy</w:t>
      </w:r>
    </w:p>
    <w:p>
      <w:pPr>
        <w:ind w:left="574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40"/>
          </w:cols>
          <w:pgMar w:left="320" w:top="535" w:right="7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Rick Baldridge, Chief Executive Officer of Viasat, Inc., certify that:</w:t>
      </w:r>
    </w:p>
    <w:p>
      <w:pPr>
        <w:spacing w:after="0" w:line="104"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February 8, 2021</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ICK</w:t>
      </w:r>
      <w:r>
        <w:rPr>
          <w:rFonts w:ascii="Arial" w:cs="Arial" w:eastAsia="Arial" w:hAnsi="Arial"/>
          <w:sz w:val="18"/>
          <w:szCs w:val="18"/>
          <w:color w:val="auto"/>
        </w:rPr>
        <w:t xml:space="preserve"> B</w:t>
      </w:r>
      <w:r>
        <w:rPr>
          <w:rFonts w:ascii="Arial" w:cs="Arial" w:eastAsia="Arial" w:hAnsi="Arial"/>
          <w:sz w:val="12"/>
          <w:szCs w:val="12"/>
          <w:color w:val="auto"/>
        </w:rPr>
        <w:t>A</w:t>
      </w:r>
      <w:r>
        <w:rPr>
          <w:rFonts w:ascii="Arial" w:cs="Arial" w:eastAsia="Arial" w:hAnsi="Arial"/>
          <w:sz w:val="13"/>
          <w:szCs w:val="13"/>
          <w:color w:val="auto"/>
        </w:rPr>
        <w:t>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Rick Baldridge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CERTIFICATION OF CHIEF FINANCIAL OFFICER PURSUANT</w:t>
      </w:r>
    </w:p>
    <w:p>
      <w:pPr>
        <w:ind w:left="31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February 8, 2021</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00" w:right="6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2020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February 8, 2021</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ICK</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Rick Baldridge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00" w:right="6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2020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February 8, 2021</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842"/>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606"/>
    </w:lvl>
  </w:abstractNum>
  <w:abstractNum w:abstractNumId="5">
    <w:nsid w:val="1F16E9E8"/>
    <w:multiLevelType w:val="hybridMultilevel"/>
    <w:lvl w:ilvl="0">
      <w:lvlJc w:val="left"/>
      <w:lvlText w:val="%1)"/>
      <w:numFmt w:val="decimal"/>
      <w:start w:val="326"/>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2"/>
    </w:lvl>
  </w:abstractNum>
  <w:abstractNum w:abstractNumId="11">
    <w:nsid w:val="DED7263"/>
    <w:multiLevelType w:val="hybridMultilevel"/>
    <w:lvl w:ilvl="0">
      <w:lvlJc w:val="left"/>
      <w:lvlText w:val="(%1)"/>
      <w:numFmt w:val="decimal"/>
      <w:start w:val="2"/>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80" Type="http://schemas.openxmlformats.org/officeDocument/2006/relationships/hyperlink" Target="http://www.sec.gov/Archives/edgar/data/797721/000119312520322384/d16566dex21.htm" TargetMode="External"/><Relationship Id="rId81" Type="http://schemas.openxmlformats.org/officeDocument/2006/relationships/hyperlink" Target="http://www.sec.gov/Archives/edgar/data/797721/000119312520322384/d1656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2021-02-08T13:43:37Z</dcterms:created>
  <dcterms:modified xsi:type="dcterms:W3CDTF">2021-02-08T13:43:37Z</dcterms:modified>
</cp:coreProperties>
</file>