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Arial" w:cs="Arial" w:eastAsia="Arial" w:hAnsi="Arial"/>
          <w:sz w:val="18"/>
          <w:szCs w:val="18"/>
          <w:b w:val="1"/>
          <w:bCs w:val="1"/>
          <w:color w:val="auto"/>
        </w:rPr>
        <w:t>UNITED STATES</w:t>
      </w:r>
    </w:p>
    <w:p>
      <w:pPr>
        <w:spacing w:after="0" w:line="10" w:lineRule="exact"/>
        <w:rPr>
          <w:sz w:val="24"/>
          <w:szCs w:val="24"/>
          <w:color w:val="auto"/>
        </w:rPr>
      </w:pPr>
    </w:p>
    <w:p>
      <w:pPr>
        <w:jc w:val="center"/>
        <w:ind w:right="-4"/>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4"/>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2741295</wp:posOffset>
            </wp:positionH>
            <wp:positionV relativeFrom="paragraph">
              <wp:posOffset>217805</wp:posOffset>
            </wp:positionV>
            <wp:extent cx="14643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64310"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4"/>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4"/>
        <w:spacing w:after="0"/>
        <w:rPr>
          <w:sz w:val="20"/>
          <w:szCs w:val="20"/>
          <w:color w:val="auto"/>
        </w:rPr>
      </w:pPr>
      <w:r>
        <w:rPr>
          <w:rFonts w:ascii="Arial" w:cs="Arial" w:eastAsia="Arial" w:hAnsi="Arial"/>
          <w:sz w:val="18"/>
          <w:szCs w:val="18"/>
          <w:b w:val="1"/>
          <w:bCs w:val="1"/>
          <w:color w:val="auto"/>
        </w:rPr>
        <w:t>CURRENT REPORT</w:t>
      </w:r>
    </w:p>
    <w:p>
      <w:pPr>
        <w:spacing w:after="0" w:line="10" w:lineRule="exact"/>
        <w:rPr>
          <w:sz w:val="24"/>
          <w:szCs w:val="24"/>
          <w:color w:val="auto"/>
        </w:rPr>
      </w:pPr>
    </w:p>
    <w:p>
      <w:pPr>
        <w:jc w:val="center"/>
        <w:ind w:right="-4"/>
        <w:spacing w:after="0"/>
        <w:rPr>
          <w:sz w:val="20"/>
          <w:szCs w:val="20"/>
          <w:color w:val="auto"/>
        </w:rPr>
      </w:pPr>
      <w:r>
        <w:rPr>
          <w:rFonts w:ascii="Arial" w:cs="Arial" w:eastAsia="Arial" w:hAnsi="Arial"/>
          <w:sz w:val="18"/>
          <w:szCs w:val="18"/>
          <w:b w:val="1"/>
          <w:bCs w:val="1"/>
          <w:color w:val="auto"/>
        </w:rPr>
        <w:t>Pursuant to Section 13 or 15(d) of</w:t>
      </w:r>
    </w:p>
    <w:p>
      <w:pPr>
        <w:jc w:val="center"/>
        <w:ind w:right="-4"/>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9" w:lineRule="exact"/>
        <w:rPr>
          <w:sz w:val="24"/>
          <w:szCs w:val="24"/>
          <w:color w:val="auto"/>
        </w:rPr>
      </w:pPr>
    </w:p>
    <w:p>
      <w:pPr>
        <w:jc w:val="center"/>
        <w:ind w:right="-4"/>
        <w:spacing w:after="0"/>
        <w:rPr>
          <w:sz w:val="20"/>
          <w:szCs w:val="20"/>
          <w:color w:val="auto"/>
        </w:rPr>
      </w:pPr>
      <w:r>
        <w:rPr>
          <w:rFonts w:ascii="Arial" w:cs="Arial" w:eastAsia="Arial" w:hAnsi="Arial"/>
          <w:sz w:val="18"/>
          <w:szCs w:val="18"/>
          <w:color w:val="auto"/>
        </w:rPr>
        <w:t>Date of Report (Date of Earliest Event Reported): February 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149860</wp:posOffset>
            </wp:positionV>
            <wp:extent cx="1029970" cy="510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9970" cy="5105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ind w:right="-4"/>
        <w:spacing w:after="0"/>
        <w:rPr>
          <w:sz w:val="20"/>
          <w:szCs w:val="20"/>
          <w:color w:val="auto"/>
        </w:rPr>
      </w:pPr>
      <w:r>
        <w:rPr>
          <w:rFonts w:ascii="Arial" w:cs="Arial" w:eastAsia="Arial" w:hAnsi="Arial"/>
          <w:sz w:val="32"/>
          <w:szCs w:val="32"/>
          <w:b w:val="1"/>
          <w:bCs w:val="1"/>
          <w:color w:val="auto"/>
        </w:rPr>
        <w:t>VIASAT, INC.</w:t>
      </w:r>
    </w:p>
    <w:p>
      <w:pPr>
        <w:spacing w:after="0" w:line="43" w:lineRule="exact"/>
        <w:rPr>
          <w:sz w:val="24"/>
          <w:szCs w:val="24"/>
          <w:color w:val="auto"/>
        </w:rPr>
      </w:pPr>
    </w:p>
    <w:p>
      <w:pPr>
        <w:jc w:val="center"/>
        <w:ind w:right="-4"/>
        <w:spacing w:after="0"/>
        <w:rPr>
          <w:sz w:val="20"/>
          <w:szCs w:val="20"/>
          <w:color w:val="auto"/>
        </w:rPr>
      </w:pPr>
      <w:r>
        <w:rPr>
          <w:rFonts w:ascii="Arial" w:cs="Arial" w:eastAsia="Arial" w:hAnsi="Arial"/>
          <w:sz w:val="18"/>
          <w:szCs w:val="18"/>
          <w:color w:val="auto"/>
        </w:rPr>
        <w:t>(Exact Name of Registrant as Specified in its Charter)</w:t>
      </w:r>
    </w:p>
    <w:p>
      <w:pPr>
        <w:spacing w:after="0" w:line="213" w:lineRule="exact"/>
        <w:rPr>
          <w:sz w:val="24"/>
          <w:szCs w:val="24"/>
          <w:color w:val="auto"/>
        </w:rPr>
      </w:pPr>
    </w:p>
    <w:tbl>
      <w:tblPr>
        <w:tblLayout w:type="fixed"/>
        <w:tblInd w:w="685" w:type="dxa"/>
        <w:tblCellMar>
          <w:top w:w="0" w:type="dxa"/>
          <w:left w:w="0" w:type="dxa"/>
          <w:bottom w:w="0" w:type="dxa"/>
          <w:right w:w="0" w:type="dxa"/>
        </w:tblCellMar>
      </w:tblPr>
      <w:tr>
        <w:trPr>
          <w:trHeight w:val="236"/>
        </w:trPr>
        <w:tc>
          <w:tcPr>
            <w:tcW w:w="660" w:type="dxa"/>
            <w:vAlign w:val="bottom"/>
          </w:tcPr>
          <w:p>
            <w:pPr>
              <w:spacing w:after="0"/>
              <w:rPr>
                <w:sz w:val="20"/>
                <w:szCs w:val="20"/>
                <w:color w:val="auto"/>
              </w:rPr>
            </w:pPr>
          </w:p>
        </w:tc>
        <w:tc>
          <w:tcPr>
            <w:tcW w:w="172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98"/>
              </w:rPr>
              <w:t>Delaware</w:t>
            </w:r>
          </w:p>
        </w:tc>
        <w:tc>
          <w:tcPr>
            <w:tcW w:w="30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000-21767</w:t>
            </w:r>
          </w:p>
        </w:tc>
        <w:tc>
          <w:tcPr>
            <w:tcW w:w="5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540" w:type="dxa"/>
            <w:vAlign w:val="bottom"/>
            <w:gridSpan w:val="2"/>
          </w:tcPr>
          <w:p>
            <w:pPr>
              <w:jc w:val="center"/>
              <w:ind w:left="411"/>
              <w:spacing w:after="0"/>
              <w:rPr>
                <w:sz w:val="20"/>
                <w:szCs w:val="20"/>
                <w:color w:val="auto"/>
              </w:rPr>
            </w:pPr>
            <w:r>
              <w:rPr>
                <w:rFonts w:ascii="Arial" w:cs="Arial" w:eastAsia="Arial" w:hAnsi="Arial"/>
                <w:sz w:val="18"/>
                <w:szCs w:val="18"/>
                <w:b w:val="1"/>
                <w:bCs w:val="1"/>
                <w:color w:val="auto"/>
                <w:w w:val="99"/>
              </w:rPr>
              <w:t>33-0174996</w:t>
            </w:r>
          </w:p>
        </w:tc>
        <w:tc>
          <w:tcPr>
            <w:tcW w:w="180" w:type="dxa"/>
            <w:vAlign w:val="bottom"/>
          </w:tcPr>
          <w:p>
            <w:pPr>
              <w:spacing w:after="0"/>
              <w:rPr>
                <w:sz w:val="20"/>
                <w:szCs w:val="20"/>
                <w:color w:val="auto"/>
              </w:rPr>
            </w:pPr>
          </w:p>
        </w:tc>
      </w:tr>
      <w:tr>
        <w:trPr>
          <w:trHeight w:val="203"/>
        </w:trPr>
        <w:tc>
          <w:tcPr>
            <w:tcW w:w="66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6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220"/>
        </w:trPr>
        <w:tc>
          <w:tcPr>
            <w:tcW w:w="2380" w:type="dxa"/>
            <w:vAlign w:val="bottom"/>
            <w:gridSpan w:val="3"/>
          </w:tcPr>
          <w:p>
            <w:pPr>
              <w:jc w:val="center"/>
              <w:ind w:right="40"/>
              <w:spacing w:after="0"/>
              <w:rPr>
                <w:sz w:val="20"/>
                <w:szCs w:val="20"/>
                <w:color w:val="auto"/>
              </w:rPr>
            </w:pPr>
            <w:r>
              <w:rPr>
                <w:rFonts w:ascii="Arial" w:cs="Arial" w:eastAsia="Arial" w:hAnsi="Arial"/>
                <w:sz w:val="18"/>
                <w:szCs w:val="18"/>
                <w:color w:val="auto"/>
                <w:w w:val="99"/>
              </w:rPr>
              <w:t>(State or Other Jurisdiction of</w:t>
            </w:r>
          </w:p>
        </w:tc>
        <w:tc>
          <w:tcPr>
            <w:tcW w:w="1260" w:type="dxa"/>
            <w:vAlign w:val="bottom"/>
          </w:tcPr>
          <w:p>
            <w:pPr>
              <w:spacing w:after="0"/>
              <w:rPr>
                <w:sz w:val="19"/>
                <w:szCs w:val="19"/>
                <w:color w:val="auto"/>
              </w:rPr>
            </w:pPr>
          </w:p>
        </w:tc>
        <w:tc>
          <w:tcPr>
            <w:tcW w:w="3840" w:type="dxa"/>
            <w:vAlign w:val="bottom"/>
            <w:gridSpan w:val="4"/>
          </w:tcPr>
          <w:p>
            <w:pPr>
              <w:jc w:val="center"/>
              <w:ind w:right="1320"/>
              <w:spacing w:after="0"/>
              <w:rPr>
                <w:sz w:val="20"/>
                <w:szCs w:val="20"/>
                <w:color w:val="auto"/>
              </w:rPr>
            </w:pPr>
            <w:r>
              <w:rPr>
                <w:rFonts w:ascii="Arial" w:cs="Arial" w:eastAsia="Arial" w:hAnsi="Arial"/>
                <w:sz w:val="18"/>
                <w:szCs w:val="18"/>
                <w:color w:val="auto"/>
                <w:w w:val="98"/>
              </w:rPr>
              <w:t>(Commission File No.)</w:t>
            </w:r>
          </w:p>
        </w:tc>
        <w:tc>
          <w:tcPr>
            <w:tcW w:w="1720" w:type="dxa"/>
            <w:vAlign w:val="bottom"/>
            <w:gridSpan w:val="3"/>
          </w:tcPr>
          <w:p>
            <w:pPr>
              <w:jc w:val="center"/>
              <w:ind w:left="231"/>
              <w:spacing w:after="0"/>
              <w:rPr>
                <w:sz w:val="20"/>
                <w:szCs w:val="20"/>
                <w:color w:val="auto"/>
              </w:rPr>
            </w:pPr>
            <w:r>
              <w:rPr>
                <w:rFonts w:ascii="Arial" w:cs="Arial" w:eastAsia="Arial" w:hAnsi="Arial"/>
                <w:sz w:val="18"/>
                <w:szCs w:val="18"/>
                <w:color w:val="auto"/>
                <w:w w:val="99"/>
              </w:rPr>
              <w:t>(I.R.S. Employer</w:t>
            </w:r>
          </w:p>
        </w:tc>
      </w:tr>
      <w:tr>
        <w:trPr>
          <w:trHeight w:val="214"/>
        </w:trPr>
        <w:tc>
          <w:tcPr>
            <w:tcW w:w="2380" w:type="dxa"/>
            <w:vAlign w:val="bottom"/>
            <w:gridSpan w:val="3"/>
          </w:tcPr>
          <w:p>
            <w:pPr>
              <w:jc w:val="center"/>
              <w:ind w:right="40"/>
              <w:spacing w:after="0"/>
              <w:rPr>
                <w:sz w:val="20"/>
                <w:szCs w:val="20"/>
                <w:color w:val="auto"/>
              </w:rPr>
            </w:pPr>
            <w:r>
              <w:rPr>
                <w:rFonts w:ascii="Arial" w:cs="Arial" w:eastAsia="Arial" w:hAnsi="Arial"/>
                <w:sz w:val="18"/>
                <w:szCs w:val="18"/>
                <w:color w:val="auto"/>
                <w:w w:val="99"/>
              </w:rPr>
              <w:t>Incorporation)</w:t>
            </w:r>
          </w:p>
        </w:tc>
        <w:tc>
          <w:tcPr>
            <w:tcW w:w="1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20" w:type="dxa"/>
            <w:vAlign w:val="bottom"/>
            <w:gridSpan w:val="3"/>
          </w:tcPr>
          <w:p>
            <w:pPr>
              <w:jc w:val="center"/>
              <w:ind w:left="231"/>
              <w:spacing w:after="0"/>
              <w:rPr>
                <w:sz w:val="20"/>
                <w:szCs w:val="20"/>
                <w:color w:val="auto"/>
              </w:rPr>
            </w:pPr>
            <w:r>
              <w:rPr>
                <w:rFonts w:ascii="Arial" w:cs="Arial" w:eastAsia="Arial" w:hAnsi="Arial"/>
                <w:sz w:val="18"/>
                <w:szCs w:val="18"/>
                <w:color w:val="auto"/>
                <w:w w:val="99"/>
              </w:rPr>
              <w:t>Identification No.)</w:t>
            </w:r>
          </w:p>
        </w:tc>
      </w:tr>
      <w:tr>
        <w:trPr>
          <w:trHeight w:val="381"/>
        </w:trPr>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40" w:type="dxa"/>
            <w:vAlign w:val="bottom"/>
            <w:gridSpan w:val="4"/>
          </w:tcPr>
          <w:p>
            <w:pPr>
              <w:jc w:val="center"/>
              <w:ind w:right="1540"/>
              <w:spacing w:after="0"/>
              <w:rPr>
                <w:sz w:val="20"/>
                <w:szCs w:val="20"/>
                <w:color w:val="auto"/>
              </w:rPr>
            </w:pPr>
            <w:r>
              <w:rPr>
                <w:rFonts w:ascii="Arial" w:cs="Arial" w:eastAsia="Arial" w:hAnsi="Arial"/>
                <w:sz w:val="18"/>
                <w:szCs w:val="18"/>
                <w:b w:val="1"/>
                <w:bCs w:val="1"/>
                <w:color w:val="auto"/>
                <w:w w:val="98"/>
              </w:rPr>
              <w:t>6155 El Camino Real</w:t>
            </w: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3"/>
        </w:trPr>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40" w:type="dxa"/>
            <w:vAlign w:val="bottom"/>
            <w:gridSpan w:val="4"/>
          </w:tcPr>
          <w:p>
            <w:pPr>
              <w:jc w:val="center"/>
              <w:ind w:right="1560"/>
              <w:spacing w:after="0"/>
              <w:rPr>
                <w:sz w:val="20"/>
                <w:szCs w:val="20"/>
                <w:color w:val="auto"/>
              </w:rPr>
            </w:pPr>
            <w:r>
              <w:rPr>
                <w:rFonts w:ascii="Arial" w:cs="Arial" w:eastAsia="Arial" w:hAnsi="Arial"/>
                <w:sz w:val="18"/>
                <w:szCs w:val="18"/>
                <w:b w:val="1"/>
                <w:bCs w:val="1"/>
                <w:color w:val="auto"/>
                <w:w w:val="99"/>
              </w:rPr>
              <w:t>Carlsbad, California 92009</w:t>
            </w: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4"/>
        </w:trPr>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100" w:type="dxa"/>
            <w:vAlign w:val="bottom"/>
            <w:gridSpan w:val="5"/>
          </w:tcPr>
          <w:p>
            <w:pPr>
              <w:jc w:val="center"/>
              <w:ind w:right="300"/>
              <w:spacing w:after="0"/>
              <w:rPr>
                <w:sz w:val="20"/>
                <w:szCs w:val="20"/>
                <w:color w:val="auto"/>
              </w:rPr>
            </w:pPr>
            <w:r>
              <w:rPr>
                <w:rFonts w:ascii="Arial" w:cs="Arial" w:eastAsia="Arial" w:hAnsi="Arial"/>
                <w:sz w:val="18"/>
                <w:szCs w:val="18"/>
                <w:color w:val="auto"/>
                <w:w w:val="99"/>
              </w:rPr>
              <w:t>(Address of Principal Executive Offices, Including Zip Code)</w:t>
            </w: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50"/>
        </w:trPr>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08"/>
        </w:trPr>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40" w:type="dxa"/>
            <w:vAlign w:val="bottom"/>
            <w:gridSpan w:val="3"/>
          </w:tcPr>
          <w:p>
            <w:pPr>
              <w:jc w:val="center"/>
              <w:ind w:left="1691"/>
              <w:spacing w:after="0"/>
              <w:rPr>
                <w:sz w:val="20"/>
                <w:szCs w:val="20"/>
                <w:color w:val="auto"/>
              </w:rPr>
            </w:pPr>
            <w:r>
              <w:rPr>
                <w:rFonts w:ascii="Arial" w:cs="Arial" w:eastAsia="Arial" w:hAnsi="Arial"/>
                <w:sz w:val="18"/>
                <w:szCs w:val="18"/>
                <w:b w:val="1"/>
                <w:bCs w:val="1"/>
                <w:color w:val="auto"/>
                <w:w w:val="99"/>
              </w:rPr>
              <w:t>(760) 476-2200</w:t>
            </w:r>
          </w:p>
        </w:tc>
        <w:tc>
          <w:tcPr>
            <w:tcW w:w="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4"/>
        </w:trPr>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100" w:type="dxa"/>
            <w:vAlign w:val="bottom"/>
            <w:gridSpan w:val="5"/>
          </w:tcPr>
          <w:p>
            <w:pPr>
              <w:jc w:val="center"/>
              <w:ind w:right="300"/>
              <w:spacing w:after="0"/>
              <w:rPr>
                <w:sz w:val="20"/>
                <w:szCs w:val="20"/>
                <w:color w:val="auto"/>
              </w:rPr>
            </w:pPr>
            <w:r>
              <w:rPr>
                <w:rFonts w:ascii="Arial" w:cs="Arial" w:eastAsia="Arial" w:hAnsi="Arial"/>
                <w:sz w:val="18"/>
                <w:szCs w:val="18"/>
                <w:color w:val="auto"/>
                <w:w w:val="98"/>
              </w:rPr>
              <w:t>(Registrant’s Telephone Number, Including Area Code)</w:t>
            </w: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2741295</wp:posOffset>
            </wp:positionH>
            <wp:positionV relativeFrom="paragraph">
              <wp:posOffset>213995</wp:posOffset>
            </wp:positionV>
            <wp:extent cx="14643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431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5" w:right="20"/>
        <w:spacing w:after="0"/>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3" w:lineRule="exact"/>
        <w:rPr>
          <w:sz w:val="24"/>
          <w:szCs w:val="24"/>
          <w:color w:val="auto"/>
        </w:rPr>
      </w:pPr>
    </w:p>
    <w:p>
      <w:pPr>
        <w:ind w:left="365" w:hanging="365"/>
        <w:spacing w:after="0"/>
        <w:tabs>
          <w:tab w:leader="none" w:pos="36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2" w:lineRule="exact"/>
        <w:rPr>
          <w:sz w:val="24"/>
          <w:szCs w:val="24"/>
          <w:color w:val="auto"/>
        </w:rPr>
      </w:pPr>
    </w:p>
    <w:p>
      <w:pPr>
        <w:ind w:left="365" w:hanging="365"/>
        <w:spacing w:after="0"/>
        <w:tabs>
          <w:tab w:leader="none" w:pos="365"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2" w:lineRule="exact"/>
        <w:rPr>
          <w:sz w:val="24"/>
          <w:szCs w:val="24"/>
          <w:color w:val="auto"/>
        </w:rPr>
      </w:pPr>
    </w:p>
    <w:p>
      <w:pPr>
        <w:ind w:left="365" w:hanging="365"/>
        <w:spacing w:after="0"/>
        <w:tabs>
          <w:tab w:leader="none" w:pos="365"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1" w:lineRule="exact"/>
        <w:rPr>
          <w:rFonts w:ascii="MS PGothic" w:cs="MS PGothic" w:eastAsia="MS PGothic" w:hAnsi="MS PGothic"/>
          <w:sz w:val="18"/>
          <w:szCs w:val="18"/>
          <w:color w:val="auto"/>
        </w:rPr>
      </w:pPr>
    </w:p>
    <w:p>
      <w:pPr>
        <w:ind w:left="365" w:hanging="365"/>
        <w:spacing w:after="0"/>
        <w:tabs>
          <w:tab w:leader="none" w:pos="365"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43" w:lineRule="exact"/>
        <w:rPr>
          <w:sz w:val="24"/>
          <w:szCs w:val="24"/>
          <w:color w:val="auto"/>
        </w:rPr>
      </w:pPr>
    </w:p>
    <w:tbl>
      <w:tblPr>
        <w:tblLayout w:type="fixed"/>
        <w:tblInd w:w="5" w:type="dxa"/>
        <w:tblCellMar>
          <w:top w:w="0" w:type="dxa"/>
          <w:left w:w="0" w:type="dxa"/>
          <w:bottom w:w="0" w:type="dxa"/>
          <w:right w:w="0" w:type="dxa"/>
        </w:tblCellMar>
      </w:tblPr>
      <w:tr>
        <w:trPr>
          <w:trHeight w:val="207"/>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jc w:val="center"/>
              <w:spacing w:after="0"/>
              <w:rPr>
                <w:sz w:val="20"/>
                <w:szCs w:val="20"/>
                <w:color w:val="auto"/>
              </w:rPr>
            </w:pPr>
            <w:r>
              <w:rPr>
                <w:rFonts w:ascii="Arial" w:cs="Arial" w:eastAsia="Arial" w:hAnsi="Arial"/>
                <w:sz w:val="18"/>
                <w:szCs w:val="18"/>
                <w:color w:val="auto"/>
                <w:w w:val="99"/>
              </w:rPr>
              <w:t>(Name of Each Exchange</w:t>
            </w:r>
          </w:p>
        </w:tc>
      </w:tr>
      <w:tr>
        <w:trPr>
          <w:trHeight w:val="215"/>
        </w:trPr>
        <w:tc>
          <w:tcPr>
            <w:tcW w:w="38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(Trading Symbol)</w:t>
            </w:r>
          </w:p>
        </w:tc>
        <w:tc>
          <w:tcPr>
            <w:tcW w:w="3500" w:type="dxa"/>
            <w:vAlign w:val="bottom"/>
          </w:tcPr>
          <w:p>
            <w:pPr>
              <w:jc w:val="center"/>
              <w:spacing w:after="0"/>
              <w:rPr>
                <w:sz w:val="20"/>
                <w:szCs w:val="20"/>
                <w:color w:val="auto"/>
              </w:rPr>
            </w:pPr>
            <w:r>
              <w:rPr>
                <w:rFonts w:ascii="Arial" w:cs="Arial" w:eastAsia="Arial" w:hAnsi="Arial"/>
                <w:sz w:val="18"/>
                <w:szCs w:val="18"/>
                <w:color w:val="auto"/>
                <w:w w:val="99"/>
              </w:rPr>
              <w:t>on which Registered)</w:t>
            </w:r>
          </w:p>
        </w:tc>
      </w:tr>
      <w:tr>
        <w:trPr>
          <w:trHeight w:val="208"/>
        </w:trPr>
        <w:tc>
          <w:tcPr>
            <w:tcW w:w="370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w w:val="98"/>
              </w:rPr>
              <w:t>Common Stock, par value $0.0001 per share</w:t>
            </w:r>
          </w:p>
        </w:tc>
        <w:tc>
          <w:tcPr>
            <w:tcW w:w="120" w:type="dxa"/>
            <w:vAlign w:val="bottom"/>
          </w:tcPr>
          <w:p>
            <w:pPr>
              <w:spacing w:after="0"/>
              <w:rPr>
                <w:sz w:val="18"/>
                <w:szCs w:val="18"/>
                <w:color w:val="auto"/>
              </w:rPr>
            </w:pPr>
          </w:p>
        </w:tc>
        <w:tc>
          <w:tcPr>
            <w:tcW w:w="350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w w:val="93"/>
              </w:rPr>
              <w:t>VSAT</w:t>
            </w:r>
          </w:p>
        </w:tc>
        <w:tc>
          <w:tcPr>
            <w:tcW w:w="120" w:type="dxa"/>
            <w:vAlign w:val="bottom"/>
          </w:tcPr>
          <w:p>
            <w:pPr>
              <w:spacing w:after="0"/>
              <w:rPr>
                <w:sz w:val="18"/>
                <w:szCs w:val="18"/>
                <w:color w:val="auto"/>
              </w:rPr>
            </w:pPr>
          </w:p>
        </w:tc>
        <w:tc>
          <w:tcPr>
            <w:tcW w:w="350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w w:val="99"/>
              </w:rPr>
              <w:t>The Nasdaq Stock Market LLC</w:t>
            </w:r>
          </w:p>
        </w:tc>
      </w:tr>
    </w:tbl>
    <w:p>
      <w:pPr>
        <w:spacing w:after="0" w:line="201" w:lineRule="exact"/>
        <w:rPr>
          <w:sz w:val="24"/>
          <w:szCs w:val="24"/>
          <w:color w:val="auto"/>
        </w:rPr>
      </w:pPr>
    </w:p>
    <w:p>
      <w:pPr>
        <w:jc w:val="both"/>
        <w:ind w:left="5" w:right="20"/>
        <w:spacing w:after="0"/>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7" w:lineRule="exact"/>
        <w:rPr>
          <w:sz w:val="24"/>
          <w:szCs w:val="24"/>
          <w:color w:val="auto"/>
        </w:rPr>
      </w:pPr>
    </w:p>
    <w:p>
      <w:pPr>
        <w:ind w:left="7665"/>
        <w:spacing w:after="0" w:line="207" w:lineRule="exact"/>
        <w:tabs>
          <w:tab w:leader="none" w:pos="10365"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left="5"/>
        <w:spacing w:after="0"/>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w:t>
      </w:r>
    </w:p>
    <w:p>
      <w:pPr>
        <w:ind w:left="5"/>
        <w:spacing w:after="0" w:line="207" w:lineRule="exact"/>
        <w:tabs>
          <w:tab w:leader="none" w:pos="10345" w:val="left"/>
        </w:tabs>
        <w:rPr>
          <w:sz w:val="20"/>
          <w:szCs w:val="20"/>
          <w:color w:val="auto"/>
        </w:rPr>
      </w:pPr>
      <w:r>
        <w:rPr>
          <w:rFonts w:ascii="Arial" w:cs="Arial" w:eastAsia="Arial" w:hAnsi="Arial"/>
          <w:sz w:val="18"/>
          <w:szCs w:val="18"/>
          <w:color w:val="auto"/>
        </w:rPr>
        <w:t>complying with any new 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0945"/>
          </w:cols>
          <w:pgMar w:left="475" w:top="224" w:right="47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5500" cy="38100"/>
                    </a:xfrm>
                    <a:prstGeom prst="rect">
                      <a:avLst/>
                    </a:prstGeom>
                    <a:noFill/>
                  </pic:spPr>
                </pic:pic>
              </a:graphicData>
            </a:graphic>
          </wp:anchor>
        </w:drawing>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12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February 3, 2022, Viasat, Inc. released its financial results for the third quarter of fiscal year 2022 in a letter to shareholders that is available on the investor relations section of its website. A copy of the press release announcing the release of financial results is furnished herewith as Exhibit 99.1 and a copy of the letter to shareholders is furnished herewith as Exhibit 99.2.</w:t>
      </w:r>
    </w:p>
    <w:p>
      <w:pPr>
        <w:spacing w:after="0" w:line="202"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The information contained herein and in the accompanying exhibits shall not be incorporated by reference into any filing of the registrant, whether made before or after the date hereof, regardless of any general incorporation language in such filing, unless expressly incorporated by specific reference to such filing. The information in this report, including the exhibit hereto, shall not be deemed to be “filed” for purposes of Section 18 of the Securities Exchange Act of 1934, as amended, or otherwise subject to the liabilities of that section or Sections 11 and 12(a)(2) of the Securities Act of 1933, as amended.</w:t>
      </w:r>
    </w:p>
    <w:p>
      <w:pPr>
        <w:spacing w:after="0" w:line="32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40" w:type="dxa"/>
            <w:vAlign w:val="bottom"/>
          </w:tcPr>
          <w:p>
            <w:pPr>
              <w:spacing w:after="0"/>
              <w:rPr>
                <w:sz w:val="20"/>
                <w:szCs w:val="20"/>
                <w:color w:val="auto"/>
              </w:rPr>
            </w:pPr>
            <w:r>
              <w:rPr>
                <w:rFonts w:ascii="Arial" w:cs="Arial" w:eastAsia="Arial" w:hAnsi="Arial"/>
                <w:sz w:val="18"/>
                <w:szCs w:val="18"/>
                <w:color w:val="auto"/>
              </w:rPr>
              <w:t>(d)</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Exhibits</w:t>
            </w:r>
          </w:p>
        </w:tc>
        <w:tc>
          <w:tcPr>
            <w:tcW w:w="7840" w:type="dxa"/>
            <w:vAlign w:val="bottom"/>
          </w:tcPr>
          <w:p>
            <w:pPr>
              <w:spacing w:after="0"/>
              <w:rPr>
                <w:sz w:val="18"/>
                <w:szCs w:val="18"/>
                <w:color w:val="auto"/>
              </w:rPr>
            </w:pPr>
          </w:p>
        </w:tc>
      </w:tr>
      <w:tr>
        <w:trPr>
          <w:trHeight w:val="430"/>
        </w:trPr>
        <w:tc>
          <w:tcPr>
            <w:tcW w:w="440" w:type="dxa"/>
            <w:vAlign w:val="bottom"/>
          </w:tcPr>
          <w:p>
            <w:pPr>
              <w:spacing w:after="0"/>
              <w:rPr>
                <w:sz w:val="24"/>
                <w:szCs w:val="24"/>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color w:val="auto"/>
              </w:rPr>
              <w:t>Exhibit</w:t>
            </w:r>
          </w:p>
        </w:tc>
        <w:tc>
          <w:tcPr>
            <w:tcW w:w="7840" w:type="dxa"/>
            <w:vAlign w:val="bottom"/>
          </w:tcPr>
          <w:p>
            <w:pPr>
              <w:spacing w:after="0"/>
              <w:rPr>
                <w:sz w:val="24"/>
                <w:szCs w:val="24"/>
                <w:color w:val="auto"/>
              </w:rPr>
            </w:pPr>
          </w:p>
        </w:tc>
      </w:tr>
      <w:tr>
        <w:trPr>
          <w:trHeight w:val="182"/>
        </w:trPr>
        <w:tc>
          <w:tcPr>
            <w:tcW w:w="440" w:type="dxa"/>
            <w:vAlign w:val="bottom"/>
          </w:tcPr>
          <w:p>
            <w:pPr>
              <w:spacing w:after="0"/>
              <w:rPr>
                <w:sz w:val="15"/>
                <w:szCs w:val="15"/>
                <w:color w:val="auto"/>
              </w:rPr>
            </w:pPr>
          </w:p>
        </w:tc>
        <w:tc>
          <w:tcPr>
            <w:tcW w:w="1360" w:type="dxa"/>
            <w:vAlign w:val="bottom"/>
            <w:gridSpan w:val="2"/>
          </w:tcPr>
          <w:p>
            <w:pPr>
              <w:ind w:left="140"/>
              <w:spacing w:after="0" w:line="155" w:lineRule="exact"/>
              <w:rPr>
                <w:sz w:val="20"/>
                <w:szCs w:val="20"/>
                <w:color w:val="auto"/>
              </w:rPr>
            </w:pPr>
            <w:r>
              <w:rPr>
                <w:rFonts w:ascii="Arial" w:cs="Arial" w:eastAsia="Arial" w:hAnsi="Arial"/>
                <w:sz w:val="17"/>
                <w:szCs w:val="17"/>
                <w:color w:val="auto"/>
              </w:rPr>
              <w:t>Number</w:t>
            </w:r>
          </w:p>
        </w:tc>
        <w:tc>
          <w:tcPr>
            <w:tcW w:w="7840" w:type="dxa"/>
            <w:vAlign w:val="bottom"/>
          </w:tcPr>
          <w:p>
            <w:pPr>
              <w:ind w:left="100"/>
              <w:spacing w:after="0" w:line="155" w:lineRule="exact"/>
              <w:rPr>
                <w:sz w:val="20"/>
                <w:szCs w:val="20"/>
                <w:color w:val="auto"/>
              </w:rPr>
            </w:pPr>
            <w:r>
              <w:rPr>
                <w:rFonts w:ascii="Arial" w:cs="Arial" w:eastAsia="Arial" w:hAnsi="Arial"/>
                <w:sz w:val="17"/>
                <w:szCs w:val="17"/>
                <w:color w:val="auto"/>
              </w:rPr>
              <w:t>Description of Exhibit</w:t>
            </w:r>
          </w:p>
        </w:tc>
      </w:tr>
      <w:tr>
        <w:trPr>
          <w:trHeight w:val="214"/>
        </w:trPr>
        <w:tc>
          <w:tcPr>
            <w:tcW w:w="440" w:type="dxa"/>
            <w:vAlign w:val="bottom"/>
          </w:tcPr>
          <w:p>
            <w:pPr>
              <w:spacing w:after="0"/>
              <w:rPr>
                <w:sz w:val="18"/>
                <w:szCs w:val="18"/>
                <w:color w:val="auto"/>
              </w:rPr>
            </w:pPr>
          </w:p>
        </w:tc>
        <w:tc>
          <w:tcPr>
            <w:tcW w:w="78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99.1</w:t>
            </w:r>
          </w:p>
        </w:tc>
        <w:tc>
          <w:tcPr>
            <w:tcW w:w="580" w:type="dxa"/>
            <w:vAlign w:val="bottom"/>
          </w:tcPr>
          <w:p>
            <w:pPr>
              <w:spacing w:after="0"/>
              <w:rPr>
                <w:sz w:val="18"/>
                <w:szCs w:val="18"/>
                <w:color w:val="auto"/>
              </w:rPr>
            </w:pPr>
          </w:p>
        </w:tc>
        <w:tc>
          <w:tcPr>
            <w:tcW w:w="78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Press Release dated February 3, 2022 issued by Viasat, Inc.</w:t>
            </w:r>
          </w:p>
        </w:tc>
      </w:tr>
      <w:tr>
        <w:trPr>
          <w:trHeight w:val="201"/>
        </w:trPr>
        <w:tc>
          <w:tcPr>
            <w:tcW w:w="440" w:type="dxa"/>
            <w:vAlign w:val="bottom"/>
          </w:tcPr>
          <w:p>
            <w:pPr>
              <w:spacing w:after="0"/>
              <w:rPr>
                <w:sz w:val="17"/>
                <w:szCs w:val="17"/>
                <w:color w:val="auto"/>
              </w:rPr>
            </w:pPr>
          </w:p>
        </w:tc>
        <w:tc>
          <w:tcPr>
            <w:tcW w:w="780" w:type="dxa"/>
            <w:vAlign w:val="bottom"/>
          </w:tcPr>
          <w:p>
            <w:pPr>
              <w:ind w:left="140"/>
              <w:spacing w:after="0" w:line="201" w:lineRule="exact"/>
              <w:rPr>
                <w:sz w:val="20"/>
                <w:szCs w:val="20"/>
                <w:color w:val="auto"/>
              </w:rPr>
            </w:pPr>
            <w:r>
              <w:rPr>
                <w:rFonts w:ascii="Arial" w:cs="Arial" w:eastAsia="Arial" w:hAnsi="Arial"/>
                <w:sz w:val="18"/>
                <w:szCs w:val="18"/>
                <w:color w:val="auto"/>
              </w:rPr>
              <w:t>99.2</w:t>
            </w:r>
          </w:p>
        </w:tc>
        <w:tc>
          <w:tcPr>
            <w:tcW w:w="580" w:type="dxa"/>
            <w:vAlign w:val="bottom"/>
          </w:tcPr>
          <w:p>
            <w:pPr>
              <w:spacing w:after="0"/>
              <w:rPr>
                <w:sz w:val="17"/>
                <w:szCs w:val="17"/>
                <w:color w:val="auto"/>
              </w:rPr>
            </w:pPr>
          </w:p>
        </w:tc>
        <w:tc>
          <w:tcPr>
            <w:tcW w:w="7840" w:type="dxa"/>
            <w:vAlign w:val="bottom"/>
          </w:tcPr>
          <w:p>
            <w:pPr>
              <w:ind w:left="100"/>
              <w:spacing w:after="0" w:line="201" w:lineRule="exact"/>
              <w:rPr>
                <w:sz w:val="20"/>
                <w:szCs w:val="20"/>
                <w:color w:val="auto"/>
              </w:rPr>
            </w:pPr>
            <w:r>
              <w:rPr>
                <w:rFonts w:ascii="Arial" w:cs="Arial" w:eastAsia="Arial" w:hAnsi="Arial"/>
                <w:sz w:val="18"/>
                <w:szCs w:val="18"/>
                <w:color w:val="auto"/>
              </w:rPr>
              <w:t>Viasat, Inc. third quarter of fiscal year 2022 letter to shareholders dated February 3, 2022</w:t>
            </w:r>
          </w:p>
        </w:tc>
      </w:tr>
    </w:tbl>
    <w:p>
      <w:pPr>
        <w:ind w:left="5420" w:right="2800" w:hanging="4834"/>
        <w:spacing w:after="0" w:line="411" w:lineRule="auto"/>
        <w:tabs>
          <w:tab w:leader="none" w:pos="1909"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1</w:t>
      </w:r>
    </w:p>
    <w:p>
      <w:pPr>
        <w:sectPr>
          <w:pgSz w:w="11900" w:h="16838" w:orient="portrait"/>
          <w:cols w:equalWidth="0" w:num="1">
            <w:col w:w="10940"/>
          </w:cols>
          <w:pgMar w:left="480" w:top="264"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5500" cy="38100"/>
                    </a:xfrm>
                    <a:prstGeom prst="rect">
                      <a:avLst/>
                    </a:prstGeom>
                    <a:noFill/>
                  </pic:spPr>
                </pic:pic>
              </a:graphicData>
            </a:graphic>
          </wp:anchor>
        </w:drawing>
        <w:t>Additional Information About the Transaction and Where You Can Find It</w:t>
      </w:r>
    </w:p>
    <w:p>
      <w:pPr>
        <w:spacing w:after="0" w:line="123"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 xml:space="preserve">This communication is being made in respect of the proposed business combination transaction between Viasat and Connect Topco Limited (“Inmarsat”) pursuant to the terms of that certain Share Purchase Agreement, dated as of November 8, 2021, by and among Viasat and the shareholders of Inmarsat. Viasat intends to file with the Securities and Exchange Commission (the “SEC”) a proxy statement and other relevant documents in respect of a stockholder meeting to obtain stockholder approval in connection with the transaction. The definitive proxy statement will be sent or given to the stockholders of Viasat and will contain important information about the transaction and related matters. </w:t>
      </w:r>
      <w:r>
        <w:rPr>
          <w:rFonts w:ascii="Arial" w:cs="Arial" w:eastAsia="Arial" w:hAnsi="Arial"/>
          <w:sz w:val="18"/>
          <w:szCs w:val="18"/>
          <w:b w:val="1"/>
          <w:bCs w:val="1"/>
          <w:color w:val="auto"/>
        </w:rPr>
        <w:t>INVESTORS AND STOCKHOLDERS ARE URGED TO READ THE DEFINITIVE PROXY</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color w:val="auto"/>
        </w:rPr>
        <w:t>STATEMENT AND OTHER RELEVANT MATERIALS CAREFULLY IN THEIR ENTIRETY WHEN THEY BECOME AVAILABLE BECAUSE THEY WILL CONTAIN IMPORTANT INFORMATION ABOUT VIASAT, INMARSAT AND THE PROPOSED TRANSACTION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Investors and stockholders may obtain a free copy of these materials (when available) and other documents filed by Viasat with the SEC through the website maintained by the SEC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In addition, free copies of these materials will be made available free of charge through Viasat’s website at </w:t>
      </w:r>
      <w:r>
        <w:rPr>
          <w:rFonts w:ascii="Arial" w:cs="Arial" w:eastAsia="Arial" w:hAnsi="Arial"/>
          <w:sz w:val="18"/>
          <w:szCs w:val="18"/>
          <w:u w:val="single" w:color="auto"/>
          <w:color w:val="auto"/>
        </w:rPr>
        <w:t>https://www.viasat.com</w:t>
      </w:r>
      <w:r>
        <w:rPr>
          <w:rFonts w:ascii="Arial" w:cs="Arial" w:eastAsia="Arial" w:hAnsi="Arial"/>
          <w:sz w:val="18"/>
          <w:szCs w:val="18"/>
          <w:color w:val="auto"/>
        </w:rPr>
        <w: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Viasat, and its directors and executive officers may be deemed to be participants in the solicitation of proxies from the stockholders of Viasat in connection with the transaction. Information regarding the persons who may, under the rules of the SEC, be considered to be participants in the solicitation of Viasat’s stockholders in connection with the transaction will be set forth in Viasat’s definitive proxy statement for its stockholder meeting. Additional information regarding these individuals and any direct or indirect interests they may have in the transaction will be set forth in the definitive proxy statement when and if it is filed with the SEC in connection with the transaction.</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480" w:top="264" w:right="4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5500" cy="38100"/>
                    </a:xfrm>
                    <a:prstGeom prst="rect">
                      <a:avLst/>
                    </a:prstGeom>
                    <a:noFill/>
                  </pic:spPr>
                </pic:pic>
              </a:graphicData>
            </a:graphic>
          </wp:anchor>
        </w:drawing>
        <w:t>SIGNATURES</w:t>
      </w:r>
    </w:p>
    <w:p>
      <w:pPr>
        <w:spacing w:after="0" w:line="231" w:lineRule="exact"/>
        <w:rPr>
          <w:sz w:val="20"/>
          <w:szCs w:val="20"/>
          <w:color w:val="auto"/>
        </w:rPr>
      </w:pPr>
    </w:p>
    <w:p>
      <w:pPr>
        <w:ind w:firstLine="437"/>
        <w:spacing w:after="0"/>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9" w:lineRule="exact"/>
        <w:rPr>
          <w:sz w:val="20"/>
          <w:szCs w:val="20"/>
          <w:color w:val="auto"/>
        </w:rPr>
      </w:pPr>
    </w:p>
    <w:p>
      <w:pPr>
        <w:spacing w:after="0"/>
        <w:tabs>
          <w:tab w:leader="none" w:pos="600" w:val="left"/>
          <w:tab w:leader="none" w:pos="5460" w:val="left"/>
        </w:tabs>
        <w:rPr>
          <w:sz w:val="20"/>
          <w:szCs w:val="20"/>
          <w:color w:val="auto"/>
        </w:rPr>
      </w:pPr>
      <w:r>
        <w:rPr>
          <w:rFonts w:ascii="Arial" w:cs="Arial" w:eastAsia="Arial" w:hAnsi="Arial"/>
          <w:sz w:val="18"/>
          <w:szCs w:val="18"/>
          <w:color w:val="auto"/>
        </w:rPr>
        <w:t>Date:</w:t>
        <w:tab/>
        <w:t>February 3, 2022</w:t>
      </w:r>
      <w:r>
        <w:rPr>
          <w:sz w:val="20"/>
          <w:szCs w:val="20"/>
          <w:color w:val="auto"/>
        </w:rPr>
        <w:tab/>
      </w:r>
      <w:r>
        <w:rPr>
          <w:rFonts w:ascii="Arial" w:cs="Arial" w:eastAsia="Arial" w:hAnsi="Arial"/>
          <w:sz w:val="17"/>
          <w:szCs w:val="17"/>
          <w:color w:val="auto"/>
        </w:rPr>
        <w:t>Viasat, Inc.</w:t>
      </w:r>
    </w:p>
    <w:p>
      <w:pPr>
        <w:spacing w:after="0" w:line="310" w:lineRule="exact"/>
        <w:rPr>
          <w:sz w:val="20"/>
          <w:szCs w:val="20"/>
          <w:color w:val="auto"/>
        </w:rPr>
      </w:pPr>
    </w:p>
    <w:p>
      <w:pPr>
        <w:ind w:left="5480"/>
        <w:spacing w:after="0"/>
        <w:tabs>
          <w:tab w:leader="none" w:pos="5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Brett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3750310</wp:posOffset>
            </wp:positionH>
            <wp:positionV relativeFrom="paragraph">
              <wp:posOffset>635</wp:posOffset>
            </wp:positionV>
            <wp:extent cx="31921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92145" cy="8255"/>
                    </a:xfrm>
                    <a:prstGeom prst="rect">
                      <a:avLst/>
                    </a:prstGeom>
                    <a:noFill/>
                  </pic:spPr>
                </pic:pic>
              </a:graphicData>
            </a:graphic>
          </wp:anchor>
        </w:drawing>
      </w:r>
    </w:p>
    <w:p>
      <w:pPr>
        <w:spacing w:after="0" w:line="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Brett Church</w:t>
      </w:r>
    </w:p>
    <w:p>
      <w:pPr>
        <w:ind w:left="5900"/>
        <w:spacing w:after="0"/>
        <w:rPr>
          <w:sz w:val="20"/>
          <w:szCs w:val="20"/>
          <w:color w:val="auto"/>
        </w:rPr>
      </w:pPr>
      <w:r>
        <w:rPr>
          <w:rFonts w:ascii="Arial" w:cs="Arial" w:eastAsia="Arial" w:hAnsi="Arial"/>
          <w:sz w:val="18"/>
          <w:szCs w:val="18"/>
          <w:color w:val="auto"/>
        </w:rPr>
        <w:t>Associate General Counsel</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80" w:top="264" w:right="4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5500" cy="3810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163830</wp:posOffset>
            </wp:positionV>
            <wp:extent cx="1225550" cy="4508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25550" cy="450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Releases Third Quarter Fiscal Year 2022 Financial Results</w:t>
      </w:r>
    </w:p>
    <w:p>
      <w:pPr>
        <w:spacing w:after="0" w:line="20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color w:val="auto"/>
        </w:rPr>
        <w:t>CARLSBAD, Calif., February 3, 2022</w:t>
      </w:r>
      <w:r>
        <w:rPr>
          <w:rFonts w:ascii="Arial" w:cs="Arial" w:eastAsia="Arial" w:hAnsi="Arial"/>
          <w:sz w:val="18"/>
          <w:szCs w:val="18"/>
          <w:color w:val="auto"/>
        </w:rPr>
        <w:t>—</w:t>
      </w:r>
      <w:r>
        <w:rPr>
          <w:rFonts w:ascii="Arial" w:cs="Arial" w:eastAsia="Arial" w:hAnsi="Arial"/>
          <w:sz w:val="18"/>
          <w:szCs w:val="18"/>
          <w:u w:val="single" w:color="auto"/>
          <w:color w:val="auto"/>
        </w:rPr>
        <w:t>Viasat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 VSAT), a global communications company, today announced its third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quarter fiscal year 2022 financial results in a letter to shareholders, which is now posted to the </w:t>
      </w:r>
      <w:r>
        <w:rPr>
          <w:rFonts w:ascii="Arial" w:cs="Arial" w:eastAsia="Arial" w:hAnsi="Arial"/>
          <w:sz w:val="18"/>
          <w:szCs w:val="18"/>
          <w:u w:val="single" w:color="auto"/>
          <w:color w:val="auto"/>
        </w:rPr>
        <w:t>Investor Relations section of Viasat’s</w:t>
      </w:r>
      <w:r>
        <w:rPr>
          <w:rFonts w:ascii="Arial" w:cs="Arial" w:eastAsia="Arial" w:hAnsi="Arial"/>
          <w:sz w:val="18"/>
          <w:szCs w:val="18"/>
          <w:color w:val="auto"/>
        </w:rPr>
        <w:t xml:space="preserve"> </w:t>
      </w:r>
      <w:r>
        <w:rPr>
          <w:rFonts w:ascii="Arial" w:cs="Arial" w:eastAsia="Arial" w:hAnsi="Arial"/>
          <w:sz w:val="18"/>
          <w:szCs w:val="18"/>
          <w:u w:val="single" w:color="auto"/>
          <w:color w:val="auto"/>
        </w:rPr>
        <w:t>website</w:t>
      </w:r>
      <w:r>
        <w:rPr>
          <w:rFonts w:ascii="Arial" w:cs="Arial" w:eastAsia="Arial" w:hAnsi="Arial"/>
          <w:sz w:val="18"/>
          <w:szCs w:val="18"/>
          <w:color w:val="auto"/>
        </w:rPr>
        <w:t>.</w:t>
      </w:r>
    </w:p>
    <w:p>
      <w:pPr>
        <w:spacing w:after="0" w:line="195"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 xml:space="preserve">As previously announced, the Company will host a conference call and webcast today at 10:00 a.m. Pacific / 1:00 p.m. Eastern Time. To participate on the live conference call, please dial: (877) 640-9809 in the U.S. or (914) 495-8528 internationally and reference the conference ID 2296352. The live webcast will be available on Viasat’s investor relations website at: </w:t>
      </w:r>
      <w:r>
        <w:rPr>
          <w:rFonts w:ascii="Arial" w:cs="Arial" w:eastAsia="Arial" w:hAnsi="Arial"/>
          <w:sz w:val="18"/>
          <w:szCs w:val="18"/>
          <w:u w:val="single" w:color="auto"/>
          <w:color w:val="auto"/>
        </w:rPr>
        <w:t>investors.viasat.com</w:t>
      </w:r>
      <w:r>
        <w:rPr>
          <w:rFonts w:ascii="Arial" w:cs="Arial" w:eastAsia="Arial" w:hAnsi="Arial"/>
          <w:sz w:val="18"/>
          <w:szCs w:val="18"/>
          <w:color w:val="auto"/>
        </w:rPr>
        <w:t>.</w:t>
      </w:r>
    </w:p>
    <w:p>
      <w:pPr>
        <w:spacing w:after="0" w:line="202"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A replay of the conference call will be made available from 4:00 p.m. Eastern Time on Thursday, February 3, 2022 until 11:59 p.m. Eastern Time on Friday, February 4, 2022. To access the replay, please dial: (855) 859-2056 in the U.S. and (404) 537-3406 internationally, and enter the conference ID 2296352. The webcast will be archived and available on the Viasat investor relations website for approximately one month immediately following the conference call.</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Viasat</w:t>
      </w:r>
    </w:p>
    <w:p>
      <w:pPr>
        <w:spacing w:after="0" w:line="1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Viasat is a global communications company that believes everyone and everything in the world can be connected. For more than 35 years, Viasat has helped shape how consumers, businesses, governments and militaries around the world communicate. Today, the Company is developing the ultimate global communications network to power high-quality, secure, affordable, fast connections to impact people’s lives anywhere they are—on the ground, in the air or at sea. To learn more about Viasat, visit: </w:t>
      </w:r>
      <w:r>
        <w:rPr>
          <w:rFonts w:ascii="Arial" w:cs="Arial" w:eastAsia="Arial" w:hAnsi="Arial"/>
          <w:sz w:val="18"/>
          <w:szCs w:val="18"/>
          <w:u w:val="single" w:color="auto"/>
          <w:color w:val="auto"/>
        </w:rPr>
        <w:t>www.viasat.com</w:t>
      </w:r>
      <w:r>
        <w:rPr>
          <w:rFonts w:ascii="Arial" w:cs="Arial" w:eastAsia="Arial" w:hAnsi="Arial"/>
          <w:sz w:val="18"/>
          <w:szCs w:val="18"/>
          <w:color w:val="auto"/>
        </w:rPr>
        <w:t xml:space="preserve">, go to </w:t>
      </w:r>
      <w:r>
        <w:rPr>
          <w:rFonts w:ascii="Arial" w:cs="Arial" w:eastAsia="Arial" w:hAnsi="Arial"/>
          <w:sz w:val="18"/>
          <w:szCs w:val="18"/>
          <w:u w:val="single" w:color="auto"/>
          <w:color w:val="auto"/>
        </w:rPr>
        <w:t>Viasat’s</w:t>
      </w:r>
      <w:r>
        <w:rPr>
          <w:rFonts w:ascii="Arial" w:cs="Arial" w:eastAsia="Arial" w:hAnsi="Arial"/>
          <w:sz w:val="18"/>
          <w:szCs w:val="18"/>
          <w:color w:val="auto"/>
        </w:rPr>
        <w:t xml:space="preserve"> </w:t>
      </w:r>
      <w:r>
        <w:rPr>
          <w:rFonts w:ascii="Arial" w:cs="Arial" w:eastAsia="Arial" w:hAnsi="Arial"/>
          <w:sz w:val="18"/>
          <w:szCs w:val="18"/>
          <w:u w:val="single" w:color="auto"/>
          <w:color w:val="auto"/>
        </w:rPr>
        <w:t>Corporate Blog</w:t>
      </w:r>
      <w:r>
        <w:rPr>
          <w:rFonts w:ascii="Arial" w:cs="Arial" w:eastAsia="Arial" w:hAnsi="Arial"/>
          <w:sz w:val="18"/>
          <w:szCs w:val="18"/>
          <w:color w:val="auto"/>
        </w:rPr>
        <w:t xml:space="preserve">, or follow the Company on social media at: </w:t>
      </w:r>
      <w:r>
        <w:rPr>
          <w:rFonts w:ascii="Arial" w:cs="Arial" w:eastAsia="Arial" w:hAnsi="Arial"/>
          <w:sz w:val="18"/>
          <w:szCs w:val="18"/>
          <w:u w:val="single" w:color="auto"/>
          <w:color w:val="auto"/>
        </w:rPr>
        <w:t>Facebook</w:t>
      </w:r>
      <w:r>
        <w:rPr>
          <w:rFonts w:ascii="Arial" w:cs="Arial" w:eastAsia="Arial" w:hAnsi="Arial"/>
          <w:sz w:val="18"/>
          <w:szCs w:val="18"/>
          <w:color w:val="auto"/>
        </w:rPr>
        <w:t xml:space="preserve">, </w:t>
      </w:r>
      <w:r>
        <w:rPr>
          <w:rFonts w:ascii="Arial" w:cs="Arial" w:eastAsia="Arial" w:hAnsi="Arial"/>
          <w:sz w:val="18"/>
          <w:szCs w:val="18"/>
          <w:u w:val="single" w:color="auto"/>
          <w:color w:val="auto"/>
        </w:rPr>
        <w:t>Instagram</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YouTube</w:t>
      </w:r>
      <w:r>
        <w:rPr>
          <w:rFonts w:ascii="Arial" w:cs="Arial" w:eastAsia="Arial" w:hAnsi="Arial"/>
          <w:sz w:val="18"/>
          <w:szCs w:val="18"/>
          <w:color w:val="auto"/>
        </w:rPr>
        <w:t>.</w:t>
      </w:r>
    </w:p>
    <w:p>
      <w:pPr>
        <w:spacing w:after="0" w:line="20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Copyright </w:t>
      </w:r>
      <w:r>
        <w:rPr>
          <w:rFonts w:ascii="Arial" w:cs="Arial" w:eastAsia="Arial" w:hAnsi="Arial"/>
          <w:sz w:val="15"/>
          <w:szCs w:val="15"/>
          <w:color w:val="auto"/>
        </w:rPr>
        <w:t>©</w:t>
      </w:r>
      <w:r>
        <w:rPr>
          <w:rFonts w:ascii="Arial" w:cs="Arial" w:eastAsia="Arial" w:hAnsi="Arial"/>
          <w:sz w:val="18"/>
          <w:szCs w:val="18"/>
          <w:color w:val="auto"/>
        </w:rPr>
        <w:t xml:space="preserve"> 2022 Viasat, Inc. All rights reserved. Viasat, the Viasat logo and the Viasat signal are registered trademarks of Viasat, Inc. All other product or company names mentioned are used for identification purposes only and may be trademarks of their respective owners.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Viasat, Inc. Contacts</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Chris Phillips, Public Relations, +1 (760) 476-2322, </w:t>
      </w:r>
      <w:r>
        <w:rPr>
          <w:rFonts w:ascii="Arial" w:cs="Arial" w:eastAsia="Arial" w:hAnsi="Arial"/>
          <w:sz w:val="18"/>
          <w:szCs w:val="18"/>
          <w:u w:val="single" w:color="auto"/>
          <w:color w:val="auto"/>
        </w:rPr>
        <w:t>Christina.Phillips@viasat.com</w:t>
      </w:r>
    </w:p>
    <w:p>
      <w:pPr>
        <w:spacing w:after="0"/>
        <w:rPr>
          <w:sz w:val="20"/>
          <w:szCs w:val="20"/>
          <w:color w:val="auto"/>
        </w:rPr>
      </w:pPr>
      <w:r>
        <w:rPr>
          <w:rFonts w:ascii="Arial" w:cs="Arial" w:eastAsia="Arial" w:hAnsi="Arial"/>
          <w:sz w:val="18"/>
          <w:szCs w:val="18"/>
          <w:color w:val="auto"/>
        </w:rPr>
        <w:t xml:space="preserve">Paul Froelich/Peter Lopez, Investor Relations, +1 (760) 476-2633, </w:t>
      </w:r>
      <w:r>
        <w:rPr>
          <w:rFonts w:ascii="Arial" w:cs="Arial" w:eastAsia="Arial" w:hAnsi="Arial"/>
          <w:sz w:val="18"/>
          <w:szCs w:val="18"/>
          <w:u w:val="single" w:color="auto"/>
          <w:color w:val="auto"/>
        </w:rPr>
        <w:t>IR@viasat.com</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0940"/>
          </w:cols>
          <w:pgMar w:left="480" w:top="264" w:right="479" w:bottom="1440" w:gutter="0" w:footer="0" w:header="0"/>
        </w:sectPr>
      </w:pPr>
    </w:p>
    <w:bookmarkStart w:id="5" w:name="page6"/>
    <w:bookmarkEnd w:id="5"/>
    <w:p>
      <w:pPr>
        <w:ind w:left="89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5500" cy="38100"/>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171450</wp:posOffset>
            </wp:positionV>
            <wp:extent cx="5328920" cy="6894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28920" cy="6894830"/>
                    </a:xfrm>
                    <a:prstGeom prst="rect">
                      <a:avLst/>
                    </a:prstGeom>
                    <a:noFill/>
                  </pic:spPr>
                </pic:pic>
              </a:graphicData>
            </a:graphic>
          </wp:anchor>
        </w:drawing>
      </w:r>
    </w:p>
    <w:p>
      <w:pPr>
        <w:sectPr>
          <w:pgSz w:w="11900" w:h="16838" w:orient="portrait"/>
          <w:cols w:equalWidth="0" w:num="1">
            <w:col w:w="9980"/>
          </w:cols>
          <w:pgMar w:left="1440" w:top="264" w:right="47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69888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5500" cy="6988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69888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5500" cy="6988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69888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5500" cy="6988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69888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5500" cy="6988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69888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5500" cy="6988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69888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5500" cy="6988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69888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5500" cy="6988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69888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5500" cy="6988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69888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5500" cy="6988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69888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5500" cy="6988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ind w:left="5"/>
        <w:spacing w:after="0"/>
        <w:rPr>
          <w:sz w:val="20"/>
          <w:szCs w:val="20"/>
          <w:color w:val="auto"/>
        </w:rPr>
      </w:pPr>
      <w:r>
        <w:rPr>
          <w:rFonts w:ascii="Arial" w:cs="Arial" w:eastAsia="Arial" w:hAnsi="Arial"/>
          <w:sz w:val="36"/>
          <w:szCs w:val="3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5500" cy="38100"/>
                    </a:xfrm>
                    <a:prstGeom prst="rect">
                      <a:avLst/>
                    </a:prstGeom>
                    <a:noFill/>
                  </pic:spPr>
                </pic:pic>
              </a:graphicData>
            </a:graphic>
          </wp:anchor>
        </w:drawing>
        <w:t>Viasat Third Quarter Fiscal Year 2022 Results</w:t>
      </w:r>
    </w:p>
    <w:p>
      <w:pPr>
        <w:spacing w:after="0" w:line="128"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Financial Results</w:t>
      </w:r>
    </w:p>
    <w:p>
      <w:pPr>
        <w:spacing w:after="0" w:line="17" w:lineRule="exact"/>
        <w:rPr>
          <w:sz w:val="20"/>
          <w:szCs w:val="20"/>
          <w:color w:val="auto"/>
        </w:rPr>
      </w:pPr>
    </w:p>
    <w:tbl>
      <w:tblPr>
        <w:tblLayout w:type="fixed"/>
        <w:tblInd w:w="5" w:type="dxa"/>
        <w:tblCellMar>
          <w:top w:w="0" w:type="dxa"/>
          <w:left w:w="0" w:type="dxa"/>
          <w:bottom w:w="0" w:type="dxa"/>
          <w:right w:w="0" w:type="dxa"/>
        </w:tblCellMar>
      </w:tblPr>
      <w:tr>
        <w:trPr>
          <w:trHeight w:val="204"/>
        </w:trPr>
        <w:tc>
          <w:tcPr>
            <w:tcW w:w="60" w:type="dxa"/>
            <w:vAlign w:val="bottom"/>
            <w:tcBorders>
              <w:right w:val="single" w:sz="8" w:color="auto"/>
            </w:tcBorders>
          </w:tcPr>
          <w:p>
            <w:pPr>
              <w:spacing w:after="0"/>
              <w:rPr>
                <w:sz w:val="17"/>
                <w:szCs w:val="17"/>
                <w:color w:val="auto"/>
              </w:rPr>
            </w:pPr>
          </w:p>
        </w:tc>
        <w:tc>
          <w:tcPr>
            <w:tcW w:w="3180" w:type="dxa"/>
            <w:vAlign w:val="bottom"/>
            <w:tcBorders>
              <w:top w:val="single" w:sz="8" w:color="auto"/>
              <w:right w:val="single" w:sz="8" w:color="auto"/>
            </w:tcBorders>
            <w:shd w:val="clear" w:color="auto" w:fill="D9D9D9"/>
          </w:tcPr>
          <w:p>
            <w:pPr>
              <w:ind w:left="120"/>
              <w:spacing w:after="0" w:line="205" w:lineRule="exact"/>
              <w:rPr>
                <w:sz w:val="20"/>
                <w:szCs w:val="20"/>
                <w:color w:val="auto"/>
              </w:rPr>
            </w:pPr>
            <w:r>
              <w:rPr>
                <w:rFonts w:ascii="Arial" w:cs="Arial" w:eastAsia="Arial" w:hAnsi="Arial"/>
                <w:sz w:val="20"/>
                <w:szCs w:val="20"/>
                <w:color w:val="auto"/>
              </w:rPr>
              <w:t>(In millions, except per</w:t>
            </w:r>
          </w:p>
        </w:tc>
        <w:tc>
          <w:tcPr>
            <w:tcW w:w="880" w:type="dxa"/>
            <w:vAlign w:val="bottom"/>
            <w:tcBorders>
              <w:top w:val="single" w:sz="8" w:color="auto"/>
              <w:right w:val="single" w:sz="8" w:color="auto"/>
            </w:tcBorders>
            <w:shd w:val="clear" w:color="auto" w:fill="D9D9D9"/>
          </w:tcPr>
          <w:p>
            <w:pPr>
              <w:jc w:val="center"/>
              <w:spacing w:after="0" w:line="205" w:lineRule="exact"/>
              <w:rPr>
                <w:sz w:val="20"/>
                <w:szCs w:val="20"/>
                <w:color w:val="auto"/>
              </w:rPr>
            </w:pPr>
            <w:r>
              <w:rPr>
                <w:rFonts w:ascii="Arial" w:cs="Arial" w:eastAsia="Arial" w:hAnsi="Arial"/>
                <w:sz w:val="20"/>
                <w:szCs w:val="20"/>
                <w:b w:val="1"/>
                <w:bCs w:val="1"/>
                <w:color w:val="auto"/>
                <w:w w:val="97"/>
              </w:rPr>
              <w:t>Q3 FY22</w:t>
            </w:r>
          </w:p>
        </w:tc>
        <w:tc>
          <w:tcPr>
            <w:tcW w:w="880" w:type="dxa"/>
            <w:vAlign w:val="bottom"/>
            <w:tcBorders>
              <w:top w:val="single" w:sz="8" w:color="auto"/>
              <w:right w:val="single" w:sz="8" w:color="auto"/>
            </w:tcBorders>
            <w:shd w:val="clear" w:color="auto" w:fill="D9D9D9"/>
          </w:tcPr>
          <w:p>
            <w:pPr>
              <w:jc w:val="center"/>
              <w:spacing w:after="0" w:line="205" w:lineRule="exact"/>
              <w:rPr>
                <w:sz w:val="20"/>
                <w:szCs w:val="20"/>
                <w:color w:val="auto"/>
              </w:rPr>
            </w:pPr>
            <w:r>
              <w:rPr>
                <w:rFonts w:ascii="Arial" w:cs="Arial" w:eastAsia="Arial" w:hAnsi="Arial"/>
                <w:sz w:val="20"/>
                <w:szCs w:val="20"/>
                <w:b w:val="1"/>
                <w:bCs w:val="1"/>
                <w:color w:val="auto"/>
                <w:w w:val="97"/>
              </w:rPr>
              <w:t>Q3 FY21</w:t>
            </w:r>
          </w:p>
        </w:tc>
        <w:tc>
          <w:tcPr>
            <w:tcW w:w="1520" w:type="dxa"/>
            <w:vAlign w:val="bottom"/>
            <w:tcBorders>
              <w:top w:val="single" w:sz="8" w:color="auto"/>
              <w:right w:val="single" w:sz="8" w:color="auto"/>
            </w:tcBorders>
            <w:shd w:val="clear" w:color="auto" w:fill="D9D9D9"/>
          </w:tcPr>
          <w:p>
            <w:pPr>
              <w:jc w:val="center"/>
              <w:spacing w:after="0" w:line="205" w:lineRule="exact"/>
              <w:rPr>
                <w:sz w:val="20"/>
                <w:szCs w:val="20"/>
                <w:color w:val="auto"/>
              </w:rPr>
            </w:pPr>
            <w:r>
              <w:rPr>
                <w:rFonts w:ascii="Arial" w:cs="Arial" w:eastAsia="Arial" w:hAnsi="Arial"/>
                <w:sz w:val="20"/>
                <w:szCs w:val="20"/>
                <w:b w:val="1"/>
                <w:bCs w:val="1"/>
                <w:color w:val="auto"/>
                <w:w w:val="97"/>
              </w:rPr>
              <w:t>Year-Over-Year</w:t>
            </w:r>
          </w:p>
        </w:tc>
        <w:tc>
          <w:tcPr>
            <w:tcW w:w="1460" w:type="dxa"/>
            <w:vAlign w:val="bottom"/>
            <w:tcBorders>
              <w:top w:val="single" w:sz="8" w:color="auto"/>
              <w:right w:val="single" w:sz="8" w:color="auto"/>
            </w:tcBorders>
            <w:shd w:val="clear" w:color="auto" w:fill="D9D9D9"/>
          </w:tcPr>
          <w:p>
            <w:pPr>
              <w:ind w:left="40"/>
              <w:spacing w:after="0" w:line="205" w:lineRule="exact"/>
              <w:rPr>
                <w:sz w:val="20"/>
                <w:szCs w:val="20"/>
                <w:color w:val="auto"/>
              </w:rPr>
            </w:pPr>
            <w:r>
              <w:rPr>
                <w:rFonts w:ascii="Arial" w:cs="Arial" w:eastAsia="Arial" w:hAnsi="Arial"/>
                <w:sz w:val="20"/>
                <w:szCs w:val="20"/>
                <w:b w:val="1"/>
                <w:bCs w:val="1"/>
                <w:color w:val="auto"/>
              </w:rPr>
              <w:t>First 9 Months</w:t>
            </w:r>
          </w:p>
        </w:tc>
        <w:tc>
          <w:tcPr>
            <w:tcW w:w="1440" w:type="dxa"/>
            <w:vAlign w:val="bottom"/>
            <w:tcBorders>
              <w:top w:val="single" w:sz="8" w:color="auto"/>
              <w:right w:val="single" w:sz="8" w:color="auto"/>
            </w:tcBorders>
            <w:shd w:val="clear" w:color="auto" w:fill="D9D9D9"/>
          </w:tcPr>
          <w:p>
            <w:pPr>
              <w:ind w:left="40"/>
              <w:spacing w:after="0" w:line="205" w:lineRule="exact"/>
              <w:rPr>
                <w:sz w:val="20"/>
                <w:szCs w:val="20"/>
                <w:color w:val="auto"/>
              </w:rPr>
            </w:pPr>
            <w:r>
              <w:rPr>
                <w:rFonts w:ascii="Arial" w:cs="Arial" w:eastAsia="Arial" w:hAnsi="Arial"/>
                <w:sz w:val="20"/>
                <w:szCs w:val="20"/>
                <w:b w:val="1"/>
                <w:bCs w:val="1"/>
                <w:color w:val="auto"/>
                <w:w w:val="99"/>
              </w:rPr>
              <w:t>First 9 Months</w:t>
            </w:r>
          </w:p>
        </w:tc>
        <w:tc>
          <w:tcPr>
            <w:tcW w:w="1500" w:type="dxa"/>
            <w:vAlign w:val="bottom"/>
            <w:tcBorders>
              <w:top w:val="single" w:sz="8" w:color="auto"/>
              <w:right w:val="single" w:sz="8" w:color="auto"/>
            </w:tcBorders>
            <w:shd w:val="clear" w:color="auto" w:fill="D9D9D9"/>
          </w:tcPr>
          <w:p>
            <w:pPr>
              <w:jc w:val="center"/>
              <w:spacing w:after="0" w:line="205" w:lineRule="exact"/>
              <w:rPr>
                <w:sz w:val="20"/>
                <w:szCs w:val="20"/>
                <w:color w:val="auto"/>
              </w:rPr>
            </w:pPr>
            <w:r>
              <w:rPr>
                <w:rFonts w:ascii="Arial" w:cs="Arial" w:eastAsia="Arial" w:hAnsi="Arial"/>
                <w:sz w:val="20"/>
                <w:szCs w:val="20"/>
                <w:b w:val="1"/>
                <w:bCs w:val="1"/>
                <w:color w:val="auto"/>
                <w:w w:val="96"/>
              </w:rPr>
              <w:t>Year-Over-Year</w:t>
            </w:r>
          </w:p>
        </w:tc>
      </w:tr>
      <w:tr>
        <w:trPr>
          <w:trHeight w:val="231"/>
        </w:trPr>
        <w:tc>
          <w:tcPr>
            <w:tcW w:w="60" w:type="dxa"/>
            <w:vAlign w:val="bottom"/>
            <w:tcBorders>
              <w:right w:val="single" w:sz="8" w:color="auto"/>
            </w:tcBorders>
          </w:tcPr>
          <w:p>
            <w:pPr>
              <w:spacing w:after="0"/>
              <w:rPr>
                <w:sz w:val="20"/>
                <w:szCs w:val="20"/>
                <w:color w:val="auto"/>
              </w:rPr>
            </w:pPr>
          </w:p>
        </w:tc>
        <w:tc>
          <w:tcPr>
            <w:tcW w:w="3180" w:type="dxa"/>
            <w:vAlign w:val="bottom"/>
            <w:tcBorders>
              <w:bottom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20"/>
                <w:szCs w:val="20"/>
                <w:color w:val="auto"/>
              </w:rPr>
              <w:t>share data)</w:t>
            </w:r>
          </w:p>
        </w:tc>
        <w:tc>
          <w:tcPr>
            <w:tcW w:w="880" w:type="dxa"/>
            <w:vAlign w:val="bottom"/>
            <w:tcBorders>
              <w:bottom w:val="single" w:sz="8" w:color="auto"/>
              <w:right w:val="single" w:sz="8" w:color="auto"/>
            </w:tcBorders>
            <w:shd w:val="clear" w:color="auto" w:fill="D9D9D9"/>
          </w:tcPr>
          <w:p>
            <w:pPr>
              <w:spacing w:after="0"/>
              <w:rPr>
                <w:sz w:val="20"/>
                <w:szCs w:val="20"/>
                <w:color w:val="auto"/>
              </w:rPr>
            </w:pPr>
          </w:p>
        </w:tc>
        <w:tc>
          <w:tcPr>
            <w:tcW w:w="880" w:type="dxa"/>
            <w:vAlign w:val="bottom"/>
            <w:tcBorders>
              <w:bottom w:val="single" w:sz="8" w:color="auto"/>
              <w:right w:val="single" w:sz="8" w:color="auto"/>
            </w:tcBorders>
            <w:shd w:val="clear" w:color="auto" w:fill="D9D9D9"/>
          </w:tcPr>
          <w:p>
            <w:pPr>
              <w:spacing w:after="0"/>
              <w:rPr>
                <w:sz w:val="20"/>
                <w:szCs w:val="20"/>
                <w:color w:val="auto"/>
              </w:rPr>
            </w:pPr>
          </w:p>
        </w:tc>
        <w:tc>
          <w:tcPr>
            <w:tcW w:w="15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98"/>
              </w:rPr>
              <w:t>Change</w:t>
            </w:r>
          </w:p>
        </w:tc>
        <w:tc>
          <w:tcPr>
            <w:tcW w:w="14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96"/>
              </w:rPr>
              <w:t>FY22</w:t>
            </w:r>
          </w:p>
        </w:tc>
        <w:tc>
          <w:tcPr>
            <w:tcW w:w="14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rPr>
              <w:t>FY21</w:t>
            </w:r>
          </w:p>
        </w:tc>
        <w:tc>
          <w:tcPr>
            <w:tcW w:w="15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98"/>
              </w:rPr>
              <w:t>Change</w:t>
            </w:r>
          </w:p>
        </w:tc>
      </w:tr>
      <w:tr>
        <w:trPr>
          <w:trHeight w:val="208"/>
        </w:trPr>
        <w:tc>
          <w:tcPr>
            <w:tcW w:w="60" w:type="dxa"/>
            <w:vAlign w:val="bottom"/>
            <w:tcBorders>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Revenues</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$719.7</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$575.6</w:t>
            </w:r>
          </w:p>
        </w:tc>
        <w:tc>
          <w:tcPr>
            <w:tcW w:w="152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4"/>
              </w:rPr>
              <w:t>25%</w:t>
            </w:r>
          </w:p>
        </w:tc>
        <w:tc>
          <w:tcPr>
            <w:tcW w:w="146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7"/>
              </w:rPr>
              <w:t>$2,085.9</w:t>
            </w:r>
          </w:p>
        </w:tc>
        <w:tc>
          <w:tcPr>
            <w:tcW w:w="144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7"/>
              </w:rPr>
              <w:t>$1,660.3</w:t>
            </w:r>
          </w:p>
        </w:tc>
        <w:tc>
          <w:tcPr>
            <w:tcW w:w="150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9"/>
              </w:rPr>
              <w:t>26%</w:t>
            </w:r>
          </w:p>
        </w:tc>
      </w:tr>
      <w:tr>
        <w:trPr>
          <w:trHeight w:val="208"/>
        </w:trPr>
        <w:tc>
          <w:tcPr>
            <w:tcW w:w="60" w:type="dxa"/>
            <w:vAlign w:val="bottom"/>
            <w:tcBorders>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Net (loss) income</w:t>
            </w:r>
            <w:r>
              <w:rPr>
                <w:rFonts w:ascii="Arial" w:cs="Arial" w:eastAsia="Arial" w:hAnsi="Arial"/>
                <w:sz w:val="10"/>
                <w:szCs w:val="10"/>
                <w:color w:val="auto"/>
              </w:rPr>
              <w:t>(1)</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5"/>
              </w:rPr>
              <w:t>($6.6)</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7"/>
              </w:rPr>
              <w:t>$6.8</w:t>
            </w:r>
          </w:p>
        </w:tc>
        <w:tc>
          <w:tcPr>
            <w:tcW w:w="152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c>
          <w:tcPr>
            <w:tcW w:w="146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9"/>
              </w:rPr>
              <w:t>$13.6</w:t>
            </w:r>
          </w:p>
        </w:tc>
        <w:tc>
          <w:tcPr>
            <w:tcW w:w="144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9"/>
              </w:rPr>
              <w:t>($3.7)</w:t>
            </w:r>
          </w:p>
        </w:tc>
        <w:tc>
          <w:tcPr>
            <w:tcW w:w="150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r>
      <w:tr>
        <w:trPr>
          <w:trHeight w:val="208"/>
        </w:trPr>
        <w:tc>
          <w:tcPr>
            <w:tcW w:w="60" w:type="dxa"/>
            <w:vAlign w:val="bottom"/>
            <w:tcBorders>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Non-GAAP net income</w:t>
            </w:r>
            <w:r>
              <w:rPr>
                <w:rFonts w:ascii="Arial" w:cs="Arial" w:eastAsia="Arial" w:hAnsi="Arial"/>
                <w:sz w:val="10"/>
                <w:szCs w:val="10"/>
                <w:color w:val="auto"/>
              </w:rPr>
              <w:t>(1)</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9"/>
              </w:rPr>
              <w:t>$24.7</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9"/>
              </w:rPr>
              <w:t>$26.6</w:t>
            </w:r>
          </w:p>
        </w:tc>
        <w:tc>
          <w:tcPr>
            <w:tcW w:w="152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9"/>
              </w:rPr>
              <w:t>(7)%</w:t>
            </w:r>
          </w:p>
        </w:tc>
        <w:tc>
          <w:tcPr>
            <w:tcW w:w="146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9"/>
              </w:rPr>
              <w:t>$83.4</w:t>
            </w:r>
          </w:p>
        </w:tc>
        <w:tc>
          <w:tcPr>
            <w:tcW w:w="144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5"/>
              </w:rPr>
              <w:t>$51.8</w:t>
            </w:r>
          </w:p>
        </w:tc>
        <w:tc>
          <w:tcPr>
            <w:tcW w:w="150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9"/>
              </w:rPr>
              <w:t>61%</w:t>
            </w:r>
          </w:p>
        </w:tc>
      </w:tr>
      <w:tr>
        <w:trPr>
          <w:trHeight w:val="208"/>
        </w:trPr>
        <w:tc>
          <w:tcPr>
            <w:tcW w:w="60" w:type="dxa"/>
            <w:vAlign w:val="bottom"/>
            <w:tcBorders>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Adjusted EBITDA</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$162.8</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$147.6</w:t>
            </w:r>
          </w:p>
        </w:tc>
        <w:tc>
          <w:tcPr>
            <w:tcW w:w="152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4"/>
              </w:rPr>
              <w:t>10%</w:t>
            </w:r>
          </w:p>
        </w:tc>
        <w:tc>
          <w:tcPr>
            <w:tcW w:w="146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$476.9</w:t>
            </w:r>
          </w:p>
        </w:tc>
        <w:tc>
          <w:tcPr>
            <w:tcW w:w="144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$382.6</w:t>
            </w:r>
          </w:p>
        </w:tc>
        <w:tc>
          <w:tcPr>
            <w:tcW w:w="150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9"/>
              </w:rPr>
              <w:t>25%</w:t>
            </w:r>
          </w:p>
        </w:tc>
      </w:tr>
      <w:tr>
        <w:trPr>
          <w:trHeight w:val="204"/>
        </w:trPr>
        <w:tc>
          <w:tcPr>
            <w:tcW w:w="6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20"/>
              <w:spacing w:after="0" w:line="205" w:lineRule="exact"/>
              <w:rPr>
                <w:sz w:val="20"/>
                <w:szCs w:val="20"/>
                <w:color w:val="auto"/>
              </w:rPr>
            </w:pPr>
            <w:r>
              <w:rPr>
                <w:rFonts w:ascii="Arial" w:cs="Arial" w:eastAsia="Arial" w:hAnsi="Arial"/>
                <w:sz w:val="20"/>
                <w:szCs w:val="20"/>
                <w:color w:val="auto"/>
              </w:rPr>
              <w:t>Diluted per share net (loss)</w:t>
            </w: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r>
      <w:tr>
        <w:trPr>
          <w:trHeight w:val="218"/>
        </w:trPr>
        <w:tc>
          <w:tcPr>
            <w:tcW w:w="60" w:type="dxa"/>
            <w:vAlign w:val="bottom"/>
            <w:tcBorders>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tcPr>
          <w:p>
            <w:pPr>
              <w:ind w:left="320"/>
              <w:spacing w:after="0" w:line="218" w:lineRule="exact"/>
              <w:rPr>
                <w:sz w:val="20"/>
                <w:szCs w:val="20"/>
                <w:color w:val="auto"/>
              </w:rPr>
            </w:pPr>
            <w:r>
              <w:rPr>
                <w:rFonts w:ascii="Arial" w:cs="Arial" w:eastAsia="Arial" w:hAnsi="Arial"/>
                <w:sz w:val="20"/>
                <w:szCs w:val="20"/>
                <w:color w:val="auto"/>
              </w:rPr>
              <w:t>income</w:t>
            </w:r>
            <w:r>
              <w:rPr>
                <w:rFonts w:ascii="Arial" w:cs="Arial" w:eastAsia="Arial" w:hAnsi="Arial"/>
                <w:sz w:val="10"/>
                <w:szCs w:val="10"/>
                <w:color w:val="auto"/>
              </w:rPr>
              <w:t>(1)</w:t>
            </w:r>
          </w:p>
        </w:tc>
        <w:tc>
          <w:tcPr>
            <w:tcW w:w="880" w:type="dxa"/>
            <w:vAlign w:val="bottom"/>
            <w:tcBorders>
              <w:bottom w:val="single" w:sz="8" w:color="auto"/>
              <w:right w:val="single" w:sz="8" w:color="auto"/>
            </w:tcBorders>
          </w:tcPr>
          <w:p>
            <w:pPr>
              <w:jc w:val="center"/>
              <w:spacing w:after="0" w:line="218" w:lineRule="exact"/>
              <w:rPr>
                <w:sz w:val="20"/>
                <w:szCs w:val="20"/>
                <w:color w:val="auto"/>
              </w:rPr>
            </w:pPr>
            <w:r>
              <w:rPr>
                <w:rFonts w:ascii="Arial" w:cs="Arial" w:eastAsia="Arial" w:hAnsi="Arial"/>
                <w:sz w:val="20"/>
                <w:szCs w:val="20"/>
                <w:color w:val="auto"/>
                <w:w w:val="97"/>
              </w:rPr>
              <w:t>($0.09)</w:t>
            </w:r>
          </w:p>
        </w:tc>
        <w:tc>
          <w:tcPr>
            <w:tcW w:w="880" w:type="dxa"/>
            <w:vAlign w:val="bottom"/>
            <w:tcBorders>
              <w:bottom w:val="single" w:sz="8" w:color="auto"/>
              <w:right w:val="single" w:sz="8" w:color="auto"/>
            </w:tcBorders>
          </w:tcPr>
          <w:p>
            <w:pPr>
              <w:jc w:val="center"/>
              <w:spacing w:after="0" w:line="218" w:lineRule="exact"/>
              <w:rPr>
                <w:sz w:val="20"/>
                <w:szCs w:val="20"/>
                <w:color w:val="auto"/>
              </w:rPr>
            </w:pPr>
            <w:r>
              <w:rPr>
                <w:rFonts w:ascii="Arial" w:cs="Arial" w:eastAsia="Arial" w:hAnsi="Arial"/>
                <w:sz w:val="20"/>
                <w:szCs w:val="20"/>
                <w:color w:val="auto"/>
                <w:w w:val="99"/>
              </w:rPr>
              <w:t>$0.10</w:t>
            </w:r>
          </w:p>
        </w:tc>
        <w:tc>
          <w:tcPr>
            <w:tcW w:w="1520" w:type="dxa"/>
            <w:vAlign w:val="bottom"/>
            <w:tcBorders>
              <w:bottom w:val="single" w:sz="8" w:color="auto"/>
              <w:right w:val="single" w:sz="8" w:color="auto"/>
            </w:tcBorders>
          </w:tcPr>
          <w:p>
            <w:pPr>
              <w:jc w:val="center"/>
              <w:spacing w:after="0" w:line="218" w:lineRule="exact"/>
              <w:rPr>
                <w:sz w:val="20"/>
                <w:szCs w:val="20"/>
                <w:color w:val="auto"/>
              </w:rPr>
            </w:pPr>
            <w:r>
              <w:rPr>
                <w:rFonts w:ascii="Arial" w:cs="Arial" w:eastAsia="Arial" w:hAnsi="Arial"/>
                <w:sz w:val="20"/>
                <w:szCs w:val="20"/>
                <w:color w:val="auto"/>
              </w:rPr>
              <w:t>*</w:t>
            </w:r>
          </w:p>
        </w:tc>
        <w:tc>
          <w:tcPr>
            <w:tcW w:w="1460" w:type="dxa"/>
            <w:vAlign w:val="bottom"/>
            <w:tcBorders>
              <w:bottom w:val="single" w:sz="8" w:color="auto"/>
              <w:right w:val="single" w:sz="8" w:color="auto"/>
            </w:tcBorders>
          </w:tcPr>
          <w:p>
            <w:pPr>
              <w:jc w:val="center"/>
              <w:spacing w:after="0" w:line="218" w:lineRule="exact"/>
              <w:rPr>
                <w:sz w:val="20"/>
                <w:szCs w:val="20"/>
                <w:color w:val="auto"/>
              </w:rPr>
            </w:pPr>
            <w:r>
              <w:rPr>
                <w:rFonts w:ascii="Arial" w:cs="Arial" w:eastAsia="Arial" w:hAnsi="Arial"/>
                <w:sz w:val="20"/>
                <w:szCs w:val="20"/>
                <w:color w:val="auto"/>
                <w:w w:val="99"/>
              </w:rPr>
              <w:t>$0.18</w:t>
            </w:r>
          </w:p>
        </w:tc>
        <w:tc>
          <w:tcPr>
            <w:tcW w:w="1440" w:type="dxa"/>
            <w:vAlign w:val="bottom"/>
            <w:tcBorders>
              <w:bottom w:val="single" w:sz="8" w:color="auto"/>
              <w:right w:val="single" w:sz="8" w:color="auto"/>
            </w:tcBorders>
          </w:tcPr>
          <w:p>
            <w:pPr>
              <w:jc w:val="center"/>
              <w:spacing w:after="0" w:line="218" w:lineRule="exact"/>
              <w:rPr>
                <w:sz w:val="20"/>
                <w:szCs w:val="20"/>
                <w:color w:val="auto"/>
              </w:rPr>
            </w:pPr>
            <w:r>
              <w:rPr>
                <w:rFonts w:ascii="Arial" w:cs="Arial" w:eastAsia="Arial" w:hAnsi="Arial"/>
                <w:sz w:val="20"/>
                <w:szCs w:val="20"/>
                <w:color w:val="auto"/>
                <w:w w:val="97"/>
              </w:rPr>
              <w:t>($0.06)</w:t>
            </w:r>
          </w:p>
        </w:tc>
        <w:tc>
          <w:tcPr>
            <w:tcW w:w="1500" w:type="dxa"/>
            <w:vAlign w:val="bottom"/>
            <w:tcBorders>
              <w:bottom w:val="single" w:sz="8" w:color="auto"/>
              <w:right w:val="single" w:sz="8" w:color="auto"/>
            </w:tcBorders>
          </w:tcPr>
          <w:p>
            <w:pPr>
              <w:jc w:val="center"/>
              <w:spacing w:after="0" w:line="218" w:lineRule="exact"/>
              <w:rPr>
                <w:sz w:val="20"/>
                <w:szCs w:val="20"/>
                <w:color w:val="auto"/>
              </w:rPr>
            </w:pPr>
            <w:r>
              <w:rPr>
                <w:rFonts w:ascii="Arial" w:cs="Arial" w:eastAsia="Arial" w:hAnsi="Arial"/>
                <w:sz w:val="20"/>
                <w:szCs w:val="20"/>
                <w:color w:val="auto"/>
              </w:rPr>
              <w:t>*</w:t>
            </w:r>
          </w:p>
        </w:tc>
      </w:tr>
      <w:tr>
        <w:trPr>
          <w:trHeight w:val="204"/>
        </w:trPr>
        <w:tc>
          <w:tcPr>
            <w:tcW w:w="6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20"/>
              <w:spacing w:after="0" w:line="205" w:lineRule="exact"/>
              <w:rPr>
                <w:sz w:val="20"/>
                <w:szCs w:val="20"/>
                <w:color w:val="auto"/>
              </w:rPr>
            </w:pPr>
            <w:r>
              <w:rPr>
                <w:rFonts w:ascii="Arial" w:cs="Arial" w:eastAsia="Arial" w:hAnsi="Arial"/>
                <w:sz w:val="20"/>
                <w:szCs w:val="20"/>
                <w:color w:val="auto"/>
              </w:rPr>
              <w:t>Non-GAAP diluted per share net</w:t>
            </w: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r>
      <w:tr>
        <w:trPr>
          <w:trHeight w:val="218"/>
        </w:trPr>
        <w:tc>
          <w:tcPr>
            <w:tcW w:w="60" w:type="dxa"/>
            <w:vAlign w:val="bottom"/>
            <w:tcBorders>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tcPr>
          <w:p>
            <w:pPr>
              <w:ind w:left="320"/>
              <w:spacing w:after="0" w:line="218" w:lineRule="exact"/>
              <w:rPr>
                <w:sz w:val="20"/>
                <w:szCs w:val="20"/>
                <w:color w:val="auto"/>
              </w:rPr>
            </w:pPr>
            <w:r>
              <w:rPr>
                <w:rFonts w:ascii="Arial" w:cs="Arial" w:eastAsia="Arial" w:hAnsi="Arial"/>
                <w:sz w:val="20"/>
                <w:szCs w:val="20"/>
                <w:color w:val="auto"/>
              </w:rPr>
              <w:t>income</w:t>
            </w:r>
            <w:r>
              <w:rPr>
                <w:rFonts w:ascii="Arial" w:cs="Arial" w:eastAsia="Arial" w:hAnsi="Arial"/>
                <w:sz w:val="10"/>
                <w:szCs w:val="10"/>
                <w:color w:val="auto"/>
              </w:rPr>
              <w:t>(1), (2)</w:t>
            </w:r>
          </w:p>
        </w:tc>
        <w:tc>
          <w:tcPr>
            <w:tcW w:w="880" w:type="dxa"/>
            <w:vAlign w:val="bottom"/>
            <w:tcBorders>
              <w:bottom w:val="single" w:sz="8" w:color="auto"/>
              <w:right w:val="single" w:sz="8" w:color="auto"/>
            </w:tcBorders>
          </w:tcPr>
          <w:p>
            <w:pPr>
              <w:jc w:val="center"/>
              <w:spacing w:after="0" w:line="218" w:lineRule="exact"/>
              <w:rPr>
                <w:sz w:val="20"/>
                <w:szCs w:val="20"/>
                <w:color w:val="auto"/>
              </w:rPr>
            </w:pPr>
            <w:r>
              <w:rPr>
                <w:rFonts w:ascii="Arial" w:cs="Arial" w:eastAsia="Arial" w:hAnsi="Arial"/>
                <w:sz w:val="20"/>
                <w:szCs w:val="20"/>
                <w:color w:val="auto"/>
                <w:w w:val="99"/>
              </w:rPr>
              <w:t>$0.33</w:t>
            </w:r>
          </w:p>
        </w:tc>
        <w:tc>
          <w:tcPr>
            <w:tcW w:w="880" w:type="dxa"/>
            <w:vAlign w:val="bottom"/>
            <w:tcBorders>
              <w:bottom w:val="single" w:sz="8" w:color="auto"/>
              <w:right w:val="single" w:sz="8" w:color="auto"/>
            </w:tcBorders>
          </w:tcPr>
          <w:p>
            <w:pPr>
              <w:jc w:val="center"/>
              <w:spacing w:after="0" w:line="218" w:lineRule="exact"/>
              <w:rPr>
                <w:sz w:val="20"/>
                <w:szCs w:val="20"/>
                <w:color w:val="auto"/>
              </w:rPr>
            </w:pPr>
            <w:r>
              <w:rPr>
                <w:rFonts w:ascii="Arial" w:cs="Arial" w:eastAsia="Arial" w:hAnsi="Arial"/>
                <w:sz w:val="20"/>
                <w:szCs w:val="20"/>
                <w:color w:val="auto"/>
                <w:w w:val="99"/>
              </w:rPr>
              <w:t>$0.39</w:t>
            </w:r>
          </w:p>
        </w:tc>
        <w:tc>
          <w:tcPr>
            <w:tcW w:w="1520" w:type="dxa"/>
            <w:vAlign w:val="bottom"/>
            <w:tcBorders>
              <w:bottom w:val="single" w:sz="8" w:color="auto"/>
              <w:right w:val="single" w:sz="8" w:color="auto"/>
            </w:tcBorders>
          </w:tcPr>
          <w:p>
            <w:pPr>
              <w:jc w:val="center"/>
              <w:spacing w:after="0" w:line="218" w:lineRule="exact"/>
              <w:rPr>
                <w:sz w:val="20"/>
                <w:szCs w:val="20"/>
                <w:color w:val="auto"/>
              </w:rPr>
            </w:pPr>
            <w:r>
              <w:rPr>
                <w:rFonts w:ascii="Arial" w:cs="Arial" w:eastAsia="Arial" w:hAnsi="Arial"/>
                <w:sz w:val="20"/>
                <w:szCs w:val="20"/>
                <w:color w:val="auto"/>
                <w:w w:val="97"/>
              </w:rPr>
              <w:t>(15)%</w:t>
            </w:r>
          </w:p>
        </w:tc>
        <w:tc>
          <w:tcPr>
            <w:tcW w:w="1460" w:type="dxa"/>
            <w:vAlign w:val="bottom"/>
            <w:tcBorders>
              <w:bottom w:val="single" w:sz="8" w:color="auto"/>
              <w:right w:val="single" w:sz="8" w:color="auto"/>
            </w:tcBorders>
          </w:tcPr>
          <w:p>
            <w:pPr>
              <w:jc w:val="center"/>
              <w:spacing w:after="0" w:line="218" w:lineRule="exact"/>
              <w:rPr>
                <w:sz w:val="20"/>
                <w:szCs w:val="20"/>
                <w:color w:val="auto"/>
              </w:rPr>
            </w:pPr>
            <w:r>
              <w:rPr>
                <w:rFonts w:ascii="Arial" w:cs="Arial" w:eastAsia="Arial" w:hAnsi="Arial"/>
                <w:sz w:val="20"/>
                <w:szCs w:val="20"/>
                <w:color w:val="auto"/>
                <w:w w:val="99"/>
              </w:rPr>
              <w:t>$1.12</w:t>
            </w:r>
          </w:p>
        </w:tc>
        <w:tc>
          <w:tcPr>
            <w:tcW w:w="1440" w:type="dxa"/>
            <w:vAlign w:val="bottom"/>
            <w:tcBorders>
              <w:bottom w:val="single" w:sz="8" w:color="auto"/>
              <w:right w:val="single" w:sz="8" w:color="auto"/>
            </w:tcBorders>
          </w:tcPr>
          <w:p>
            <w:pPr>
              <w:jc w:val="center"/>
              <w:spacing w:after="0" w:line="218" w:lineRule="exact"/>
              <w:rPr>
                <w:sz w:val="20"/>
                <w:szCs w:val="20"/>
                <w:color w:val="auto"/>
              </w:rPr>
            </w:pPr>
            <w:r>
              <w:rPr>
                <w:rFonts w:ascii="Arial" w:cs="Arial" w:eastAsia="Arial" w:hAnsi="Arial"/>
                <w:sz w:val="20"/>
                <w:szCs w:val="20"/>
                <w:color w:val="auto"/>
                <w:w w:val="95"/>
              </w:rPr>
              <w:t>$0.78</w:t>
            </w:r>
          </w:p>
        </w:tc>
        <w:tc>
          <w:tcPr>
            <w:tcW w:w="1500" w:type="dxa"/>
            <w:vAlign w:val="bottom"/>
            <w:tcBorders>
              <w:bottom w:val="single" w:sz="8" w:color="auto"/>
              <w:right w:val="single" w:sz="8" w:color="auto"/>
            </w:tcBorders>
          </w:tcPr>
          <w:p>
            <w:pPr>
              <w:jc w:val="center"/>
              <w:spacing w:after="0" w:line="218" w:lineRule="exact"/>
              <w:rPr>
                <w:sz w:val="20"/>
                <w:szCs w:val="20"/>
                <w:color w:val="auto"/>
              </w:rPr>
            </w:pPr>
            <w:r>
              <w:rPr>
                <w:rFonts w:ascii="Arial" w:cs="Arial" w:eastAsia="Arial" w:hAnsi="Arial"/>
                <w:sz w:val="20"/>
                <w:szCs w:val="20"/>
                <w:color w:val="auto"/>
                <w:w w:val="99"/>
              </w:rPr>
              <w:t>44%</w:t>
            </w:r>
          </w:p>
        </w:tc>
      </w:tr>
      <w:tr>
        <w:trPr>
          <w:trHeight w:val="204"/>
        </w:trPr>
        <w:tc>
          <w:tcPr>
            <w:tcW w:w="6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20"/>
              <w:spacing w:after="0" w:line="205" w:lineRule="exact"/>
              <w:rPr>
                <w:sz w:val="20"/>
                <w:szCs w:val="20"/>
                <w:color w:val="auto"/>
              </w:rPr>
            </w:pPr>
            <w:r>
              <w:rPr>
                <w:rFonts w:ascii="Arial" w:cs="Arial" w:eastAsia="Arial" w:hAnsi="Arial"/>
                <w:sz w:val="20"/>
                <w:szCs w:val="20"/>
                <w:color w:val="auto"/>
              </w:rPr>
              <w:t>Fully diluted weighted average</w:t>
            </w: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r>
      <w:tr>
        <w:trPr>
          <w:trHeight w:val="218"/>
        </w:trPr>
        <w:tc>
          <w:tcPr>
            <w:tcW w:w="60" w:type="dxa"/>
            <w:vAlign w:val="bottom"/>
            <w:tcBorders>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tcPr>
          <w:p>
            <w:pPr>
              <w:ind w:left="320"/>
              <w:spacing w:after="0" w:line="218" w:lineRule="exact"/>
              <w:rPr>
                <w:sz w:val="20"/>
                <w:szCs w:val="20"/>
                <w:color w:val="auto"/>
              </w:rPr>
            </w:pPr>
            <w:r>
              <w:rPr>
                <w:rFonts w:ascii="Arial" w:cs="Arial" w:eastAsia="Arial" w:hAnsi="Arial"/>
                <w:sz w:val="20"/>
                <w:szCs w:val="20"/>
                <w:color w:val="auto"/>
              </w:rPr>
              <w:t>shares</w:t>
            </w:r>
            <w:r>
              <w:rPr>
                <w:rFonts w:ascii="Arial" w:cs="Arial" w:eastAsia="Arial" w:hAnsi="Arial"/>
                <w:sz w:val="10"/>
                <w:szCs w:val="10"/>
                <w:color w:val="auto"/>
              </w:rPr>
              <w:t>(2)</w:t>
            </w:r>
          </w:p>
        </w:tc>
        <w:tc>
          <w:tcPr>
            <w:tcW w:w="880" w:type="dxa"/>
            <w:vAlign w:val="bottom"/>
            <w:tcBorders>
              <w:bottom w:val="single" w:sz="8" w:color="auto"/>
              <w:right w:val="single" w:sz="8" w:color="auto"/>
            </w:tcBorders>
          </w:tcPr>
          <w:p>
            <w:pPr>
              <w:jc w:val="center"/>
              <w:spacing w:after="0" w:line="218" w:lineRule="exact"/>
              <w:rPr>
                <w:sz w:val="20"/>
                <w:szCs w:val="20"/>
                <w:color w:val="auto"/>
              </w:rPr>
            </w:pPr>
            <w:r>
              <w:rPr>
                <w:rFonts w:ascii="Arial" w:cs="Arial" w:eastAsia="Arial" w:hAnsi="Arial"/>
                <w:sz w:val="20"/>
                <w:szCs w:val="20"/>
                <w:color w:val="auto"/>
                <w:w w:val="97"/>
              </w:rPr>
              <w:t>73.9</w:t>
            </w:r>
          </w:p>
        </w:tc>
        <w:tc>
          <w:tcPr>
            <w:tcW w:w="880" w:type="dxa"/>
            <w:vAlign w:val="bottom"/>
            <w:tcBorders>
              <w:bottom w:val="single" w:sz="8" w:color="auto"/>
              <w:right w:val="single" w:sz="8" w:color="auto"/>
            </w:tcBorders>
          </w:tcPr>
          <w:p>
            <w:pPr>
              <w:jc w:val="center"/>
              <w:spacing w:after="0" w:line="218" w:lineRule="exact"/>
              <w:rPr>
                <w:sz w:val="20"/>
                <w:szCs w:val="20"/>
                <w:color w:val="auto"/>
              </w:rPr>
            </w:pPr>
            <w:r>
              <w:rPr>
                <w:rFonts w:ascii="Arial" w:cs="Arial" w:eastAsia="Arial" w:hAnsi="Arial"/>
                <w:sz w:val="20"/>
                <w:szCs w:val="20"/>
                <w:color w:val="auto"/>
                <w:w w:val="97"/>
              </w:rPr>
              <w:t>68.7</w:t>
            </w:r>
          </w:p>
        </w:tc>
        <w:tc>
          <w:tcPr>
            <w:tcW w:w="1520" w:type="dxa"/>
            <w:vAlign w:val="bottom"/>
            <w:tcBorders>
              <w:bottom w:val="single" w:sz="8" w:color="auto"/>
              <w:right w:val="single" w:sz="8" w:color="auto"/>
            </w:tcBorders>
          </w:tcPr>
          <w:p>
            <w:pPr>
              <w:jc w:val="center"/>
              <w:spacing w:after="0" w:line="218" w:lineRule="exact"/>
              <w:rPr>
                <w:sz w:val="20"/>
                <w:szCs w:val="20"/>
                <w:color w:val="auto"/>
              </w:rPr>
            </w:pPr>
            <w:r>
              <w:rPr>
                <w:rFonts w:ascii="Arial" w:cs="Arial" w:eastAsia="Arial" w:hAnsi="Arial"/>
                <w:sz w:val="20"/>
                <w:szCs w:val="20"/>
                <w:color w:val="auto"/>
                <w:w w:val="96"/>
              </w:rPr>
              <w:t>8%</w:t>
            </w:r>
          </w:p>
        </w:tc>
        <w:tc>
          <w:tcPr>
            <w:tcW w:w="1460" w:type="dxa"/>
            <w:vAlign w:val="bottom"/>
            <w:tcBorders>
              <w:bottom w:val="single" w:sz="8" w:color="auto"/>
              <w:right w:val="single" w:sz="8" w:color="auto"/>
            </w:tcBorders>
          </w:tcPr>
          <w:p>
            <w:pPr>
              <w:jc w:val="center"/>
              <w:spacing w:after="0" w:line="218" w:lineRule="exact"/>
              <w:rPr>
                <w:sz w:val="20"/>
                <w:szCs w:val="20"/>
                <w:color w:val="auto"/>
              </w:rPr>
            </w:pPr>
            <w:r>
              <w:rPr>
                <w:rFonts w:ascii="Arial" w:cs="Arial" w:eastAsia="Arial" w:hAnsi="Arial"/>
                <w:sz w:val="20"/>
                <w:szCs w:val="20"/>
                <w:color w:val="auto"/>
                <w:w w:val="97"/>
              </w:rPr>
              <w:t>74.3</w:t>
            </w:r>
          </w:p>
        </w:tc>
        <w:tc>
          <w:tcPr>
            <w:tcW w:w="1440" w:type="dxa"/>
            <w:vAlign w:val="bottom"/>
            <w:tcBorders>
              <w:bottom w:val="single" w:sz="8" w:color="auto"/>
              <w:right w:val="single" w:sz="8" w:color="auto"/>
            </w:tcBorders>
          </w:tcPr>
          <w:p>
            <w:pPr>
              <w:jc w:val="center"/>
              <w:spacing w:after="0" w:line="218" w:lineRule="exact"/>
              <w:rPr>
                <w:sz w:val="20"/>
                <w:szCs w:val="20"/>
                <w:color w:val="auto"/>
              </w:rPr>
            </w:pPr>
            <w:r>
              <w:rPr>
                <w:rFonts w:ascii="Arial" w:cs="Arial" w:eastAsia="Arial" w:hAnsi="Arial"/>
                <w:sz w:val="20"/>
                <w:szCs w:val="20"/>
                <w:color w:val="auto"/>
                <w:w w:val="97"/>
              </w:rPr>
              <w:t>65.7</w:t>
            </w:r>
          </w:p>
        </w:tc>
        <w:tc>
          <w:tcPr>
            <w:tcW w:w="1500" w:type="dxa"/>
            <w:vAlign w:val="bottom"/>
            <w:tcBorders>
              <w:bottom w:val="single" w:sz="8" w:color="auto"/>
              <w:right w:val="single" w:sz="8" w:color="auto"/>
            </w:tcBorders>
          </w:tcPr>
          <w:p>
            <w:pPr>
              <w:jc w:val="center"/>
              <w:spacing w:after="0" w:line="218" w:lineRule="exact"/>
              <w:rPr>
                <w:sz w:val="20"/>
                <w:szCs w:val="20"/>
                <w:color w:val="auto"/>
              </w:rPr>
            </w:pPr>
            <w:r>
              <w:rPr>
                <w:rFonts w:ascii="Arial" w:cs="Arial" w:eastAsia="Arial" w:hAnsi="Arial"/>
                <w:sz w:val="20"/>
                <w:szCs w:val="20"/>
                <w:color w:val="auto"/>
                <w:w w:val="99"/>
              </w:rPr>
              <w:t>13%</w:t>
            </w:r>
          </w:p>
        </w:tc>
      </w:tr>
      <w:tr>
        <w:trPr>
          <w:trHeight w:val="154"/>
        </w:trPr>
        <w:tc>
          <w:tcPr>
            <w:tcW w:w="60" w:type="dxa"/>
            <w:vAlign w:val="bottom"/>
            <w:tcBorders>
              <w:right w:val="single" w:sz="8" w:color="auto"/>
            </w:tcBorders>
          </w:tcPr>
          <w:p>
            <w:pPr>
              <w:spacing w:after="0"/>
              <w:rPr>
                <w:sz w:val="13"/>
                <w:szCs w:val="13"/>
                <w:color w:val="auto"/>
              </w:rPr>
            </w:pPr>
          </w:p>
        </w:tc>
        <w:tc>
          <w:tcPr>
            <w:tcW w:w="3180" w:type="dxa"/>
            <w:vAlign w:val="bottom"/>
            <w:tcBorders>
              <w:bottom w:val="single" w:sz="8" w:color="auto"/>
              <w:right w:val="single" w:sz="8" w:color="auto"/>
            </w:tcBorders>
            <w:shd w:val="clear" w:color="auto" w:fill="D9D9D9"/>
          </w:tcPr>
          <w:p>
            <w:pPr>
              <w:spacing w:after="0"/>
              <w:rPr>
                <w:sz w:val="13"/>
                <w:szCs w:val="13"/>
                <w:color w:val="auto"/>
              </w:rPr>
            </w:pPr>
          </w:p>
        </w:tc>
        <w:tc>
          <w:tcPr>
            <w:tcW w:w="880" w:type="dxa"/>
            <w:vAlign w:val="bottom"/>
            <w:tcBorders>
              <w:bottom w:val="single" w:sz="8" w:color="auto"/>
              <w:right w:val="single" w:sz="8" w:color="auto"/>
            </w:tcBorders>
            <w:shd w:val="clear" w:color="auto" w:fill="D9D9D9"/>
          </w:tcPr>
          <w:p>
            <w:pPr>
              <w:spacing w:after="0"/>
              <w:rPr>
                <w:sz w:val="13"/>
                <w:szCs w:val="13"/>
                <w:color w:val="auto"/>
              </w:rPr>
            </w:pPr>
          </w:p>
        </w:tc>
        <w:tc>
          <w:tcPr>
            <w:tcW w:w="880" w:type="dxa"/>
            <w:vAlign w:val="bottom"/>
            <w:tcBorders>
              <w:bottom w:val="single" w:sz="8" w:color="auto"/>
              <w:right w:val="single" w:sz="8" w:color="auto"/>
            </w:tcBorders>
            <w:shd w:val="clear" w:color="auto" w:fill="D9D9D9"/>
          </w:tcPr>
          <w:p>
            <w:pPr>
              <w:spacing w:after="0"/>
              <w:rPr>
                <w:sz w:val="13"/>
                <w:szCs w:val="13"/>
                <w:color w:val="auto"/>
              </w:rPr>
            </w:pPr>
          </w:p>
        </w:tc>
        <w:tc>
          <w:tcPr>
            <w:tcW w:w="1520" w:type="dxa"/>
            <w:vAlign w:val="bottom"/>
            <w:tcBorders>
              <w:bottom w:val="single" w:sz="8" w:color="auto"/>
              <w:right w:val="single" w:sz="8" w:color="auto"/>
            </w:tcBorders>
            <w:shd w:val="clear" w:color="auto" w:fill="D9D9D9"/>
          </w:tcPr>
          <w:p>
            <w:pPr>
              <w:spacing w:after="0"/>
              <w:rPr>
                <w:sz w:val="13"/>
                <w:szCs w:val="13"/>
                <w:color w:val="auto"/>
              </w:rPr>
            </w:pPr>
          </w:p>
        </w:tc>
        <w:tc>
          <w:tcPr>
            <w:tcW w:w="1460" w:type="dxa"/>
            <w:vAlign w:val="bottom"/>
            <w:tcBorders>
              <w:bottom w:val="single" w:sz="8" w:color="auto"/>
              <w:right w:val="single" w:sz="8" w:color="auto"/>
            </w:tcBorders>
            <w:shd w:val="clear" w:color="auto" w:fill="D9D9D9"/>
          </w:tcPr>
          <w:p>
            <w:pPr>
              <w:spacing w:after="0"/>
              <w:rPr>
                <w:sz w:val="13"/>
                <w:szCs w:val="13"/>
                <w:color w:val="auto"/>
              </w:rPr>
            </w:pPr>
          </w:p>
        </w:tc>
        <w:tc>
          <w:tcPr>
            <w:tcW w:w="1440" w:type="dxa"/>
            <w:vAlign w:val="bottom"/>
            <w:tcBorders>
              <w:bottom w:val="single" w:sz="8" w:color="auto"/>
              <w:right w:val="single" w:sz="8" w:color="auto"/>
            </w:tcBorders>
            <w:shd w:val="clear" w:color="auto" w:fill="D9D9D9"/>
          </w:tcPr>
          <w:p>
            <w:pPr>
              <w:spacing w:after="0"/>
              <w:rPr>
                <w:sz w:val="13"/>
                <w:szCs w:val="13"/>
                <w:color w:val="auto"/>
              </w:rPr>
            </w:pPr>
          </w:p>
        </w:tc>
        <w:tc>
          <w:tcPr>
            <w:tcW w:w="1500" w:type="dxa"/>
            <w:vAlign w:val="bottom"/>
            <w:tcBorders>
              <w:bottom w:val="single" w:sz="8" w:color="auto"/>
              <w:right w:val="single" w:sz="8" w:color="auto"/>
            </w:tcBorders>
            <w:shd w:val="clear" w:color="auto" w:fill="D9D9D9"/>
          </w:tcPr>
          <w:p>
            <w:pPr>
              <w:spacing w:after="0"/>
              <w:rPr>
                <w:sz w:val="13"/>
                <w:szCs w:val="13"/>
                <w:color w:val="auto"/>
              </w:rPr>
            </w:pPr>
          </w:p>
        </w:tc>
      </w:tr>
      <w:tr>
        <w:trPr>
          <w:trHeight w:val="208"/>
        </w:trPr>
        <w:tc>
          <w:tcPr>
            <w:tcW w:w="60" w:type="dxa"/>
            <w:vAlign w:val="bottom"/>
            <w:tcBorders>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New contract awards</w:t>
            </w:r>
            <w:r>
              <w:rPr>
                <w:rFonts w:ascii="Arial" w:cs="Arial" w:eastAsia="Arial" w:hAnsi="Arial"/>
                <w:sz w:val="10"/>
                <w:szCs w:val="10"/>
                <w:color w:val="auto"/>
              </w:rPr>
              <w:t>(3)</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$568.9</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$643.4</w:t>
            </w:r>
          </w:p>
        </w:tc>
        <w:tc>
          <w:tcPr>
            <w:tcW w:w="152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7"/>
              </w:rPr>
              <w:t>(12)%</w:t>
            </w:r>
          </w:p>
        </w:tc>
        <w:tc>
          <w:tcPr>
            <w:tcW w:w="146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7"/>
              </w:rPr>
              <w:t>$1,995.6</w:t>
            </w:r>
          </w:p>
        </w:tc>
        <w:tc>
          <w:tcPr>
            <w:tcW w:w="144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7"/>
              </w:rPr>
              <w:t>$2,110.9</w:t>
            </w:r>
          </w:p>
        </w:tc>
        <w:tc>
          <w:tcPr>
            <w:tcW w:w="150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9"/>
              </w:rPr>
              <w:t>(5)%</w:t>
            </w:r>
          </w:p>
        </w:tc>
      </w:tr>
      <w:tr>
        <w:trPr>
          <w:trHeight w:val="208"/>
        </w:trPr>
        <w:tc>
          <w:tcPr>
            <w:tcW w:w="60" w:type="dxa"/>
            <w:vAlign w:val="bottom"/>
            <w:tcBorders>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Sales backlog</w:t>
            </w:r>
            <w:r>
              <w:rPr>
                <w:rFonts w:ascii="Arial" w:cs="Arial" w:eastAsia="Arial" w:hAnsi="Arial"/>
                <w:sz w:val="10"/>
                <w:szCs w:val="10"/>
                <w:color w:val="auto"/>
              </w:rPr>
              <w:t>(4)</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$2,137.7</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7"/>
              </w:rPr>
              <w:t>$2,365.7</w:t>
            </w:r>
          </w:p>
        </w:tc>
        <w:tc>
          <w:tcPr>
            <w:tcW w:w="152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7"/>
              </w:rPr>
              <w:t>(10)%</w:t>
            </w:r>
          </w:p>
        </w:tc>
        <w:tc>
          <w:tcPr>
            <w:tcW w:w="146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7"/>
              </w:rPr>
              <w:t>$2,137.7</w:t>
            </w:r>
          </w:p>
        </w:tc>
        <w:tc>
          <w:tcPr>
            <w:tcW w:w="144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7"/>
              </w:rPr>
              <w:t>$2,365.7</w:t>
            </w:r>
          </w:p>
        </w:tc>
        <w:tc>
          <w:tcPr>
            <w:tcW w:w="150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7"/>
              </w:rPr>
              <w:t>(10)%</w:t>
            </w:r>
          </w:p>
        </w:tc>
      </w:tr>
      <w:tr>
        <w:trPr>
          <w:trHeight w:val="409"/>
        </w:trPr>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Segment Results</w:t>
            </w: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5"/>
        </w:trPr>
        <w:tc>
          <w:tcPr>
            <w:tcW w:w="60" w:type="dxa"/>
            <w:vAlign w:val="bottom"/>
            <w:tcBorders>
              <w:right w:val="single" w:sz="8" w:color="auto"/>
            </w:tcBorders>
          </w:tcPr>
          <w:p>
            <w:pPr>
              <w:spacing w:after="0"/>
              <w:rPr>
                <w:sz w:val="23"/>
                <w:szCs w:val="23"/>
                <w:color w:val="auto"/>
              </w:rPr>
            </w:pPr>
          </w:p>
        </w:tc>
        <w:tc>
          <w:tcPr>
            <w:tcW w:w="3180" w:type="dxa"/>
            <w:vAlign w:val="bottom"/>
            <w:tcBorders>
              <w:top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20"/>
                <w:szCs w:val="20"/>
                <w:color w:val="auto"/>
              </w:rPr>
              <w:t>(In millions)</w:t>
            </w:r>
          </w:p>
        </w:tc>
        <w:tc>
          <w:tcPr>
            <w:tcW w:w="8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97"/>
              </w:rPr>
              <w:t>Q3 FY22</w:t>
            </w:r>
          </w:p>
        </w:tc>
        <w:tc>
          <w:tcPr>
            <w:tcW w:w="8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99"/>
              </w:rPr>
              <w:t>Q3 FY21</w:t>
            </w:r>
          </w:p>
        </w:tc>
        <w:tc>
          <w:tcPr>
            <w:tcW w:w="15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96"/>
              </w:rPr>
              <w:t>Year-Over-Year</w:t>
            </w:r>
          </w:p>
        </w:tc>
        <w:tc>
          <w:tcPr>
            <w:tcW w:w="1460" w:type="dxa"/>
            <w:vAlign w:val="bottom"/>
            <w:tcBorders>
              <w:top w:val="single" w:sz="8" w:color="auto"/>
              <w:right w:val="single" w:sz="8" w:color="auto"/>
            </w:tcBorders>
            <w:shd w:val="clear" w:color="auto" w:fill="D9D9D9"/>
          </w:tcPr>
          <w:p>
            <w:pPr>
              <w:ind w:left="60"/>
              <w:spacing w:after="0"/>
              <w:rPr>
                <w:sz w:val="20"/>
                <w:szCs w:val="20"/>
                <w:color w:val="auto"/>
              </w:rPr>
            </w:pPr>
            <w:r>
              <w:rPr>
                <w:rFonts w:ascii="Arial" w:cs="Arial" w:eastAsia="Arial" w:hAnsi="Arial"/>
                <w:sz w:val="20"/>
                <w:szCs w:val="20"/>
                <w:b w:val="1"/>
                <w:bCs w:val="1"/>
                <w:color w:val="auto"/>
                <w:w w:val="99"/>
              </w:rPr>
              <w:t>First 9 Months</w:t>
            </w:r>
          </w:p>
        </w:tc>
        <w:tc>
          <w:tcPr>
            <w:tcW w:w="1440" w:type="dxa"/>
            <w:vAlign w:val="bottom"/>
            <w:tcBorders>
              <w:top w:val="single" w:sz="8" w:color="auto"/>
              <w:right w:val="single" w:sz="8" w:color="auto"/>
            </w:tcBorders>
            <w:shd w:val="clear" w:color="auto" w:fill="D9D9D9"/>
          </w:tcPr>
          <w:p>
            <w:pPr>
              <w:ind w:left="60"/>
              <w:spacing w:after="0"/>
              <w:rPr>
                <w:sz w:val="20"/>
                <w:szCs w:val="20"/>
                <w:color w:val="auto"/>
              </w:rPr>
            </w:pPr>
            <w:r>
              <w:rPr>
                <w:rFonts w:ascii="Arial" w:cs="Arial" w:eastAsia="Arial" w:hAnsi="Arial"/>
                <w:sz w:val="20"/>
                <w:szCs w:val="20"/>
                <w:b w:val="1"/>
                <w:bCs w:val="1"/>
                <w:color w:val="auto"/>
                <w:w w:val="98"/>
              </w:rPr>
              <w:t>First 9 Months</w:t>
            </w:r>
          </w:p>
        </w:tc>
        <w:tc>
          <w:tcPr>
            <w:tcW w:w="15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97"/>
              </w:rPr>
              <w:t>Year-Over-Year</w:t>
            </w:r>
          </w:p>
        </w:tc>
      </w:tr>
      <w:tr>
        <w:trPr>
          <w:trHeight w:val="161"/>
        </w:trPr>
        <w:tc>
          <w:tcPr>
            <w:tcW w:w="60" w:type="dxa"/>
            <w:vAlign w:val="bottom"/>
            <w:tcBorders>
              <w:right w:val="single" w:sz="8" w:color="auto"/>
            </w:tcBorders>
          </w:tcPr>
          <w:p>
            <w:pPr>
              <w:spacing w:after="0"/>
              <w:rPr>
                <w:sz w:val="13"/>
                <w:szCs w:val="13"/>
                <w:color w:val="auto"/>
              </w:rPr>
            </w:pPr>
          </w:p>
        </w:tc>
        <w:tc>
          <w:tcPr>
            <w:tcW w:w="3180" w:type="dxa"/>
            <w:vAlign w:val="bottom"/>
            <w:tcBorders>
              <w:bottom w:val="single" w:sz="8" w:color="auto"/>
              <w:right w:val="single" w:sz="8" w:color="auto"/>
            </w:tcBorders>
            <w:shd w:val="clear" w:color="auto" w:fill="D9D9D9"/>
          </w:tcPr>
          <w:p>
            <w:pPr>
              <w:spacing w:after="0"/>
              <w:rPr>
                <w:sz w:val="13"/>
                <w:szCs w:val="13"/>
                <w:color w:val="auto"/>
              </w:rPr>
            </w:pPr>
          </w:p>
        </w:tc>
        <w:tc>
          <w:tcPr>
            <w:tcW w:w="880" w:type="dxa"/>
            <w:vAlign w:val="bottom"/>
            <w:tcBorders>
              <w:bottom w:val="single" w:sz="8" w:color="auto"/>
              <w:right w:val="single" w:sz="8" w:color="auto"/>
            </w:tcBorders>
            <w:shd w:val="clear" w:color="auto" w:fill="D9D9D9"/>
          </w:tcPr>
          <w:p>
            <w:pPr>
              <w:spacing w:after="0"/>
              <w:rPr>
                <w:sz w:val="13"/>
                <w:szCs w:val="13"/>
                <w:color w:val="auto"/>
              </w:rPr>
            </w:pPr>
          </w:p>
        </w:tc>
        <w:tc>
          <w:tcPr>
            <w:tcW w:w="880" w:type="dxa"/>
            <w:vAlign w:val="bottom"/>
            <w:tcBorders>
              <w:bottom w:val="single" w:sz="8" w:color="auto"/>
              <w:right w:val="single" w:sz="8" w:color="auto"/>
            </w:tcBorders>
            <w:shd w:val="clear" w:color="auto" w:fill="D9D9D9"/>
          </w:tcPr>
          <w:p>
            <w:pPr>
              <w:spacing w:after="0"/>
              <w:rPr>
                <w:sz w:val="13"/>
                <w:szCs w:val="13"/>
                <w:color w:val="auto"/>
              </w:rPr>
            </w:pPr>
          </w:p>
        </w:tc>
        <w:tc>
          <w:tcPr>
            <w:tcW w:w="1520" w:type="dxa"/>
            <w:vAlign w:val="bottom"/>
            <w:tcBorders>
              <w:bottom w:val="single" w:sz="8" w:color="auto"/>
              <w:right w:val="single" w:sz="8" w:color="auto"/>
            </w:tcBorders>
            <w:shd w:val="clear" w:color="auto" w:fill="D9D9D9"/>
          </w:tcPr>
          <w:p>
            <w:pPr>
              <w:jc w:val="center"/>
              <w:spacing w:after="0" w:line="161" w:lineRule="exact"/>
              <w:rPr>
                <w:sz w:val="20"/>
                <w:szCs w:val="20"/>
                <w:color w:val="auto"/>
              </w:rPr>
            </w:pPr>
            <w:r>
              <w:rPr>
                <w:rFonts w:ascii="Arial" w:cs="Arial" w:eastAsia="Arial" w:hAnsi="Arial"/>
                <w:sz w:val="17"/>
                <w:szCs w:val="17"/>
                <w:b w:val="1"/>
                <w:bCs w:val="1"/>
                <w:color w:val="auto"/>
              </w:rPr>
              <w:t>Change</w:t>
            </w:r>
          </w:p>
        </w:tc>
        <w:tc>
          <w:tcPr>
            <w:tcW w:w="1460" w:type="dxa"/>
            <w:vAlign w:val="bottom"/>
            <w:tcBorders>
              <w:bottom w:val="single" w:sz="8" w:color="auto"/>
              <w:right w:val="single" w:sz="8" w:color="auto"/>
            </w:tcBorders>
            <w:shd w:val="clear" w:color="auto" w:fill="D9D9D9"/>
          </w:tcPr>
          <w:p>
            <w:pPr>
              <w:jc w:val="center"/>
              <w:spacing w:after="0" w:line="161" w:lineRule="exact"/>
              <w:rPr>
                <w:sz w:val="20"/>
                <w:szCs w:val="20"/>
                <w:color w:val="auto"/>
              </w:rPr>
            </w:pPr>
            <w:r>
              <w:rPr>
                <w:rFonts w:ascii="Arial" w:cs="Arial" w:eastAsia="Arial" w:hAnsi="Arial"/>
                <w:sz w:val="17"/>
                <w:szCs w:val="17"/>
                <w:b w:val="1"/>
                <w:bCs w:val="1"/>
                <w:color w:val="auto"/>
              </w:rPr>
              <w:t>FY22</w:t>
            </w:r>
          </w:p>
        </w:tc>
        <w:tc>
          <w:tcPr>
            <w:tcW w:w="1440" w:type="dxa"/>
            <w:vAlign w:val="bottom"/>
            <w:tcBorders>
              <w:bottom w:val="single" w:sz="8" w:color="auto"/>
              <w:right w:val="single" w:sz="8" w:color="auto"/>
            </w:tcBorders>
            <w:shd w:val="clear" w:color="auto" w:fill="D9D9D9"/>
          </w:tcPr>
          <w:p>
            <w:pPr>
              <w:jc w:val="center"/>
              <w:spacing w:after="0" w:line="161" w:lineRule="exact"/>
              <w:rPr>
                <w:sz w:val="20"/>
                <w:szCs w:val="20"/>
                <w:color w:val="auto"/>
              </w:rPr>
            </w:pPr>
            <w:r>
              <w:rPr>
                <w:rFonts w:ascii="Arial" w:cs="Arial" w:eastAsia="Arial" w:hAnsi="Arial"/>
                <w:sz w:val="17"/>
                <w:szCs w:val="17"/>
                <w:b w:val="1"/>
                <w:bCs w:val="1"/>
                <w:color w:val="auto"/>
              </w:rPr>
              <w:t>FY21</w:t>
            </w:r>
          </w:p>
        </w:tc>
        <w:tc>
          <w:tcPr>
            <w:tcW w:w="1500" w:type="dxa"/>
            <w:vAlign w:val="bottom"/>
            <w:tcBorders>
              <w:bottom w:val="single" w:sz="8" w:color="auto"/>
              <w:right w:val="single" w:sz="8" w:color="auto"/>
            </w:tcBorders>
            <w:shd w:val="clear" w:color="auto" w:fill="D9D9D9"/>
          </w:tcPr>
          <w:p>
            <w:pPr>
              <w:jc w:val="center"/>
              <w:spacing w:after="0" w:line="161" w:lineRule="exact"/>
              <w:rPr>
                <w:sz w:val="20"/>
                <w:szCs w:val="20"/>
                <w:color w:val="auto"/>
              </w:rPr>
            </w:pPr>
            <w:r>
              <w:rPr>
                <w:rFonts w:ascii="Arial" w:cs="Arial" w:eastAsia="Arial" w:hAnsi="Arial"/>
                <w:sz w:val="17"/>
                <w:szCs w:val="17"/>
                <w:b w:val="1"/>
                <w:bCs w:val="1"/>
                <w:color w:val="auto"/>
              </w:rPr>
              <w:t>Change</w:t>
            </w:r>
          </w:p>
        </w:tc>
      </w:tr>
      <w:tr>
        <w:trPr>
          <w:trHeight w:val="208"/>
        </w:trPr>
        <w:tc>
          <w:tcPr>
            <w:tcW w:w="60" w:type="dxa"/>
            <w:vAlign w:val="bottom"/>
            <w:tcBorders>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b w:val="1"/>
                <w:bCs w:val="1"/>
                <w:color w:val="auto"/>
              </w:rPr>
              <w:t>Satellite Services</w:t>
            </w:r>
          </w:p>
        </w:tc>
        <w:tc>
          <w:tcPr>
            <w:tcW w:w="8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r>
      <w:tr>
        <w:trPr>
          <w:trHeight w:val="208"/>
        </w:trPr>
        <w:tc>
          <w:tcPr>
            <w:tcW w:w="60" w:type="dxa"/>
            <w:vAlign w:val="bottom"/>
            <w:tcBorders>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tcPr>
          <w:p>
            <w:pPr>
              <w:ind w:left="320"/>
              <w:spacing w:after="0" w:line="207" w:lineRule="exact"/>
              <w:rPr>
                <w:sz w:val="20"/>
                <w:szCs w:val="20"/>
                <w:color w:val="auto"/>
              </w:rPr>
            </w:pPr>
            <w:r>
              <w:rPr>
                <w:rFonts w:ascii="Arial" w:cs="Arial" w:eastAsia="Arial" w:hAnsi="Arial"/>
                <w:sz w:val="20"/>
                <w:szCs w:val="20"/>
                <w:color w:val="auto"/>
              </w:rPr>
              <w:t>New contract awards</w:t>
            </w:r>
            <w:r>
              <w:rPr>
                <w:rFonts w:ascii="Arial" w:cs="Arial" w:eastAsia="Arial" w:hAnsi="Arial"/>
                <w:sz w:val="10"/>
                <w:szCs w:val="10"/>
                <w:color w:val="auto"/>
              </w:rPr>
              <w:t>(3)</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$311.3</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$217.4</w:t>
            </w:r>
          </w:p>
        </w:tc>
        <w:tc>
          <w:tcPr>
            <w:tcW w:w="152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9"/>
              </w:rPr>
              <w:t>43%</w:t>
            </w:r>
          </w:p>
        </w:tc>
        <w:tc>
          <w:tcPr>
            <w:tcW w:w="146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$890.5</w:t>
            </w:r>
          </w:p>
        </w:tc>
        <w:tc>
          <w:tcPr>
            <w:tcW w:w="144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$628.5</w:t>
            </w:r>
          </w:p>
        </w:tc>
        <w:tc>
          <w:tcPr>
            <w:tcW w:w="150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4"/>
              </w:rPr>
              <w:t>42%</w:t>
            </w:r>
          </w:p>
        </w:tc>
      </w:tr>
      <w:tr>
        <w:trPr>
          <w:trHeight w:val="208"/>
        </w:trPr>
        <w:tc>
          <w:tcPr>
            <w:tcW w:w="60" w:type="dxa"/>
            <w:vAlign w:val="bottom"/>
            <w:tcBorders>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tcPr>
          <w:p>
            <w:pPr>
              <w:ind w:left="320"/>
              <w:spacing w:after="0" w:line="207" w:lineRule="exact"/>
              <w:rPr>
                <w:sz w:val="20"/>
                <w:szCs w:val="20"/>
                <w:color w:val="auto"/>
              </w:rPr>
            </w:pPr>
            <w:r>
              <w:rPr>
                <w:rFonts w:ascii="Arial" w:cs="Arial" w:eastAsia="Arial" w:hAnsi="Arial"/>
                <w:sz w:val="20"/>
                <w:szCs w:val="20"/>
                <w:color w:val="auto"/>
              </w:rPr>
              <w:t>Revenues</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$309.7</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$220.8</w:t>
            </w:r>
          </w:p>
        </w:tc>
        <w:tc>
          <w:tcPr>
            <w:tcW w:w="152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9"/>
              </w:rPr>
              <w:t>40%</w:t>
            </w:r>
          </w:p>
        </w:tc>
        <w:tc>
          <w:tcPr>
            <w:tcW w:w="146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$883.9</w:t>
            </w:r>
          </w:p>
        </w:tc>
        <w:tc>
          <w:tcPr>
            <w:tcW w:w="144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$638.7</w:t>
            </w:r>
          </w:p>
        </w:tc>
        <w:tc>
          <w:tcPr>
            <w:tcW w:w="150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4"/>
              </w:rPr>
              <w:t>38%</w:t>
            </w:r>
          </w:p>
        </w:tc>
      </w:tr>
      <w:tr>
        <w:trPr>
          <w:trHeight w:val="208"/>
        </w:trPr>
        <w:tc>
          <w:tcPr>
            <w:tcW w:w="60" w:type="dxa"/>
            <w:vAlign w:val="bottom"/>
            <w:tcBorders>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tcPr>
          <w:p>
            <w:pPr>
              <w:ind w:left="320"/>
              <w:spacing w:after="0" w:line="207" w:lineRule="exact"/>
              <w:rPr>
                <w:sz w:val="20"/>
                <w:szCs w:val="20"/>
                <w:color w:val="auto"/>
              </w:rPr>
            </w:pPr>
            <w:r>
              <w:rPr>
                <w:rFonts w:ascii="Arial" w:cs="Arial" w:eastAsia="Arial" w:hAnsi="Arial"/>
                <w:sz w:val="20"/>
                <w:szCs w:val="20"/>
                <w:color w:val="auto"/>
              </w:rPr>
              <w:t>Operating profit</w:t>
            </w:r>
            <w:r>
              <w:rPr>
                <w:rFonts w:ascii="Arial" w:cs="Arial" w:eastAsia="Arial" w:hAnsi="Arial"/>
                <w:sz w:val="10"/>
                <w:szCs w:val="10"/>
                <w:color w:val="auto"/>
              </w:rPr>
              <w:t>(5)</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9"/>
              </w:rPr>
              <w:t>$14.2</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5"/>
              </w:rPr>
              <w:t>$11.5</w:t>
            </w:r>
          </w:p>
        </w:tc>
        <w:tc>
          <w:tcPr>
            <w:tcW w:w="152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9"/>
              </w:rPr>
              <w:t>24%</w:t>
            </w:r>
          </w:p>
        </w:tc>
        <w:tc>
          <w:tcPr>
            <w:tcW w:w="146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5"/>
              </w:rPr>
              <w:t>$43.7</w:t>
            </w:r>
          </w:p>
        </w:tc>
        <w:tc>
          <w:tcPr>
            <w:tcW w:w="144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9"/>
              </w:rPr>
              <w:t>$21.1</w:t>
            </w:r>
          </w:p>
        </w:tc>
        <w:tc>
          <w:tcPr>
            <w:tcW w:w="150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7"/>
              </w:rPr>
              <w:t>107%</w:t>
            </w:r>
          </w:p>
        </w:tc>
      </w:tr>
      <w:tr>
        <w:trPr>
          <w:trHeight w:val="208"/>
        </w:trPr>
        <w:tc>
          <w:tcPr>
            <w:tcW w:w="60" w:type="dxa"/>
            <w:vAlign w:val="bottom"/>
            <w:tcBorders>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tcPr>
          <w:p>
            <w:pPr>
              <w:ind w:left="320"/>
              <w:spacing w:after="0" w:line="207" w:lineRule="exact"/>
              <w:rPr>
                <w:sz w:val="20"/>
                <w:szCs w:val="20"/>
                <w:color w:val="auto"/>
              </w:rPr>
            </w:pPr>
            <w:r>
              <w:rPr>
                <w:rFonts w:ascii="Arial" w:cs="Arial" w:eastAsia="Arial" w:hAnsi="Arial"/>
                <w:sz w:val="20"/>
                <w:szCs w:val="20"/>
                <w:color w:val="auto"/>
              </w:rPr>
              <w:t>Adjusted EBITDA</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$113.1</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5"/>
              </w:rPr>
              <w:t>$88.1</w:t>
            </w:r>
          </w:p>
        </w:tc>
        <w:tc>
          <w:tcPr>
            <w:tcW w:w="152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9"/>
              </w:rPr>
              <w:t>28%</w:t>
            </w:r>
          </w:p>
        </w:tc>
        <w:tc>
          <w:tcPr>
            <w:tcW w:w="146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$329.6</w:t>
            </w:r>
          </w:p>
        </w:tc>
        <w:tc>
          <w:tcPr>
            <w:tcW w:w="144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$244.1</w:t>
            </w:r>
          </w:p>
        </w:tc>
        <w:tc>
          <w:tcPr>
            <w:tcW w:w="150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4"/>
              </w:rPr>
              <w:t>35%</w:t>
            </w:r>
          </w:p>
        </w:tc>
      </w:tr>
      <w:tr>
        <w:trPr>
          <w:trHeight w:val="154"/>
        </w:trPr>
        <w:tc>
          <w:tcPr>
            <w:tcW w:w="60" w:type="dxa"/>
            <w:vAlign w:val="bottom"/>
            <w:tcBorders>
              <w:right w:val="single" w:sz="8" w:color="auto"/>
            </w:tcBorders>
          </w:tcPr>
          <w:p>
            <w:pPr>
              <w:spacing w:after="0"/>
              <w:rPr>
                <w:sz w:val="13"/>
                <w:szCs w:val="13"/>
                <w:color w:val="auto"/>
              </w:rPr>
            </w:pPr>
          </w:p>
        </w:tc>
        <w:tc>
          <w:tcPr>
            <w:tcW w:w="3180" w:type="dxa"/>
            <w:vAlign w:val="bottom"/>
            <w:tcBorders>
              <w:bottom w:val="single" w:sz="8" w:color="auto"/>
              <w:right w:val="single" w:sz="8" w:color="auto"/>
            </w:tcBorders>
            <w:shd w:val="clear" w:color="auto" w:fill="D9D9D9"/>
          </w:tcPr>
          <w:p>
            <w:pPr>
              <w:spacing w:after="0"/>
              <w:rPr>
                <w:sz w:val="13"/>
                <w:szCs w:val="13"/>
                <w:color w:val="auto"/>
              </w:rPr>
            </w:pPr>
          </w:p>
        </w:tc>
        <w:tc>
          <w:tcPr>
            <w:tcW w:w="880" w:type="dxa"/>
            <w:vAlign w:val="bottom"/>
            <w:tcBorders>
              <w:bottom w:val="single" w:sz="8" w:color="auto"/>
              <w:right w:val="single" w:sz="8" w:color="auto"/>
            </w:tcBorders>
            <w:shd w:val="clear" w:color="auto" w:fill="D9D9D9"/>
          </w:tcPr>
          <w:p>
            <w:pPr>
              <w:spacing w:after="0"/>
              <w:rPr>
                <w:sz w:val="13"/>
                <w:szCs w:val="13"/>
                <w:color w:val="auto"/>
              </w:rPr>
            </w:pPr>
          </w:p>
        </w:tc>
        <w:tc>
          <w:tcPr>
            <w:tcW w:w="880" w:type="dxa"/>
            <w:vAlign w:val="bottom"/>
            <w:tcBorders>
              <w:bottom w:val="single" w:sz="8" w:color="auto"/>
              <w:right w:val="single" w:sz="8" w:color="auto"/>
            </w:tcBorders>
            <w:shd w:val="clear" w:color="auto" w:fill="D9D9D9"/>
          </w:tcPr>
          <w:p>
            <w:pPr>
              <w:spacing w:after="0"/>
              <w:rPr>
                <w:sz w:val="13"/>
                <w:szCs w:val="13"/>
                <w:color w:val="auto"/>
              </w:rPr>
            </w:pPr>
          </w:p>
        </w:tc>
        <w:tc>
          <w:tcPr>
            <w:tcW w:w="1520" w:type="dxa"/>
            <w:vAlign w:val="bottom"/>
            <w:tcBorders>
              <w:bottom w:val="single" w:sz="8" w:color="auto"/>
              <w:right w:val="single" w:sz="8" w:color="auto"/>
            </w:tcBorders>
            <w:shd w:val="clear" w:color="auto" w:fill="D9D9D9"/>
          </w:tcPr>
          <w:p>
            <w:pPr>
              <w:spacing w:after="0"/>
              <w:rPr>
                <w:sz w:val="13"/>
                <w:szCs w:val="13"/>
                <w:color w:val="auto"/>
              </w:rPr>
            </w:pPr>
          </w:p>
        </w:tc>
        <w:tc>
          <w:tcPr>
            <w:tcW w:w="1460" w:type="dxa"/>
            <w:vAlign w:val="bottom"/>
            <w:tcBorders>
              <w:bottom w:val="single" w:sz="8" w:color="auto"/>
              <w:right w:val="single" w:sz="8" w:color="auto"/>
            </w:tcBorders>
            <w:shd w:val="clear" w:color="auto" w:fill="D9D9D9"/>
          </w:tcPr>
          <w:p>
            <w:pPr>
              <w:spacing w:after="0"/>
              <w:rPr>
                <w:sz w:val="13"/>
                <w:szCs w:val="13"/>
                <w:color w:val="auto"/>
              </w:rPr>
            </w:pPr>
          </w:p>
        </w:tc>
        <w:tc>
          <w:tcPr>
            <w:tcW w:w="1440" w:type="dxa"/>
            <w:vAlign w:val="bottom"/>
            <w:tcBorders>
              <w:bottom w:val="single" w:sz="8" w:color="auto"/>
              <w:right w:val="single" w:sz="8" w:color="auto"/>
            </w:tcBorders>
            <w:shd w:val="clear" w:color="auto" w:fill="D9D9D9"/>
          </w:tcPr>
          <w:p>
            <w:pPr>
              <w:spacing w:after="0"/>
              <w:rPr>
                <w:sz w:val="13"/>
                <w:szCs w:val="13"/>
                <w:color w:val="auto"/>
              </w:rPr>
            </w:pPr>
          </w:p>
        </w:tc>
        <w:tc>
          <w:tcPr>
            <w:tcW w:w="1500" w:type="dxa"/>
            <w:vAlign w:val="bottom"/>
            <w:tcBorders>
              <w:bottom w:val="single" w:sz="8" w:color="auto"/>
              <w:right w:val="single" w:sz="8" w:color="auto"/>
            </w:tcBorders>
            <w:shd w:val="clear" w:color="auto" w:fill="D9D9D9"/>
          </w:tcPr>
          <w:p>
            <w:pPr>
              <w:spacing w:after="0"/>
              <w:rPr>
                <w:sz w:val="13"/>
                <w:szCs w:val="13"/>
                <w:color w:val="auto"/>
              </w:rPr>
            </w:pPr>
          </w:p>
        </w:tc>
      </w:tr>
      <w:tr>
        <w:trPr>
          <w:trHeight w:val="208"/>
        </w:trPr>
        <w:tc>
          <w:tcPr>
            <w:tcW w:w="60" w:type="dxa"/>
            <w:vAlign w:val="bottom"/>
            <w:tcBorders>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b w:val="1"/>
                <w:bCs w:val="1"/>
                <w:color w:val="auto"/>
              </w:rPr>
              <w:t>Commercial Networks</w:t>
            </w:r>
          </w:p>
        </w:tc>
        <w:tc>
          <w:tcPr>
            <w:tcW w:w="8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r>
      <w:tr>
        <w:trPr>
          <w:trHeight w:val="208"/>
        </w:trPr>
        <w:tc>
          <w:tcPr>
            <w:tcW w:w="60" w:type="dxa"/>
            <w:vAlign w:val="bottom"/>
            <w:tcBorders>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tcPr>
          <w:p>
            <w:pPr>
              <w:ind w:left="320"/>
              <w:spacing w:after="0" w:line="207" w:lineRule="exact"/>
              <w:rPr>
                <w:sz w:val="20"/>
                <w:szCs w:val="20"/>
                <w:color w:val="auto"/>
              </w:rPr>
            </w:pPr>
            <w:r>
              <w:rPr>
                <w:rFonts w:ascii="Arial" w:cs="Arial" w:eastAsia="Arial" w:hAnsi="Arial"/>
                <w:sz w:val="20"/>
                <w:szCs w:val="20"/>
                <w:color w:val="auto"/>
              </w:rPr>
              <w:t>New contract awards</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9"/>
              </w:rPr>
              <w:t>$89.9</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$235.1</w:t>
            </w:r>
          </w:p>
        </w:tc>
        <w:tc>
          <w:tcPr>
            <w:tcW w:w="152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7"/>
              </w:rPr>
              <w:t>(62)%</w:t>
            </w:r>
          </w:p>
        </w:tc>
        <w:tc>
          <w:tcPr>
            <w:tcW w:w="146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$267.0</w:t>
            </w:r>
          </w:p>
        </w:tc>
        <w:tc>
          <w:tcPr>
            <w:tcW w:w="144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$504.0</w:t>
            </w:r>
          </w:p>
        </w:tc>
        <w:tc>
          <w:tcPr>
            <w:tcW w:w="150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(47)%</w:t>
            </w:r>
          </w:p>
        </w:tc>
      </w:tr>
      <w:tr>
        <w:trPr>
          <w:trHeight w:val="208"/>
        </w:trPr>
        <w:tc>
          <w:tcPr>
            <w:tcW w:w="60" w:type="dxa"/>
            <w:vAlign w:val="bottom"/>
            <w:tcBorders>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tcPr>
          <w:p>
            <w:pPr>
              <w:ind w:left="320"/>
              <w:spacing w:after="0" w:line="207" w:lineRule="exact"/>
              <w:rPr>
                <w:sz w:val="20"/>
                <w:szCs w:val="20"/>
                <w:color w:val="auto"/>
              </w:rPr>
            </w:pPr>
            <w:r>
              <w:rPr>
                <w:rFonts w:ascii="Arial" w:cs="Arial" w:eastAsia="Arial" w:hAnsi="Arial"/>
                <w:sz w:val="20"/>
                <w:szCs w:val="20"/>
                <w:color w:val="auto"/>
              </w:rPr>
              <w:t>Revenues</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$139.7</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5"/>
              </w:rPr>
              <w:t>$90.1</w:t>
            </w:r>
          </w:p>
        </w:tc>
        <w:tc>
          <w:tcPr>
            <w:tcW w:w="152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9"/>
              </w:rPr>
              <w:t>55%</w:t>
            </w:r>
          </w:p>
        </w:tc>
        <w:tc>
          <w:tcPr>
            <w:tcW w:w="146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$393.1</w:t>
            </w:r>
          </w:p>
        </w:tc>
        <w:tc>
          <w:tcPr>
            <w:tcW w:w="144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$236.1</w:t>
            </w:r>
          </w:p>
        </w:tc>
        <w:tc>
          <w:tcPr>
            <w:tcW w:w="150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4"/>
              </w:rPr>
              <w:t>66%</w:t>
            </w:r>
          </w:p>
        </w:tc>
      </w:tr>
      <w:tr>
        <w:trPr>
          <w:trHeight w:val="208"/>
        </w:trPr>
        <w:tc>
          <w:tcPr>
            <w:tcW w:w="60" w:type="dxa"/>
            <w:vAlign w:val="bottom"/>
            <w:tcBorders>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tcPr>
          <w:p>
            <w:pPr>
              <w:ind w:left="320"/>
              <w:spacing w:after="0" w:line="207" w:lineRule="exact"/>
              <w:rPr>
                <w:sz w:val="20"/>
                <w:szCs w:val="20"/>
                <w:color w:val="auto"/>
              </w:rPr>
            </w:pPr>
            <w:r>
              <w:rPr>
                <w:rFonts w:ascii="Arial" w:cs="Arial" w:eastAsia="Arial" w:hAnsi="Arial"/>
                <w:sz w:val="20"/>
                <w:szCs w:val="20"/>
                <w:color w:val="auto"/>
              </w:rPr>
              <w:t>Operating loss</w:t>
            </w:r>
            <w:r>
              <w:rPr>
                <w:rFonts w:ascii="Arial" w:cs="Arial" w:eastAsia="Arial" w:hAnsi="Arial"/>
                <w:sz w:val="10"/>
                <w:szCs w:val="10"/>
                <w:color w:val="auto"/>
              </w:rPr>
              <w:t>(5)</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7"/>
              </w:rPr>
              <w:t>($44.6)</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($39.0)</w:t>
            </w:r>
          </w:p>
        </w:tc>
        <w:tc>
          <w:tcPr>
            <w:tcW w:w="152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9"/>
              </w:rPr>
              <w:t>14%</w:t>
            </w:r>
          </w:p>
        </w:tc>
        <w:tc>
          <w:tcPr>
            <w:tcW w:w="146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6"/>
              </w:rPr>
              <w:t>($127.6)</w:t>
            </w:r>
          </w:p>
        </w:tc>
        <w:tc>
          <w:tcPr>
            <w:tcW w:w="144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9"/>
              </w:rPr>
              <w:t>($135.8)</w:t>
            </w:r>
          </w:p>
        </w:tc>
        <w:tc>
          <w:tcPr>
            <w:tcW w:w="150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9"/>
              </w:rPr>
              <w:t>(6)%</w:t>
            </w:r>
          </w:p>
        </w:tc>
      </w:tr>
      <w:tr>
        <w:trPr>
          <w:trHeight w:val="208"/>
        </w:trPr>
        <w:tc>
          <w:tcPr>
            <w:tcW w:w="60" w:type="dxa"/>
            <w:vAlign w:val="bottom"/>
            <w:tcBorders>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tcPr>
          <w:p>
            <w:pPr>
              <w:ind w:left="320"/>
              <w:spacing w:after="0" w:line="207" w:lineRule="exact"/>
              <w:rPr>
                <w:sz w:val="20"/>
                <w:szCs w:val="20"/>
                <w:color w:val="auto"/>
              </w:rPr>
            </w:pPr>
            <w:r>
              <w:rPr>
                <w:rFonts w:ascii="Arial" w:cs="Arial" w:eastAsia="Arial" w:hAnsi="Arial"/>
                <w:sz w:val="20"/>
                <w:szCs w:val="20"/>
                <w:color w:val="auto"/>
              </w:rPr>
              <w:t>Adjusted EBITDA</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7"/>
              </w:rPr>
              <w:t>($23.8)</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($18.8)</w:t>
            </w:r>
          </w:p>
        </w:tc>
        <w:tc>
          <w:tcPr>
            <w:tcW w:w="152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9"/>
              </w:rPr>
              <w:t>27%</w:t>
            </w:r>
          </w:p>
        </w:tc>
        <w:tc>
          <w:tcPr>
            <w:tcW w:w="146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($67.1)</w:t>
            </w:r>
          </w:p>
        </w:tc>
        <w:tc>
          <w:tcPr>
            <w:tcW w:w="144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7"/>
              </w:rPr>
              <w:t>($79.5)</w:t>
            </w:r>
          </w:p>
        </w:tc>
        <w:tc>
          <w:tcPr>
            <w:tcW w:w="150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(16)%</w:t>
            </w:r>
          </w:p>
        </w:tc>
      </w:tr>
      <w:tr>
        <w:trPr>
          <w:trHeight w:val="154"/>
        </w:trPr>
        <w:tc>
          <w:tcPr>
            <w:tcW w:w="60" w:type="dxa"/>
            <w:vAlign w:val="bottom"/>
            <w:tcBorders>
              <w:right w:val="single" w:sz="8" w:color="auto"/>
            </w:tcBorders>
          </w:tcPr>
          <w:p>
            <w:pPr>
              <w:spacing w:after="0"/>
              <w:rPr>
                <w:sz w:val="13"/>
                <w:szCs w:val="13"/>
                <w:color w:val="auto"/>
              </w:rPr>
            </w:pPr>
          </w:p>
        </w:tc>
        <w:tc>
          <w:tcPr>
            <w:tcW w:w="3180" w:type="dxa"/>
            <w:vAlign w:val="bottom"/>
            <w:tcBorders>
              <w:bottom w:val="single" w:sz="8" w:color="auto"/>
              <w:right w:val="single" w:sz="8" w:color="auto"/>
            </w:tcBorders>
            <w:shd w:val="clear" w:color="auto" w:fill="D9D9D9"/>
          </w:tcPr>
          <w:p>
            <w:pPr>
              <w:spacing w:after="0"/>
              <w:rPr>
                <w:sz w:val="13"/>
                <w:szCs w:val="13"/>
                <w:color w:val="auto"/>
              </w:rPr>
            </w:pPr>
          </w:p>
        </w:tc>
        <w:tc>
          <w:tcPr>
            <w:tcW w:w="880" w:type="dxa"/>
            <w:vAlign w:val="bottom"/>
            <w:tcBorders>
              <w:bottom w:val="single" w:sz="8" w:color="auto"/>
              <w:right w:val="single" w:sz="8" w:color="auto"/>
            </w:tcBorders>
            <w:shd w:val="clear" w:color="auto" w:fill="D9D9D9"/>
          </w:tcPr>
          <w:p>
            <w:pPr>
              <w:spacing w:after="0"/>
              <w:rPr>
                <w:sz w:val="13"/>
                <w:szCs w:val="13"/>
                <w:color w:val="auto"/>
              </w:rPr>
            </w:pPr>
          </w:p>
        </w:tc>
        <w:tc>
          <w:tcPr>
            <w:tcW w:w="880" w:type="dxa"/>
            <w:vAlign w:val="bottom"/>
            <w:tcBorders>
              <w:bottom w:val="single" w:sz="8" w:color="auto"/>
              <w:right w:val="single" w:sz="8" w:color="auto"/>
            </w:tcBorders>
            <w:shd w:val="clear" w:color="auto" w:fill="D9D9D9"/>
          </w:tcPr>
          <w:p>
            <w:pPr>
              <w:spacing w:after="0"/>
              <w:rPr>
                <w:sz w:val="13"/>
                <w:szCs w:val="13"/>
                <w:color w:val="auto"/>
              </w:rPr>
            </w:pPr>
          </w:p>
        </w:tc>
        <w:tc>
          <w:tcPr>
            <w:tcW w:w="1520" w:type="dxa"/>
            <w:vAlign w:val="bottom"/>
            <w:tcBorders>
              <w:bottom w:val="single" w:sz="8" w:color="auto"/>
              <w:right w:val="single" w:sz="8" w:color="auto"/>
            </w:tcBorders>
            <w:shd w:val="clear" w:color="auto" w:fill="D9D9D9"/>
          </w:tcPr>
          <w:p>
            <w:pPr>
              <w:spacing w:after="0"/>
              <w:rPr>
                <w:sz w:val="13"/>
                <w:szCs w:val="13"/>
                <w:color w:val="auto"/>
              </w:rPr>
            </w:pPr>
          </w:p>
        </w:tc>
        <w:tc>
          <w:tcPr>
            <w:tcW w:w="1460" w:type="dxa"/>
            <w:vAlign w:val="bottom"/>
            <w:tcBorders>
              <w:bottom w:val="single" w:sz="8" w:color="auto"/>
              <w:right w:val="single" w:sz="8" w:color="auto"/>
            </w:tcBorders>
            <w:shd w:val="clear" w:color="auto" w:fill="D9D9D9"/>
          </w:tcPr>
          <w:p>
            <w:pPr>
              <w:spacing w:after="0"/>
              <w:rPr>
                <w:sz w:val="13"/>
                <w:szCs w:val="13"/>
                <w:color w:val="auto"/>
              </w:rPr>
            </w:pPr>
          </w:p>
        </w:tc>
        <w:tc>
          <w:tcPr>
            <w:tcW w:w="1440" w:type="dxa"/>
            <w:vAlign w:val="bottom"/>
            <w:tcBorders>
              <w:bottom w:val="single" w:sz="8" w:color="auto"/>
              <w:right w:val="single" w:sz="8" w:color="auto"/>
            </w:tcBorders>
            <w:shd w:val="clear" w:color="auto" w:fill="D9D9D9"/>
          </w:tcPr>
          <w:p>
            <w:pPr>
              <w:spacing w:after="0"/>
              <w:rPr>
                <w:sz w:val="13"/>
                <w:szCs w:val="13"/>
                <w:color w:val="auto"/>
              </w:rPr>
            </w:pPr>
          </w:p>
        </w:tc>
        <w:tc>
          <w:tcPr>
            <w:tcW w:w="1500" w:type="dxa"/>
            <w:vAlign w:val="bottom"/>
            <w:tcBorders>
              <w:bottom w:val="single" w:sz="8" w:color="auto"/>
              <w:right w:val="single" w:sz="8" w:color="auto"/>
            </w:tcBorders>
            <w:shd w:val="clear" w:color="auto" w:fill="D9D9D9"/>
          </w:tcPr>
          <w:p>
            <w:pPr>
              <w:spacing w:after="0"/>
              <w:rPr>
                <w:sz w:val="13"/>
                <w:szCs w:val="13"/>
                <w:color w:val="auto"/>
              </w:rPr>
            </w:pPr>
          </w:p>
        </w:tc>
      </w:tr>
      <w:tr>
        <w:trPr>
          <w:trHeight w:val="208"/>
        </w:trPr>
        <w:tc>
          <w:tcPr>
            <w:tcW w:w="60" w:type="dxa"/>
            <w:vAlign w:val="bottom"/>
            <w:tcBorders>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b w:val="1"/>
                <w:bCs w:val="1"/>
                <w:color w:val="auto"/>
              </w:rPr>
              <w:t>Government Systems</w:t>
            </w:r>
          </w:p>
        </w:tc>
        <w:tc>
          <w:tcPr>
            <w:tcW w:w="8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r>
      <w:tr>
        <w:trPr>
          <w:trHeight w:val="208"/>
        </w:trPr>
        <w:tc>
          <w:tcPr>
            <w:tcW w:w="60" w:type="dxa"/>
            <w:vAlign w:val="bottom"/>
            <w:tcBorders>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tcPr>
          <w:p>
            <w:pPr>
              <w:ind w:left="320"/>
              <w:spacing w:after="0" w:line="207" w:lineRule="exact"/>
              <w:rPr>
                <w:sz w:val="20"/>
                <w:szCs w:val="20"/>
                <w:color w:val="auto"/>
              </w:rPr>
            </w:pPr>
            <w:r>
              <w:rPr>
                <w:rFonts w:ascii="Arial" w:cs="Arial" w:eastAsia="Arial" w:hAnsi="Arial"/>
                <w:sz w:val="20"/>
                <w:szCs w:val="20"/>
                <w:color w:val="auto"/>
              </w:rPr>
              <w:t>New contract awards</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$167.7</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$190.9</w:t>
            </w:r>
          </w:p>
        </w:tc>
        <w:tc>
          <w:tcPr>
            <w:tcW w:w="152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7"/>
              </w:rPr>
              <w:t>(12)%</w:t>
            </w:r>
          </w:p>
        </w:tc>
        <w:tc>
          <w:tcPr>
            <w:tcW w:w="146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$838.1</w:t>
            </w:r>
          </w:p>
        </w:tc>
        <w:tc>
          <w:tcPr>
            <w:tcW w:w="144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$978.4</w:t>
            </w:r>
          </w:p>
        </w:tc>
        <w:tc>
          <w:tcPr>
            <w:tcW w:w="150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(14)%</w:t>
            </w:r>
          </w:p>
        </w:tc>
      </w:tr>
      <w:tr>
        <w:trPr>
          <w:trHeight w:val="208"/>
        </w:trPr>
        <w:tc>
          <w:tcPr>
            <w:tcW w:w="60" w:type="dxa"/>
            <w:vAlign w:val="bottom"/>
            <w:tcBorders>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tcPr>
          <w:p>
            <w:pPr>
              <w:ind w:left="320"/>
              <w:spacing w:after="0" w:line="207" w:lineRule="exact"/>
              <w:rPr>
                <w:sz w:val="20"/>
                <w:szCs w:val="20"/>
                <w:color w:val="auto"/>
              </w:rPr>
            </w:pPr>
            <w:r>
              <w:rPr>
                <w:rFonts w:ascii="Arial" w:cs="Arial" w:eastAsia="Arial" w:hAnsi="Arial"/>
                <w:sz w:val="20"/>
                <w:szCs w:val="20"/>
                <w:color w:val="auto"/>
              </w:rPr>
              <w:t>Revenues</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$270.3</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$264.7</w:t>
            </w:r>
          </w:p>
        </w:tc>
        <w:tc>
          <w:tcPr>
            <w:tcW w:w="152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6"/>
              </w:rPr>
              <w:t>2%</w:t>
            </w:r>
          </w:p>
        </w:tc>
        <w:tc>
          <w:tcPr>
            <w:tcW w:w="146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$808.9</w:t>
            </w:r>
          </w:p>
        </w:tc>
        <w:tc>
          <w:tcPr>
            <w:tcW w:w="144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$785.5</w:t>
            </w:r>
          </w:p>
        </w:tc>
        <w:tc>
          <w:tcPr>
            <w:tcW w:w="150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3%</w:t>
            </w:r>
          </w:p>
        </w:tc>
      </w:tr>
      <w:tr>
        <w:trPr>
          <w:trHeight w:val="208"/>
        </w:trPr>
        <w:tc>
          <w:tcPr>
            <w:tcW w:w="60" w:type="dxa"/>
            <w:vAlign w:val="bottom"/>
            <w:tcBorders>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tcPr>
          <w:p>
            <w:pPr>
              <w:ind w:left="320"/>
              <w:spacing w:after="0" w:line="207" w:lineRule="exact"/>
              <w:rPr>
                <w:sz w:val="20"/>
                <w:szCs w:val="20"/>
                <w:color w:val="auto"/>
              </w:rPr>
            </w:pPr>
            <w:r>
              <w:rPr>
                <w:rFonts w:ascii="Arial" w:cs="Arial" w:eastAsia="Arial" w:hAnsi="Arial"/>
                <w:sz w:val="20"/>
                <w:szCs w:val="20"/>
                <w:color w:val="auto"/>
              </w:rPr>
              <w:t>Operating profit</w:t>
            </w:r>
            <w:r>
              <w:rPr>
                <w:rFonts w:ascii="Arial" w:cs="Arial" w:eastAsia="Arial" w:hAnsi="Arial"/>
                <w:sz w:val="10"/>
                <w:szCs w:val="10"/>
                <w:color w:val="auto"/>
              </w:rPr>
              <w:t>(5)</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9"/>
              </w:rPr>
              <w:t>$42.5</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5"/>
              </w:rPr>
              <w:t>$50.6</w:t>
            </w:r>
          </w:p>
        </w:tc>
        <w:tc>
          <w:tcPr>
            <w:tcW w:w="152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7"/>
              </w:rPr>
              <w:t>(16)%</w:t>
            </w:r>
          </w:p>
        </w:tc>
        <w:tc>
          <w:tcPr>
            <w:tcW w:w="146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$133.9</w:t>
            </w:r>
          </w:p>
        </w:tc>
        <w:tc>
          <w:tcPr>
            <w:tcW w:w="144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$148.0</w:t>
            </w:r>
          </w:p>
        </w:tc>
        <w:tc>
          <w:tcPr>
            <w:tcW w:w="150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(10)%</w:t>
            </w:r>
          </w:p>
        </w:tc>
      </w:tr>
      <w:tr>
        <w:trPr>
          <w:trHeight w:val="208"/>
        </w:trPr>
        <w:tc>
          <w:tcPr>
            <w:tcW w:w="60" w:type="dxa"/>
            <w:vAlign w:val="bottom"/>
            <w:tcBorders>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tcPr>
          <w:p>
            <w:pPr>
              <w:ind w:left="320"/>
              <w:spacing w:after="0" w:line="207" w:lineRule="exact"/>
              <w:rPr>
                <w:sz w:val="20"/>
                <w:szCs w:val="20"/>
                <w:color w:val="auto"/>
              </w:rPr>
            </w:pPr>
            <w:r>
              <w:rPr>
                <w:rFonts w:ascii="Arial" w:cs="Arial" w:eastAsia="Arial" w:hAnsi="Arial"/>
                <w:sz w:val="20"/>
                <w:szCs w:val="20"/>
                <w:color w:val="auto"/>
              </w:rPr>
              <w:t>Adjusted EBITDA</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9"/>
              </w:rPr>
              <w:t>$73.6</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5"/>
              </w:rPr>
              <w:t>$78.2</w:t>
            </w:r>
          </w:p>
        </w:tc>
        <w:tc>
          <w:tcPr>
            <w:tcW w:w="152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4"/>
              </w:rPr>
              <w:t>(6)%</w:t>
            </w:r>
          </w:p>
        </w:tc>
        <w:tc>
          <w:tcPr>
            <w:tcW w:w="146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$214.3</w:t>
            </w:r>
          </w:p>
        </w:tc>
        <w:tc>
          <w:tcPr>
            <w:tcW w:w="144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$218.1</w:t>
            </w:r>
          </w:p>
        </w:tc>
        <w:tc>
          <w:tcPr>
            <w:tcW w:w="150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9"/>
              </w:rPr>
              <w:t>(2)%</w:t>
            </w:r>
          </w:p>
        </w:tc>
      </w:tr>
    </w:tbl>
    <w:p>
      <w:pPr>
        <w:spacing w:after="0" w:line="177" w:lineRule="exact"/>
        <w:rPr>
          <w:sz w:val="20"/>
          <w:szCs w:val="20"/>
          <w:color w:val="auto"/>
        </w:rPr>
      </w:pPr>
    </w:p>
    <w:p>
      <w:pPr>
        <w:ind w:left="165" w:hanging="165"/>
        <w:spacing w:after="0"/>
        <w:tabs>
          <w:tab w:leader="none" w:pos="165" w:val="left"/>
        </w:tabs>
        <w:numPr>
          <w:ilvl w:val="0"/>
          <w:numId w:val="5"/>
        </w:numPr>
        <w:rPr>
          <w:rFonts w:ascii="Arial" w:cs="Arial" w:eastAsia="Arial" w:hAnsi="Arial"/>
          <w:sz w:val="20"/>
          <w:szCs w:val="20"/>
          <w:color w:val="auto"/>
          <w:vertAlign w:val="superscript"/>
        </w:rPr>
      </w:pPr>
      <w:r>
        <w:rPr>
          <w:rFonts w:ascii="Arial" w:cs="Arial" w:eastAsia="Arial" w:hAnsi="Arial"/>
          <w:sz w:val="12"/>
          <w:szCs w:val="12"/>
          <w:color w:val="auto"/>
        </w:rPr>
        <w:t>Attributable to Viasat, Inc. common stockholders.</w:t>
      </w:r>
    </w:p>
    <w:p>
      <w:pPr>
        <w:ind w:left="165" w:right="60" w:hanging="165"/>
        <w:spacing w:after="0" w:line="239" w:lineRule="auto"/>
        <w:tabs>
          <w:tab w:leader="none" w:pos="165" w:val="left"/>
        </w:tabs>
        <w:numPr>
          <w:ilvl w:val="0"/>
          <w:numId w:val="5"/>
        </w:numPr>
        <w:rPr>
          <w:rFonts w:ascii="Arial" w:cs="Arial" w:eastAsia="Arial" w:hAnsi="Arial"/>
          <w:sz w:val="20"/>
          <w:szCs w:val="20"/>
          <w:color w:val="auto"/>
          <w:vertAlign w:val="superscript"/>
        </w:rPr>
      </w:pPr>
      <w:r>
        <w:rPr>
          <w:rFonts w:ascii="Arial" w:cs="Arial" w:eastAsia="Arial" w:hAnsi="Arial"/>
          <w:sz w:val="12"/>
          <w:szCs w:val="12"/>
          <w:color w:val="auto"/>
        </w:rPr>
        <w:t>As the three months ended December 31, 2021 and nine months ended December 31, 2020 financial information resulted in a net loss, the weighted average number of shares used to calculate basic and diluted net loss per share is the same, as diluted shares would be anti-dilutive. However, as the non-GAAP financial information for the three months ended December 31, 2021 and nine months ended December 31, 2020 resulted in non-GAAP net income, 75.5 million and 66.3 million, respectively, diluted weighted average number of shares were used instead to calculate non-GAAP diluted net income per share.</w:t>
      </w:r>
    </w:p>
    <w:p>
      <w:pPr>
        <w:spacing w:after="0" w:line="2" w:lineRule="exact"/>
        <w:rPr>
          <w:rFonts w:ascii="Arial" w:cs="Arial" w:eastAsia="Arial" w:hAnsi="Arial"/>
          <w:sz w:val="20"/>
          <w:szCs w:val="20"/>
          <w:color w:val="auto"/>
          <w:vertAlign w:val="superscript"/>
        </w:rPr>
      </w:pPr>
    </w:p>
    <w:p>
      <w:pPr>
        <w:ind w:left="165" w:hanging="165"/>
        <w:spacing w:after="0" w:line="186" w:lineRule="auto"/>
        <w:tabs>
          <w:tab w:leader="none" w:pos="165" w:val="left"/>
        </w:tabs>
        <w:numPr>
          <w:ilvl w:val="0"/>
          <w:numId w:val="5"/>
        </w:numPr>
        <w:rPr>
          <w:rFonts w:ascii="Arial" w:cs="Arial" w:eastAsia="Arial" w:hAnsi="Arial"/>
          <w:sz w:val="18"/>
          <w:szCs w:val="18"/>
          <w:color w:val="auto"/>
          <w:vertAlign w:val="superscript"/>
        </w:rPr>
      </w:pPr>
      <w:r>
        <w:rPr>
          <w:rFonts w:ascii="Arial" w:cs="Arial" w:eastAsia="Arial" w:hAnsi="Arial"/>
          <w:sz w:val="11"/>
          <w:szCs w:val="11"/>
          <w:color w:val="auto"/>
        </w:rPr>
        <w:t>Awards exclude future revenue under recurring consumer commitment arrangements.</w:t>
      </w:r>
    </w:p>
    <w:p>
      <w:pPr>
        <w:ind w:left="165" w:right="120" w:hanging="165"/>
        <w:spacing w:after="0" w:line="228" w:lineRule="auto"/>
        <w:tabs>
          <w:tab w:leader="none" w:pos="165" w:val="left"/>
        </w:tabs>
        <w:numPr>
          <w:ilvl w:val="0"/>
          <w:numId w:val="5"/>
        </w:numPr>
        <w:rPr>
          <w:rFonts w:ascii="Arial" w:cs="Arial" w:eastAsia="Arial" w:hAnsi="Arial"/>
          <w:sz w:val="20"/>
          <w:szCs w:val="20"/>
          <w:color w:val="auto"/>
          <w:vertAlign w:val="superscript"/>
        </w:rPr>
      </w:pPr>
      <w:r>
        <w:rPr>
          <w:rFonts w:ascii="Arial" w:cs="Arial" w:eastAsia="Arial" w:hAnsi="Arial"/>
          <w:sz w:val="12"/>
          <w:szCs w:val="12"/>
          <w:color w:val="auto"/>
        </w:rPr>
        <w:t>Amounts include certain backlog adjustments due to contract changes and amendments. Our backlog includes contracts with subscribers for fixed broadband services in our satellite services segment. Backlog does not include anticipated purchase orders and requests for the installation of in-flight connectivity systems or future recurring in-flight internet service revenues under our commercial in-flight internet agreements in our Commercial Networks and Satellite Services segments, respectively.</w:t>
      </w:r>
    </w:p>
    <w:p>
      <w:pPr>
        <w:spacing w:after="0" w:line="1" w:lineRule="exact"/>
        <w:rPr>
          <w:rFonts w:ascii="Arial" w:cs="Arial" w:eastAsia="Arial" w:hAnsi="Arial"/>
          <w:sz w:val="20"/>
          <w:szCs w:val="20"/>
          <w:color w:val="auto"/>
          <w:vertAlign w:val="superscript"/>
        </w:rPr>
      </w:pPr>
    </w:p>
    <w:p>
      <w:pPr>
        <w:ind w:left="165" w:hanging="165"/>
        <w:spacing w:after="0" w:line="186" w:lineRule="auto"/>
        <w:tabs>
          <w:tab w:leader="none" w:pos="165" w:val="left"/>
        </w:tabs>
        <w:numPr>
          <w:ilvl w:val="0"/>
          <w:numId w:val="5"/>
        </w:numPr>
        <w:rPr>
          <w:rFonts w:ascii="Arial" w:cs="Arial" w:eastAsia="Arial" w:hAnsi="Arial"/>
          <w:sz w:val="18"/>
          <w:szCs w:val="18"/>
          <w:color w:val="auto"/>
          <w:vertAlign w:val="superscript"/>
        </w:rPr>
      </w:pPr>
      <w:r>
        <w:rPr>
          <w:rFonts w:ascii="Arial" w:cs="Arial" w:eastAsia="Arial" w:hAnsi="Arial"/>
          <w:sz w:val="11"/>
          <w:szCs w:val="11"/>
          <w:color w:val="auto"/>
        </w:rPr>
        <w:t>Before corporate and amortization of acquired intangible assets.</w:t>
      </w:r>
    </w:p>
    <w:p>
      <w:pPr>
        <w:ind w:left="5"/>
        <w:spacing w:after="0"/>
        <w:rPr>
          <w:sz w:val="20"/>
          <w:szCs w:val="20"/>
          <w:color w:val="auto"/>
        </w:rPr>
      </w:pPr>
      <w:r>
        <w:rPr>
          <w:rFonts w:ascii="Arial" w:cs="Arial" w:eastAsia="Arial" w:hAnsi="Arial"/>
          <w:sz w:val="14"/>
          <w:szCs w:val="14"/>
          <w:color w:val="auto"/>
        </w:rPr>
        <w:t>* Percentage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7102475" cy="170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2475" cy="170180"/>
                    </a:xfrm>
                    <a:prstGeom prst="rect">
                      <a:avLst/>
                    </a:prstGeom>
                    <a:noFill/>
                  </pic:spPr>
                </pic:pic>
              </a:graphicData>
            </a:graphic>
          </wp:anchor>
        </w:drawing>
      </w:r>
    </w:p>
    <w:p>
      <w:pPr>
        <w:spacing w:after="0" w:line="384" w:lineRule="exact"/>
        <w:rPr>
          <w:sz w:val="20"/>
          <w:szCs w:val="20"/>
          <w:color w:val="auto"/>
        </w:rPr>
      </w:pPr>
    </w:p>
    <w:tbl>
      <w:tblPr>
        <w:tblLayout w:type="fixed"/>
        <w:tblInd w:w="8145" w:type="dxa"/>
        <w:tblCellMar>
          <w:top w:w="0" w:type="dxa"/>
          <w:left w:w="0" w:type="dxa"/>
          <w:bottom w:w="0" w:type="dxa"/>
          <w:right w:w="0" w:type="dxa"/>
        </w:tblCellMar>
      </w:tblPr>
      <w:tr>
        <w:trPr>
          <w:trHeight w:val="149"/>
        </w:trPr>
        <w:tc>
          <w:tcPr>
            <w:tcW w:w="2460" w:type="dxa"/>
            <w:vAlign w:val="bottom"/>
          </w:tcPr>
          <w:p>
            <w:pPr>
              <w:spacing w:after="0"/>
              <w:rPr>
                <w:sz w:val="20"/>
                <w:szCs w:val="20"/>
                <w:color w:val="auto"/>
              </w:rPr>
            </w:pPr>
            <w:r>
              <w:rPr>
                <w:rFonts w:ascii="Arial" w:cs="Arial" w:eastAsia="Arial" w:hAnsi="Arial"/>
                <w:sz w:val="13"/>
                <w:szCs w:val="13"/>
                <w:color w:val="auto"/>
              </w:rPr>
              <w:t>Shareholder Letter | Q3 Fiscal Year 2022</w:t>
            </w:r>
          </w:p>
        </w:tc>
        <w:tc>
          <w:tcPr>
            <w:tcW w:w="340" w:type="dxa"/>
            <w:vAlign w:val="bottom"/>
          </w:tcPr>
          <w:p>
            <w:pPr>
              <w:jc w:val="right"/>
              <w:spacing w:after="0"/>
              <w:rPr>
                <w:sz w:val="20"/>
                <w:szCs w:val="20"/>
                <w:color w:val="auto"/>
              </w:rPr>
            </w:pPr>
            <w:r>
              <w:rPr>
                <w:rFonts w:ascii="Arial" w:cs="Arial" w:eastAsia="Arial" w:hAnsi="Arial"/>
                <w:sz w:val="13"/>
                <w:szCs w:val="13"/>
                <w:color w:val="auto"/>
              </w:rPr>
              <w:t>11</w:t>
            </w:r>
          </w:p>
        </w:tc>
      </w:tr>
    </w:tbl>
    <w:p>
      <w:pPr>
        <w:sectPr>
          <w:pgSz w:w="11900" w:h="16838" w:orient="portrait"/>
          <w:cols w:equalWidth="0" w:num="1">
            <w:col w:w="10945"/>
          </w:cols>
          <w:pgMar w:left="475" w:top="285" w:right="479" w:bottom="1440" w:gutter="0" w:footer="0" w:header="0"/>
        </w:sectPr>
      </w:pPr>
    </w:p>
    <w:bookmarkStart w:id="17" w:name="page18"/>
    <w:bookmarkEnd w:id="17"/>
    <w:p>
      <w:pPr>
        <w:ind w:left="5"/>
        <w:spacing w:after="0"/>
        <w:rPr>
          <w:sz w:val="20"/>
          <w:szCs w:val="20"/>
          <w:color w:val="auto"/>
        </w:rPr>
      </w:pPr>
      <w:r>
        <w:rPr>
          <w:rFonts w:ascii="Arial" w:cs="Arial" w:eastAsia="Arial" w:hAnsi="Arial"/>
          <w:sz w:val="36"/>
          <w:szCs w:val="3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5500" cy="38100"/>
                    </a:xfrm>
                    <a:prstGeom prst="rect">
                      <a:avLst/>
                    </a:prstGeom>
                    <a:noFill/>
                  </pic:spPr>
                </pic:pic>
              </a:graphicData>
            </a:graphic>
          </wp:anchor>
        </w:drawing>
        <w:t>Viasat Third Quarter Fiscal Year 2022 Results (cont.)</w:t>
      </w:r>
    </w:p>
    <w:p>
      <w:pPr>
        <w:spacing w:after="0" w:line="137" w:lineRule="exact"/>
        <w:rPr>
          <w:sz w:val="20"/>
          <w:szCs w:val="20"/>
          <w:color w:val="auto"/>
        </w:rPr>
      </w:pPr>
    </w:p>
    <w:p>
      <w:pPr>
        <w:jc w:val="center"/>
        <w:ind w:right="-4"/>
        <w:spacing w:after="0"/>
        <w:rPr>
          <w:sz w:val="20"/>
          <w:szCs w:val="20"/>
          <w:color w:val="auto"/>
        </w:rPr>
      </w:pPr>
      <w:r>
        <w:rPr>
          <w:rFonts w:ascii="Arial" w:cs="Arial" w:eastAsia="Arial" w:hAnsi="Arial"/>
          <w:sz w:val="14"/>
          <w:szCs w:val="14"/>
          <w:b w:val="1"/>
          <w:bCs w:val="1"/>
          <w:color w:val="auto"/>
        </w:rPr>
        <w:t>Condensed Consolidated Statements of Operations</w:t>
      </w:r>
    </w:p>
    <w:p>
      <w:pPr>
        <w:spacing w:after="0" w:line="18" w:lineRule="exact"/>
        <w:rPr>
          <w:sz w:val="20"/>
          <w:szCs w:val="20"/>
          <w:color w:val="auto"/>
        </w:rPr>
      </w:pPr>
    </w:p>
    <w:p>
      <w:pPr>
        <w:jc w:val="center"/>
        <w:ind w:right="-4"/>
        <w:spacing w:after="0"/>
        <w:rPr>
          <w:sz w:val="20"/>
          <w:szCs w:val="20"/>
          <w:color w:val="auto"/>
        </w:rPr>
      </w:pPr>
      <w:r>
        <w:rPr>
          <w:rFonts w:ascii="Arial" w:cs="Arial" w:eastAsia="Arial" w:hAnsi="Arial"/>
          <w:sz w:val="14"/>
          <w:szCs w:val="14"/>
          <w:b w:val="1"/>
          <w:bCs w:val="1"/>
          <w:color w:val="auto"/>
        </w:rPr>
        <w:t>(Unaudited)</w:t>
      </w:r>
    </w:p>
    <w:p>
      <w:pPr>
        <w:jc w:val="center"/>
        <w:ind w:right="-4"/>
        <w:spacing w:after="0"/>
        <w:rPr>
          <w:sz w:val="20"/>
          <w:szCs w:val="20"/>
          <w:color w:val="auto"/>
        </w:rPr>
      </w:pPr>
      <w:r>
        <w:rPr>
          <w:rFonts w:ascii="Arial" w:cs="Arial" w:eastAsia="Arial" w:hAnsi="Arial"/>
          <w:sz w:val="14"/>
          <w:szCs w:val="14"/>
          <w:b w:val="1"/>
          <w:bCs w:val="1"/>
          <w:color w:val="auto"/>
        </w:rPr>
        <w:t>(In thousands, except per share data)</w:t>
      </w:r>
    </w:p>
    <w:p>
      <w:pPr>
        <w:spacing w:after="0" w:line="223" w:lineRule="exact"/>
        <w:rPr>
          <w:sz w:val="20"/>
          <w:szCs w:val="20"/>
          <w:color w:val="auto"/>
        </w:rPr>
      </w:pPr>
    </w:p>
    <w:tbl>
      <w:tblPr>
        <w:tblLayout w:type="fixed"/>
        <w:tblInd w:w="5" w:type="dxa"/>
        <w:tblCellMar>
          <w:top w:w="0" w:type="dxa"/>
          <w:left w:w="0" w:type="dxa"/>
          <w:bottom w:w="0" w:type="dxa"/>
          <w:right w:w="0" w:type="dxa"/>
        </w:tblCellMar>
      </w:tblPr>
      <w:tr>
        <w:trPr>
          <w:trHeight w:val="174"/>
        </w:trPr>
        <w:tc>
          <w:tcPr>
            <w:tcW w:w="3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3"/>
          </w:tcPr>
          <w:p>
            <w:pPr>
              <w:jc w:val="right"/>
              <w:ind w:right="109"/>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560" w:type="dxa"/>
            <w:vAlign w:val="bottom"/>
            <w:tcBorders>
              <w:bottom w:val="single" w:sz="8" w:color="auto"/>
            </w:tcBorders>
            <w:gridSpan w:val="4"/>
          </w:tcPr>
          <w:p>
            <w:pPr>
              <w:jc w:val="right"/>
              <w:ind w:right="110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4"/>
        </w:trPr>
        <w:tc>
          <w:tcPr>
            <w:tcW w:w="33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169"/>
              <w:spacing w:after="0" w:line="154" w:lineRule="exact"/>
              <w:rPr>
                <w:sz w:val="20"/>
                <w:szCs w:val="20"/>
                <w:color w:val="auto"/>
              </w:rPr>
            </w:pPr>
            <w:r>
              <w:rPr>
                <w:rFonts w:ascii="Arial" w:cs="Arial" w:eastAsia="Arial" w:hAnsi="Arial"/>
                <w:sz w:val="14"/>
                <w:szCs w:val="14"/>
                <w:b w:val="1"/>
                <w:bCs w:val="1"/>
                <w:color w:val="auto"/>
              </w:rPr>
              <w:t>December 31, 2021</w:t>
            </w:r>
          </w:p>
        </w:tc>
        <w:tc>
          <w:tcPr>
            <w:tcW w:w="320" w:type="dxa"/>
            <w:vAlign w:val="bottom"/>
          </w:tcPr>
          <w:p>
            <w:pPr>
              <w:spacing w:after="0"/>
              <w:rPr>
                <w:sz w:val="13"/>
                <w:szCs w:val="13"/>
                <w:color w:val="auto"/>
              </w:rPr>
            </w:pPr>
          </w:p>
        </w:tc>
        <w:tc>
          <w:tcPr>
            <w:tcW w:w="1520" w:type="dxa"/>
            <w:vAlign w:val="bottom"/>
            <w:tcBorders>
              <w:bottom w:val="single" w:sz="8" w:color="auto"/>
            </w:tcBorders>
            <w:gridSpan w:val="2"/>
          </w:tcPr>
          <w:p>
            <w:pPr>
              <w:jc w:val="right"/>
              <w:ind w:right="89"/>
              <w:spacing w:after="0" w:line="154" w:lineRule="exact"/>
              <w:rPr>
                <w:sz w:val="20"/>
                <w:szCs w:val="20"/>
                <w:color w:val="auto"/>
              </w:rPr>
            </w:pPr>
            <w:r>
              <w:rPr>
                <w:rFonts w:ascii="Arial" w:cs="Arial" w:eastAsia="Arial" w:hAnsi="Arial"/>
                <w:sz w:val="14"/>
                <w:szCs w:val="14"/>
                <w:b w:val="1"/>
                <w:bCs w:val="1"/>
                <w:color w:val="auto"/>
              </w:rPr>
              <w:t>December 31, 2020</w:t>
            </w:r>
          </w:p>
        </w:tc>
        <w:tc>
          <w:tcPr>
            <w:tcW w:w="300" w:type="dxa"/>
            <w:vAlign w:val="bottom"/>
          </w:tcPr>
          <w:p>
            <w:pPr>
              <w:spacing w:after="0"/>
              <w:rPr>
                <w:sz w:val="13"/>
                <w:szCs w:val="13"/>
                <w:color w:val="auto"/>
              </w:rPr>
            </w:pPr>
          </w:p>
        </w:tc>
        <w:tc>
          <w:tcPr>
            <w:tcW w:w="1620" w:type="dxa"/>
            <w:vAlign w:val="bottom"/>
            <w:tcBorders>
              <w:bottom w:val="single" w:sz="8" w:color="auto"/>
            </w:tcBorders>
            <w:gridSpan w:val="2"/>
          </w:tcPr>
          <w:p>
            <w:pPr>
              <w:jc w:val="right"/>
              <w:ind w:right="169"/>
              <w:spacing w:after="0" w:line="154" w:lineRule="exact"/>
              <w:rPr>
                <w:sz w:val="20"/>
                <w:szCs w:val="20"/>
                <w:color w:val="auto"/>
              </w:rPr>
            </w:pPr>
            <w:r>
              <w:rPr>
                <w:rFonts w:ascii="Arial" w:cs="Arial" w:eastAsia="Arial" w:hAnsi="Arial"/>
                <w:sz w:val="14"/>
                <w:szCs w:val="14"/>
                <w:b w:val="1"/>
                <w:bCs w:val="1"/>
                <w:color w:val="auto"/>
              </w:rPr>
              <w:t>December 31, 2021</w:t>
            </w: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169"/>
              <w:spacing w:after="0" w:line="154" w:lineRule="exact"/>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53"/>
        </w:trPr>
        <w:tc>
          <w:tcPr>
            <w:tcW w:w="3340" w:type="dxa"/>
            <w:vAlign w:val="bottom"/>
          </w:tcPr>
          <w:p>
            <w:pPr>
              <w:spacing w:after="0"/>
              <w:rPr>
                <w:sz w:val="20"/>
                <w:szCs w:val="20"/>
                <w:color w:val="auto"/>
              </w:rPr>
            </w:pPr>
            <w:r>
              <w:rPr>
                <w:rFonts w:ascii="Arial" w:cs="Arial" w:eastAsia="Arial" w:hAnsi="Arial"/>
                <w:sz w:val="14"/>
                <w:szCs w:val="14"/>
                <w:color w:val="auto"/>
              </w:rPr>
              <w:t>Revenues:</w:t>
            </w:r>
          </w:p>
        </w:tc>
        <w:tc>
          <w:tcPr>
            <w:tcW w:w="1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3340" w:type="dxa"/>
            <w:vAlign w:val="bottom"/>
          </w:tcPr>
          <w:p>
            <w:pPr>
              <w:spacing w:after="0"/>
              <w:rPr>
                <w:sz w:val="20"/>
                <w:szCs w:val="20"/>
                <w:color w:val="auto"/>
              </w:rPr>
            </w:pPr>
            <w:r>
              <w:rPr>
                <w:rFonts w:ascii="Arial" w:cs="Arial" w:eastAsia="Arial" w:hAnsi="Arial"/>
                <w:sz w:val="14"/>
                <w:szCs w:val="14"/>
                <w:color w:val="auto"/>
              </w:rPr>
              <w:t>Product revenues</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169"/>
              <w:spacing w:after="0"/>
              <w:rPr>
                <w:sz w:val="20"/>
                <w:szCs w:val="20"/>
                <w:color w:val="auto"/>
              </w:rPr>
            </w:pPr>
            <w:r>
              <w:rPr>
                <w:rFonts w:ascii="Arial" w:cs="Arial" w:eastAsia="Arial" w:hAnsi="Arial"/>
                <w:sz w:val="14"/>
                <w:szCs w:val="14"/>
                <w:color w:val="auto"/>
              </w:rPr>
              <w:t>316,143</w:t>
            </w:r>
          </w:p>
        </w:tc>
        <w:tc>
          <w:tcPr>
            <w:tcW w:w="920" w:type="dxa"/>
            <w:vAlign w:val="bottom"/>
            <w:gridSpan w:val="2"/>
          </w:tcPr>
          <w:p>
            <w:pPr>
              <w:jc w:val="right"/>
              <w:ind w:right="4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49"/>
              <w:spacing w:after="0"/>
              <w:rPr>
                <w:sz w:val="20"/>
                <w:szCs w:val="20"/>
                <w:color w:val="auto"/>
              </w:rPr>
            </w:pPr>
            <w:r>
              <w:rPr>
                <w:rFonts w:ascii="Arial" w:cs="Arial" w:eastAsia="Arial" w:hAnsi="Arial"/>
                <w:sz w:val="14"/>
                <w:szCs w:val="14"/>
                <w:color w:val="auto"/>
              </w:rPr>
              <w:t>266,514</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129"/>
              <w:spacing w:after="0"/>
              <w:rPr>
                <w:sz w:val="20"/>
                <w:szCs w:val="20"/>
                <w:color w:val="auto"/>
              </w:rPr>
            </w:pPr>
            <w:r>
              <w:rPr>
                <w:rFonts w:ascii="Arial" w:cs="Arial" w:eastAsia="Arial" w:hAnsi="Arial"/>
                <w:sz w:val="14"/>
                <w:szCs w:val="14"/>
                <w:color w:val="auto"/>
              </w:rPr>
              <w:t>918,073</w:t>
            </w: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149"/>
              <w:spacing w:after="0"/>
              <w:rPr>
                <w:sz w:val="20"/>
                <w:szCs w:val="20"/>
                <w:color w:val="auto"/>
              </w:rPr>
            </w:pPr>
            <w:r>
              <w:rPr>
                <w:rFonts w:ascii="Arial" w:cs="Arial" w:eastAsia="Arial" w:hAnsi="Arial"/>
                <w:sz w:val="14"/>
                <w:szCs w:val="14"/>
                <w:color w:val="auto"/>
              </w:rPr>
              <w:t>773,128</w:t>
            </w:r>
          </w:p>
        </w:tc>
        <w:tc>
          <w:tcPr>
            <w:tcW w:w="0" w:type="dxa"/>
            <w:vAlign w:val="bottom"/>
          </w:tcPr>
          <w:p>
            <w:pPr>
              <w:spacing w:after="0"/>
              <w:rPr>
                <w:sz w:val="1"/>
                <w:szCs w:val="1"/>
                <w:color w:val="auto"/>
              </w:rPr>
            </w:pPr>
          </w:p>
        </w:tc>
      </w:tr>
      <w:tr>
        <w:trPr>
          <w:trHeight w:val="156"/>
        </w:trPr>
        <w:tc>
          <w:tcPr>
            <w:tcW w:w="3340" w:type="dxa"/>
            <w:vAlign w:val="bottom"/>
          </w:tcPr>
          <w:p>
            <w:pPr>
              <w:spacing w:after="0" w:line="156" w:lineRule="exact"/>
              <w:rPr>
                <w:sz w:val="20"/>
                <w:szCs w:val="20"/>
                <w:color w:val="auto"/>
              </w:rPr>
            </w:pPr>
            <w:r>
              <w:rPr>
                <w:rFonts w:ascii="Arial" w:cs="Arial" w:eastAsia="Arial" w:hAnsi="Arial"/>
                <w:sz w:val="14"/>
                <w:szCs w:val="14"/>
                <w:color w:val="auto"/>
              </w:rPr>
              <w:t>Service revenues</w:t>
            </w:r>
          </w:p>
        </w:tc>
        <w:tc>
          <w:tcPr>
            <w:tcW w:w="1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169"/>
              <w:spacing w:after="0" w:line="156" w:lineRule="exact"/>
              <w:rPr>
                <w:sz w:val="20"/>
                <w:szCs w:val="20"/>
                <w:color w:val="auto"/>
              </w:rPr>
            </w:pPr>
            <w:r>
              <w:rPr>
                <w:rFonts w:ascii="Arial" w:cs="Arial" w:eastAsia="Arial" w:hAnsi="Arial"/>
                <w:sz w:val="14"/>
                <w:szCs w:val="14"/>
                <w:color w:val="auto"/>
              </w:rPr>
              <w:t>403,574</w:t>
            </w:r>
          </w:p>
        </w:tc>
        <w:tc>
          <w:tcPr>
            <w:tcW w:w="32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49"/>
              <w:spacing w:after="0" w:line="156" w:lineRule="exact"/>
              <w:rPr>
                <w:sz w:val="20"/>
                <w:szCs w:val="20"/>
                <w:color w:val="auto"/>
              </w:rPr>
            </w:pPr>
            <w:r>
              <w:rPr>
                <w:rFonts w:ascii="Arial" w:cs="Arial" w:eastAsia="Arial" w:hAnsi="Arial"/>
                <w:sz w:val="14"/>
                <w:szCs w:val="14"/>
                <w:color w:val="auto"/>
              </w:rPr>
              <w:t>309,045</w:t>
            </w:r>
          </w:p>
        </w:tc>
        <w:tc>
          <w:tcPr>
            <w:tcW w:w="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129"/>
              <w:spacing w:after="0" w:line="156" w:lineRule="exact"/>
              <w:rPr>
                <w:sz w:val="20"/>
                <w:szCs w:val="20"/>
                <w:color w:val="auto"/>
              </w:rPr>
            </w:pPr>
            <w:r>
              <w:rPr>
                <w:rFonts w:ascii="Arial" w:cs="Arial" w:eastAsia="Arial" w:hAnsi="Arial"/>
                <w:sz w:val="14"/>
                <w:szCs w:val="14"/>
                <w:color w:val="auto"/>
              </w:rPr>
              <w:t>1,167,858</w:t>
            </w: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149"/>
              <w:spacing w:after="0" w:line="156" w:lineRule="exact"/>
              <w:rPr>
                <w:sz w:val="20"/>
                <w:szCs w:val="20"/>
                <w:color w:val="auto"/>
              </w:rPr>
            </w:pPr>
            <w:r>
              <w:rPr>
                <w:rFonts w:ascii="Arial" w:cs="Arial" w:eastAsia="Arial" w:hAnsi="Arial"/>
                <w:sz w:val="14"/>
                <w:szCs w:val="14"/>
                <w:color w:val="auto"/>
              </w:rPr>
              <w:t>887,197</w:t>
            </w:r>
          </w:p>
        </w:tc>
        <w:tc>
          <w:tcPr>
            <w:tcW w:w="0" w:type="dxa"/>
            <w:vAlign w:val="bottom"/>
          </w:tcPr>
          <w:p>
            <w:pPr>
              <w:spacing w:after="0"/>
              <w:rPr>
                <w:sz w:val="1"/>
                <w:szCs w:val="1"/>
                <w:color w:val="auto"/>
              </w:rPr>
            </w:pPr>
          </w:p>
        </w:tc>
      </w:tr>
      <w:tr>
        <w:trPr>
          <w:trHeight w:val="183"/>
        </w:trPr>
        <w:tc>
          <w:tcPr>
            <w:tcW w:w="3340" w:type="dxa"/>
            <w:vAlign w:val="bottom"/>
          </w:tcPr>
          <w:p>
            <w:pPr>
              <w:spacing w:after="0"/>
              <w:rPr>
                <w:sz w:val="20"/>
                <w:szCs w:val="20"/>
                <w:color w:val="auto"/>
              </w:rPr>
            </w:pPr>
            <w:r>
              <w:rPr>
                <w:rFonts w:ascii="Arial" w:cs="Arial" w:eastAsia="Arial" w:hAnsi="Arial"/>
                <w:sz w:val="14"/>
                <w:szCs w:val="14"/>
                <w:color w:val="auto"/>
              </w:rPr>
              <w:t>Total revenues</w:t>
            </w:r>
          </w:p>
        </w:tc>
        <w:tc>
          <w:tcPr>
            <w:tcW w:w="180" w:type="dxa"/>
            <w:vAlign w:val="bottom"/>
          </w:tcPr>
          <w:p>
            <w:pPr>
              <w:spacing w:after="0"/>
              <w:rPr>
                <w:sz w:val="15"/>
                <w:szCs w:val="15"/>
                <w:color w:val="auto"/>
              </w:rPr>
            </w:pPr>
          </w:p>
        </w:tc>
        <w:tc>
          <w:tcPr>
            <w:tcW w:w="1580" w:type="dxa"/>
            <w:vAlign w:val="bottom"/>
          </w:tcPr>
          <w:p>
            <w:pPr>
              <w:jc w:val="right"/>
              <w:ind w:right="169"/>
              <w:spacing w:after="0"/>
              <w:rPr>
                <w:sz w:val="20"/>
                <w:szCs w:val="20"/>
                <w:color w:val="auto"/>
              </w:rPr>
            </w:pPr>
            <w:r>
              <w:rPr>
                <w:rFonts w:ascii="Arial" w:cs="Arial" w:eastAsia="Arial" w:hAnsi="Arial"/>
                <w:sz w:val="14"/>
                <w:szCs w:val="14"/>
                <w:color w:val="auto"/>
              </w:rPr>
              <w:t>719,717</w:t>
            </w: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jc w:val="right"/>
              <w:ind w:right="149"/>
              <w:spacing w:after="0"/>
              <w:rPr>
                <w:sz w:val="20"/>
                <w:szCs w:val="20"/>
                <w:color w:val="auto"/>
              </w:rPr>
            </w:pPr>
            <w:r>
              <w:rPr>
                <w:rFonts w:ascii="Arial" w:cs="Arial" w:eastAsia="Arial" w:hAnsi="Arial"/>
                <w:sz w:val="14"/>
                <w:szCs w:val="14"/>
                <w:color w:val="auto"/>
              </w:rPr>
              <w:t>575,559</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ind w:right="129"/>
              <w:spacing w:after="0"/>
              <w:rPr>
                <w:sz w:val="20"/>
                <w:szCs w:val="20"/>
                <w:color w:val="auto"/>
              </w:rPr>
            </w:pPr>
            <w:r>
              <w:rPr>
                <w:rFonts w:ascii="Arial" w:cs="Arial" w:eastAsia="Arial" w:hAnsi="Arial"/>
                <w:sz w:val="14"/>
                <w:szCs w:val="14"/>
                <w:color w:val="auto"/>
              </w:rPr>
              <w:t>2,085,931</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jc w:val="right"/>
              <w:ind w:right="149"/>
              <w:spacing w:after="0"/>
              <w:rPr>
                <w:sz w:val="20"/>
                <w:szCs w:val="20"/>
                <w:color w:val="auto"/>
              </w:rPr>
            </w:pPr>
            <w:r>
              <w:rPr>
                <w:rFonts w:ascii="Arial" w:cs="Arial" w:eastAsia="Arial" w:hAnsi="Arial"/>
                <w:sz w:val="14"/>
                <w:szCs w:val="14"/>
                <w:color w:val="auto"/>
              </w:rPr>
              <w:t>1,660,325</w:t>
            </w:r>
          </w:p>
        </w:tc>
        <w:tc>
          <w:tcPr>
            <w:tcW w:w="0" w:type="dxa"/>
            <w:vAlign w:val="bottom"/>
          </w:tcPr>
          <w:p>
            <w:pPr>
              <w:spacing w:after="0"/>
              <w:rPr>
                <w:sz w:val="1"/>
                <w:szCs w:val="1"/>
                <w:color w:val="auto"/>
              </w:rPr>
            </w:pPr>
          </w:p>
        </w:tc>
      </w:tr>
      <w:tr>
        <w:trPr>
          <w:trHeight w:val="325"/>
        </w:trPr>
        <w:tc>
          <w:tcPr>
            <w:tcW w:w="3340" w:type="dxa"/>
            <w:vAlign w:val="bottom"/>
          </w:tcPr>
          <w:p>
            <w:pPr>
              <w:spacing w:after="0"/>
              <w:rPr>
                <w:sz w:val="20"/>
                <w:szCs w:val="20"/>
                <w:color w:val="auto"/>
              </w:rPr>
            </w:pPr>
            <w:r>
              <w:rPr>
                <w:rFonts w:ascii="Arial" w:cs="Arial" w:eastAsia="Arial" w:hAnsi="Arial"/>
                <w:sz w:val="14"/>
                <w:szCs w:val="14"/>
                <w:color w:val="auto"/>
              </w:rPr>
              <w:t>Operating expenses:</w:t>
            </w: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340" w:type="dxa"/>
            <w:vAlign w:val="bottom"/>
          </w:tcPr>
          <w:p>
            <w:pPr>
              <w:spacing w:after="0"/>
              <w:rPr>
                <w:sz w:val="20"/>
                <w:szCs w:val="20"/>
                <w:color w:val="auto"/>
              </w:rPr>
            </w:pPr>
            <w:r>
              <w:rPr>
                <w:rFonts w:ascii="Arial" w:cs="Arial" w:eastAsia="Arial" w:hAnsi="Arial"/>
                <w:sz w:val="14"/>
                <w:szCs w:val="14"/>
                <w:color w:val="auto"/>
              </w:rPr>
              <w:t>Cost of product revenues</w:t>
            </w:r>
          </w:p>
        </w:tc>
        <w:tc>
          <w:tcPr>
            <w:tcW w:w="180" w:type="dxa"/>
            <w:vAlign w:val="bottom"/>
          </w:tcPr>
          <w:p>
            <w:pPr>
              <w:spacing w:after="0"/>
              <w:rPr>
                <w:sz w:val="13"/>
                <w:szCs w:val="13"/>
                <w:color w:val="auto"/>
              </w:rPr>
            </w:pPr>
          </w:p>
        </w:tc>
        <w:tc>
          <w:tcPr>
            <w:tcW w:w="1580" w:type="dxa"/>
            <w:vAlign w:val="bottom"/>
          </w:tcPr>
          <w:p>
            <w:pPr>
              <w:jc w:val="right"/>
              <w:ind w:right="169"/>
              <w:spacing w:after="0"/>
              <w:rPr>
                <w:sz w:val="20"/>
                <w:szCs w:val="20"/>
                <w:color w:val="auto"/>
              </w:rPr>
            </w:pPr>
            <w:r>
              <w:rPr>
                <w:rFonts w:ascii="Arial" w:cs="Arial" w:eastAsia="Arial" w:hAnsi="Arial"/>
                <w:sz w:val="14"/>
                <w:szCs w:val="14"/>
                <w:color w:val="auto"/>
              </w:rPr>
              <w:t>237,481</w:t>
            </w: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jc w:val="right"/>
              <w:ind w:right="149"/>
              <w:spacing w:after="0"/>
              <w:rPr>
                <w:sz w:val="20"/>
                <w:szCs w:val="20"/>
                <w:color w:val="auto"/>
              </w:rPr>
            </w:pPr>
            <w:r>
              <w:rPr>
                <w:rFonts w:ascii="Arial" w:cs="Arial" w:eastAsia="Arial" w:hAnsi="Arial"/>
                <w:sz w:val="14"/>
                <w:szCs w:val="14"/>
                <w:color w:val="auto"/>
              </w:rPr>
              <w:t>196,895</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jc w:val="right"/>
              <w:ind w:right="129"/>
              <w:spacing w:after="0"/>
              <w:rPr>
                <w:sz w:val="20"/>
                <w:szCs w:val="20"/>
                <w:color w:val="auto"/>
              </w:rPr>
            </w:pPr>
            <w:r>
              <w:rPr>
                <w:rFonts w:ascii="Arial" w:cs="Arial" w:eastAsia="Arial" w:hAnsi="Arial"/>
                <w:sz w:val="14"/>
                <w:szCs w:val="14"/>
                <w:color w:val="auto"/>
              </w:rPr>
              <w:t>691,549</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tcPr>
          <w:p>
            <w:pPr>
              <w:jc w:val="right"/>
              <w:ind w:right="149"/>
              <w:spacing w:after="0"/>
              <w:rPr>
                <w:sz w:val="20"/>
                <w:szCs w:val="20"/>
                <w:color w:val="auto"/>
              </w:rPr>
            </w:pPr>
            <w:r>
              <w:rPr>
                <w:rFonts w:ascii="Arial" w:cs="Arial" w:eastAsia="Arial" w:hAnsi="Arial"/>
                <w:sz w:val="14"/>
                <w:szCs w:val="14"/>
                <w:color w:val="auto"/>
              </w:rPr>
              <w:t>576,677</w:t>
            </w:r>
          </w:p>
        </w:tc>
        <w:tc>
          <w:tcPr>
            <w:tcW w:w="0" w:type="dxa"/>
            <w:vAlign w:val="bottom"/>
          </w:tcPr>
          <w:p>
            <w:pPr>
              <w:spacing w:after="0"/>
              <w:rPr>
                <w:sz w:val="1"/>
                <w:szCs w:val="1"/>
                <w:color w:val="auto"/>
              </w:rPr>
            </w:pPr>
          </w:p>
        </w:tc>
      </w:tr>
      <w:tr>
        <w:trPr>
          <w:trHeight w:val="161"/>
        </w:trPr>
        <w:tc>
          <w:tcPr>
            <w:tcW w:w="3340" w:type="dxa"/>
            <w:vAlign w:val="bottom"/>
          </w:tcPr>
          <w:p>
            <w:pPr>
              <w:spacing w:after="0"/>
              <w:rPr>
                <w:sz w:val="20"/>
                <w:szCs w:val="20"/>
                <w:color w:val="auto"/>
              </w:rPr>
            </w:pPr>
            <w:r>
              <w:rPr>
                <w:rFonts w:ascii="Arial" w:cs="Arial" w:eastAsia="Arial" w:hAnsi="Arial"/>
                <w:sz w:val="14"/>
                <w:szCs w:val="14"/>
                <w:color w:val="auto"/>
              </w:rPr>
              <w:t>Cost of service revenues</w:t>
            </w:r>
          </w:p>
        </w:tc>
        <w:tc>
          <w:tcPr>
            <w:tcW w:w="180" w:type="dxa"/>
            <w:vAlign w:val="bottom"/>
          </w:tcPr>
          <w:p>
            <w:pPr>
              <w:spacing w:after="0"/>
              <w:rPr>
                <w:sz w:val="13"/>
                <w:szCs w:val="13"/>
                <w:color w:val="auto"/>
              </w:rPr>
            </w:pPr>
          </w:p>
        </w:tc>
        <w:tc>
          <w:tcPr>
            <w:tcW w:w="1580" w:type="dxa"/>
            <w:vAlign w:val="bottom"/>
          </w:tcPr>
          <w:p>
            <w:pPr>
              <w:jc w:val="right"/>
              <w:ind w:right="169"/>
              <w:spacing w:after="0"/>
              <w:rPr>
                <w:sz w:val="20"/>
                <w:szCs w:val="20"/>
                <w:color w:val="auto"/>
              </w:rPr>
            </w:pPr>
            <w:r>
              <w:rPr>
                <w:rFonts w:ascii="Arial" w:cs="Arial" w:eastAsia="Arial" w:hAnsi="Arial"/>
                <w:sz w:val="14"/>
                <w:szCs w:val="14"/>
                <w:color w:val="auto"/>
              </w:rPr>
              <w:t>262,640</w:t>
            </w: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jc w:val="right"/>
              <w:ind w:right="149"/>
              <w:spacing w:after="0"/>
              <w:rPr>
                <w:sz w:val="20"/>
                <w:szCs w:val="20"/>
                <w:color w:val="auto"/>
              </w:rPr>
            </w:pPr>
            <w:r>
              <w:rPr>
                <w:rFonts w:ascii="Arial" w:cs="Arial" w:eastAsia="Arial" w:hAnsi="Arial"/>
                <w:sz w:val="14"/>
                <w:szCs w:val="14"/>
                <w:color w:val="auto"/>
              </w:rPr>
              <w:t>194,394</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jc w:val="right"/>
              <w:ind w:right="129"/>
              <w:spacing w:after="0"/>
              <w:rPr>
                <w:sz w:val="20"/>
                <w:szCs w:val="20"/>
                <w:color w:val="auto"/>
              </w:rPr>
            </w:pPr>
            <w:r>
              <w:rPr>
                <w:rFonts w:ascii="Arial" w:cs="Arial" w:eastAsia="Arial" w:hAnsi="Arial"/>
                <w:sz w:val="14"/>
                <w:szCs w:val="14"/>
                <w:color w:val="auto"/>
              </w:rPr>
              <w:t>750,991</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tcPr>
          <w:p>
            <w:pPr>
              <w:jc w:val="right"/>
              <w:ind w:right="149"/>
              <w:spacing w:after="0"/>
              <w:rPr>
                <w:sz w:val="20"/>
                <w:szCs w:val="20"/>
                <w:color w:val="auto"/>
              </w:rPr>
            </w:pPr>
            <w:r>
              <w:rPr>
                <w:rFonts w:ascii="Arial" w:cs="Arial" w:eastAsia="Arial" w:hAnsi="Arial"/>
                <w:sz w:val="14"/>
                <w:szCs w:val="14"/>
                <w:color w:val="auto"/>
              </w:rPr>
              <w:t>587,494</w:t>
            </w:r>
          </w:p>
        </w:tc>
        <w:tc>
          <w:tcPr>
            <w:tcW w:w="0" w:type="dxa"/>
            <w:vAlign w:val="bottom"/>
          </w:tcPr>
          <w:p>
            <w:pPr>
              <w:spacing w:after="0"/>
              <w:rPr>
                <w:sz w:val="1"/>
                <w:szCs w:val="1"/>
                <w:color w:val="auto"/>
              </w:rPr>
            </w:pPr>
          </w:p>
        </w:tc>
      </w:tr>
      <w:tr>
        <w:trPr>
          <w:trHeight w:val="161"/>
        </w:trPr>
        <w:tc>
          <w:tcPr>
            <w:tcW w:w="3340" w:type="dxa"/>
            <w:vAlign w:val="bottom"/>
          </w:tcPr>
          <w:p>
            <w:pPr>
              <w:spacing w:after="0"/>
              <w:rPr>
                <w:sz w:val="20"/>
                <w:szCs w:val="20"/>
                <w:color w:val="auto"/>
              </w:rPr>
            </w:pPr>
            <w:r>
              <w:rPr>
                <w:rFonts w:ascii="Arial" w:cs="Arial" w:eastAsia="Arial" w:hAnsi="Arial"/>
                <w:sz w:val="14"/>
                <w:szCs w:val="14"/>
                <w:color w:val="auto"/>
              </w:rPr>
              <w:t>Selling, general and administrative</w:t>
            </w:r>
          </w:p>
        </w:tc>
        <w:tc>
          <w:tcPr>
            <w:tcW w:w="180" w:type="dxa"/>
            <w:vAlign w:val="bottom"/>
          </w:tcPr>
          <w:p>
            <w:pPr>
              <w:spacing w:after="0"/>
              <w:rPr>
                <w:sz w:val="13"/>
                <w:szCs w:val="13"/>
                <w:color w:val="auto"/>
              </w:rPr>
            </w:pPr>
          </w:p>
        </w:tc>
        <w:tc>
          <w:tcPr>
            <w:tcW w:w="1580" w:type="dxa"/>
            <w:vAlign w:val="bottom"/>
          </w:tcPr>
          <w:p>
            <w:pPr>
              <w:jc w:val="right"/>
              <w:ind w:right="169"/>
              <w:spacing w:after="0"/>
              <w:rPr>
                <w:sz w:val="20"/>
                <w:szCs w:val="20"/>
                <w:color w:val="auto"/>
              </w:rPr>
            </w:pPr>
            <w:r>
              <w:rPr>
                <w:rFonts w:ascii="Arial" w:cs="Arial" w:eastAsia="Arial" w:hAnsi="Arial"/>
                <w:sz w:val="14"/>
                <w:szCs w:val="14"/>
                <w:color w:val="auto"/>
              </w:rPr>
              <w:t>170,222</w:t>
            </w: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jc w:val="right"/>
              <w:ind w:right="149"/>
              <w:spacing w:after="0"/>
              <w:rPr>
                <w:sz w:val="20"/>
                <w:szCs w:val="20"/>
                <w:color w:val="auto"/>
              </w:rPr>
            </w:pPr>
            <w:r>
              <w:rPr>
                <w:rFonts w:ascii="Arial" w:cs="Arial" w:eastAsia="Arial" w:hAnsi="Arial"/>
                <w:sz w:val="14"/>
                <w:szCs w:val="14"/>
                <w:color w:val="auto"/>
              </w:rPr>
              <w:t>132,394</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jc w:val="right"/>
              <w:ind w:right="129"/>
              <w:spacing w:after="0"/>
              <w:rPr>
                <w:sz w:val="20"/>
                <w:szCs w:val="20"/>
                <w:color w:val="auto"/>
              </w:rPr>
            </w:pPr>
            <w:r>
              <w:rPr>
                <w:rFonts w:ascii="Arial" w:cs="Arial" w:eastAsia="Arial" w:hAnsi="Arial"/>
                <w:sz w:val="14"/>
                <w:szCs w:val="14"/>
                <w:color w:val="auto"/>
              </w:rPr>
              <w:t>481,106</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tcPr>
          <w:p>
            <w:pPr>
              <w:jc w:val="right"/>
              <w:ind w:right="149"/>
              <w:spacing w:after="0"/>
              <w:rPr>
                <w:sz w:val="20"/>
                <w:szCs w:val="20"/>
                <w:color w:val="auto"/>
              </w:rPr>
            </w:pPr>
            <w:r>
              <w:rPr>
                <w:rFonts w:ascii="Arial" w:cs="Arial" w:eastAsia="Arial" w:hAnsi="Arial"/>
                <w:sz w:val="14"/>
                <w:szCs w:val="14"/>
                <w:color w:val="auto"/>
              </w:rPr>
              <w:t>378,884</w:t>
            </w:r>
          </w:p>
        </w:tc>
        <w:tc>
          <w:tcPr>
            <w:tcW w:w="0" w:type="dxa"/>
            <w:vAlign w:val="bottom"/>
          </w:tcPr>
          <w:p>
            <w:pPr>
              <w:spacing w:after="0"/>
              <w:rPr>
                <w:sz w:val="1"/>
                <w:szCs w:val="1"/>
                <w:color w:val="auto"/>
              </w:rPr>
            </w:pPr>
          </w:p>
        </w:tc>
      </w:tr>
      <w:tr>
        <w:trPr>
          <w:trHeight w:val="161"/>
        </w:trPr>
        <w:tc>
          <w:tcPr>
            <w:tcW w:w="3340" w:type="dxa"/>
            <w:vAlign w:val="bottom"/>
          </w:tcPr>
          <w:p>
            <w:pPr>
              <w:spacing w:after="0"/>
              <w:rPr>
                <w:sz w:val="20"/>
                <w:szCs w:val="20"/>
                <w:color w:val="auto"/>
              </w:rPr>
            </w:pPr>
            <w:r>
              <w:rPr>
                <w:rFonts w:ascii="Arial" w:cs="Arial" w:eastAsia="Arial" w:hAnsi="Arial"/>
                <w:sz w:val="14"/>
                <w:szCs w:val="14"/>
                <w:color w:val="auto"/>
              </w:rPr>
              <w:t>Independent research and development</w:t>
            </w:r>
          </w:p>
        </w:tc>
        <w:tc>
          <w:tcPr>
            <w:tcW w:w="180" w:type="dxa"/>
            <w:vAlign w:val="bottom"/>
          </w:tcPr>
          <w:p>
            <w:pPr>
              <w:spacing w:after="0"/>
              <w:rPr>
                <w:sz w:val="13"/>
                <w:szCs w:val="13"/>
                <w:color w:val="auto"/>
              </w:rPr>
            </w:pPr>
          </w:p>
        </w:tc>
        <w:tc>
          <w:tcPr>
            <w:tcW w:w="1580" w:type="dxa"/>
            <w:vAlign w:val="bottom"/>
          </w:tcPr>
          <w:p>
            <w:pPr>
              <w:jc w:val="right"/>
              <w:ind w:right="169"/>
              <w:spacing w:after="0"/>
              <w:rPr>
                <w:sz w:val="20"/>
                <w:szCs w:val="20"/>
                <w:color w:val="auto"/>
              </w:rPr>
            </w:pPr>
            <w:r>
              <w:rPr>
                <w:rFonts w:ascii="Arial" w:cs="Arial" w:eastAsia="Arial" w:hAnsi="Arial"/>
                <w:sz w:val="14"/>
                <w:szCs w:val="14"/>
                <w:color w:val="auto"/>
              </w:rPr>
              <w:t>37,316</w:t>
            </w: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jc w:val="right"/>
              <w:ind w:right="149"/>
              <w:spacing w:after="0"/>
              <w:rPr>
                <w:sz w:val="20"/>
                <w:szCs w:val="20"/>
                <w:color w:val="auto"/>
              </w:rPr>
            </w:pPr>
            <w:r>
              <w:rPr>
                <w:rFonts w:ascii="Arial" w:cs="Arial" w:eastAsia="Arial" w:hAnsi="Arial"/>
                <w:sz w:val="14"/>
                <w:szCs w:val="14"/>
                <w:color w:val="auto"/>
              </w:rPr>
              <w:t>28,803</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jc w:val="right"/>
              <w:ind w:right="129"/>
              <w:spacing w:after="0"/>
              <w:rPr>
                <w:sz w:val="20"/>
                <w:szCs w:val="20"/>
                <w:color w:val="auto"/>
              </w:rPr>
            </w:pPr>
            <w:r>
              <w:rPr>
                <w:rFonts w:ascii="Arial" w:cs="Arial" w:eastAsia="Arial" w:hAnsi="Arial"/>
                <w:sz w:val="14"/>
                <w:szCs w:val="14"/>
                <w:color w:val="auto"/>
              </w:rPr>
              <w:t>112,309</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tcPr>
          <w:p>
            <w:pPr>
              <w:jc w:val="right"/>
              <w:ind w:right="149"/>
              <w:spacing w:after="0"/>
              <w:rPr>
                <w:sz w:val="20"/>
                <w:szCs w:val="20"/>
                <w:color w:val="auto"/>
              </w:rPr>
            </w:pPr>
            <w:r>
              <w:rPr>
                <w:rFonts w:ascii="Arial" w:cs="Arial" w:eastAsia="Arial" w:hAnsi="Arial"/>
                <w:sz w:val="14"/>
                <w:szCs w:val="14"/>
                <w:color w:val="auto"/>
              </w:rPr>
              <w:t>83,970</w:t>
            </w:r>
          </w:p>
        </w:tc>
        <w:tc>
          <w:tcPr>
            <w:tcW w:w="0" w:type="dxa"/>
            <w:vAlign w:val="bottom"/>
          </w:tcPr>
          <w:p>
            <w:pPr>
              <w:spacing w:after="0"/>
              <w:rPr>
                <w:sz w:val="1"/>
                <w:szCs w:val="1"/>
                <w:color w:val="auto"/>
              </w:rPr>
            </w:pPr>
          </w:p>
        </w:tc>
      </w:tr>
      <w:tr>
        <w:trPr>
          <w:trHeight w:val="156"/>
        </w:trPr>
        <w:tc>
          <w:tcPr>
            <w:tcW w:w="3340" w:type="dxa"/>
            <w:vAlign w:val="bottom"/>
          </w:tcPr>
          <w:p>
            <w:pPr>
              <w:spacing w:after="0" w:line="156" w:lineRule="exact"/>
              <w:rPr>
                <w:sz w:val="20"/>
                <w:szCs w:val="20"/>
                <w:color w:val="auto"/>
              </w:rPr>
            </w:pPr>
            <w:r>
              <w:rPr>
                <w:rFonts w:ascii="Arial" w:cs="Arial" w:eastAsia="Arial" w:hAnsi="Arial"/>
                <w:sz w:val="14"/>
                <w:szCs w:val="14"/>
                <w:color w:val="auto"/>
              </w:rPr>
              <w:t>Amortization of acquired intangible assets</w:t>
            </w:r>
          </w:p>
        </w:tc>
        <w:tc>
          <w:tcPr>
            <w:tcW w:w="1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169"/>
              <w:spacing w:after="0" w:line="156" w:lineRule="exact"/>
              <w:rPr>
                <w:sz w:val="20"/>
                <w:szCs w:val="20"/>
                <w:color w:val="auto"/>
              </w:rPr>
            </w:pPr>
            <w:r>
              <w:rPr>
                <w:rFonts w:ascii="Arial" w:cs="Arial" w:eastAsia="Arial" w:hAnsi="Arial"/>
                <w:sz w:val="14"/>
                <w:szCs w:val="14"/>
                <w:color w:val="auto"/>
              </w:rPr>
              <w:t>7,531</w:t>
            </w:r>
          </w:p>
        </w:tc>
        <w:tc>
          <w:tcPr>
            <w:tcW w:w="32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49"/>
              <w:spacing w:after="0" w:line="156" w:lineRule="exact"/>
              <w:rPr>
                <w:sz w:val="20"/>
                <w:szCs w:val="20"/>
                <w:color w:val="auto"/>
              </w:rPr>
            </w:pPr>
            <w:r>
              <w:rPr>
                <w:rFonts w:ascii="Arial" w:cs="Arial" w:eastAsia="Arial" w:hAnsi="Arial"/>
                <w:sz w:val="14"/>
                <w:szCs w:val="14"/>
                <w:color w:val="auto"/>
              </w:rPr>
              <w:t>1,313</w:t>
            </w:r>
          </w:p>
        </w:tc>
        <w:tc>
          <w:tcPr>
            <w:tcW w:w="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129"/>
              <w:spacing w:after="0" w:line="156" w:lineRule="exact"/>
              <w:rPr>
                <w:sz w:val="20"/>
                <w:szCs w:val="20"/>
                <w:color w:val="auto"/>
              </w:rPr>
            </w:pPr>
            <w:r>
              <w:rPr>
                <w:rFonts w:ascii="Arial" w:cs="Arial" w:eastAsia="Arial" w:hAnsi="Arial"/>
                <w:sz w:val="14"/>
                <w:szCs w:val="14"/>
                <w:color w:val="auto"/>
              </w:rPr>
              <w:t>20,859</w:t>
            </w: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149"/>
              <w:spacing w:after="0" w:line="156" w:lineRule="exact"/>
              <w:rPr>
                <w:sz w:val="20"/>
                <w:szCs w:val="20"/>
                <w:color w:val="auto"/>
              </w:rPr>
            </w:pPr>
            <w:r>
              <w:rPr>
                <w:rFonts w:ascii="Arial" w:cs="Arial" w:eastAsia="Arial" w:hAnsi="Arial"/>
                <w:sz w:val="14"/>
                <w:szCs w:val="14"/>
                <w:color w:val="auto"/>
              </w:rPr>
              <w:t>4,171</w:t>
            </w:r>
          </w:p>
        </w:tc>
        <w:tc>
          <w:tcPr>
            <w:tcW w:w="0" w:type="dxa"/>
            <w:vAlign w:val="bottom"/>
          </w:tcPr>
          <w:p>
            <w:pPr>
              <w:spacing w:after="0"/>
              <w:rPr>
                <w:sz w:val="1"/>
                <w:szCs w:val="1"/>
                <w:color w:val="auto"/>
              </w:rPr>
            </w:pPr>
          </w:p>
        </w:tc>
      </w:tr>
      <w:tr>
        <w:trPr>
          <w:trHeight w:val="172"/>
        </w:trPr>
        <w:tc>
          <w:tcPr>
            <w:tcW w:w="3340" w:type="dxa"/>
            <w:vAlign w:val="bottom"/>
          </w:tcPr>
          <w:p>
            <w:pPr>
              <w:spacing w:after="0"/>
              <w:rPr>
                <w:sz w:val="20"/>
                <w:szCs w:val="20"/>
                <w:color w:val="auto"/>
              </w:rPr>
            </w:pPr>
            <w:r>
              <w:rPr>
                <w:rFonts w:ascii="Arial" w:cs="Arial" w:eastAsia="Arial" w:hAnsi="Arial"/>
                <w:sz w:val="14"/>
                <w:szCs w:val="14"/>
                <w:color w:val="auto"/>
              </w:rPr>
              <w:t>Income from operations</w:t>
            </w:r>
          </w:p>
        </w:tc>
        <w:tc>
          <w:tcPr>
            <w:tcW w:w="180" w:type="dxa"/>
            <w:vAlign w:val="bottom"/>
          </w:tcPr>
          <w:p>
            <w:pPr>
              <w:spacing w:after="0"/>
              <w:rPr>
                <w:sz w:val="14"/>
                <w:szCs w:val="14"/>
                <w:color w:val="auto"/>
              </w:rPr>
            </w:pPr>
          </w:p>
        </w:tc>
        <w:tc>
          <w:tcPr>
            <w:tcW w:w="1580" w:type="dxa"/>
            <w:vAlign w:val="bottom"/>
          </w:tcPr>
          <w:p>
            <w:pPr>
              <w:jc w:val="right"/>
              <w:ind w:right="169"/>
              <w:spacing w:after="0"/>
              <w:rPr>
                <w:sz w:val="20"/>
                <w:szCs w:val="20"/>
                <w:color w:val="auto"/>
              </w:rPr>
            </w:pPr>
            <w:r>
              <w:rPr>
                <w:rFonts w:ascii="Arial" w:cs="Arial" w:eastAsia="Arial" w:hAnsi="Arial"/>
                <w:sz w:val="14"/>
                <w:szCs w:val="14"/>
                <w:color w:val="auto"/>
              </w:rPr>
              <w:t>4,527</w:t>
            </w: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jc w:val="right"/>
              <w:ind w:right="149"/>
              <w:spacing w:after="0"/>
              <w:rPr>
                <w:sz w:val="20"/>
                <w:szCs w:val="20"/>
                <w:color w:val="auto"/>
              </w:rPr>
            </w:pPr>
            <w:r>
              <w:rPr>
                <w:rFonts w:ascii="Arial" w:cs="Arial" w:eastAsia="Arial" w:hAnsi="Arial"/>
                <w:sz w:val="14"/>
                <w:szCs w:val="14"/>
                <w:color w:val="auto"/>
              </w:rPr>
              <w:t>21,760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ind w:right="129"/>
              <w:spacing w:after="0"/>
              <w:rPr>
                <w:sz w:val="20"/>
                <w:szCs w:val="20"/>
                <w:color w:val="auto"/>
              </w:rPr>
            </w:pPr>
            <w:r>
              <w:rPr>
                <w:rFonts w:ascii="Arial" w:cs="Arial" w:eastAsia="Arial" w:hAnsi="Arial"/>
                <w:sz w:val="14"/>
                <w:szCs w:val="14"/>
                <w:color w:val="auto"/>
              </w:rPr>
              <w:t>29,117</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jc w:val="right"/>
              <w:ind w:right="149"/>
              <w:spacing w:after="0"/>
              <w:rPr>
                <w:sz w:val="20"/>
                <w:szCs w:val="20"/>
                <w:color w:val="auto"/>
              </w:rPr>
            </w:pPr>
            <w:r>
              <w:rPr>
                <w:rFonts w:ascii="Arial" w:cs="Arial" w:eastAsia="Arial" w:hAnsi="Arial"/>
                <w:sz w:val="14"/>
                <w:szCs w:val="14"/>
                <w:color w:val="auto"/>
              </w:rPr>
              <w:t>29,129</w:t>
            </w:r>
          </w:p>
        </w:tc>
        <w:tc>
          <w:tcPr>
            <w:tcW w:w="0" w:type="dxa"/>
            <w:vAlign w:val="bottom"/>
          </w:tcPr>
          <w:p>
            <w:pPr>
              <w:spacing w:after="0"/>
              <w:rPr>
                <w:sz w:val="1"/>
                <w:szCs w:val="1"/>
                <w:color w:val="auto"/>
              </w:rPr>
            </w:pPr>
          </w:p>
        </w:tc>
      </w:tr>
      <w:tr>
        <w:trPr>
          <w:trHeight w:val="161"/>
        </w:trPr>
        <w:tc>
          <w:tcPr>
            <w:tcW w:w="3340" w:type="dxa"/>
            <w:vAlign w:val="bottom"/>
          </w:tcPr>
          <w:p>
            <w:pPr>
              <w:spacing w:after="0"/>
              <w:rPr>
                <w:sz w:val="20"/>
                <w:szCs w:val="20"/>
                <w:color w:val="auto"/>
              </w:rPr>
            </w:pPr>
            <w:r>
              <w:rPr>
                <w:rFonts w:ascii="Arial" w:cs="Arial" w:eastAsia="Arial" w:hAnsi="Arial"/>
                <w:sz w:val="14"/>
                <w:szCs w:val="14"/>
                <w:color w:val="auto"/>
              </w:rPr>
              <w:t>Interest expense, net</w:t>
            </w:r>
          </w:p>
        </w:tc>
        <w:tc>
          <w:tcPr>
            <w:tcW w:w="180" w:type="dxa"/>
            <w:vAlign w:val="bottom"/>
          </w:tcPr>
          <w:p>
            <w:pPr>
              <w:spacing w:after="0"/>
              <w:rPr>
                <w:sz w:val="13"/>
                <w:szCs w:val="13"/>
                <w:color w:val="auto"/>
              </w:rPr>
            </w:pPr>
          </w:p>
        </w:tc>
        <w:tc>
          <w:tcPr>
            <w:tcW w:w="1580" w:type="dxa"/>
            <w:vAlign w:val="bottom"/>
          </w:tcPr>
          <w:p>
            <w:pPr>
              <w:jc w:val="right"/>
              <w:ind w:right="129"/>
              <w:spacing w:after="0"/>
              <w:rPr>
                <w:sz w:val="20"/>
                <w:szCs w:val="20"/>
                <w:color w:val="auto"/>
              </w:rPr>
            </w:pPr>
            <w:r>
              <w:rPr>
                <w:rFonts w:ascii="Arial" w:cs="Arial" w:eastAsia="Arial" w:hAnsi="Arial"/>
                <w:sz w:val="14"/>
                <w:szCs w:val="14"/>
                <w:color w:val="auto"/>
              </w:rPr>
              <w:t>(5,025)</w:t>
            </w: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(7,766)</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jc w:val="right"/>
              <w:ind w:right="69"/>
              <w:spacing w:after="0"/>
              <w:rPr>
                <w:sz w:val="20"/>
                <w:szCs w:val="20"/>
                <w:color w:val="auto"/>
              </w:rPr>
            </w:pPr>
            <w:r>
              <w:rPr>
                <w:rFonts w:ascii="Arial" w:cs="Arial" w:eastAsia="Arial" w:hAnsi="Arial"/>
                <w:sz w:val="14"/>
                <w:szCs w:val="14"/>
                <w:color w:val="auto"/>
              </w:rPr>
              <w:t>(17,276)</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tcPr>
          <w:p>
            <w:pPr>
              <w:jc w:val="right"/>
              <w:ind w:right="109"/>
              <w:spacing w:after="0"/>
              <w:rPr>
                <w:sz w:val="20"/>
                <w:szCs w:val="20"/>
                <w:color w:val="auto"/>
              </w:rPr>
            </w:pPr>
            <w:r>
              <w:rPr>
                <w:rFonts w:ascii="Arial" w:cs="Arial" w:eastAsia="Arial" w:hAnsi="Arial"/>
                <w:sz w:val="14"/>
                <w:szCs w:val="14"/>
                <w:color w:val="auto"/>
              </w:rPr>
              <w:t>(26,720)</w:t>
            </w:r>
          </w:p>
        </w:tc>
        <w:tc>
          <w:tcPr>
            <w:tcW w:w="0" w:type="dxa"/>
            <w:vAlign w:val="bottom"/>
          </w:tcPr>
          <w:p>
            <w:pPr>
              <w:spacing w:after="0"/>
              <w:rPr>
                <w:sz w:val="1"/>
                <w:szCs w:val="1"/>
                <w:color w:val="auto"/>
              </w:rPr>
            </w:pPr>
          </w:p>
        </w:tc>
      </w:tr>
      <w:tr>
        <w:trPr>
          <w:trHeight w:val="156"/>
        </w:trPr>
        <w:tc>
          <w:tcPr>
            <w:tcW w:w="3340" w:type="dxa"/>
            <w:vAlign w:val="bottom"/>
          </w:tcPr>
          <w:p>
            <w:pPr>
              <w:spacing w:after="0" w:line="156" w:lineRule="exact"/>
              <w:rPr>
                <w:sz w:val="20"/>
                <w:szCs w:val="20"/>
                <w:color w:val="auto"/>
              </w:rPr>
            </w:pPr>
            <w:r>
              <w:rPr>
                <w:rFonts w:ascii="Arial" w:cs="Arial" w:eastAsia="Arial" w:hAnsi="Arial"/>
                <w:sz w:val="14"/>
                <w:szCs w:val="14"/>
                <w:color w:val="auto"/>
              </w:rPr>
              <w:t>Other income, net</w:t>
            </w:r>
          </w:p>
        </w:tc>
        <w:tc>
          <w:tcPr>
            <w:tcW w:w="1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249"/>
              <w:spacing w:after="0" w:line="156"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29"/>
              <w:spacing w:after="0" w:line="156"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129"/>
              <w:spacing w:after="0" w:line="156" w:lineRule="exact"/>
              <w:rPr>
                <w:sz w:val="20"/>
                <w:szCs w:val="20"/>
                <w:color w:val="auto"/>
              </w:rPr>
            </w:pPr>
            <w:r>
              <w:rPr>
                <w:rFonts w:ascii="Arial" w:cs="Arial" w:eastAsia="Arial" w:hAnsi="Arial"/>
                <w:sz w:val="14"/>
                <w:szCs w:val="14"/>
                <w:color w:val="auto"/>
              </w:rPr>
              <w:t>4,118</w:t>
            </w: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229"/>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3340" w:type="dxa"/>
            <w:vAlign w:val="bottom"/>
          </w:tcPr>
          <w:p>
            <w:pPr>
              <w:spacing w:after="0"/>
              <w:rPr>
                <w:sz w:val="20"/>
                <w:szCs w:val="20"/>
                <w:color w:val="auto"/>
              </w:rPr>
            </w:pPr>
            <w:r>
              <w:rPr>
                <w:rFonts w:ascii="Arial" w:cs="Arial" w:eastAsia="Arial" w:hAnsi="Arial"/>
                <w:sz w:val="14"/>
                <w:szCs w:val="14"/>
                <w:color w:val="auto"/>
              </w:rPr>
              <w:t>(Loss) income before income taxes</w:t>
            </w:r>
          </w:p>
        </w:tc>
        <w:tc>
          <w:tcPr>
            <w:tcW w:w="180" w:type="dxa"/>
            <w:vAlign w:val="bottom"/>
          </w:tcPr>
          <w:p>
            <w:pPr>
              <w:spacing w:after="0"/>
              <w:rPr>
                <w:sz w:val="14"/>
                <w:szCs w:val="14"/>
                <w:color w:val="auto"/>
              </w:rPr>
            </w:pPr>
          </w:p>
        </w:tc>
        <w:tc>
          <w:tcPr>
            <w:tcW w:w="1580" w:type="dxa"/>
            <w:vAlign w:val="bottom"/>
          </w:tcPr>
          <w:p>
            <w:pPr>
              <w:jc w:val="right"/>
              <w:ind w:right="129"/>
              <w:spacing w:after="0"/>
              <w:rPr>
                <w:sz w:val="20"/>
                <w:szCs w:val="20"/>
                <w:color w:val="auto"/>
              </w:rPr>
            </w:pPr>
            <w:r>
              <w:rPr>
                <w:rFonts w:ascii="Arial" w:cs="Arial" w:eastAsia="Arial" w:hAnsi="Arial"/>
                <w:sz w:val="14"/>
                <w:szCs w:val="14"/>
                <w:color w:val="auto"/>
              </w:rPr>
              <w:t>(498)</w:t>
            </w: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jc w:val="right"/>
              <w:ind w:right="149"/>
              <w:spacing w:after="0"/>
              <w:rPr>
                <w:sz w:val="20"/>
                <w:szCs w:val="20"/>
                <w:color w:val="auto"/>
              </w:rPr>
            </w:pPr>
            <w:r>
              <w:rPr>
                <w:rFonts w:ascii="Arial" w:cs="Arial" w:eastAsia="Arial" w:hAnsi="Arial"/>
                <w:sz w:val="14"/>
                <w:szCs w:val="14"/>
                <w:color w:val="auto"/>
              </w:rPr>
              <w:t>13,994</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ind w:right="129"/>
              <w:spacing w:after="0"/>
              <w:rPr>
                <w:sz w:val="20"/>
                <w:szCs w:val="20"/>
                <w:color w:val="auto"/>
              </w:rPr>
            </w:pPr>
            <w:r>
              <w:rPr>
                <w:rFonts w:ascii="Arial" w:cs="Arial" w:eastAsia="Arial" w:hAnsi="Arial"/>
                <w:sz w:val="14"/>
                <w:szCs w:val="14"/>
                <w:color w:val="auto"/>
              </w:rPr>
              <w:t>15,959</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jc w:val="right"/>
              <w:ind w:right="149"/>
              <w:spacing w:after="0"/>
              <w:rPr>
                <w:sz w:val="20"/>
                <w:szCs w:val="20"/>
                <w:color w:val="auto"/>
              </w:rPr>
            </w:pPr>
            <w:r>
              <w:rPr>
                <w:rFonts w:ascii="Arial" w:cs="Arial" w:eastAsia="Arial" w:hAnsi="Arial"/>
                <w:sz w:val="14"/>
                <w:szCs w:val="14"/>
                <w:color w:val="auto"/>
              </w:rPr>
              <w:t>2,409</w:t>
            </w:r>
          </w:p>
        </w:tc>
        <w:tc>
          <w:tcPr>
            <w:tcW w:w="0" w:type="dxa"/>
            <w:vAlign w:val="bottom"/>
          </w:tcPr>
          <w:p>
            <w:pPr>
              <w:spacing w:after="0"/>
              <w:rPr>
                <w:sz w:val="1"/>
                <w:szCs w:val="1"/>
                <w:color w:val="auto"/>
              </w:rPr>
            </w:pPr>
          </w:p>
        </w:tc>
      </w:tr>
      <w:tr>
        <w:trPr>
          <w:trHeight w:val="161"/>
        </w:trPr>
        <w:tc>
          <w:tcPr>
            <w:tcW w:w="334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180" w:type="dxa"/>
            <w:vAlign w:val="bottom"/>
          </w:tcPr>
          <w:p>
            <w:pPr>
              <w:spacing w:after="0"/>
              <w:rPr>
                <w:sz w:val="13"/>
                <w:szCs w:val="13"/>
                <w:color w:val="auto"/>
              </w:rPr>
            </w:pPr>
          </w:p>
        </w:tc>
        <w:tc>
          <w:tcPr>
            <w:tcW w:w="1580" w:type="dxa"/>
            <w:vAlign w:val="bottom"/>
          </w:tcPr>
          <w:p>
            <w:pPr>
              <w:jc w:val="right"/>
              <w:ind w:right="129"/>
              <w:spacing w:after="0"/>
              <w:rPr>
                <w:sz w:val="20"/>
                <w:szCs w:val="20"/>
                <w:color w:val="auto"/>
              </w:rPr>
            </w:pPr>
            <w:r>
              <w:rPr>
                <w:rFonts w:ascii="Arial" w:cs="Arial" w:eastAsia="Arial" w:hAnsi="Arial"/>
                <w:sz w:val="14"/>
                <w:szCs w:val="14"/>
                <w:color w:val="auto"/>
              </w:rPr>
              <w:t>(3,492)</w:t>
            </w: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(7,008)</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jc w:val="right"/>
              <w:ind w:right="129"/>
              <w:spacing w:after="0"/>
              <w:rPr>
                <w:sz w:val="20"/>
                <w:szCs w:val="20"/>
                <w:color w:val="auto"/>
              </w:rPr>
            </w:pPr>
            <w:r>
              <w:rPr>
                <w:rFonts w:ascii="Arial" w:cs="Arial" w:eastAsia="Arial" w:hAnsi="Arial"/>
                <w:sz w:val="14"/>
                <w:szCs w:val="14"/>
                <w:color w:val="auto"/>
              </w:rPr>
              <w:t>3,469</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tcPr>
          <w:p>
            <w:pPr>
              <w:jc w:val="right"/>
              <w:ind w:right="109"/>
              <w:spacing w:after="0"/>
              <w:rPr>
                <w:sz w:val="20"/>
                <w:szCs w:val="20"/>
                <w:color w:val="auto"/>
              </w:rPr>
            </w:pPr>
            <w:r>
              <w:rPr>
                <w:rFonts w:ascii="Arial" w:cs="Arial" w:eastAsia="Arial" w:hAnsi="Arial"/>
                <w:sz w:val="14"/>
                <w:szCs w:val="14"/>
                <w:color w:val="auto"/>
              </w:rPr>
              <w:t>(573)</w:t>
            </w:r>
          </w:p>
        </w:tc>
        <w:tc>
          <w:tcPr>
            <w:tcW w:w="0" w:type="dxa"/>
            <w:vAlign w:val="bottom"/>
          </w:tcPr>
          <w:p>
            <w:pPr>
              <w:spacing w:after="0"/>
              <w:rPr>
                <w:sz w:val="1"/>
                <w:szCs w:val="1"/>
                <w:color w:val="auto"/>
              </w:rPr>
            </w:pPr>
          </w:p>
        </w:tc>
      </w:tr>
      <w:tr>
        <w:trPr>
          <w:trHeight w:val="161"/>
        </w:trPr>
        <w:tc>
          <w:tcPr>
            <w:tcW w:w="3340" w:type="dxa"/>
            <w:vAlign w:val="bottom"/>
          </w:tcPr>
          <w:p>
            <w:pPr>
              <w:spacing w:after="0"/>
              <w:rPr>
                <w:sz w:val="20"/>
                <w:szCs w:val="20"/>
                <w:color w:val="auto"/>
              </w:rPr>
            </w:pPr>
            <w:r>
              <w:rPr>
                <w:rFonts w:ascii="Arial" w:cs="Arial" w:eastAsia="Arial" w:hAnsi="Arial"/>
                <w:sz w:val="14"/>
                <w:szCs w:val="14"/>
                <w:color w:val="auto"/>
              </w:rPr>
              <w:t>Equity in income (loss) of unconsolidated</w:t>
            </w:r>
          </w:p>
        </w:tc>
        <w:tc>
          <w:tcPr>
            <w:tcW w:w="1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40" w:type="dxa"/>
            <w:vAlign w:val="bottom"/>
          </w:tcPr>
          <w:p>
            <w:pPr>
              <w:ind w:left="140"/>
              <w:spacing w:after="0" w:line="156" w:lineRule="exact"/>
              <w:rPr>
                <w:sz w:val="20"/>
                <w:szCs w:val="20"/>
                <w:color w:val="auto"/>
              </w:rPr>
            </w:pPr>
            <w:r>
              <w:rPr>
                <w:rFonts w:ascii="Arial" w:cs="Arial" w:eastAsia="Arial" w:hAnsi="Arial"/>
                <w:sz w:val="14"/>
                <w:szCs w:val="14"/>
                <w:color w:val="auto"/>
              </w:rPr>
              <w:t>affiliate, net</w:t>
            </w:r>
          </w:p>
        </w:tc>
        <w:tc>
          <w:tcPr>
            <w:tcW w:w="1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169"/>
              <w:spacing w:after="0" w:line="156"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49"/>
              <w:spacing w:after="0" w:line="156" w:lineRule="exact"/>
              <w:rPr>
                <w:sz w:val="20"/>
                <w:szCs w:val="20"/>
                <w:color w:val="auto"/>
              </w:rPr>
            </w:pPr>
            <w:r>
              <w:rPr>
                <w:rFonts w:ascii="Arial" w:cs="Arial" w:eastAsia="Arial" w:hAnsi="Arial"/>
                <w:sz w:val="14"/>
                <w:szCs w:val="14"/>
                <w:color w:val="auto"/>
              </w:rPr>
              <w:t>774</w:t>
            </w:r>
          </w:p>
        </w:tc>
        <w:tc>
          <w:tcPr>
            <w:tcW w:w="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69"/>
              <w:spacing w:after="0" w:line="156" w:lineRule="exact"/>
              <w:rPr>
                <w:sz w:val="20"/>
                <w:szCs w:val="20"/>
                <w:color w:val="auto"/>
              </w:rPr>
            </w:pPr>
            <w:r>
              <w:rPr>
                <w:rFonts w:ascii="Arial" w:cs="Arial" w:eastAsia="Arial" w:hAnsi="Arial"/>
                <w:sz w:val="14"/>
                <w:szCs w:val="14"/>
                <w:color w:val="auto"/>
              </w:rPr>
              <w:t>(256)</w:t>
            </w: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149"/>
              <w:spacing w:after="0" w:line="156" w:lineRule="exact"/>
              <w:rPr>
                <w:sz w:val="20"/>
                <w:szCs w:val="20"/>
                <w:color w:val="auto"/>
              </w:rPr>
            </w:pPr>
            <w:r>
              <w:rPr>
                <w:rFonts w:ascii="Arial" w:cs="Arial" w:eastAsia="Arial" w:hAnsi="Arial"/>
                <w:sz w:val="14"/>
                <w:szCs w:val="14"/>
                <w:color w:val="auto"/>
              </w:rPr>
              <w:t>788</w:t>
            </w:r>
          </w:p>
        </w:tc>
        <w:tc>
          <w:tcPr>
            <w:tcW w:w="0" w:type="dxa"/>
            <w:vAlign w:val="bottom"/>
          </w:tcPr>
          <w:p>
            <w:pPr>
              <w:spacing w:after="0"/>
              <w:rPr>
                <w:sz w:val="1"/>
                <w:szCs w:val="1"/>
                <w:color w:val="auto"/>
              </w:rPr>
            </w:pPr>
          </w:p>
        </w:tc>
      </w:tr>
      <w:tr>
        <w:trPr>
          <w:trHeight w:val="172"/>
        </w:trPr>
        <w:tc>
          <w:tcPr>
            <w:tcW w:w="3340" w:type="dxa"/>
            <w:vAlign w:val="bottom"/>
          </w:tcPr>
          <w:p>
            <w:pPr>
              <w:spacing w:after="0"/>
              <w:rPr>
                <w:sz w:val="20"/>
                <w:szCs w:val="20"/>
                <w:color w:val="auto"/>
              </w:rPr>
            </w:pPr>
            <w:r>
              <w:rPr>
                <w:rFonts w:ascii="Arial" w:cs="Arial" w:eastAsia="Arial" w:hAnsi="Arial"/>
                <w:sz w:val="14"/>
                <w:szCs w:val="14"/>
                <w:color w:val="auto"/>
              </w:rPr>
              <w:t>Net (loss) income</w:t>
            </w:r>
          </w:p>
        </w:tc>
        <w:tc>
          <w:tcPr>
            <w:tcW w:w="180" w:type="dxa"/>
            <w:vAlign w:val="bottom"/>
          </w:tcPr>
          <w:p>
            <w:pPr>
              <w:spacing w:after="0"/>
              <w:rPr>
                <w:sz w:val="14"/>
                <w:szCs w:val="14"/>
                <w:color w:val="auto"/>
              </w:rPr>
            </w:pPr>
          </w:p>
        </w:tc>
        <w:tc>
          <w:tcPr>
            <w:tcW w:w="1580" w:type="dxa"/>
            <w:vAlign w:val="bottom"/>
          </w:tcPr>
          <w:p>
            <w:pPr>
              <w:jc w:val="right"/>
              <w:ind w:right="129"/>
              <w:spacing w:after="0"/>
              <w:rPr>
                <w:sz w:val="20"/>
                <w:szCs w:val="20"/>
                <w:color w:val="auto"/>
              </w:rPr>
            </w:pPr>
            <w:r>
              <w:rPr>
                <w:rFonts w:ascii="Arial" w:cs="Arial" w:eastAsia="Arial" w:hAnsi="Arial"/>
                <w:sz w:val="14"/>
                <w:szCs w:val="14"/>
                <w:color w:val="auto"/>
              </w:rPr>
              <w:t>(3,990)</w:t>
            </w: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jc w:val="right"/>
              <w:ind w:right="149"/>
              <w:spacing w:after="0"/>
              <w:rPr>
                <w:sz w:val="20"/>
                <w:szCs w:val="20"/>
                <w:color w:val="auto"/>
              </w:rPr>
            </w:pPr>
            <w:r>
              <w:rPr>
                <w:rFonts w:ascii="Arial" w:cs="Arial" w:eastAsia="Arial" w:hAnsi="Arial"/>
                <w:sz w:val="14"/>
                <w:szCs w:val="14"/>
                <w:color w:val="auto"/>
              </w:rPr>
              <w:t>7,760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ind w:right="129"/>
              <w:spacing w:after="0"/>
              <w:rPr>
                <w:sz w:val="20"/>
                <w:szCs w:val="20"/>
                <w:color w:val="auto"/>
              </w:rPr>
            </w:pPr>
            <w:r>
              <w:rPr>
                <w:rFonts w:ascii="Arial" w:cs="Arial" w:eastAsia="Arial" w:hAnsi="Arial"/>
                <w:sz w:val="14"/>
                <w:szCs w:val="14"/>
                <w:color w:val="auto"/>
              </w:rPr>
              <w:t>19,172</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jc w:val="right"/>
              <w:ind w:right="149"/>
              <w:spacing w:after="0"/>
              <w:rPr>
                <w:sz w:val="20"/>
                <w:szCs w:val="20"/>
                <w:color w:val="auto"/>
              </w:rPr>
            </w:pPr>
            <w:r>
              <w:rPr>
                <w:rFonts w:ascii="Arial" w:cs="Arial" w:eastAsia="Arial" w:hAnsi="Arial"/>
                <w:sz w:val="14"/>
                <w:szCs w:val="14"/>
                <w:color w:val="auto"/>
              </w:rPr>
              <w:t>2,624</w:t>
            </w:r>
          </w:p>
        </w:tc>
        <w:tc>
          <w:tcPr>
            <w:tcW w:w="0" w:type="dxa"/>
            <w:vAlign w:val="bottom"/>
          </w:tcPr>
          <w:p>
            <w:pPr>
              <w:spacing w:after="0"/>
              <w:rPr>
                <w:sz w:val="1"/>
                <w:szCs w:val="1"/>
                <w:color w:val="auto"/>
              </w:rPr>
            </w:pPr>
          </w:p>
        </w:tc>
      </w:tr>
      <w:tr>
        <w:trPr>
          <w:trHeight w:val="161"/>
        </w:trPr>
        <w:tc>
          <w:tcPr>
            <w:tcW w:w="3340" w:type="dxa"/>
            <w:vAlign w:val="bottom"/>
          </w:tcPr>
          <w:p>
            <w:pPr>
              <w:spacing w:after="0"/>
              <w:rPr>
                <w:sz w:val="20"/>
                <w:szCs w:val="20"/>
                <w:color w:val="auto"/>
              </w:rPr>
            </w:pPr>
            <w:r>
              <w:rPr>
                <w:rFonts w:ascii="Arial" w:cs="Arial" w:eastAsia="Arial" w:hAnsi="Arial"/>
                <w:sz w:val="14"/>
                <w:szCs w:val="14"/>
                <w:color w:val="auto"/>
              </w:rPr>
              <w:t>Less: net income attributable to noncontrolling</w:t>
            </w:r>
          </w:p>
        </w:tc>
        <w:tc>
          <w:tcPr>
            <w:tcW w:w="1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40" w:type="dxa"/>
            <w:vAlign w:val="bottom"/>
          </w:tcPr>
          <w:p>
            <w:pPr>
              <w:ind w:left="140"/>
              <w:spacing w:after="0" w:line="156" w:lineRule="exact"/>
              <w:rPr>
                <w:sz w:val="20"/>
                <w:szCs w:val="20"/>
                <w:color w:val="auto"/>
              </w:rPr>
            </w:pPr>
            <w:r>
              <w:rPr>
                <w:rFonts w:ascii="Arial" w:cs="Arial" w:eastAsia="Arial" w:hAnsi="Arial"/>
                <w:sz w:val="14"/>
                <w:szCs w:val="14"/>
                <w:color w:val="auto"/>
              </w:rPr>
              <w:t>interest, net of tax</w:t>
            </w:r>
          </w:p>
        </w:tc>
        <w:tc>
          <w:tcPr>
            <w:tcW w:w="1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169"/>
              <w:spacing w:after="0" w:line="156" w:lineRule="exact"/>
              <w:rPr>
                <w:sz w:val="20"/>
                <w:szCs w:val="20"/>
                <w:color w:val="auto"/>
              </w:rPr>
            </w:pPr>
            <w:r>
              <w:rPr>
                <w:rFonts w:ascii="Arial" w:cs="Arial" w:eastAsia="Arial" w:hAnsi="Arial"/>
                <w:sz w:val="14"/>
                <w:szCs w:val="14"/>
                <w:color w:val="auto"/>
              </w:rPr>
              <w:t>2,623</w:t>
            </w:r>
          </w:p>
        </w:tc>
        <w:tc>
          <w:tcPr>
            <w:tcW w:w="32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49"/>
              <w:spacing w:after="0" w:line="156" w:lineRule="exact"/>
              <w:rPr>
                <w:sz w:val="20"/>
                <w:szCs w:val="20"/>
                <w:color w:val="auto"/>
              </w:rPr>
            </w:pPr>
            <w:r>
              <w:rPr>
                <w:rFonts w:ascii="Arial" w:cs="Arial" w:eastAsia="Arial" w:hAnsi="Arial"/>
                <w:sz w:val="14"/>
                <w:szCs w:val="14"/>
                <w:color w:val="auto"/>
              </w:rPr>
              <w:t>1,000</w:t>
            </w:r>
          </w:p>
        </w:tc>
        <w:tc>
          <w:tcPr>
            <w:tcW w:w="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129"/>
              <w:spacing w:after="0" w:line="156" w:lineRule="exact"/>
              <w:rPr>
                <w:sz w:val="20"/>
                <w:szCs w:val="20"/>
                <w:color w:val="auto"/>
              </w:rPr>
            </w:pPr>
            <w:r>
              <w:rPr>
                <w:rFonts w:ascii="Arial" w:cs="Arial" w:eastAsia="Arial" w:hAnsi="Arial"/>
                <w:sz w:val="14"/>
                <w:szCs w:val="14"/>
                <w:color w:val="auto"/>
              </w:rPr>
              <w:t>5,526</w:t>
            </w: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149"/>
              <w:spacing w:after="0" w:line="156" w:lineRule="exact"/>
              <w:rPr>
                <w:sz w:val="20"/>
                <w:szCs w:val="20"/>
                <w:color w:val="auto"/>
              </w:rPr>
            </w:pPr>
            <w:r>
              <w:rPr>
                <w:rFonts w:ascii="Arial" w:cs="Arial" w:eastAsia="Arial" w:hAnsi="Arial"/>
                <w:sz w:val="14"/>
                <w:szCs w:val="14"/>
                <w:color w:val="auto"/>
              </w:rPr>
              <w:t>6,290</w:t>
            </w:r>
          </w:p>
        </w:tc>
        <w:tc>
          <w:tcPr>
            <w:tcW w:w="0" w:type="dxa"/>
            <w:vAlign w:val="bottom"/>
          </w:tcPr>
          <w:p>
            <w:pPr>
              <w:spacing w:after="0"/>
              <w:rPr>
                <w:sz w:val="1"/>
                <w:szCs w:val="1"/>
                <w:color w:val="auto"/>
              </w:rPr>
            </w:pPr>
          </w:p>
        </w:tc>
      </w:tr>
      <w:tr>
        <w:trPr>
          <w:trHeight w:val="168"/>
        </w:trPr>
        <w:tc>
          <w:tcPr>
            <w:tcW w:w="3340" w:type="dxa"/>
            <w:vAlign w:val="bottom"/>
          </w:tcPr>
          <w:p>
            <w:pPr>
              <w:spacing w:after="0"/>
              <w:rPr>
                <w:sz w:val="20"/>
                <w:szCs w:val="20"/>
                <w:color w:val="auto"/>
              </w:rPr>
            </w:pPr>
            <w:r>
              <w:rPr>
                <w:rFonts w:ascii="Arial" w:cs="Arial" w:eastAsia="Arial" w:hAnsi="Arial"/>
                <w:sz w:val="14"/>
                <w:szCs w:val="14"/>
                <w:color w:val="auto"/>
              </w:rPr>
              <w:t>Net (loss) income attributable to Viasat, Inc.</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129"/>
              <w:spacing w:after="0"/>
              <w:rPr>
                <w:sz w:val="20"/>
                <w:szCs w:val="20"/>
                <w:color w:val="auto"/>
              </w:rPr>
            </w:pPr>
            <w:r>
              <w:rPr>
                <w:rFonts w:ascii="Arial" w:cs="Arial" w:eastAsia="Arial" w:hAnsi="Arial"/>
                <w:sz w:val="14"/>
                <w:szCs w:val="14"/>
                <w:color w:val="auto"/>
              </w:rPr>
              <w:t>(6,613)</w:t>
            </w:r>
          </w:p>
        </w:tc>
        <w:tc>
          <w:tcPr>
            <w:tcW w:w="920" w:type="dxa"/>
            <w:vAlign w:val="bottom"/>
            <w:gridSpan w:val="2"/>
          </w:tcPr>
          <w:p>
            <w:pPr>
              <w:jc w:val="right"/>
              <w:ind w:right="4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49"/>
              <w:spacing w:after="0"/>
              <w:rPr>
                <w:sz w:val="20"/>
                <w:szCs w:val="20"/>
                <w:color w:val="auto"/>
              </w:rPr>
            </w:pPr>
            <w:r>
              <w:rPr>
                <w:rFonts w:ascii="Arial" w:cs="Arial" w:eastAsia="Arial" w:hAnsi="Arial"/>
                <w:sz w:val="14"/>
                <w:szCs w:val="14"/>
                <w:color w:val="auto"/>
              </w:rPr>
              <w:t>6,760</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129"/>
              <w:spacing w:after="0"/>
              <w:rPr>
                <w:sz w:val="20"/>
                <w:szCs w:val="20"/>
                <w:color w:val="auto"/>
              </w:rPr>
            </w:pPr>
            <w:r>
              <w:rPr>
                <w:rFonts w:ascii="Arial" w:cs="Arial" w:eastAsia="Arial" w:hAnsi="Arial"/>
                <w:sz w:val="14"/>
                <w:szCs w:val="14"/>
                <w:color w:val="auto"/>
              </w:rPr>
              <w:t>13,646</w:t>
            </w: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109"/>
              <w:spacing w:after="0"/>
              <w:rPr>
                <w:sz w:val="20"/>
                <w:szCs w:val="20"/>
                <w:color w:val="auto"/>
              </w:rPr>
            </w:pPr>
            <w:r>
              <w:rPr>
                <w:rFonts w:ascii="Arial" w:cs="Arial" w:eastAsia="Arial" w:hAnsi="Arial"/>
                <w:sz w:val="14"/>
                <w:szCs w:val="14"/>
                <w:color w:val="auto"/>
              </w:rPr>
              <w:t>(3,666)</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4"/>
                <w:szCs w:val="14"/>
                <w:color w:val="auto"/>
              </w:rPr>
              <w:t>Diluted net (loss) income per share attributable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3340" w:type="dxa"/>
            <w:vAlign w:val="bottom"/>
            <w:vMerge w:val="continue"/>
          </w:tcPr>
          <w:p>
            <w:pPr>
              <w:spacing w:after="0"/>
              <w:rPr>
                <w:sz w:val="23"/>
                <w:szCs w:val="23"/>
                <w:color w:val="auto"/>
              </w:rPr>
            </w:pPr>
          </w:p>
        </w:tc>
        <w:tc>
          <w:tcPr>
            <w:tcW w:w="1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6"/>
        </w:trPr>
        <w:tc>
          <w:tcPr>
            <w:tcW w:w="3340" w:type="dxa"/>
            <w:vAlign w:val="bottom"/>
          </w:tcPr>
          <w:p>
            <w:pPr>
              <w:ind w:left="140"/>
              <w:spacing w:after="0" w:line="156" w:lineRule="exact"/>
              <w:rPr>
                <w:sz w:val="20"/>
                <w:szCs w:val="20"/>
                <w:color w:val="auto"/>
              </w:rPr>
            </w:pPr>
            <w:r>
              <w:rPr>
                <w:rFonts w:ascii="Arial" w:cs="Arial" w:eastAsia="Arial" w:hAnsi="Arial"/>
                <w:sz w:val="14"/>
                <w:szCs w:val="14"/>
                <w:color w:val="auto"/>
              </w:rPr>
              <w:t>to Viasat, Inc. common stockholders</w:t>
            </w:r>
          </w:p>
        </w:tc>
        <w:tc>
          <w:tcPr>
            <w:tcW w:w="18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580" w:type="dxa"/>
            <w:vAlign w:val="bottom"/>
          </w:tcPr>
          <w:p>
            <w:pPr>
              <w:jc w:val="right"/>
              <w:ind w:right="129"/>
              <w:spacing w:after="0" w:line="156" w:lineRule="exact"/>
              <w:rPr>
                <w:sz w:val="20"/>
                <w:szCs w:val="20"/>
                <w:color w:val="auto"/>
              </w:rPr>
            </w:pPr>
            <w:r>
              <w:rPr>
                <w:rFonts w:ascii="Arial" w:cs="Arial" w:eastAsia="Arial" w:hAnsi="Arial"/>
                <w:sz w:val="14"/>
                <w:szCs w:val="14"/>
                <w:color w:val="auto"/>
              </w:rPr>
              <w:t>(0.09)</w:t>
            </w:r>
          </w:p>
        </w:tc>
        <w:tc>
          <w:tcPr>
            <w:tcW w:w="920" w:type="dxa"/>
            <w:vAlign w:val="bottom"/>
            <w:gridSpan w:val="2"/>
          </w:tcPr>
          <w:p>
            <w:pPr>
              <w:jc w:val="right"/>
              <w:ind w:right="429"/>
              <w:spacing w:after="0" w:line="156"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49"/>
              <w:spacing w:after="0" w:line="156" w:lineRule="exact"/>
              <w:rPr>
                <w:sz w:val="20"/>
                <w:szCs w:val="20"/>
                <w:color w:val="auto"/>
              </w:rPr>
            </w:pPr>
            <w:r>
              <w:rPr>
                <w:rFonts w:ascii="Arial" w:cs="Arial" w:eastAsia="Arial" w:hAnsi="Arial"/>
                <w:sz w:val="14"/>
                <w:szCs w:val="14"/>
                <w:color w:val="auto"/>
              </w:rPr>
              <w:t>0.10</w:t>
            </w:r>
          </w:p>
        </w:tc>
        <w:tc>
          <w:tcPr>
            <w:tcW w:w="44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w:t>
            </w:r>
          </w:p>
        </w:tc>
        <w:tc>
          <w:tcPr>
            <w:tcW w:w="1480" w:type="dxa"/>
            <w:vAlign w:val="bottom"/>
          </w:tcPr>
          <w:p>
            <w:pPr>
              <w:jc w:val="right"/>
              <w:ind w:right="129"/>
              <w:spacing w:after="0" w:line="156" w:lineRule="exact"/>
              <w:rPr>
                <w:sz w:val="20"/>
                <w:szCs w:val="20"/>
                <w:color w:val="auto"/>
              </w:rPr>
            </w:pPr>
            <w:r>
              <w:rPr>
                <w:rFonts w:ascii="Arial" w:cs="Arial" w:eastAsia="Arial" w:hAnsi="Arial"/>
                <w:sz w:val="14"/>
                <w:szCs w:val="14"/>
                <w:color w:val="auto"/>
              </w:rPr>
              <w:t>0.18</w:t>
            </w:r>
          </w:p>
        </w:tc>
        <w:tc>
          <w:tcPr>
            <w:tcW w:w="480" w:type="dxa"/>
            <w:vAlign w:val="bottom"/>
            <w:gridSpan w:val="2"/>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1600" w:type="dxa"/>
            <w:vAlign w:val="bottom"/>
          </w:tcPr>
          <w:p>
            <w:pPr>
              <w:jc w:val="right"/>
              <w:ind w:right="109"/>
              <w:spacing w:after="0" w:line="156" w:lineRule="exact"/>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4"/>
                <w:szCs w:val="14"/>
                <w:color w:val="auto"/>
              </w:rPr>
              <w:t>Diluted common equivalent shares</w:t>
            </w:r>
            <w:r>
              <w:rPr>
                <w:rFonts w:ascii="Arial" w:cs="Arial" w:eastAsia="Arial" w:hAnsi="Arial"/>
                <w:sz w:val="24"/>
                <w:szCs w:val="24"/>
                <w:color w:val="auto"/>
                <w:vertAlign w:val="superscript"/>
              </w:rPr>
              <w:t>(2)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33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jc w:val="right"/>
              <w:ind w:right="169"/>
              <w:spacing w:after="0"/>
              <w:rPr>
                <w:sz w:val="20"/>
                <w:szCs w:val="20"/>
                <w:color w:val="auto"/>
              </w:rPr>
            </w:pPr>
            <w:r>
              <w:rPr>
                <w:rFonts w:ascii="Arial" w:cs="Arial" w:eastAsia="Arial" w:hAnsi="Arial"/>
                <w:sz w:val="14"/>
                <w:szCs w:val="14"/>
                <w:color w:val="auto"/>
              </w:rPr>
              <w:t>73,917</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jc w:val="right"/>
              <w:ind w:right="149"/>
              <w:spacing w:after="0"/>
              <w:rPr>
                <w:sz w:val="20"/>
                <w:szCs w:val="20"/>
                <w:color w:val="auto"/>
              </w:rPr>
            </w:pPr>
            <w:r>
              <w:rPr>
                <w:rFonts w:ascii="Arial" w:cs="Arial" w:eastAsia="Arial" w:hAnsi="Arial"/>
                <w:sz w:val="14"/>
                <w:szCs w:val="14"/>
                <w:color w:val="auto"/>
              </w:rPr>
              <w:t>68,668</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right"/>
              <w:ind w:right="129"/>
              <w:spacing w:after="0"/>
              <w:rPr>
                <w:sz w:val="20"/>
                <w:szCs w:val="20"/>
                <w:color w:val="auto"/>
              </w:rPr>
            </w:pPr>
            <w:r>
              <w:rPr>
                <w:rFonts w:ascii="Arial" w:cs="Arial" w:eastAsia="Arial" w:hAnsi="Arial"/>
                <w:sz w:val="14"/>
                <w:szCs w:val="14"/>
                <w:color w:val="auto"/>
              </w:rPr>
              <w:t>74,348</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jc w:val="right"/>
              <w:ind w:right="149"/>
              <w:spacing w:after="0"/>
              <w:rPr>
                <w:sz w:val="20"/>
                <w:szCs w:val="20"/>
                <w:color w:val="auto"/>
              </w:rPr>
            </w:pPr>
            <w:r>
              <w:rPr>
                <w:rFonts w:ascii="Arial" w:cs="Arial" w:eastAsia="Arial" w:hAnsi="Arial"/>
                <w:sz w:val="14"/>
                <w:szCs w:val="14"/>
                <w:color w:val="auto"/>
              </w:rPr>
              <w:t>65,704</w:t>
            </w:r>
          </w:p>
        </w:tc>
        <w:tc>
          <w:tcPr>
            <w:tcW w:w="0" w:type="dxa"/>
            <w:vAlign w:val="bottom"/>
          </w:tcPr>
          <w:p>
            <w:pPr>
              <w:spacing w:after="0"/>
              <w:rPr>
                <w:sz w:val="1"/>
                <w:szCs w:val="1"/>
                <w:color w:val="auto"/>
              </w:rPr>
            </w:pPr>
          </w:p>
        </w:tc>
      </w:tr>
      <w:tr>
        <w:trPr>
          <w:trHeight w:val="175"/>
        </w:trPr>
        <w:tc>
          <w:tcPr>
            <w:tcW w:w="6940" w:type="dxa"/>
            <w:vAlign w:val="bottom"/>
            <w:gridSpan w:val="6"/>
          </w:tcPr>
          <w:p>
            <w:pPr>
              <w:spacing w:after="0"/>
              <w:rPr>
                <w:sz w:val="20"/>
                <w:szCs w:val="20"/>
                <w:color w:val="auto"/>
              </w:rPr>
            </w:pPr>
            <w:r>
              <w:rPr>
                <w:rFonts w:ascii="Arial" w:cs="Arial" w:eastAsia="Arial" w:hAnsi="Arial"/>
                <w:sz w:val="14"/>
                <w:szCs w:val="14"/>
                <w:b w:val="1"/>
                <w:bCs w:val="1"/>
                <w:color w:val="auto"/>
              </w:rPr>
              <w:t>AN ITEMIZED RECONCILIATION BETWEEN NET (LOSS) INCOME ATTRIBUTABLE TO VIASAT, INC.</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5100" w:type="dxa"/>
            <w:vAlign w:val="bottom"/>
            <w:gridSpan w:val="3"/>
          </w:tcPr>
          <w:p>
            <w:pPr>
              <w:spacing w:after="0"/>
              <w:rPr>
                <w:sz w:val="20"/>
                <w:szCs w:val="20"/>
                <w:color w:val="auto"/>
              </w:rPr>
            </w:pPr>
            <w:r>
              <w:rPr>
                <w:rFonts w:ascii="Arial" w:cs="Arial" w:eastAsia="Arial" w:hAnsi="Arial"/>
                <w:sz w:val="14"/>
                <w:szCs w:val="14"/>
                <w:b w:val="1"/>
                <w:bCs w:val="1"/>
                <w:color w:val="auto"/>
              </w:rPr>
              <w:t>ON A GAAP BASIS AND NON-GAAP BASIS IS AS FOLLOWS:</w:t>
            </w: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340" w:type="dxa"/>
            <w:vAlign w:val="bottom"/>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3"/>
          </w:tcPr>
          <w:p>
            <w:pPr>
              <w:jc w:val="right"/>
              <w:ind w:right="109"/>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560" w:type="dxa"/>
            <w:vAlign w:val="bottom"/>
            <w:tcBorders>
              <w:bottom w:val="single" w:sz="8" w:color="auto"/>
            </w:tcBorders>
            <w:gridSpan w:val="4"/>
          </w:tcPr>
          <w:p>
            <w:pPr>
              <w:jc w:val="right"/>
              <w:ind w:right="110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4"/>
        </w:trPr>
        <w:tc>
          <w:tcPr>
            <w:tcW w:w="3340" w:type="dxa"/>
            <w:vAlign w:val="bottom"/>
            <w:vMerge w:val="restart"/>
          </w:tcPr>
          <w:p>
            <w:pPr>
              <w:spacing w:after="0"/>
              <w:rPr>
                <w:sz w:val="20"/>
                <w:szCs w:val="20"/>
                <w:color w:val="auto"/>
              </w:rPr>
            </w:pPr>
            <w:r>
              <w:rPr>
                <w:rFonts w:ascii="Arial" w:cs="Arial" w:eastAsia="Arial" w:hAnsi="Arial"/>
                <w:sz w:val="14"/>
                <w:szCs w:val="14"/>
                <w:color w:val="auto"/>
              </w:rPr>
              <w:t>GAAP net (loss) income attributable to Viasat,</w:t>
            </w:r>
          </w:p>
        </w:tc>
        <w:tc>
          <w:tcPr>
            <w:tcW w:w="1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169"/>
              <w:spacing w:after="0" w:line="154" w:lineRule="exact"/>
              <w:rPr>
                <w:sz w:val="20"/>
                <w:szCs w:val="20"/>
                <w:color w:val="auto"/>
              </w:rPr>
            </w:pPr>
            <w:r>
              <w:rPr>
                <w:rFonts w:ascii="Arial" w:cs="Arial" w:eastAsia="Arial" w:hAnsi="Arial"/>
                <w:sz w:val="14"/>
                <w:szCs w:val="14"/>
                <w:b w:val="1"/>
                <w:bCs w:val="1"/>
                <w:color w:val="auto"/>
              </w:rPr>
              <w:t>December 31, 2021</w:t>
            </w:r>
          </w:p>
        </w:tc>
        <w:tc>
          <w:tcPr>
            <w:tcW w:w="320" w:type="dxa"/>
            <w:vAlign w:val="bottom"/>
          </w:tcPr>
          <w:p>
            <w:pPr>
              <w:spacing w:after="0"/>
              <w:rPr>
                <w:sz w:val="13"/>
                <w:szCs w:val="13"/>
                <w:color w:val="auto"/>
              </w:rPr>
            </w:pPr>
          </w:p>
        </w:tc>
        <w:tc>
          <w:tcPr>
            <w:tcW w:w="1520" w:type="dxa"/>
            <w:vAlign w:val="bottom"/>
            <w:tcBorders>
              <w:bottom w:val="single" w:sz="8" w:color="auto"/>
            </w:tcBorders>
            <w:gridSpan w:val="2"/>
          </w:tcPr>
          <w:p>
            <w:pPr>
              <w:jc w:val="right"/>
              <w:ind w:right="49"/>
              <w:spacing w:after="0" w:line="154" w:lineRule="exact"/>
              <w:rPr>
                <w:sz w:val="20"/>
                <w:szCs w:val="20"/>
                <w:color w:val="auto"/>
              </w:rPr>
            </w:pPr>
            <w:r>
              <w:rPr>
                <w:rFonts w:ascii="Arial" w:cs="Arial" w:eastAsia="Arial" w:hAnsi="Arial"/>
                <w:sz w:val="14"/>
                <w:szCs w:val="14"/>
                <w:b w:val="1"/>
                <w:bCs w:val="1"/>
                <w:color w:val="auto"/>
              </w:rPr>
              <w:t>December 31, 2020</w:t>
            </w:r>
          </w:p>
        </w:tc>
        <w:tc>
          <w:tcPr>
            <w:tcW w:w="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89"/>
              <w:spacing w:after="0" w:line="154" w:lineRule="exact"/>
              <w:rPr>
                <w:sz w:val="20"/>
                <w:szCs w:val="20"/>
                <w:color w:val="auto"/>
              </w:rPr>
            </w:pPr>
            <w:r>
              <w:rPr>
                <w:rFonts w:ascii="Arial" w:cs="Arial" w:eastAsia="Arial" w:hAnsi="Arial"/>
                <w:sz w:val="14"/>
                <w:szCs w:val="14"/>
                <w:b w:val="1"/>
                <w:bCs w:val="1"/>
                <w:color w:val="auto"/>
              </w:rPr>
              <w:t>December 31, 2021</w:t>
            </w: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169"/>
              <w:spacing w:after="0" w:line="154" w:lineRule="exact"/>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46"/>
        </w:trPr>
        <w:tc>
          <w:tcPr>
            <w:tcW w:w="33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340" w:type="dxa"/>
            <w:vAlign w:val="bottom"/>
          </w:tcPr>
          <w:p>
            <w:pPr>
              <w:ind w:left="140"/>
              <w:spacing w:after="0"/>
              <w:rPr>
                <w:sz w:val="20"/>
                <w:szCs w:val="20"/>
                <w:color w:val="auto"/>
              </w:rPr>
            </w:pPr>
            <w:r>
              <w:rPr>
                <w:rFonts w:ascii="Arial" w:cs="Arial" w:eastAsia="Arial" w:hAnsi="Arial"/>
                <w:sz w:val="14"/>
                <w:szCs w:val="14"/>
                <w:color w:val="auto"/>
              </w:rPr>
              <w:t>Inc.</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129"/>
              <w:spacing w:after="0"/>
              <w:rPr>
                <w:sz w:val="20"/>
                <w:szCs w:val="20"/>
                <w:color w:val="auto"/>
              </w:rPr>
            </w:pPr>
            <w:r>
              <w:rPr>
                <w:rFonts w:ascii="Arial" w:cs="Arial" w:eastAsia="Arial" w:hAnsi="Arial"/>
                <w:sz w:val="14"/>
                <w:szCs w:val="14"/>
                <w:color w:val="auto"/>
              </w:rPr>
              <w:t>(6,613)</w:t>
            </w:r>
          </w:p>
        </w:tc>
        <w:tc>
          <w:tcPr>
            <w:tcW w:w="920" w:type="dxa"/>
            <w:vAlign w:val="bottom"/>
            <w:gridSpan w:val="2"/>
          </w:tcPr>
          <w:p>
            <w:pPr>
              <w:jc w:val="right"/>
              <w:ind w:right="4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49"/>
              <w:spacing w:after="0"/>
              <w:rPr>
                <w:sz w:val="20"/>
                <w:szCs w:val="20"/>
                <w:color w:val="auto"/>
              </w:rPr>
            </w:pPr>
            <w:r>
              <w:rPr>
                <w:rFonts w:ascii="Arial" w:cs="Arial" w:eastAsia="Arial" w:hAnsi="Arial"/>
                <w:sz w:val="14"/>
                <w:szCs w:val="14"/>
                <w:color w:val="auto"/>
              </w:rPr>
              <w:t>6,760</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129"/>
              <w:spacing w:after="0"/>
              <w:rPr>
                <w:sz w:val="20"/>
                <w:szCs w:val="20"/>
                <w:color w:val="auto"/>
              </w:rPr>
            </w:pPr>
            <w:r>
              <w:rPr>
                <w:rFonts w:ascii="Arial" w:cs="Arial" w:eastAsia="Arial" w:hAnsi="Arial"/>
                <w:sz w:val="14"/>
                <w:szCs w:val="14"/>
                <w:color w:val="auto"/>
              </w:rPr>
              <w:t>13,646</w:t>
            </w: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109"/>
              <w:spacing w:after="0"/>
              <w:rPr>
                <w:sz w:val="20"/>
                <w:szCs w:val="20"/>
                <w:color w:val="auto"/>
              </w:rPr>
            </w:pPr>
            <w:r>
              <w:rPr>
                <w:rFonts w:ascii="Arial" w:cs="Arial" w:eastAsia="Arial" w:hAnsi="Arial"/>
                <w:sz w:val="14"/>
                <w:szCs w:val="14"/>
                <w:color w:val="auto"/>
              </w:rPr>
              <w:t>(3,666)</w:t>
            </w:r>
          </w:p>
        </w:tc>
        <w:tc>
          <w:tcPr>
            <w:tcW w:w="0" w:type="dxa"/>
            <w:vAlign w:val="bottom"/>
          </w:tcPr>
          <w:p>
            <w:pPr>
              <w:spacing w:after="0"/>
              <w:rPr>
                <w:sz w:val="1"/>
                <w:szCs w:val="1"/>
                <w:color w:val="auto"/>
              </w:rPr>
            </w:pPr>
          </w:p>
        </w:tc>
      </w:tr>
      <w:tr>
        <w:trPr>
          <w:trHeight w:val="161"/>
        </w:trPr>
        <w:tc>
          <w:tcPr>
            <w:tcW w:w="3340" w:type="dxa"/>
            <w:vAlign w:val="bottom"/>
          </w:tcPr>
          <w:p>
            <w:pPr>
              <w:spacing w:after="0"/>
              <w:rPr>
                <w:sz w:val="20"/>
                <w:szCs w:val="20"/>
                <w:color w:val="auto"/>
              </w:rPr>
            </w:pPr>
            <w:r>
              <w:rPr>
                <w:rFonts w:ascii="Arial" w:cs="Arial" w:eastAsia="Arial" w:hAnsi="Arial"/>
                <w:sz w:val="14"/>
                <w:szCs w:val="14"/>
                <w:color w:val="auto"/>
              </w:rPr>
              <w:t>Amortization of acquired intangible assets</w:t>
            </w:r>
          </w:p>
        </w:tc>
        <w:tc>
          <w:tcPr>
            <w:tcW w:w="180" w:type="dxa"/>
            <w:vAlign w:val="bottom"/>
          </w:tcPr>
          <w:p>
            <w:pPr>
              <w:spacing w:after="0"/>
              <w:rPr>
                <w:sz w:val="13"/>
                <w:szCs w:val="13"/>
                <w:color w:val="auto"/>
              </w:rPr>
            </w:pPr>
          </w:p>
        </w:tc>
        <w:tc>
          <w:tcPr>
            <w:tcW w:w="1580" w:type="dxa"/>
            <w:vAlign w:val="bottom"/>
          </w:tcPr>
          <w:p>
            <w:pPr>
              <w:jc w:val="right"/>
              <w:ind w:right="169"/>
              <w:spacing w:after="0"/>
              <w:rPr>
                <w:sz w:val="20"/>
                <w:szCs w:val="20"/>
                <w:color w:val="auto"/>
              </w:rPr>
            </w:pPr>
            <w:r>
              <w:rPr>
                <w:rFonts w:ascii="Arial" w:cs="Arial" w:eastAsia="Arial" w:hAnsi="Arial"/>
                <w:sz w:val="14"/>
                <w:szCs w:val="14"/>
                <w:color w:val="auto"/>
              </w:rPr>
              <w:t>7,531</w:t>
            </w: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jc w:val="right"/>
              <w:ind w:right="149"/>
              <w:spacing w:after="0"/>
              <w:rPr>
                <w:sz w:val="20"/>
                <w:szCs w:val="20"/>
                <w:color w:val="auto"/>
              </w:rPr>
            </w:pPr>
            <w:r>
              <w:rPr>
                <w:rFonts w:ascii="Arial" w:cs="Arial" w:eastAsia="Arial" w:hAnsi="Arial"/>
                <w:sz w:val="14"/>
                <w:szCs w:val="14"/>
                <w:color w:val="auto"/>
              </w:rPr>
              <w:t>1,313</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jc w:val="right"/>
              <w:ind w:right="129"/>
              <w:spacing w:after="0"/>
              <w:rPr>
                <w:sz w:val="20"/>
                <w:szCs w:val="20"/>
                <w:color w:val="auto"/>
              </w:rPr>
            </w:pPr>
            <w:r>
              <w:rPr>
                <w:rFonts w:ascii="Arial" w:cs="Arial" w:eastAsia="Arial" w:hAnsi="Arial"/>
                <w:sz w:val="14"/>
                <w:szCs w:val="14"/>
                <w:color w:val="auto"/>
              </w:rPr>
              <w:t>20,859</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tcPr>
          <w:p>
            <w:pPr>
              <w:jc w:val="right"/>
              <w:ind w:right="149"/>
              <w:spacing w:after="0"/>
              <w:rPr>
                <w:sz w:val="20"/>
                <w:szCs w:val="20"/>
                <w:color w:val="auto"/>
              </w:rPr>
            </w:pPr>
            <w:r>
              <w:rPr>
                <w:rFonts w:ascii="Arial" w:cs="Arial" w:eastAsia="Arial" w:hAnsi="Arial"/>
                <w:sz w:val="14"/>
                <w:szCs w:val="14"/>
                <w:color w:val="auto"/>
              </w:rPr>
              <w:t>4,171</w:t>
            </w:r>
          </w:p>
        </w:tc>
        <w:tc>
          <w:tcPr>
            <w:tcW w:w="0" w:type="dxa"/>
            <w:vAlign w:val="bottom"/>
          </w:tcPr>
          <w:p>
            <w:pPr>
              <w:spacing w:after="0"/>
              <w:rPr>
                <w:sz w:val="1"/>
                <w:szCs w:val="1"/>
                <w:color w:val="auto"/>
              </w:rPr>
            </w:pPr>
          </w:p>
        </w:tc>
      </w:tr>
      <w:tr>
        <w:trPr>
          <w:trHeight w:val="161"/>
        </w:trPr>
        <w:tc>
          <w:tcPr>
            <w:tcW w:w="334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180" w:type="dxa"/>
            <w:vAlign w:val="bottom"/>
          </w:tcPr>
          <w:p>
            <w:pPr>
              <w:spacing w:after="0"/>
              <w:rPr>
                <w:sz w:val="13"/>
                <w:szCs w:val="13"/>
                <w:color w:val="auto"/>
              </w:rPr>
            </w:pPr>
          </w:p>
        </w:tc>
        <w:tc>
          <w:tcPr>
            <w:tcW w:w="1580" w:type="dxa"/>
            <w:vAlign w:val="bottom"/>
          </w:tcPr>
          <w:p>
            <w:pPr>
              <w:jc w:val="right"/>
              <w:ind w:right="169"/>
              <w:spacing w:after="0"/>
              <w:rPr>
                <w:sz w:val="20"/>
                <w:szCs w:val="20"/>
                <w:color w:val="auto"/>
              </w:rPr>
            </w:pPr>
            <w:r>
              <w:rPr>
                <w:rFonts w:ascii="Arial" w:cs="Arial" w:eastAsia="Arial" w:hAnsi="Arial"/>
                <w:sz w:val="14"/>
                <w:szCs w:val="14"/>
                <w:color w:val="auto"/>
              </w:rPr>
              <w:t>21,435</w:t>
            </w: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jc w:val="right"/>
              <w:ind w:right="149"/>
              <w:spacing w:after="0"/>
              <w:rPr>
                <w:sz w:val="20"/>
                <w:szCs w:val="20"/>
                <w:color w:val="auto"/>
              </w:rPr>
            </w:pPr>
            <w:r>
              <w:rPr>
                <w:rFonts w:ascii="Arial" w:cs="Arial" w:eastAsia="Arial" w:hAnsi="Arial"/>
                <w:sz w:val="14"/>
                <w:szCs w:val="14"/>
                <w:color w:val="auto"/>
              </w:rPr>
              <w:t>21,639</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jc w:val="right"/>
              <w:ind w:right="129"/>
              <w:spacing w:after="0"/>
              <w:rPr>
                <w:sz w:val="20"/>
                <w:szCs w:val="20"/>
                <w:color w:val="auto"/>
              </w:rPr>
            </w:pPr>
            <w:r>
              <w:rPr>
                <w:rFonts w:ascii="Arial" w:cs="Arial" w:eastAsia="Arial" w:hAnsi="Arial"/>
                <w:sz w:val="14"/>
                <w:szCs w:val="14"/>
                <w:color w:val="auto"/>
              </w:rPr>
              <w:t>64,676</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tcPr>
          <w:p>
            <w:pPr>
              <w:jc w:val="right"/>
              <w:ind w:right="149"/>
              <w:spacing w:after="0"/>
              <w:rPr>
                <w:sz w:val="20"/>
                <w:szCs w:val="20"/>
                <w:color w:val="auto"/>
              </w:rPr>
            </w:pPr>
            <w:r>
              <w:rPr>
                <w:rFonts w:ascii="Arial" w:cs="Arial" w:eastAsia="Arial" w:hAnsi="Arial"/>
                <w:sz w:val="14"/>
                <w:szCs w:val="14"/>
                <w:color w:val="auto"/>
              </w:rPr>
              <w:t>64,967</w:t>
            </w:r>
          </w:p>
        </w:tc>
        <w:tc>
          <w:tcPr>
            <w:tcW w:w="0" w:type="dxa"/>
            <w:vAlign w:val="bottom"/>
          </w:tcPr>
          <w:p>
            <w:pPr>
              <w:spacing w:after="0"/>
              <w:rPr>
                <w:sz w:val="1"/>
                <w:szCs w:val="1"/>
                <w:color w:val="auto"/>
              </w:rPr>
            </w:pPr>
          </w:p>
        </w:tc>
      </w:tr>
      <w:tr>
        <w:trPr>
          <w:trHeight w:val="161"/>
        </w:trPr>
        <w:tc>
          <w:tcPr>
            <w:tcW w:w="3340" w:type="dxa"/>
            <w:vAlign w:val="bottom"/>
          </w:tcPr>
          <w:p>
            <w:pPr>
              <w:spacing w:after="0"/>
              <w:rPr>
                <w:sz w:val="20"/>
                <w:szCs w:val="20"/>
                <w:color w:val="auto"/>
              </w:rPr>
            </w:pPr>
            <w:r>
              <w:rPr>
                <w:rFonts w:ascii="Arial" w:cs="Arial" w:eastAsia="Arial" w:hAnsi="Arial"/>
                <w:sz w:val="14"/>
                <w:szCs w:val="14"/>
                <w:color w:val="auto"/>
              </w:rPr>
              <w:t>Acquisition related expenses</w:t>
            </w:r>
          </w:p>
        </w:tc>
        <w:tc>
          <w:tcPr>
            <w:tcW w:w="180" w:type="dxa"/>
            <w:vAlign w:val="bottom"/>
          </w:tcPr>
          <w:p>
            <w:pPr>
              <w:spacing w:after="0"/>
              <w:rPr>
                <w:sz w:val="13"/>
                <w:szCs w:val="13"/>
                <w:color w:val="auto"/>
              </w:rPr>
            </w:pPr>
          </w:p>
        </w:tc>
        <w:tc>
          <w:tcPr>
            <w:tcW w:w="1580" w:type="dxa"/>
            <w:vAlign w:val="bottom"/>
          </w:tcPr>
          <w:p>
            <w:pPr>
              <w:jc w:val="right"/>
              <w:ind w:right="169"/>
              <w:spacing w:after="0"/>
              <w:rPr>
                <w:sz w:val="20"/>
                <w:szCs w:val="20"/>
                <w:color w:val="auto"/>
              </w:rPr>
            </w:pPr>
            <w:r>
              <w:rPr>
                <w:rFonts w:ascii="Arial" w:cs="Arial" w:eastAsia="Arial" w:hAnsi="Arial"/>
                <w:sz w:val="14"/>
                <w:szCs w:val="14"/>
                <w:color w:val="auto"/>
              </w:rPr>
              <w:t>11,862</w:t>
            </w: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jc w:val="right"/>
              <w:ind w:right="149"/>
              <w:spacing w:after="0"/>
              <w:rPr>
                <w:sz w:val="20"/>
                <w:szCs w:val="20"/>
                <w:color w:val="auto"/>
              </w:rPr>
            </w:pPr>
            <w:r>
              <w:rPr>
                <w:rFonts w:ascii="Arial" w:cs="Arial" w:eastAsia="Arial" w:hAnsi="Arial"/>
                <w:sz w:val="14"/>
                <w:szCs w:val="14"/>
                <w:color w:val="auto"/>
              </w:rPr>
              <w:t>1,876</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jc w:val="right"/>
              <w:ind w:right="129"/>
              <w:spacing w:after="0"/>
              <w:rPr>
                <w:sz w:val="20"/>
                <w:szCs w:val="20"/>
                <w:color w:val="auto"/>
              </w:rPr>
            </w:pPr>
            <w:r>
              <w:rPr>
                <w:rFonts w:ascii="Arial" w:cs="Arial" w:eastAsia="Arial" w:hAnsi="Arial"/>
                <w:sz w:val="14"/>
                <w:szCs w:val="14"/>
                <w:color w:val="auto"/>
              </w:rPr>
              <w:t>19,352</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tcPr>
          <w:p>
            <w:pPr>
              <w:jc w:val="right"/>
              <w:ind w:right="149"/>
              <w:spacing w:after="0"/>
              <w:rPr>
                <w:sz w:val="20"/>
                <w:szCs w:val="20"/>
                <w:color w:val="auto"/>
              </w:rPr>
            </w:pPr>
            <w:r>
              <w:rPr>
                <w:rFonts w:ascii="Arial" w:cs="Arial" w:eastAsia="Arial" w:hAnsi="Arial"/>
                <w:sz w:val="14"/>
                <w:szCs w:val="14"/>
                <w:color w:val="auto"/>
              </w:rPr>
              <w:t>1,876</w:t>
            </w:r>
          </w:p>
        </w:tc>
        <w:tc>
          <w:tcPr>
            <w:tcW w:w="0" w:type="dxa"/>
            <w:vAlign w:val="bottom"/>
          </w:tcPr>
          <w:p>
            <w:pPr>
              <w:spacing w:after="0"/>
              <w:rPr>
                <w:sz w:val="1"/>
                <w:szCs w:val="1"/>
                <w:color w:val="auto"/>
              </w:rPr>
            </w:pPr>
          </w:p>
        </w:tc>
      </w:tr>
      <w:tr>
        <w:trPr>
          <w:trHeight w:val="153"/>
        </w:trPr>
        <w:tc>
          <w:tcPr>
            <w:tcW w:w="3340" w:type="dxa"/>
            <w:vAlign w:val="bottom"/>
          </w:tcPr>
          <w:p>
            <w:pPr>
              <w:spacing w:after="0" w:line="153" w:lineRule="exact"/>
              <w:rPr>
                <w:sz w:val="20"/>
                <w:szCs w:val="20"/>
                <w:color w:val="auto"/>
              </w:rPr>
            </w:pPr>
            <w:r>
              <w:rPr>
                <w:rFonts w:ascii="Arial" w:cs="Arial" w:eastAsia="Arial" w:hAnsi="Arial"/>
                <w:sz w:val="14"/>
                <w:szCs w:val="14"/>
                <w:color w:val="auto"/>
              </w:rPr>
              <w:t>Other income, net</w:t>
            </w:r>
          </w:p>
        </w:tc>
        <w:tc>
          <w:tcPr>
            <w:tcW w:w="180" w:type="dxa"/>
            <w:vAlign w:val="bottom"/>
          </w:tcPr>
          <w:p>
            <w:pPr>
              <w:spacing w:after="0"/>
              <w:rPr>
                <w:sz w:val="13"/>
                <w:szCs w:val="13"/>
                <w:color w:val="auto"/>
              </w:rPr>
            </w:pPr>
          </w:p>
        </w:tc>
        <w:tc>
          <w:tcPr>
            <w:tcW w:w="1580" w:type="dxa"/>
            <w:vAlign w:val="bottom"/>
          </w:tcPr>
          <w:p>
            <w:pPr>
              <w:jc w:val="right"/>
              <w:ind w:right="249"/>
              <w:spacing w:after="0" w:line="153"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jc w:val="right"/>
              <w:ind w:right="229"/>
              <w:spacing w:after="0" w:line="153"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jc w:val="right"/>
              <w:ind w:right="69"/>
              <w:spacing w:after="0" w:line="153" w:lineRule="exact"/>
              <w:rPr>
                <w:sz w:val="20"/>
                <w:szCs w:val="20"/>
                <w:color w:val="auto"/>
              </w:rPr>
            </w:pPr>
            <w:r>
              <w:rPr>
                <w:rFonts w:ascii="Arial" w:cs="Arial" w:eastAsia="Arial" w:hAnsi="Arial"/>
                <w:sz w:val="14"/>
                <w:szCs w:val="14"/>
                <w:color w:val="auto"/>
              </w:rPr>
              <w:t>(4,118)</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tcPr>
          <w:p>
            <w:pPr>
              <w:jc w:val="right"/>
              <w:ind w:right="229"/>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3340" w:type="dxa"/>
            <w:vAlign w:val="bottom"/>
          </w:tcPr>
          <w:p>
            <w:pPr>
              <w:spacing w:after="0" w:line="163" w:lineRule="exact"/>
              <w:rPr>
                <w:sz w:val="20"/>
                <w:szCs w:val="20"/>
                <w:color w:val="auto"/>
              </w:rPr>
            </w:pPr>
            <w:r>
              <w:rPr>
                <w:rFonts w:ascii="Arial" w:cs="Arial" w:eastAsia="Arial" w:hAnsi="Arial"/>
                <w:sz w:val="11"/>
                <w:szCs w:val="11"/>
                <w:color w:val="auto"/>
              </w:rPr>
              <w:t>Income tax effect</w:t>
            </w:r>
            <w:r>
              <w:rPr>
                <w:rFonts w:ascii="Arial" w:cs="Arial" w:eastAsia="Arial" w:hAnsi="Arial"/>
                <w:sz w:val="18"/>
                <w:szCs w:val="18"/>
                <w:color w:val="auto"/>
                <w:vertAlign w:val="superscript"/>
              </w:rPr>
              <w:t>(1)</w:t>
            </w:r>
          </w:p>
        </w:tc>
        <w:tc>
          <w:tcPr>
            <w:tcW w:w="1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(9,524)</w:t>
            </w:r>
          </w:p>
        </w:tc>
        <w:tc>
          <w:tcPr>
            <w:tcW w:w="3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(5,031)</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(31,036)</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(15,535)</w:t>
            </w:r>
          </w:p>
        </w:tc>
        <w:tc>
          <w:tcPr>
            <w:tcW w:w="0" w:type="dxa"/>
            <w:vAlign w:val="bottom"/>
          </w:tcPr>
          <w:p>
            <w:pPr>
              <w:spacing w:after="0"/>
              <w:rPr>
                <w:sz w:val="1"/>
                <w:szCs w:val="1"/>
                <w:color w:val="auto"/>
              </w:rPr>
            </w:pPr>
          </w:p>
        </w:tc>
      </w:tr>
      <w:tr>
        <w:trPr>
          <w:trHeight w:val="172"/>
        </w:trPr>
        <w:tc>
          <w:tcPr>
            <w:tcW w:w="3340" w:type="dxa"/>
            <w:vAlign w:val="bottom"/>
          </w:tcPr>
          <w:p>
            <w:pPr>
              <w:spacing w:after="0"/>
              <w:rPr>
                <w:sz w:val="20"/>
                <w:szCs w:val="20"/>
                <w:color w:val="auto"/>
              </w:rPr>
            </w:pPr>
            <w:r>
              <w:rPr>
                <w:rFonts w:ascii="Arial" w:cs="Arial" w:eastAsia="Arial" w:hAnsi="Arial"/>
                <w:sz w:val="14"/>
                <w:szCs w:val="14"/>
                <w:color w:val="auto"/>
              </w:rPr>
              <w:t>Non-GAAP net income attributable to Viasat,</w:t>
            </w: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40" w:type="dxa"/>
            <w:vAlign w:val="bottom"/>
          </w:tcPr>
          <w:p>
            <w:pPr>
              <w:ind w:left="140"/>
              <w:spacing w:after="0" w:line="156" w:lineRule="exact"/>
              <w:rPr>
                <w:sz w:val="20"/>
                <w:szCs w:val="20"/>
                <w:color w:val="auto"/>
              </w:rPr>
            </w:pPr>
            <w:r>
              <w:rPr>
                <w:rFonts w:ascii="Arial" w:cs="Arial" w:eastAsia="Arial" w:hAnsi="Arial"/>
                <w:sz w:val="14"/>
                <w:szCs w:val="14"/>
                <w:color w:val="auto"/>
              </w:rPr>
              <w:t>Inc.</w:t>
            </w:r>
          </w:p>
        </w:tc>
        <w:tc>
          <w:tcPr>
            <w:tcW w:w="18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580" w:type="dxa"/>
            <w:vAlign w:val="bottom"/>
          </w:tcPr>
          <w:p>
            <w:pPr>
              <w:jc w:val="right"/>
              <w:ind w:right="169"/>
              <w:spacing w:after="0" w:line="156" w:lineRule="exact"/>
              <w:rPr>
                <w:sz w:val="20"/>
                <w:szCs w:val="20"/>
                <w:color w:val="auto"/>
              </w:rPr>
            </w:pPr>
            <w:r>
              <w:rPr>
                <w:rFonts w:ascii="Arial" w:cs="Arial" w:eastAsia="Arial" w:hAnsi="Arial"/>
                <w:sz w:val="14"/>
                <w:szCs w:val="14"/>
                <w:color w:val="auto"/>
              </w:rPr>
              <w:t>24,691</w:t>
            </w:r>
          </w:p>
        </w:tc>
        <w:tc>
          <w:tcPr>
            <w:tcW w:w="920" w:type="dxa"/>
            <w:vAlign w:val="bottom"/>
            <w:gridSpan w:val="2"/>
          </w:tcPr>
          <w:p>
            <w:pPr>
              <w:jc w:val="right"/>
              <w:ind w:right="429"/>
              <w:spacing w:after="0" w:line="156"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49"/>
              <w:spacing w:after="0" w:line="156" w:lineRule="exact"/>
              <w:rPr>
                <w:sz w:val="20"/>
                <w:szCs w:val="20"/>
                <w:color w:val="auto"/>
              </w:rPr>
            </w:pPr>
            <w:r>
              <w:rPr>
                <w:rFonts w:ascii="Arial" w:cs="Arial" w:eastAsia="Arial" w:hAnsi="Arial"/>
                <w:sz w:val="14"/>
                <w:szCs w:val="14"/>
                <w:color w:val="auto"/>
              </w:rPr>
              <w:t>26,557</w:t>
            </w:r>
          </w:p>
        </w:tc>
        <w:tc>
          <w:tcPr>
            <w:tcW w:w="44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w:t>
            </w:r>
          </w:p>
        </w:tc>
        <w:tc>
          <w:tcPr>
            <w:tcW w:w="1480" w:type="dxa"/>
            <w:vAlign w:val="bottom"/>
          </w:tcPr>
          <w:p>
            <w:pPr>
              <w:jc w:val="right"/>
              <w:ind w:right="129"/>
              <w:spacing w:after="0" w:line="156" w:lineRule="exact"/>
              <w:rPr>
                <w:sz w:val="20"/>
                <w:szCs w:val="20"/>
                <w:color w:val="auto"/>
              </w:rPr>
            </w:pPr>
            <w:r>
              <w:rPr>
                <w:rFonts w:ascii="Arial" w:cs="Arial" w:eastAsia="Arial" w:hAnsi="Arial"/>
                <w:sz w:val="14"/>
                <w:szCs w:val="14"/>
                <w:color w:val="auto"/>
              </w:rPr>
              <w:t>83,379</w:t>
            </w:r>
          </w:p>
        </w:tc>
        <w:tc>
          <w:tcPr>
            <w:tcW w:w="480" w:type="dxa"/>
            <w:vAlign w:val="bottom"/>
            <w:gridSpan w:val="2"/>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1600" w:type="dxa"/>
            <w:vAlign w:val="bottom"/>
          </w:tcPr>
          <w:p>
            <w:pPr>
              <w:jc w:val="right"/>
              <w:ind w:right="149"/>
              <w:spacing w:after="0" w:line="156" w:lineRule="exact"/>
              <w:rPr>
                <w:sz w:val="20"/>
                <w:szCs w:val="20"/>
                <w:color w:val="auto"/>
              </w:rPr>
            </w:pPr>
            <w:r>
              <w:rPr>
                <w:rFonts w:ascii="Arial" w:cs="Arial" w:eastAsia="Arial" w:hAnsi="Arial"/>
                <w:sz w:val="14"/>
                <w:szCs w:val="14"/>
                <w:color w:val="auto"/>
              </w:rPr>
              <w:t>51,813</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4"/>
                <w:szCs w:val="14"/>
                <w:color w:val="auto"/>
              </w:rPr>
              <w:t>Non-GAAP diluted net income per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3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340" w:type="dxa"/>
            <w:vAlign w:val="bottom"/>
          </w:tcPr>
          <w:p>
            <w:pPr>
              <w:ind w:left="140"/>
              <w:spacing w:after="0"/>
              <w:rPr>
                <w:sz w:val="20"/>
                <w:szCs w:val="20"/>
                <w:color w:val="auto"/>
              </w:rPr>
            </w:pPr>
            <w:r>
              <w:rPr>
                <w:rFonts w:ascii="Arial" w:cs="Arial" w:eastAsia="Arial" w:hAnsi="Arial"/>
                <w:sz w:val="14"/>
                <w:szCs w:val="14"/>
                <w:color w:val="auto"/>
              </w:rPr>
              <w:t>attributable to Viasat, Inc. common</w:t>
            </w:r>
          </w:p>
        </w:tc>
        <w:tc>
          <w:tcPr>
            <w:tcW w:w="1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40" w:type="dxa"/>
            <w:vAlign w:val="bottom"/>
          </w:tcPr>
          <w:p>
            <w:pPr>
              <w:ind w:left="140"/>
              <w:spacing w:after="0" w:line="156" w:lineRule="exact"/>
              <w:rPr>
                <w:sz w:val="20"/>
                <w:szCs w:val="20"/>
                <w:color w:val="auto"/>
              </w:rPr>
            </w:pPr>
            <w:r>
              <w:rPr>
                <w:rFonts w:ascii="Arial" w:cs="Arial" w:eastAsia="Arial" w:hAnsi="Arial"/>
                <w:sz w:val="14"/>
                <w:szCs w:val="14"/>
                <w:color w:val="auto"/>
              </w:rPr>
              <w:t>stockholders</w:t>
            </w:r>
          </w:p>
        </w:tc>
        <w:tc>
          <w:tcPr>
            <w:tcW w:w="18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580" w:type="dxa"/>
            <w:vAlign w:val="bottom"/>
          </w:tcPr>
          <w:p>
            <w:pPr>
              <w:jc w:val="right"/>
              <w:ind w:right="169"/>
              <w:spacing w:after="0" w:line="156" w:lineRule="exact"/>
              <w:rPr>
                <w:sz w:val="20"/>
                <w:szCs w:val="20"/>
                <w:color w:val="auto"/>
              </w:rPr>
            </w:pPr>
            <w:r>
              <w:rPr>
                <w:rFonts w:ascii="Arial" w:cs="Arial" w:eastAsia="Arial" w:hAnsi="Arial"/>
                <w:sz w:val="14"/>
                <w:szCs w:val="14"/>
                <w:color w:val="auto"/>
              </w:rPr>
              <w:t>0.33</w:t>
            </w:r>
          </w:p>
        </w:tc>
        <w:tc>
          <w:tcPr>
            <w:tcW w:w="920" w:type="dxa"/>
            <w:vAlign w:val="bottom"/>
            <w:gridSpan w:val="2"/>
          </w:tcPr>
          <w:p>
            <w:pPr>
              <w:jc w:val="right"/>
              <w:ind w:right="429"/>
              <w:spacing w:after="0" w:line="156"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49"/>
              <w:spacing w:after="0" w:line="156" w:lineRule="exact"/>
              <w:rPr>
                <w:sz w:val="20"/>
                <w:szCs w:val="20"/>
                <w:color w:val="auto"/>
              </w:rPr>
            </w:pPr>
            <w:r>
              <w:rPr>
                <w:rFonts w:ascii="Arial" w:cs="Arial" w:eastAsia="Arial" w:hAnsi="Arial"/>
                <w:sz w:val="14"/>
                <w:szCs w:val="14"/>
                <w:color w:val="auto"/>
              </w:rPr>
              <w:t>0.39</w:t>
            </w:r>
          </w:p>
        </w:tc>
        <w:tc>
          <w:tcPr>
            <w:tcW w:w="44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w:t>
            </w:r>
          </w:p>
        </w:tc>
        <w:tc>
          <w:tcPr>
            <w:tcW w:w="1480" w:type="dxa"/>
            <w:vAlign w:val="bottom"/>
          </w:tcPr>
          <w:p>
            <w:pPr>
              <w:jc w:val="right"/>
              <w:ind w:right="129"/>
              <w:spacing w:after="0" w:line="156" w:lineRule="exact"/>
              <w:rPr>
                <w:sz w:val="20"/>
                <w:szCs w:val="20"/>
                <w:color w:val="auto"/>
              </w:rPr>
            </w:pPr>
            <w:r>
              <w:rPr>
                <w:rFonts w:ascii="Arial" w:cs="Arial" w:eastAsia="Arial" w:hAnsi="Arial"/>
                <w:sz w:val="14"/>
                <w:szCs w:val="14"/>
                <w:color w:val="auto"/>
              </w:rPr>
              <w:t>1.12</w:t>
            </w:r>
          </w:p>
        </w:tc>
        <w:tc>
          <w:tcPr>
            <w:tcW w:w="480" w:type="dxa"/>
            <w:vAlign w:val="bottom"/>
            <w:gridSpan w:val="2"/>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1600" w:type="dxa"/>
            <w:vAlign w:val="bottom"/>
          </w:tcPr>
          <w:p>
            <w:pPr>
              <w:jc w:val="right"/>
              <w:ind w:right="149"/>
              <w:spacing w:after="0" w:line="156" w:lineRule="exact"/>
              <w:rPr>
                <w:sz w:val="20"/>
                <w:szCs w:val="20"/>
                <w:color w:val="auto"/>
              </w:rPr>
            </w:pPr>
            <w:r>
              <w:rPr>
                <w:rFonts w:ascii="Arial" w:cs="Arial" w:eastAsia="Arial" w:hAnsi="Arial"/>
                <w:sz w:val="14"/>
                <w:szCs w:val="14"/>
                <w:color w:val="auto"/>
              </w:rPr>
              <w:t>0.78</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4"/>
                <w:szCs w:val="14"/>
                <w:color w:val="auto"/>
              </w:rPr>
              <w:t>Diluted common equivalent shares</w:t>
            </w:r>
            <w:r>
              <w:rPr>
                <w:rFonts w:ascii="Arial" w:cs="Arial" w:eastAsia="Arial" w:hAnsi="Arial"/>
                <w:sz w:val="24"/>
                <w:szCs w:val="24"/>
                <w:color w:val="auto"/>
                <w:vertAlign w:val="superscript"/>
              </w:rPr>
              <w:t>(2)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33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jc w:val="right"/>
              <w:ind w:right="169"/>
              <w:spacing w:after="0"/>
              <w:rPr>
                <w:sz w:val="20"/>
                <w:szCs w:val="20"/>
                <w:color w:val="auto"/>
              </w:rPr>
            </w:pPr>
            <w:r>
              <w:rPr>
                <w:rFonts w:ascii="Arial" w:cs="Arial" w:eastAsia="Arial" w:hAnsi="Arial"/>
                <w:sz w:val="14"/>
                <w:szCs w:val="14"/>
                <w:color w:val="auto"/>
              </w:rPr>
              <w:t>75,457</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jc w:val="right"/>
              <w:ind w:right="149"/>
              <w:spacing w:after="0"/>
              <w:rPr>
                <w:sz w:val="20"/>
                <w:szCs w:val="20"/>
                <w:color w:val="auto"/>
              </w:rPr>
            </w:pPr>
            <w:r>
              <w:rPr>
                <w:rFonts w:ascii="Arial" w:cs="Arial" w:eastAsia="Arial" w:hAnsi="Arial"/>
                <w:sz w:val="14"/>
                <w:szCs w:val="14"/>
                <w:color w:val="auto"/>
              </w:rPr>
              <w:t>68,668</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right"/>
              <w:ind w:right="129"/>
              <w:spacing w:after="0"/>
              <w:rPr>
                <w:sz w:val="20"/>
                <w:szCs w:val="20"/>
                <w:color w:val="auto"/>
              </w:rPr>
            </w:pPr>
            <w:r>
              <w:rPr>
                <w:rFonts w:ascii="Arial" w:cs="Arial" w:eastAsia="Arial" w:hAnsi="Arial"/>
                <w:sz w:val="14"/>
                <w:szCs w:val="14"/>
                <w:color w:val="auto"/>
              </w:rPr>
              <w:t>74,348</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jc w:val="right"/>
              <w:ind w:right="149"/>
              <w:spacing w:after="0"/>
              <w:rPr>
                <w:sz w:val="20"/>
                <w:szCs w:val="20"/>
                <w:color w:val="auto"/>
              </w:rPr>
            </w:pPr>
            <w:r>
              <w:rPr>
                <w:rFonts w:ascii="Arial" w:cs="Arial" w:eastAsia="Arial" w:hAnsi="Arial"/>
                <w:sz w:val="14"/>
                <w:szCs w:val="14"/>
                <w:color w:val="auto"/>
              </w:rPr>
              <w:t>66,310</w:t>
            </w:r>
          </w:p>
        </w:tc>
        <w:tc>
          <w:tcPr>
            <w:tcW w:w="0" w:type="dxa"/>
            <w:vAlign w:val="bottom"/>
          </w:tcPr>
          <w:p>
            <w:pPr>
              <w:spacing w:after="0"/>
              <w:rPr>
                <w:sz w:val="1"/>
                <w:szCs w:val="1"/>
                <w:color w:val="auto"/>
              </w:rPr>
            </w:pPr>
          </w:p>
        </w:tc>
      </w:tr>
    </w:tbl>
    <w:p>
      <w:pPr>
        <w:ind w:left="205" w:hanging="205"/>
        <w:spacing w:after="0" w:line="225" w:lineRule="auto"/>
        <w:tabs>
          <w:tab w:leader="none" w:pos="205" w:val="left"/>
        </w:tabs>
        <w:numPr>
          <w:ilvl w:val="0"/>
          <w:numId w:val="6"/>
        </w:numPr>
        <w:rPr>
          <w:rFonts w:ascii="Arial" w:cs="Arial" w:eastAsia="Arial" w:hAnsi="Arial"/>
          <w:sz w:val="24"/>
          <w:szCs w:val="24"/>
          <w:color w:val="auto"/>
          <w:vertAlign w:val="superscript"/>
        </w:rPr>
      </w:pPr>
      <w:r>
        <w:rPr>
          <w:rFonts w:ascii="Arial" w:cs="Arial" w:eastAsia="Arial" w:hAnsi="Arial"/>
          <w:sz w:val="14"/>
          <w:szCs w:val="14"/>
          <w:color w:val="auto"/>
        </w:rPr>
        <w:t>The income tax effect is calculated using the tax rate applicable for the non-GAAP adjustments.</w:t>
      </w:r>
    </w:p>
    <w:p>
      <w:pPr>
        <w:ind w:left="205" w:right="20" w:hanging="205"/>
        <w:spacing w:after="0" w:line="206" w:lineRule="auto"/>
        <w:tabs>
          <w:tab w:leader="none" w:pos="205" w:val="left"/>
        </w:tabs>
        <w:numPr>
          <w:ilvl w:val="0"/>
          <w:numId w:val="6"/>
        </w:numPr>
        <w:rPr>
          <w:rFonts w:ascii="Arial" w:cs="Arial" w:eastAsia="Arial" w:hAnsi="Arial"/>
          <w:sz w:val="24"/>
          <w:szCs w:val="24"/>
          <w:color w:val="auto"/>
          <w:vertAlign w:val="superscript"/>
        </w:rPr>
      </w:pPr>
      <w:r>
        <w:rPr>
          <w:rFonts w:ascii="Arial" w:cs="Arial" w:eastAsia="Arial" w:hAnsi="Arial"/>
          <w:sz w:val="14"/>
          <w:szCs w:val="14"/>
          <w:color w:val="auto"/>
        </w:rPr>
        <w:t>As the three months ended December 31, 2021 and nine months ended December 31, 2020 financial information resulted in a net loss, the weighted average number of shares used to calculate basic and diluted net loss per share is the same, as diluted shares would be anti-dilutive. However, as the non-GAAP financial information for the three months ended December 31, 2021 and nine months ended December 31, 2020 resulted in non-GAAP net income, diluted weighted average number of shares were used instead to calculate non-GAAP diluted net income per share.</w:t>
      </w:r>
    </w:p>
    <w:p>
      <w:pPr>
        <w:spacing w:after="0" w:line="215" w:lineRule="exact"/>
        <w:rPr>
          <w:sz w:val="20"/>
          <w:szCs w:val="20"/>
          <w:color w:val="auto"/>
        </w:rPr>
      </w:pPr>
    </w:p>
    <w:p>
      <w:pPr>
        <w:ind w:left="5"/>
        <w:spacing w:after="0"/>
        <w:rPr>
          <w:sz w:val="20"/>
          <w:szCs w:val="20"/>
          <w:color w:val="auto"/>
        </w:rPr>
      </w:pPr>
      <w:r>
        <w:rPr>
          <w:rFonts w:ascii="Arial" w:cs="Arial" w:eastAsia="Arial" w:hAnsi="Arial"/>
          <w:sz w:val="14"/>
          <w:szCs w:val="14"/>
          <w:b w:val="1"/>
          <w:bCs w:val="1"/>
          <w:color w:val="auto"/>
        </w:rPr>
        <w:t>AN ITEMIZED RECONCILIATION BETWEEN NET (LOSS) INCOME ATTRIBUTABLE TO VIASAT, INC.</w:t>
      </w:r>
    </w:p>
    <w:p>
      <w:pPr>
        <w:spacing w:after="0" w:line="18" w:lineRule="exact"/>
        <w:rPr>
          <w:sz w:val="20"/>
          <w:szCs w:val="20"/>
          <w:color w:val="auto"/>
        </w:rPr>
      </w:pPr>
    </w:p>
    <w:p>
      <w:pPr>
        <w:ind w:left="5"/>
        <w:spacing w:after="0"/>
        <w:rPr>
          <w:sz w:val="20"/>
          <w:szCs w:val="20"/>
          <w:color w:val="auto"/>
        </w:rPr>
      </w:pPr>
      <w:r>
        <w:rPr>
          <w:rFonts w:ascii="Arial" w:cs="Arial" w:eastAsia="Arial" w:hAnsi="Arial"/>
          <w:sz w:val="14"/>
          <w:szCs w:val="14"/>
          <w:b w:val="1"/>
          <w:bCs w:val="1"/>
          <w:color w:val="auto"/>
        </w:rPr>
        <w:t>AND ADJUSTED EBITDA IS AS FOLLOWS:</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61"/>
        </w:trPr>
        <w:tc>
          <w:tcPr>
            <w:tcW w:w="36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right"/>
              <w:ind w:right="109"/>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4"/>
                <w:szCs w:val="14"/>
                <w:b w:val="1"/>
                <w:bCs w:val="1"/>
                <w:color w:val="auto"/>
              </w:rPr>
              <w:t>Nine months ended</w:t>
            </w: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660" w:type="dxa"/>
            <w:vAlign w:val="bottom"/>
            <w:vMerge w:val="restart"/>
          </w:tcPr>
          <w:p>
            <w:pPr>
              <w:spacing w:after="0"/>
              <w:rPr>
                <w:sz w:val="20"/>
                <w:szCs w:val="20"/>
                <w:color w:val="auto"/>
              </w:rPr>
            </w:pPr>
            <w:r>
              <w:rPr>
                <w:rFonts w:ascii="Arial" w:cs="Arial" w:eastAsia="Arial" w:hAnsi="Arial"/>
                <w:sz w:val="14"/>
                <w:szCs w:val="14"/>
                <w:color w:val="auto"/>
              </w:rPr>
              <w:t>GAAP net (loss) income attributable to Viasat,</w:t>
            </w:r>
          </w:p>
        </w:tc>
        <w:tc>
          <w:tcPr>
            <w:tcW w:w="1280" w:type="dxa"/>
            <w:vAlign w:val="bottom"/>
            <w:tcBorders>
              <w:bottom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w w:val="99"/>
              </w:rPr>
              <w:t>December 31, 2021</w:t>
            </w:r>
          </w:p>
        </w:tc>
        <w:tc>
          <w:tcPr>
            <w:tcW w:w="720" w:type="dxa"/>
            <w:vAlign w:val="bottom"/>
          </w:tcPr>
          <w:p>
            <w:pPr>
              <w:spacing w:after="0"/>
              <w:rPr>
                <w:sz w:val="13"/>
                <w:szCs w:val="13"/>
                <w:color w:val="auto"/>
              </w:rPr>
            </w:pPr>
          </w:p>
        </w:tc>
        <w:tc>
          <w:tcPr>
            <w:tcW w:w="1280" w:type="dxa"/>
            <w:vAlign w:val="bottom"/>
            <w:tcBorders>
              <w:bottom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w w:val="99"/>
              </w:rPr>
              <w:t>December 31, 2020</w:t>
            </w:r>
          </w:p>
        </w:tc>
        <w:tc>
          <w:tcPr>
            <w:tcW w:w="700" w:type="dxa"/>
            <w:vAlign w:val="bottom"/>
          </w:tcPr>
          <w:p>
            <w:pPr>
              <w:spacing w:after="0"/>
              <w:rPr>
                <w:sz w:val="13"/>
                <w:szCs w:val="13"/>
                <w:color w:val="auto"/>
              </w:rPr>
            </w:pPr>
          </w:p>
        </w:tc>
        <w:tc>
          <w:tcPr>
            <w:tcW w:w="1300" w:type="dxa"/>
            <w:vAlign w:val="bottom"/>
            <w:tcBorders>
              <w:bottom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December 31, 2021</w:t>
            </w:r>
          </w:p>
        </w:tc>
        <w:tc>
          <w:tcPr>
            <w:tcW w:w="700" w:type="dxa"/>
            <w:vAlign w:val="bottom"/>
          </w:tcPr>
          <w:p>
            <w:pPr>
              <w:spacing w:after="0"/>
              <w:rPr>
                <w:sz w:val="13"/>
                <w:szCs w:val="13"/>
                <w:color w:val="auto"/>
              </w:rPr>
            </w:pPr>
          </w:p>
        </w:tc>
        <w:tc>
          <w:tcPr>
            <w:tcW w:w="1300" w:type="dxa"/>
            <w:vAlign w:val="bottom"/>
            <w:tcBorders>
              <w:bottom w:val="single" w:sz="8" w:color="auto"/>
            </w:tcBorders>
            <w:gridSpan w:val="3"/>
          </w:tcPr>
          <w:p>
            <w:pPr>
              <w:jc w:val="right"/>
              <w:spacing w:after="0" w:line="154" w:lineRule="exact"/>
              <w:rPr>
                <w:sz w:val="20"/>
                <w:szCs w:val="20"/>
                <w:color w:val="auto"/>
              </w:rPr>
            </w:pPr>
            <w:r>
              <w:rPr>
                <w:rFonts w:ascii="Arial" w:cs="Arial" w:eastAsia="Arial" w:hAnsi="Arial"/>
                <w:sz w:val="14"/>
                <w:szCs w:val="14"/>
                <w:b w:val="1"/>
                <w:bCs w:val="1"/>
                <w:color w:val="auto"/>
              </w:rPr>
              <w:t>December 31, 2020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6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660" w:type="dxa"/>
            <w:vAlign w:val="bottom"/>
          </w:tcPr>
          <w:p>
            <w:pPr>
              <w:ind w:left="140"/>
              <w:spacing w:after="0"/>
              <w:rPr>
                <w:sz w:val="20"/>
                <w:szCs w:val="20"/>
                <w:color w:val="auto"/>
              </w:rPr>
            </w:pPr>
            <w:r>
              <w:rPr>
                <w:rFonts w:ascii="Arial" w:cs="Arial" w:eastAsia="Arial" w:hAnsi="Arial"/>
                <w:sz w:val="14"/>
                <w:szCs w:val="14"/>
                <w:color w:val="auto"/>
              </w:rPr>
              <w:t>Inc.</w:t>
            </w:r>
          </w:p>
        </w:tc>
        <w:tc>
          <w:tcPr>
            <w:tcW w:w="36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(6,613)</w:t>
            </w:r>
          </w:p>
        </w:tc>
        <w:tc>
          <w:tcPr>
            <w:tcW w:w="1240" w:type="dxa"/>
            <w:vAlign w:val="bottom"/>
            <w:gridSpan w:val="2"/>
          </w:tcPr>
          <w:p>
            <w:pPr>
              <w:jc w:val="right"/>
              <w:ind w:right="32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6,760</w:t>
            </w:r>
          </w:p>
        </w:tc>
        <w:tc>
          <w:tcPr>
            <w:tcW w:w="102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9"/>
              <w:spacing w:after="0"/>
              <w:rPr>
                <w:sz w:val="20"/>
                <w:szCs w:val="20"/>
                <w:color w:val="auto"/>
              </w:rPr>
            </w:pPr>
            <w:r>
              <w:rPr>
                <w:rFonts w:ascii="Arial" w:cs="Arial" w:eastAsia="Arial" w:hAnsi="Arial"/>
                <w:sz w:val="14"/>
                <w:szCs w:val="14"/>
                <w:color w:val="auto"/>
              </w:rPr>
              <w:t>13,646</w:t>
            </w:r>
          </w:p>
        </w:tc>
        <w:tc>
          <w:tcPr>
            <w:tcW w:w="1160" w:type="dxa"/>
            <w:vAlign w:val="bottom"/>
            <w:gridSpan w:val="2"/>
          </w:tcPr>
          <w:p>
            <w:pPr>
              <w:jc w:val="right"/>
              <w:ind w:right="269"/>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77"/>
              <w:spacing w:after="0"/>
              <w:rPr>
                <w:sz w:val="20"/>
                <w:szCs w:val="20"/>
                <w:color w:val="auto"/>
              </w:rPr>
            </w:pPr>
            <w:r>
              <w:rPr>
                <w:rFonts w:ascii="Arial" w:cs="Arial" w:eastAsia="Arial" w:hAnsi="Arial"/>
                <w:sz w:val="14"/>
                <w:szCs w:val="14"/>
                <w:color w:val="auto"/>
              </w:rPr>
              <w:t>(3,666)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66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360" w:type="dxa"/>
            <w:vAlign w:val="bottom"/>
          </w:tcPr>
          <w:p>
            <w:pPr>
              <w:spacing w:after="0"/>
              <w:rPr>
                <w:sz w:val="13"/>
                <w:szCs w:val="13"/>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3,492</w:t>
            </w: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7,008</w:t>
            </w: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(3,469)</w:t>
            </w: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573</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660" w:type="dxa"/>
            <w:vAlign w:val="bottom"/>
          </w:tcPr>
          <w:p>
            <w:pPr>
              <w:spacing w:after="0"/>
              <w:rPr>
                <w:sz w:val="20"/>
                <w:szCs w:val="20"/>
                <w:color w:val="auto"/>
              </w:rPr>
            </w:pPr>
            <w:r>
              <w:rPr>
                <w:rFonts w:ascii="Arial" w:cs="Arial" w:eastAsia="Arial" w:hAnsi="Arial"/>
                <w:sz w:val="14"/>
                <w:szCs w:val="14"/>
                <w:color w:val="auto"/>
              </w:rPr>
              <w:t>Interest expense, net</w:t>
            </w:r>
          </w:p>
        </w:tc>
        <w:tc>
          <w:tcPr>
            <w:tcW w:w="360" w:type="dxa"/>
            <w:vAlign w:val="bottom"/>
          </w:tcPr>
          <w:p>
            <w:pPr>
              <w:spacing w:after="0"/>
              <w:rPr>
                <w:sz w:val="13"/>
                <w:szCs w:val="13"/>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5,025</w:t>
            </w: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7,766</w:t>
            </w: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jc w:val="right"/>
              <w:ind w:right="109"/>
              <w:spacing w:after="0"/>
              <w:rPr>
                <w:sz w:val="20"/>
                <w:szCs w:val="20"/>
                <w:color w:val="auto"/>
              </w:rPr>
            </w:pPr>
            <w:r>
              <w:rPr>
                <w:rFonts w:ascii="Arial" w:cs="Arial" w:eastAsia="Arial" w:hAnsi="Arial"/>
                <w:sz w:val="14"/>
                <w:szCs w:val="14"/>
                <w:color w:val="auto"/>
              </w:rPr>
              <w:t>17,276</w:t>
            </w: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26,720</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66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13"/>
                <w:szCs w:val="13"/>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127,628</w:t>
            </w: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102,502</w:t>
            </w: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jc w:val="right"/>
              <w:ind w:right="109"/>
              <w:spacing w:after="0"/>
              <w:rPr>
                <w:sz w:val="20"/>
                <w:szCs w:val="20"/>
                <w:color w:val="auto"/>
              </w:rPr>
            </w:pPr>
            <w:r>
              <w:rPr>
                <w:rFonts w:ascii="Arial" w:cs="Arial" w:eastAsia="Arial" w:hAnsi="Arial"/>
                <w:sz w:val="14"/>
                <w:szCs w:val="14"/>
                <w:color w:val="auto"/>
              </w:rPr>
              <w:t>369,488</w:t>
            </w: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292,116</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66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360" w:type="dxa"/>
            <w:vAlign w:val="bottom"/>
          </w:tcPr>
          <w:p>
            <w:pPr>
              <w:spacing w:after="0"/>
              <w:rPr>
                <w:sz w:val="13"/>
                <w:szCs w:val="13"/>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21,435</w:t>
            </w: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21,639</w:t>
            </w: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jc w:val="right"/>
              <w:ind w:right="109"/>
              <w:spacing w:after="0"/>
              <w:rPr>
                <w:sz w:val="20"/>
                <w:szCs w:val="20"/>
                <w:color w:val="auto"/>
              </w:rPr>
            </w:pPr>
            <w:r>
              <w:rPr>
                <w:rFonts w:ascii="Arial" w:cs="Arial" w:eastAsia="Arial" w:hAnsi="Arial"/>
                <w:sz w:val="14"/>
                <w:szCs w:val="14"/>
                <w:color w:val="auto"/>
              </w:rPr>
              <w:t>64,676</w:t>
            </w: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64,967</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660" w:type="dxa"/>
            <w:vAlign w:val="bottom"/>
          </w:tcPr>
          <w:p>
            <w:pPr>
              <w:spacing w:after="0"/>
              <w:rPr>
                <w:sz w:val="20"/>
                <w:szCs w:val="20"/>
                <w:color w:val="auto"/>
              </w:rPr>
            </w:pPr>
            <w:r>
              <w:rPr>
                <w:rFonts w:ascii="Arial" w:cs="Arial" w:eastAsia="Arial" w:hAnsi="Arial"/>
                <w:sz w:val="14"/>
                <w:szCs w:val="14"/>
                <w:color w:val="auto"/>
              </w:rPr>
              <w:t>Acquisition related expenses</w:t>
            </w:r>
          </w:p>
        </w:tc>
        <w:tc>
          <w:tcPr>
            <w:tcW w:w="360" w:type="dxa"/>
            <w:vAlign w:val="bottom"/>
          </w:tcPr>
          <w:p>
            <w:pPr>
              <w:spacing w:after="0"/>
              <w:rPr>
                <w:sz w:val="13"/>
                <w:szCs w:val="13"/>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11,862</w:t>
            </w: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1,876</w:t>
            </w: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jc w:val="right"/>
              <w:ind w:right="109"/>
              <w:spacing w:after="0"/>
              <w:rPr>
                <w:sz w:val="20"/>
                <w:szCs w:val="20"/>
                <w:color w:val="auto"/>
              </w:rPr>
            </w:pPr>
            <w:r>
              <w:rPr>
                <w:rFonts w:ascii="Arial" w:cs="Arial" w:eastAsia="Arial" w:hAnsi="Arial"/>
                <w:sz w:val="14"/>
                <w:szCs w:val="14"/>
                <w:color w:val="auto"/>
              </w:rPr>
              <w:t>19,352</w:t>
            </w: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1,876</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60" w:type="dxa"/>
            <w:vAlign w:val="bottom"/>
          </w:tcPr>
          <w:p>
            <w:pPr>
              <w:spacing w:after="0" w:line="156" w:lineRule="exact"/>
              <w:rPr>
                <w:sz w:val="20"/>
                <w:szCs w:val="20"/>
                <w:color w:val="auto"/>
              </w:rPr>
            </w:pPr>
            <w:r>
              <w:rPr>
                <w:rFonts w:ascii="Arial" w:cs="Arial" w:eastAsia="Arial" w:hAnsi="Arial"/>
                <w:sz w:val="14"/>
                <w:szCs w:val="14"/>
                <w:color w:val="auto"/>
              </w:rPr>
              <w:t>Other income, net</w:t>
            </w:r>
          </w:p>
        </w:tc>
        <w:tc>
          <w:tcPr>
            <w:tcW w:w="3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89"/>
              <w:spacing w:after="0" w:line="156"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89"/>
              <w:spacing w:after="0" w:line="156"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69"/>
              <w:spacing w:after="0" w:line="156" w:lineRule="exact"/>
              <w:rPr>
                <w:sz w:val="20"/>
                <w:szCs w:val="20"/>
                <w:color w:val="auto"/>
              </w:rPr>
            </w:pPr>
            <w:r>
              <w:rPr>
                <w:rFonts w:ascii="Arial" w:cs="Arial" w:eastAsia="Arial" w:hAnsi="Arial"/>
                <w:sz w:val="14"/>
                <w:szCs w:val="14"/>
                <w:color w:val="auto"/>
              </w:rPr>
              <w:t>(4,118)</w:t>
            </w:r>
          </w:p>
        </w:tc>
        <w:tc>
          <w:tcPr>
            <w:tcW w:w="7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
              <w:spacing w:after="0" w:line="156"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660" w:type="dxa"/>
            <w:vAlign w:val="bottom"/>
          </w:tcPr>
          <w:p>
            <w:pPr>
              <w:spacing w:after="0"/>
              <w:rPr>
                <w:sz w:val="20"/>
                <w:szCs w:val="20"/>
                <w:color w:val="auto"/>
              </w:rPr>
            </w:pPr>
            <w:r>
              <w:rPr>
                <w:rFonts w:ascii="Arial" w:cs="Arial" w:eastAsia="Arial" w:hAnsi="Arial"/>
                <w:sz w:val="14"/>
                <w:szCs w:val="14"/>
                <w:color w:val="auto"/>
              </w:rPr>
              <w:t>Adjusted EBITDA</w:t>
            </w:r>
          </w:p>
        </w:tc>
        <w:tc>
          <w:tcPr>
            <w:tcW w:w="36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162,829</w:t>
            </w:r>
          </w:p>
        </w:tc>
        <w:tc>
          <w:tcPr>
            <w:tcW w:w="720" w:type="dxa"/>
            <w:vAlign w:val="bottom"/>
          </w:tcPr>
          <w:p>
            <w:pPr>
              <w:spacing w:after="0"/>
              <w:rPr>
                <w:sz w:val="14"/>
                <w:szCs w:val="14"/>
                <w:color w:val="auto"/>
              </w:rPr>
            </w:pPr>
          </w:p>
        </w:tc>
        <w:tc>
          <w:tcPr>
            <w:tcW w:w="52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147,551</w:t>
            </w:r>
          </w:p>
        </w:tc>
        <w:tc>
          <w:tcPr>
            <w:tcW w:w="700" w:type="dxa"/>
            <w:vAlign w:val="bottom"/>
          </w:tcPr>
          <w:p>
            <w:pPr>
              <w:spacing w:after="0"/>
              <w:rPr>
                <w:sz w:val="14"/>
                <w:szCs w:val="14"/>
                <w:color w:val="auto"/>
              </w:rPr>
            </w:pPr>
          </w:p>
        </w:tc>
        <w:tc>
          <w:tcPr>
            <w:tcW w:w="3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476,851</w:t>
            </w:r>
          </w:p>
        </w:tc>
        <w:tc>
          <w:tcPr>
            <w:tcW w:w="700" w:type="dxa"/>
            <w:vAlign w:val="bottom"/>
          </w:tcPr>
          <w:p>
            <w:pPr>
              <w:spacing w:after="0"/>
              <w:rPr>
                <w:sz w:val="14"/>
                <w:szCs w:val="14"/>
                <w:color w:val="auto"/>
              </w:rPr>
            </w:pPr>
          </w:p>
        </w:tc>
        <w:tc>
          <w:tcPr>
            <w:tcW w:w="4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382,586</w:t>
            </w:r>
          </w:p>
        </w:tc>
        <w:tc>
          <w:tcPr>
            <w:tcW w:w="1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3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20" w:type="dxa"/>
            <w:vAlign w:val="bottom"/>
            <w:gridSpan w:val="4"/>
          </w:tcPr>
          <w:p>
            <w:pPr>
              <w:jc w:val="right"/>
              <w:ind w:right="309"/>
              <w:spacing w:after="0"/>
              <w:rPr>
                <w:sz w:val="20"/>
                <w:szCs w:val="20"/>
                <w:color w:val="auto"/>
              </w:rPr>
            </w:pPr>
            <w:r>
              <w:rPr>
                <w:rFonts w:ascii="Arial" w:cs="Arial" w:eastAsia="Arial" w:hAnsi="Arial"/>
                <w:sz w:val="13"/>
                <w:szCs w:val="13"/>
                <w:color w:val="auto"/>
              </w:rPr>
              <w:t>Shareholder Letter | Q3 Fiscal Year 2022</w:t>
            </w:r>
          </w:p>
        </w:tc>
        <w:tc>
          <w:tcPr>
            <w:tcW w:w="180" w:type="dxa"/>
            <w:vAlign w:val="bottom"/>
            <w:gridSpan w:val="2"/>
          </w:tcPr>
          <w:p>
            <w:pPr>
              <w:jc w:val="right"/>
              <w:ind w:right="20"/>
              <w:spacing w:after="0"/>
              <w:rPr>
                <w:sz w:val="20"/>
                <w:szCs w:val="20"/>
                <w:color w:val="auto"/>
              </w:rPr>
            </w:pPr>
            <w:r>
              <w:rPr>
                <w:rFonts w:ascii="Arial" w:cs="Arial" w:eastAsia="Arial" w:hAnsi="Arial"/>
                <w:sz w:val="13"/>
                <w:szCs w:val="13"/>
                <w:color w:val="auto"/>
                <w:w w:val="96"/>
              </w:rPr>
              <w:t>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02475" cy="170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2475" cy="170180"/>
                    </a:xfrm>
                    <a:prstGeom prst="rect">
                      <a:avLst/>
                    </a:prstGeom>
                    <a:noFill/>
                  </pic:spPr>
                </pic:pic>
              </a:graphicData>
            </a:graphic>
          </wp:anchor>
        </w:drawing>
      </w:r>
    </w:p>
    <w:p>
      <w:pPr>
        <w:sectPr>
          <w:pgSz w:w="11900" w:h="16838" w:orient="portrait"/>
          <w:cols w:equalWidth="0" w:num="1">
            <w:col w:w="10945"/>
          </w:cols>
          <w:pgMar w:left="475" w:top="285" w:right="479" w:bottom="1440" w:gutter="0" w:footer="0" w:header="0"/>
        </w:sectPr>
      </w:pPr>
    </w:p>
    <w:bookmarkStart w:id="18" w:name="page19"/>
    <w:bookmarkEnd w:id="18"/>
    <w:p>
      <w:pPr>
        <w:ind w:left="5"/>
        <w:spacing w:after="0"/>
        <w:rPr>
          <w:sz w:val="20"/>
          <w:szCs w:val="20"/>
          <w:color w:val="auto"/>
        </w:rPr>
      </w:pPr>
      <w:r>
        <w:rPr>
          <w:rFonts w:ascii="Arial" w:cs="Arial" w:eastAsia="Arial" w:hAnsi="Arial"/>
          <w:sz w:val="36"/>
          <w:szCs w:val="3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5500" cy="38100"/>
                    </a:xfrm>
                    <a:prstGeom prst="rect">
                      <a:avLst/>
                    </a:prstGeom>
                    <a:noFill/>
                  </pic:spPr>
                </pic:pic>
              </a:graphicData>
            </a:graphic>
          </wp:anchor>
        </w:drawing>
        <w:t>Viasat Third Quarter Fiscal Year 2022 Results (cont.)</w:t>
      </w:r>
    </w:p>
    <w:p>
      <w:pPr>
        <w:spacing w:after="0" w:line="137" w:lineRule="exact"/>
        <w:rPr>
          <w:sz w:val="20"/>
          <w:szCs w:val="20"/>
          <w:color w:val="auto"/>
        </w:rPr>
      </w:pPr>
    </w:p>
    <w:p>
      <w:pPr>
        <w:ind w:left="5"/>
        <w:spacing w:after="0"/>
        <w:rPr>
          <w:sz w:val="20"/>
          <w:szCs w:val="20"/>
          <w:color w:val="auto"/>
        </w:rPr>
      </w:pPr>
      <w:r>
        <w:rPr>
          <w:rFonts w:ascii="Arial" w:cs="Arial" w:eastAsia="Arial" w:hAnsi="Arial"/>
          <w:sz w:val="14"/>
          <w:szCs w:val="14"/>
          <w:b w:val="1"/>
          <w:bCs w:val="1"/>
          <w:color w:val="auto"/>
        </w:rPr>
        <w:t>AN ITEMIZED RECONCILIATION BETWEEN SEGMENT OPERATING PROFIT (LOSS) BEFORE</w:t>
      </w:r>
    </w:p>
    <w:p>
      <w:pPr>
        <w:spacing w:after="0" w:line="18" w:lineRule="exact"/>
        <w:rPr>
          <w:sz w:val="20"/>
          <w:szCs w:val="20"/>
          <w:color w:val="auto"/>
        </w:rPr>
      </w:pPr>
    </w:p>
    <w:p>
      <w:pPr>
        <w:ind w:left="5"/>
        <w:spacing w:after="0"/>
        <w:rPr>
          <w:sz w:val="20"/>
          <w:szCs w:val="20"/>
          <w:color w:val="auto"/>
        </w:rPr>
      </w:pPr>
      <w:r>
        <w:rPr>
          <w:rFonts w:ascii="Arial" w:cs="Arial" w:eastAsia="Arial" w:hAnsi="Arial"/>
          <w:sz w:val="14"/>
          <w:szCs w:val="14"/>
          <w:b w:val="1"/>
          <w:bCs w:val="1"/>
          <w:color w:val="auto"/>
        </w:rPr>
        <w:t>CORPORATE AND AMORTIZATION OF ACQUIRED INTANGIBLE ASSETS AND ADJUSTED EBITDA IS AS FOLLOWS:</w:t>
      </w:r>
    </w:p>
    <w:p>
      <w:pPr>
        <w:ind w:left="5"/>
        <w:spacing w:after="0"/>
        <w:rPr>
          <w:sz w:val="20"/>
          <w:szCs w:val="20"/>
          <w:color w:val="auto"/>
        </w:rPr>
      </w:pPr>
      <w:r>
        <w:rPr>
          <w:rFonts w:ascii="Arial" w:cs="Arial" w:eastAsia="Arial" w:hAnsi="Arial"/>
          <w:sz w:val="14"/>
          <w:szCs w:val="14"/>
          <w:b w:val="1"/>
          <w:bCs w:val="1"/>
          <w:color w:val="auto"/>
        </w:rPr>
        <w:t>(In thousands)</w:t>
      </w:r>
    </w:p>
    <w:p>
      <w:pPr>
        <w:spacing w:after="0" w:line="223" w:lineRule="exact"/>
        <w:rPr>
          <w:sz w:val="20"/>
          <w:szCs w:val="20"/>
          <w:color w:val="auto"/>
        </w:rPr>
      </w:pPr>
    </w:p>
    <w:tbl>
      <w:tblPr>
        <w:tblLayout w:type="fixed"/>
        <w:tblInd w:w="5"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gridSpan w:val="10"/>
          </w:tcPr>
          <w:p>
            <w:pPr>
              <w:jc w:val="right"/>
              <w:ind w:right="80"/>
              <w:spacing w:after="0"/>
              <w:rPr>
                <w:sz w:val="20"/>
                <w:szCs w:val="20"/>
                <w:color w:val="auto"/>
              </w:rPr>
            </w:pPr>
            <w:r>
              <w:rPr>
                <w:rFonts w:ascii="Arial" w:cs="Arial" w:eastAsia="Arial" w:hAnsi="Arial"/>
                <w:sz w:val="14"/>
                <w:szCs w:val="14"/>
                <w:b w:val="1"/>
                <w:bCs w:val="1"/>
                <w:color w:val="auto"/>
              </w:rPr>
              <w:t>Three months ended December 31, 2021</w:t>
            </w: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9"/>
          </w:tcPr>
          <w:p>
            <w:pPr>
              <w:jc w:val="right"/>
              <w:ind w:right="20"/>
              <w:spacing w:after="0"/>
              <w:rPr>
                <w:sz w:val="20"/>
                <w:szCs w:val="20"/>
                <w:color w:val="auto"/>
              </w:rPr>
            </w:pPr>
            <w:r>
              <w:rPr>
                <w:rFonts w:ascii="Arial" w:cs="Arial" w:eastAsia="Arial" w:hAnsi="Arial"/>
                <w:sz w:val="14"/>
                <w:szCs w:val="14"/>
                <w:b w:val="1"/>
                <w:bCs w:val="1"/>
                <w:color w:val="auto"/>
              </w:rPr>
              <w:t>Three months ended December 31, 2020</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1" w:lineRule="exact"/>
              <w:rPr>
                <w:sz w:val="20"/>
                <w:szCs w:val="20"/>
                <w:color w:val="auto"/>
              </w:rPr>
            </w:pPr>
            <w:r>
              <w:rPr>
                <w:rFonts w:ascii="Arial" w:cs="Arial" w:eastAsia="Arial" w:hAnsi="Arial"/>
                <w:sz w:val="14"/>
                <w:szCs w:val="14"/>
                <w:b w:val="1"/>
                <w:bCs w:val="1"/>
                <w:color w:val="auto"/>
              </w:rPr>
              <w:t>Satellite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240"/>
              <w:spacing w:after="0" w:line="141" w:lineRule="exact"/>
              <w:rPr>
                <w:sz w:val="20"/>
                <w:szCs w:val="20"/>
                <w:color w:val="auto"/>
              </w:rPr>
            </w:pPr>
            <w:r>
              <w:rPr>
                <w:rFonts w:ascii="Arial" w:cs="Arial" w:eastAsia="Arial" w:hAnsi="Arial"/>
                <w:sz w:val="14"/>
                <w:szCs w:val="14"/>
                <w:b w:val="1"/>
                <w:bCs w:val="1"/>
                <w:color w:val="auto"/>
                <w:w w:val="99"/>
              </w:rPr>
              <w:t>Commercial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340"/>
              <w:spacing w:after="0" w:line="141" w:lineRule="exact"/>
              <w:rPr>
                <w:sz w:val="20"/>
                <w:szCs w:val="20"/>
                <w:color w:val="auto"/>
              </w:rPr>
            </w:pPr>
            <w:r>
              <w:rPr>
                <w:rFonts w:ascii="Arial" w:cs="Arial" w:eastAsia="Arial" w:hAnsi="Arial"/>
                <w:sz w:val="14"/>
                <w:szCs w:val="14"/>
                <w:b w:val="1"/>
                <w:bCs w:val="1"/>
                <w:color w:val="auto"/>
                <w:w w:val="99"/>
              </w:rPr>
              <w:t>Government</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1" w:lineRule="exact"/>
              <w:rPr>
                <w:sz w:val="20"/>
                <w:szCs w:val="20"/>
                <w:color w:val="auto"/>
              </w:rPr>
            </w:pPr>
            <w:r>
              <w:rPr>
                <w:rFonts w:ascii="Arial" w:cs="Arial" w:eastAsia="Arial" w:hAnsi="Arial"/>
                <w:sz w:val="14"/>
                <w:szCs w:val="14"/>
                <w:b w:val="1"/>
                <w:bCs w:val="1"/>
                <w:color w:val="auto"/>
              </w:rPr>
              <w:t>Satellite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340"/>
              <w:spacing w:after="0" w:line="141" w:lineRule="exact"/>
              <w:rPr>
                <w:sz w:val="20"/>
                <w:szCs w:val="20"/>
                <w:color w:val="auto"/>
              </w:rPr>
            </w:pPr>
            <w:r>
              <w:rPr>
                <w:rFonts w:ascii="Arial" w:cs="Arial" w:eastAsia="Arial" w:hAnsi="Arial"/>
                <w:sz w:val="14"/>
                <w:szCs w:val="14"/>
                <w:b w:val="1"/>
                <w:bCs w:val="1"/>
                <w:color w:val="auto"/>
                <w:w w:val="99"/>
              </w:rPr>
              <w:t>Commercial</w:t>
            </w:r>
          </w:p>
        </w:tc>
        <w:tc>
          <w:tcPr>
            <w:tcW w:w="80" w:type="dxa"/>
            <w:vAlign w:val="bottom"/>
          </w:tcPr>
          <w:p>
            <w:pPr>
              <w:spacing w:after="0"/>
              <w:rPr>
                <w:sz w:val="12"/>
                <w:szCs w:val="12"/>
                <w:color w:val="auto"/>
              </w:rPr>
            </w:pPr>
          </w:p>
        </w:tc>
        <w:tc>
          <w:tcPr>
            <w:tcW w:w="1140" w:type="dxa"/>
            <w:vAlign w:val="bottom"/>
            <w:gridSpan w:val="2"/>
          </w:tcPr>
          <w:p>
            <w:pPr>
              <w:jc w:val="right"/>
              <w:ind w:right="300"/>
              <w:spacing w:after="0" w:line="141" w:lineRule="exact"/>
              <w:rPr>
                <w:sz w:val="20"/>
                <w:szCs w:val="20"/>
                <w:color w:val="auto"/>
              </w:rPr>
            </w:pPr>
            <w:r>
              <w:rPr>
                <w:rFonts w:ascii="Arial" w:cs="Arial" w:eastAsia="Arial" w:hAnsi="Arial"/>
                <w:sz w:val="14"/>
                <w:szCs w:val="14"/>
                <w:b w:val="1"/>
                <w:bCs w:val="1"/>
                <w:color w:val="auto"/>
                <w:w w:val="99"/>
              </w:rPr>
              <w:t>Government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420" w:type="dxa"/>
            <w:vAlign w:val="bottom"/>
            <w:vMerge w:val="restart"/>
          </w:tcPr>
          <w:p>
            <w:pPr>
              <w:spacing w:after="0"/>
              <w:rPr>
                <w:sz w:val="20"/>
                <w:szCs w:val="20"/>
                <w:color w:val="auto"/>
              </w:rPr>
            </w:pPr>
            <w:r>
              <w:rPr>
                <w:rFonts w:ascii="Arial" w:cs="Arial" w:eastAsia="Arial" w:hAnsi="Arial"/>
                <w:sz w:val="14"/>
                <w:szCs w:val="14"/>
                <w:color w:val="auto"/>
              </w:rPr>
              <w:t>Segment operating profit (loss)</w:t>
            </w:r>
          </w:p>
        </w:tc>
        <w:tc>
          <w:tcPr>
            <w:tcW w:w="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Services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Networks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Systems</w:t>
            </w:r>
          </w:p>
        </w:tc>
        <w:tc>
          <w:tcPr>
            <w:tcW w:w="80" w:type="dxa"/>
            <w:vAlign w:val="bottom"/>
          </w:tcPr>
          <w:p>
            <w:pPr>
              <w:spacing w:after="0"/>
              <w:rPr>
                <w:sz w:val="15"/>
                <w:szCs w:val="15"/>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7"/>
              </w:rPr>
              <w:t>Services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Networks</w:t>
            </w:r>
          </w:p>
        </w:tc>
        <w:tc>
          <w:tcPr>
            <w:tcW w:w="80" w:type="dxa"/>
            <w:vAlign w:val="bottom"/>
          </w:tcPr>
          <w:p>
            <w:pPr>
              <w:spacing w:after="0"/>
              <w:rPr>
                <w:sz w:val="15"/>
                <w:szCs w:val="15"/>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Systems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420" w:type="dxa"/>
            <w:vAlign w:val="bottom"/>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420" w:type="dxa"/>
            <w:vAlign w:val="bottom"/>
          </w:tcPr>
          <w:p>
            <w:pPr>
              <w:ind w:left="140"/>
              <w:spacing w:after="0"/>
              <w:rPr>
                <w:sz w:val="20"/>
                <w:szCs w:val="20"/>
                <w:color w:val="auto"/>
              </w:rPr>
            </w:pPr>
            <w:r>
              <w:rPr>
                <w:rFonts w:ascii="Arial" w:cs="Arial" w:eastAsia="Arial" w:hAnsi="Arial"/>
                <w:sz w:val="14"/>
                <w:szCs w:val="14"/>
                <w:color w:val="auto"/>
              </w:rPr>
              <w:t>before corporate and</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420" w:type="dxa"/>
            <w:vAlign w:val="bottom"/>
          </w:tcPr>
          <w:p>
            <w:pPr>
              <w:ind w:left="140"/>
              <w:spacing w:after="0"/>
              <w:rPr>
                <w:sz w:val="20"/>
                <w:szCs w:val="20"/>
                <w:color w:val="auto"/>
              </w:rPr>
            </w:pPr>
            <w:r>
              <w:rPr>
                <w:rFonts w:ascii="Arial" w:cs="Arial" w:eastAsia="Arial" w:hAnsi="Arial"/>
                <w:sz w:val="14"/>
                <w:szCs w:val="14"/>
                <w:color w:val="auto"/>
              </w:rPr>
              <w:t>amortization of acquired</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420" w:type="dxa"/>
            <w:vAlign w:val="bottom"/>
          </w:tcPr>
          <w:p>
            <w:pPr>
              <w:ind w:left="140"/>
              <w:spacing w:after="0" w:line="153" w:lineRule="exact"/>
              <w:rPr>
                <w:sz w:val="20"/>
                <w:szCs w:val="20"/>
                <w:color w:val="auto"/>
              </w:rPr>
            </w:pPr>
            <w:r>
              <w:rPr>
                <w:rFonts w:ascii="Arial" w:cs="Arial" w:eastAsia="Arial" w:hAnsi="Arial"/>
                <w:sz w:val="14"/>
                <w:szCs w:val="14"/>
                <w:color w:val="auto"/>
              </w:rPr>
              <w:t>intangible assets</w:t>
            </w:r>
          </w:p>
        </w:tc>
        <w:tc>
          <w:tcPr>
            <w:tcW w:w="80" w:type="dxa"/>
            <w:vAlign w:val="bottom"/>
          </w:tcPr>
          <w:p>
            <w:pPr>
              <w:jc w:val="right"/>
              <w:spacing w:after="0" w:line="153"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40"/>
              <w:spacing w:after="0" w:line="153" w:lineRule="exact"/>
              <w:rPr>
                <w:sz w:val="20"/>
                <w:szCs w:val="20"/>
                <w:color w:val="auto"/>
              </w:rPr>
            </w:pPr>
            <w:r>
              <w:rPr>
                <w:rFonts w:ascii="Arial" w:cs="Arial" w:eastAsia="Arial" w:hAnsi="Arial"/>
                <w:sz w:val="14"/>
                <w:szCs w:val="14"/>
                <w:color w:val="auto"/>
              </w:rPr>
              <w:t>14,152</w:t>
            </w:r>
          </w:p>
        </w:tc>
        <w:tc>
          <w:tcPr>
            <w:tcW w:w="18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00"/>
              <w:spacing w:after="0" w:line="153" w:lineRule="exact"/>
              <w:rPr>
                <w:sz w:val="20"/>
                <w:szCs w:val="20"/>
                <w:color w:val="auto"/>
              </w:rPr>
            </w:pPr>
            <w:r>
              <w:rPr>
                <w:rFonts w:ascii="Arial" w:cs="Arial" w:eastAsia="Arial" w:hAnsi="Arial"/>
                <w:sz w:val="14"/>
                <w:szCs w:val="14"/>
                <w:color w:val="auto"/>
              </w:rPr>
              <w:t>(44,572)</w:t>
            </w:r>
          </w:p>
        </w:tc>
        <w:tc>
          <w:tcPr>
            <w:tcW w:w="18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60"/>
              <w:spacing w:after="0" w:line="153" w:lineRule="exact"/>
              <w:rPr>
                <w:sz w:val="20"/>
                <w:szCs w:val="20"/>
                <w:color w:val="auto"/>
              </w:rPr>
            </w:pPr>
            <w:r>
              <w:rPr>
                <w:rFonts w:ascii="Arial" w:cs="Arial" w:eastAsia="Arial" w:hAnsi="Arial"/>
                <w:sz w:val="14"/>
                <w:szCs w:val="14"/>
                <w:color w:val="auto"/>
              </w:rPr>
              <w:t>42,478</w:t>
            </w:r>
          </w:p>
        </w:tc>
        <w:tc>
          <w:tcPr>
            <w:tcW w:w="80" w:type="dxa"/>
            <w:vAlign w:val="bottom"/>
          </w:tcPr>
          <w:p>
            <w:pPr>
              <w:jc w:val="right"/>
              <w:spacing w:after="0" w:line="153"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60"/>
              <w:spacing w:after="0" w:line="153" w:lineRule="exact"/>
              <w:rPr>
                <w:sz w:val="20"/>
                <w:szCs w:val="20"/>
                <w:color w:val="auto"/>
              </w:rPr>
            </w:pPr>
            <w:r>
              <w:rPr>
                <w:rFonts w:ascii="Arial" w:cs="Arial" w:eastAsia="Arial" w:hAnsi="Arial"/>
                <w:sz w:val="14"/>
                <w:szCs w:val="14"/>
                <w:color w:val="auto"/>
              </w:rPr>
              <w:t>12,058</w:t>
            </w:r>
          </w:p>
        </w:tc>
        <w:tc>
          <w:tcPr>
            <w:tcW w:w="80" w:type="dxa"/>
            <w:vAlign w:val="bottom"/>
          </w:tcPr>
          <w:p>
            <w:pPr>
              <w:jc w:val="right"/>
              <w:spacing w:after="0" w:line="153"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line="153" w:lineRule="exact"/>
              <w:rPr>
                <w:sz w:val="20"/>
                <w:szCs w:val="20"/>
                <w:color w:val="auto"/>
              </w:rPr>
            </w:pPr>
            <w:r>
              <w:rPr>
                <w:rFonts w:ascii="Arial" w:cs="Arial" w:eastAsia="Arial" w:hAnsi="Arial"/>
                <w:sz w:val="14"/>
                <w:szCs w:val="14"/>
                <w:color w:val="auto"/>
              </w:rPr>
              <w:t>11,457</w:t>
            </w:r>
          </w:p>
        </w:tc>
        <w:tc>
          <w:tcPr>
            <w:tcW w:w="18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line="153" w:lineRule="exact"/>
              <w:rPr>
                <w:sz w:val="20"/>
                <w:szCs w:val="20"/>
                <w:color w:val="auto"/>
              </w:rPr>
            </w:pPr>
            <w:r>
              <w:rPr>
                <w:rFonts w:ascii="Arial" w:cs="Arial" w:eastAsia="Arial" w:hAnsi="Arial"/>
                <w:sz w:val="14"/>
                <w:szCs w:val="14"/>
                <w:color w:val="auto"/>
              </w:rPr>
              <w:t>(39,028)</w:t>
            </w:r>
          </w:p>
        </w:tc>
        <w:tc>
          <w:tcPr>
            <w:tcW w:w="80" w:type="dxa"/>
            <w:vAlign w:val="bottom"/>
          </w:tcPr>
          <w:p>
            <w:pPr>
              <w:jc w:val="right"/>
              <w:spacing w:after="0" w:line="153" w:lineRule="exact"/>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220"/>
              <w:spacing w:after="0" w:line="153" w:lineRule="exact"/>
              <w:rPr>
                <w:sz w:val="20"/>
                <w:szCs w:val="20"/>
                <w:color w:val="auto"/>
              </w:rPr>
            </w:pPr>
            <w:r>
              <w:rPr>
                <w:rFonts w:ascii="Arial" w:cs="Arial" w:eastAsia="Arial" w:hAnsi="Arial"/>
                <w:sz w:val="14"/>
                <w:szCs w:val="14"/>
                <w:color w:val="auto"/>
              </w:rPr>
              <w:t>50,644</w:t>
            </w:r>
          </w:p>
        </w:tc>
        <w:tc>
          <w:tcPr>
            <w:tcW w:w="12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23,073</w:t>
            </w:r>
          </w:p>
        </w:tc>
        <w:tc>
          <w:tcPr>
            <w:tcW w:w="0" w:type="dxa"/>
            <w:vAlign w:val="bottom"/>
          </w:tcPr>
          <w:p>
            <w:pPr>
              <w:spacing w:after="0"/>
              <w:rPr>
                <w:sz w:val="1"/>
                <w:szCs w:val="1"/>
                <w:color w:val="auto"/>
              </w:rPr>
            </w:pPr>
          </w:p>
        </w:tc>
      </w:tr>
      <w:tr>
        <w:trPr>
          <w:trHeight w:val="168"/>
        </w:trPr>
        <w:tc>
          <w:tcPr>
            <w:tcW w:w="2420" w:type="dxa"/>
            <w:vAlign w:val="bottom"/>
          </w:tcPr>
          <w:p>
            <w:pPr>
              <w:spacing w:after="0" w:line="168" w:lineRule="exact"/>
              <w:rPr>
                <w:sz w:val="20"/>
                <w:szCs w:val="20"/>
                <w:color w:val="auto"/>
              </w:rPr>
            </w:pPr>
            <w:r>
              <w:rPr>
                <w:rFonts w:ascii="Arial" w:cs="Arial" w:eastAsia="Arial" w:hAnsi="Arial"/>
                <w:sz w:val="12"/>
                <w:szCs w:val="12"/>
                <w:color w:val="auto"/>
              </w:rPr>
              <w:t xml:space="preserve">Depreciation </w:t>
            </w:r>
            <w:r>
              <w:rPr>
                <w:rFonts w:ascii="Arial" w:cs="Arial" w:eastAsia="Arial" w:hAnsi="Arial"/>
                <w:sz w:val="19"/>
                <w:szCs w:val="19"/>
                <w:color w:val="auto"/>
                <w:vertAlign w:val="superscript"/>
              </w:rPr>
              <w:t>(3)</w:t>
            </w: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76,890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10,783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17,502</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105,175</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59,810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9,652</w:t>
            </w: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14,534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83,996</w:t>
            </w:r>
          </w:p>
        </w:tc>
        <w:tc>
          <w:tcPr>
            <w:tcW w:w="0" w:type="dxa"/>
            <w:vAlign w:val="bottom"/>
          </w:tcPr>
          <w:p>
            <w:pPr>
              <w:spacing w:after="0"/>
              <w:rPr>
                <w:sz w:val="1"/>
                <w:szCs w:val="1"/>
                <w:color w:val="auto"/>
              </w:rPr>
            </w:pPr>
          </w:p>
        </w:tc>
      </w:tr>
      <w:tr>
        <w:trPr>
          <w:trHeight w:val="161"/>
        </w:trPr>
        <w:tc>
          <w:tcPr>
            <w:tcW w:w="242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420" w:type="dxa"/>
            <w:vAlign w:val="bottom"/>
          </w:tcPr>
          <w:p>
            <w:pPr>
              <w:ind w:left="140"/>
              <w:spacing w:after="0"/>
              <w:rPr>
                <w:sz w:val="20"/>
                <w:szCs w:val="20"/>
                <w:color w:val="auto"/>
              </w:rPr>
            </w:pPr>
            <w:r>
              <w:rPr>
                <w:rFonts w:ascii="Arial" w:cs="Arial" w:eastAsia="Arial" w:hAnsi="Arial"/>
                <w:sz w:val="14"/>
                <w:szCs w:val="14"/>
                <w:color w:val="auto"/>
              </w:rPr>
              <w:t>expense</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6,850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7,360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7,225</w:t>
            </w:r>
          </w:p>
        </w:tc>
        <w:tc>
          <w:tcPr>
            <w:tcW w:w="80" w:type="dxa"/>
            <w:vAlign w:val="bottom"/>
          </w:tcPr>
          <w:p>
            <w:pPr>
              <w:spacing w:after="0"/>
              <w:rPr>
                <w:sz w:val="13"/>
                <w:szCs w:val="1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21,435</w:t>
            </w:r>
          </w:p>
        </w:tc>
        <w:tc>
          <w:tcPr>
            <w:tcW w:w="8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6,815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7,327</w:t>
            </w:r>
          </w:p>
        </w:tc>
        <w:tc>
          <w:tcPr>
            <w:tcW w:w="8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7,497</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21,639</w:t>
            </w:r>
          </w:p>
        </w:tc>
        <w:tc>
          <w:tcPr>
            <w:tcW w:w="0" w:type="dxa"/>
            <w:vAlign w:val="bottom"/>
          </w:tcPr>
          <w:p>
            <w:pPr>
              <w:spacing w:after="0"/>
              <w:rPr>
                <w:sz w:val="1"/>
                <w:szCs w:val="1"/>
                <w:color w:val="auto"/>
              </w:rPr>
            </w:pPr>
          </w:p>
        </w:tc>
      </w:tr>
      <w:tr>
        <w:trPr>
          <w:trHeight w:val="161"/>
        </w:trPr>
        <w:tc>
          <w:tcPr>
            <w:tcW w:w="2420" w:type="dxa"/>
            <w:vAlign w:val="bottom"/>
          </w:tcPr>
          <w:p>
            <w:pPr>
              <w:spacing w:after="0"/>
              <w:rPr>
                <w:sz w:val="20"/>
                <w:szCs w:val="20"/>
                <w:color w:val="auto"/>
              </w:rPr>
            </w:pPr>
            <w:r>
              <w:rPr>
                <w:rFonts w:ascii="Arial" w:cs="Arial" w:eastAsia="Arial" w:hAnsi="Arial"/>
                <w:sz w:val="14"/>
                <w:szCs w:val="14"/>
                <w:color w:val="auto"/>
              </w:rPr>
              <w:t>Other amortization</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8,131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2,583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4,208</w:t>
            </w:r>
          </w:p>
        </w:tc>
        <w:tc>
          <w:tcPr>
            <w:tcW w:w="80" w:type="dxa"/>
            <w:vAlign w:val="bottom"/>
          </w:tcPr>
          <w:p>
            <w:pPr>
              <w:spacing w:after="0"/>
              <w:rPr>
                <w:sz w:val="13"/>
                <w:szCs w:val="1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14,922</w:t>
            </w:r>
          </w:p>
        </w:tc>
        <w:tc>
          <w:tcPr>
            <w:tcW w:w="8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8,597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2,691</w:t>
            </w:r>
          </w:p>
        </w:tc>
        <w:tc>
          <w:tcPr>
            <w:tcW w:w="8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5,905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17,193</w:t>
            </w:r>
          </w:p>
        </w:tc>
        <w:tc>
          <w:tcPr>
            <w:tcW w:w="0" w:type="dxa"/>
            <w:vAlign w:val="bottom"/>
          </w:tcPr>
          <w:p>
            <w:pPr>
              <w:spacing w:after="0"/>
              <w:rPr>
                <w:sz w:val="1"/>
                <w:szCs w:val="1"/>
                <w:color w:val="auto"/>
              </w:rPr>
            </w:pPr>
          </w:p>
        </w:tc>
      </w:tr>
      <w:tr>
        <w:trPr>
          <w:trHeight w:val="161"/>
        </w:trPr>
        <w:tc>
          <w:tcPr>
            <w:tcW w:w="2420" w:type="dxa"/>
            <w:vAlign w:val="bottom"/>
          </w:tcPr>
          <w:p>
            <w:pPr>
              <w:spacing w:after="0"/>
              <w:rPr>
                <w:sz w:val="20"/>
                <w:szCs w:val="20"/>
                <w:color w:val="auto"/>
              </w:rPr>
            </w:pPr>
            <w:r>
              <w:rPr>
                <w:rFonts w:ascii="Arial" w:cs="Arial" w:eastAsia="Arial" w:hAnsi="Arial"/>
                <w:sz w:val="14"/>
                <w:szCs w:val="14"/>
                <w:color w:val="auto"/>
              </w:rPr>
              <w:t>Acquisition related expenses</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7,141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4,721</w:t>
            </w:r>
          </w:p>
        </w:tc>
        <w:tc>
          <w:tcPr>
            <w:tcW w:w="80" w:type="dxa"/>
            <w:vAlign w:val="bottom"/>
          </w:tcPr>
          <w:p>
            <w:pPr>
              <w:spacing w:after="0"/>
              <w:rPr>
                <w:sz w:val="13"/>
                <w:szCs w:val="1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11,862</w:t>
            </w:r>
          </w:p>
        </w:tc>
        <w:tc>
          <w:tcPr>
            <w:tcW w:w="8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665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565</w:t>
            </w:r>
          </w:p>
        </w:tc>
        <w:tc>
          <w:tcPr>
            <w:tcW w:w="8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646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1,876</w:t>
            </w:r>
          </w:p>
        </w:tc>
        <w:tc>
          <w:tcPr>
            <w:tcW w:w="0" w:type="dxa"/>
            <w:vAlign w:val="bottom"/>
          </w:tcPr>
          <w:p>
            <w:pPr>
              <w:spacing w:after="0"/>
              <w:rPr>
                <w:sz w:val="1"/>
                <w:szCs w:val="1"/>
                <w:color w:val="auto"/>
              </w:rPr>
            </w:pPr>
          </w:p>
        </w:tc>
      </w:tr>
      <w:tr>
        <w:trPr>
          <w:trHeight w:val="161"/>
        </w:trPr>
        <w:tc>
          <w:tcPr>
            <w:tcW w:w="2420" w:type="dxa"/>
            <w:vAlign w:val="bottom"/>
          </w:tcPr>
          <w:p>
            <w:pPr>
              <w:spacing w:after="0"/>
              <w:rPr>
                <w:sz w:val="20"/>
                <w:szCs w:val="20"/>
                <w:color w:val="auto"/>
              </w:rPr>
            </w:pPr>
            <w:r>
              <w:rPr>
                <w:rFonts w:ascii="Arial" w:cs="Arial" w:eastAsia="Arial" w:hAnsi="Arial"/>
                <w:sz w:val="14"/>
                <w:szCs w:val="14"/>
                <w:color w:val="auto"/>
              </w:rPr>
              <w:t>Equity in income of unconsolidated</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420" w:type="dxa"/>
            <w:vAlign w:val="bottom"/>
          </w:tcPr>
          <w:p>
            <w:pPr>
              <w:ind w:left="140"/>
              <w:spacing w:after="0"/>
              <w:rPr>
                <w:sz w:val="20"/>
                <w:szCs w:val="20"/>
                <w:color w:val="auto"/>
              </w:rPr>
            </w:pPr>
            <w:r>
              <w:rPr>
                <w:rFonts w:ascii="Arial" w:cs="Arial" w:eastAsia="Arial" w:hAnsi="Arial"/>
                <w:sz w:val="14"/>
                <w:szCs w:val="14"/>
                <w:color w:val="auto"/>
              </w:rPr>
              <w:t>affiliate, net</w:t>
            </w:r>
          </w:p>
        </w:tc>
        <w:tc>
          <w:tcPr>
            <w:tcW w:w="8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774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774</w:t>
            </w:r>
          </w:p>
        </w:tc>
        <w:tc>
          <w:tcPr>
            <w:tcW w:w="0" w:type="dxa"/>
            <w:vAlign w:val="bottom"/>
          </w:tcPr>
          <w:p>
            <w:pPr>
              <w:spacing w:after="0"/>
              <w:rPr>
                <w:sz w:val="1"/>
                <w:szCs w:val="1"/>
                <w:color w:val="auto"/>
              </w:rPr>
            </w:pPr>
          </w:p>
        </w:tc>
      </w:tr>
      <w:tr>
        <w:trPr>
          <w:trHeight w:val="156"/>
        </w:trPr>
        <w:tc>
          <w:tcPr>
            <w:tcW w:w="2420" w:type="dxa"/>
            <w:vAlign w:val="bottom"/>
          </w:tcPr>
          <w:p>
            <w:pPr>
              <w:spacing w:after="0" w:line="156" w:lineRule="exact"/>
              <w:rPr>
                <w:sz w:val="20"/>
                <w:szCs w:val="20"/>
                <w:color w:val="auto"/>
              </w:rPr>
            </w:pPr>
            <w:r>
              <w:rPr>
                <w:rFonts w:ascii="Arial" w:cs="Arial" w:eastAsia="Arial" w:hAnsi="Arial"/>
                <w:sz w:val="14"/>
                <w:szCs w:val="14"/>
                <w:color w:val="auto"/>
              </w:rPr>
              <w:t>Noncontrolling interest</w:t>
            </w:r>
          </w:p>
        </w:tc>
        <w:tc>
          <w:tcPr>
            <w:tcW w:w="80" w:type="dxa"/>
            <w:vAlign w:val="bottom"/>
          </w:tcPr>
          <w:p>
            <w:pPr>
              <w:spacing w:after="0"/>
              <w:rPr>
                <w:sz w:val="13"/>
                <w:szCs w:val="13"/>
                <w:color w:val="auto"/>
              </w:rPr>
            </w:pPr>
          </w:p>
        </w:tc>
        <w:tc>
          <w:tcPr>
            <w:tcW w:w="82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(60)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200"/>
              <w:spacing w:after="0" w:line="156" w:lineRule="exact"/>
              <w:rPr>
                <w:sz w:val="20"/>
                <w:szCs w:val="20"/>
                <w:color w:val="auto"/>
              </w:rPr>
            </w:pPr>
            <w:r>
              <w:rPr>
                <w:rFonts w:ascii="Arial" w:cs="Arial" w:eastAsia="Arial" w:hAnsi="Arial"/>
                <w:sz w:val="14"/>
                <w:szCs w:val="14"/>
                <w:color w:val="auto"/>
              </w:rPr>
              <w:t>(2,563)</w:t>
            </w:r>
          </w:p>
        </w:tc>
        <w:tc>
          <w:tcPr>
            <w:tcW w:w="80" w:type="dxa"/>
            <w:vAlign w:val="bottom"/>
          </w:tcPr>
          <w:p>
            <w:pPr>
              <w:spacing w:after="0"/>
              <w:rPr>
                <w:sz w:val="13"/>
                <w:szCs w:val="13"/>
                <w:color w:val="auto"/>
              </w:rPr>
            </w:pPr>
          </w:p>
        </w:tc>
        <w:tc>
          <w:tcPr>
            <w:tcW w:w="780" w:type="dxa"/>
            <w:vAlign w:val="bottom"/>
            <w:gridSpan w:val="2"/>
          </w:tcPr>
          <w:p>
            <w:pPr>
              <w:jc w:val="right"/>
              <w:ind w:right="200"/>
              <w:spacing w:after="0" w:line="156" w:lineRule="exact"/>
              <w:rPr>
                <w:sz w:val="20"/>
                <w:szCs w:val="20"/>
                <w:color w:val="auto"/>
              </w:rPr>
            </w:pPr>
            <w:r>
              <w:rPr>
                <w:rFonts w:ascii="Arial" w:cs="Arial" w:eastAsia="Arial" w:hAnsi="Arial"/>
                <w:sz w:val="14"/>
                <w:szCs w:val="14"/>
                <w:color w:val="auto"/>
              </w:rPr>
              <w:t>(2,623)</w:t>
            </w:r>
          </w:p>
        </w:tc>
        <w:tc>
          <w:tcPr>
            <w:tcW w:w="80" w:type="dxa"/>
            <w:vAlign w:val="bottom"/>
          </w:tcPr>
          <w:p>
            <w:pPr>
              <w:spacing w:after="0"/>
              <w:rPr>
                <w:sz w:val="13"/>
                <w:szCs w:val="13"/>
                <w:color w:val="auto"/>
              </w:rPr>
            </w:pPr>
          </w:p>
        </w:tc>
        <w:tc>
          <w:tcPr>
            <w:tcW w:w="780" w:type="dxa"/>
            <w:vAlign w:val="bottom"/>
            <w:gridSpan w:val="2"/>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180"/>
              <w:spacing w:after="0" w:line="156" w:lineRule="exact"/>
              <w:rPr>
                <w:sz w:val="20"/>
                <w:szCs w:val="20"/>
                <w:color w:val="auto"/>
              </w:rPr>
            </w:pPr>
            <w:r>
              <w:rPr>
                <w:rFonts w:ascii="Arial" w:cs="Arial" w:eastAsia="Arial" w:hAnsi="Arial"/>
                <w:sz w:val="14"/>
                <w:szCs w:val="14"/>
                <w:color w:val="auto"/>
              </w:rPr>
              <w:t>(1,000)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420" w:type="dxa"/>
            <w:vAlign w:val="bottom"/>
          </w:tcPr>
          <w:p>
            <w:pPr>
              <w:spacing w:after="0"/>
              <w:rPr>
                <w:sz w:val="20"/>
                <w:szCs w:val="20"/>
                <w:color w:val="auto"/>
              </w:rPr>
            </w:pPr>
            <w:r>
              <w:rPr>
                <w:rFonts w:ascii="Arial" w:cs="Arial" w:eastAsia="Arial" w:hAnsi="Arial"/>
                <w:sz w:val="14"/>
                <w:szCs w:val="14"/>
                <w:color w:val="auto"/>
              </w:rPr>
              <w:t>Adjusted EBITDA</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113,104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(23,846)</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73,571</w:t>
            </w:r>
          </w:p>
        </w:tc>
        <w:tc>
          <w:tcPr>
            <w:tcW w:w="80" w:type="dxa"/>
            <w:vAlign w:val="bottom"/>
          </w:tcPr>
          <w:p>
            <w:pPr>
              <w:jc w:val="right"/>
              <w:spacing w:after="0"/>
              <w:rPr>
                <w:sz w:val="20"/>
                <w:szCs w:val="20"/>
                <w:color w:val="auto"/>
              </w:rPr>
            </w:pPr>
            <w:r>
              <w:rPr>
                <w:rFonts w:ascii="Arial" w:cs="Arial" w:eastAsia="Arial" w:hAnsi="Arial"/>
                <w:sz w:val="14"/>
                <w:szCs w:val="14"/>
                <w:u w:val="single" w:color="auto"/>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162,829</w:t>
            </w: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88,118</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(18,793)</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78,226</w:t>
            </w:r>
          </w:p>
        </w:tc>
        <w:tc>
          <w:tcPr>
            <w:tcW w:w="12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w w:val="98"/>
              </w:rPr>
              <w:t>147,551</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tbl>
      <w:tblPr>
        <w:tblLayout w:type="fixed"/>
        <w:tblInd w:w="5"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gridSpan w:val="10"/>
          </w:tcPr>
          <w:p>
            <w:pPr>
              <w:jc w:val="right"/>
              <w:ind w:right="120"/>
              <w:spacing w:after="0"/>
              <w:rPr>
                <w:sz w:val="20"/>
                <w:szCs w:val="20"/>
                <w:color w:val="auto"/>
              </w:rPr>
            </w:pPr>
            <w:r>
              <w:rPr>
                <w:rFonts w:ascii="Arial" w:cs="Arial" w:eastAsia="Arial" w:hAnsi="Arial"/>
                <w:sz w:val="14"/>
                <w:szCs w:val="14"/>
                <w:b w:val="1"/>
                <w:bCs w:val="1"/>
                <w:color w:val="auto"/>
              </w:rPr>
              <w:t>Nine months ended December 31, 2021</w:t>
            </w: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gridSpan w:val="9"/>
          </w:tcPr>
          <w:p>
            <w:pPr>
              <w:jc w:val="right"/>
              <w:ind w:right="40"/>
              <w:spacing w:after="0"/>
              <w:rPr>
                <w:sz w:val="20"/>
                <w:szCs w:val="20"/>
                <w:color w:val="auto"/>
              </w:rPr>
            </w:pPr>
            <w:r>
              <w:rPr>
                <w:rFonts w:ascii="Arial" w:cs="Arial" w:eastAsia="Arial" w:hAnsi="Arial"/>
                <w:sz w:val="14"/>
                <w:szCs w:val="14"/>
                <w:b w:val="1"/>
                <w:bCs w:val="1"/>
                <w:color w:val="auto"/>
              </w:rPr>
              <w:t>Nine months ended December 31, 2020</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1" w:lineRule="exact"/>
              <w:rPr>
                <w:sz w:val="20"/>
                <w:szCs w:val="20"/>
                <w:color w:val="auto"/>
              </w:rPr>
            </w:pPr>
            <w:r>
              <w:rPr>
                <w:rFonts w:ascii="Arial" w:cs="Arial" w:eastAsia="Arial" w:hAnsi="Arial"/>
                <w:sz w:val="14"/>
                <w:szCs w:val="14"/>
                <w:b w:val="1"/>
                <w:bCs w:val="1"/>
                <w:color w:val="auto"/>
              </w:rPr>
              <w:t>Satellite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240"/>
              <w:spacing w:after="0" w:line="141" w:lineRule="exact"/>
              <w:rPr>
                <w:sz w:val="20"/>
                <w:szCs w:val="20"/>
                <w:color w:val="auto"/>
              </w:rPr>
            </w:pPr>
            <w:r>
              <w:rPr>
                <w:rFonts w:ascii="Arial" w:cs="Arial" w:eastAsia="Arial" w:hAnsi="Arial"/>
                <w:sz w:val="14"/>
                <w:szCs w:val="14"/>
                <w:b w:val="1"/>
                <w:bCs w:val="1"/>
                <w:color w:val="auto"/>
                <w:w w:val="99"/>
              </w:rPr>
              <w:t>Commercial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340"/>
              <w:spacing w:after="0" w:line="141" w:lineRule="exact"/>
              <w:rPr>
                <w:sz w:val="20"/>
                <w:szCs w:val="20"/>
                <w:color w:val="auto"/>
              </w:rPr>
            </w:pPr>
            <w:r>
              <w:rPr>
                <w:rFonts w:ascii="Arial" w:cs="Arial" w:eastAsia="Arial" w:hAnsi="Arial"/>
                <w:sz w:val="14"/>
                <w:szCs w:val="14"/>
                <w:b w:val="1"/>
                <w:bCs w:val="1"/>
                <w:color w:val="auto"/>
                <w:w w:val="99"/>
              </w:rPr>
              <w:t>Government</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1" w:lineRule="exact"/>
              <w:rPr>
                <w:sz w:val="20"/>
                <w:szCs w:val="20"/>
                <w:color w:val="auto"/>
              </w:rPr>
            </w:pPr>
            <w:r>
              <w:rPr>
                <w:rFonts w:ascii="Arial" w:cs="Arial" w:eastAsia="Arial" w:hAnsi="Arial"/>
                <w:sz w:val="14"/>
                <w:szCs w:val="14"/>
                <w:b w:val="1"/>
                <w:bCs w:val="1"/>
                <w:color w:val="auto"/>
              </w:rPr>
              <w:t>Satellite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340"/>
              <w:spacing w:after="0" w:line="141" w:lineRule="exact"/>
              <w:rPr>
                <w:sz w:val="20"/>
                <w:szCs w:val="20"/>
                <w:color w:val="auto"/>
              </w:rPr>
            </w:pPr>
            <w:r>
              <w:rPr>
                <w:rFonts w:ascii="Arial" w:cs="Arial" w:eastAsia="Arial" w:hAnsi="Arial"/>
                <w:sz w:val="14"/>
                <w:szCs w:val="14"/>
                <w:b w:val="1"/>
                <w:bCs w:val="1"/>
                <w:color w:val="auto"/>
                <w:w w:val="99"/>
              </w:rPr>
              <w:t>Commercial</w:t>
            </w:r>
          </w:p>
        </w:tc>
        <w:tc>
          <w:tcPr>
            <w:tcW w:w="80" w:type="dxa"/>
            <w:vAlign w:val="bottom"/>
          </w:tcPr>
          <w:p>
            <w:pPr>
              <w:spacing w:after="0"/>
              <w:rPr>
                <w:sz w:val="12"/>
                <w:szCs w:val="12"/>
                <w:color w:val="auto"/>
              </w:rPr>
            </w:pPr>
          </w:p>
        </w:tc>
        <w:tc>
          <w:tcPr>
            <w:tcW w:w="1120" w:type="dxa"/>
            <w:vAlign w:val="bottom"/>
            <w:gridSpan w:val="2"/>
          </w:tcPr>
          <w:p>
            <w:pPr>
              <w:jc w:val="right"/>
              <w:ind w:right="280"/>
              <w:spacing w:after="0" w:line="141" w:lineRule="exact"/>
              <w:rPr>
                <w:sz w:val="20"/>
                <w:szCs w:val="20"/>
                <w:color w:val="auto"/>
              </w:rPr>
            </w:pPr>
            <w:r>
              <w:rPr>
                <w:rFonts w:ascii="Arial" w:cs="Arial" w:eastAsia="Arial" w:hAnsi="Arial"/>
                <w:sz w:val="14"/>
                <w:szCs w:val="14"/>
                <w:b w:val="1"/>
                <w:bCs w:val="1"/>
                <w:color w:val="auto"/>
                <w:w w:val="99"/>
              </w:rPr>
              <w:t>Government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420" w:type="dxa"/>
            <w:vAlign w:val="bottom"/>
            <w:vMerge w:val="restart"/>
          </w:tcPr>
          <w:p>
            <w:pPr>
              <w:spacing w:after="0"/>
              <w:rPr>
                <w:sz w:val="20"/>
                <w:szCs w:val="20"/>
                <w:color w:val="auto"/>
              </w:rPr>
            </w:pPr>
            <w:r>
              <w:rPr>
                <w:rFonts w:ascii="Arial" w:cs="Arial" w:eastAsia="Arial" w:hAnsi="Arial"/>
                <w:sz w:val="14"/>
                <w:szCs w:val="14"/>
                <w:color w:val="auto"/>
              </w:rPr>
              <w:t>Segment operating profit (loss)</w:t>
            </w:r>
          </w:p>
        </w:tc>
        <w:tc>
          <w:tcPr>
            <w:tcW w:w="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Services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Networks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Systems</w:t>
            </w:r>
          </w:p>
        </w:tc>
        <w:tc>
          <w:tcPr>
            <w:tcW w:w="80" w:type="dxa"/>
            <w:vAlign w:val="bottom"/>
          </w:tcPr>
          <w:p>
            <w:pPr>
              <w:spacing w:after="0"/>
              <w:rPr>
                <w:sz w:val="15"/>
                <w:szCs w:val="15"/>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7"/>
              </w:rPr>
              <w:t>Services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Networks</w:t>
            </w:r>
          </w:p>
        </w:tc>
        <w:tc>
          <w:tcPr>
            <w:tcW w:w="80" w:type="dxa"/>
            <w:vAlign w:val="bottom"/>
          </w:tcPr>
          <w:p>
            <w:pPr>
              <w:spacing w:after="0"/>
              <w:rPr>
                <w:sz w:val="15"/>
                <w:szCs w:val="15"/>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Systems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420" w:type="dxa"/>
            <w:vAlign w:val="bottom"/>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420" w:type="dxa"/>
            <w:vAlign w:val="bottom"/>
          </w:tcPr>
          <w:p>
            <w:pPr>
              <w:ind w:left="140"/>
              <w:spacing w:after="0"/>
              <w:rPr>
                <w:sz w:val="20"/>
                <w:szCs w:val="20"/>
                <w:color w:val="auto"/>
              </w:rPr>
            </w:pPr>
            <w:r>
              <w:rPr>
                <w:rFonts w:ascii="Arial" w:cs="Arial" w:eastAsia="Arial" w:hAnsi="Arial"/>
                <w:sz w:val="14"/>
                <w:szCs w:val="14"/>
                <w:color w:val="auto"/>
              </w:rPr>
              <w:t>before corporate and</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420" w:type="dxa"/>
            <w:vAlign w:val="bottom"/>
          </w:tcPr>
          <w:p>
            <w:pPr>
              <w:ind w:left="140"/>
              <w:spacing w:after="0"/>
              <w:rPr>
                <w:sz w:val="20"/>
                <w:szCs w:val="20"/>
                <w:color w:val="auto"/>
              </w:rPr>
            </w:pPr>
            <w:r>
              <w:rPr>
                <w:rFonts w:ascii="Arial" w:cs="Arial" w:eastAsia="Arial" w:hAnsi="Arial"/>
                <w:sz w:val="14"/>
                <w:szCs w:val="14"/>
                <w:color w:val="auto"/>
              </w:rPr>
              <w:t>amortization of acquired</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420" w:type="dxa"/>
            <w:vAlign w:val="bottom"/>
          </w:tcPr>
          <w:p>
            <w:pPr>
              <w:ind w:left="140"/>
              <w:spacing w:after="0" w:line="153" w:lineRule="exact"/>
              <w:rPr>
                <w:sz w:val="20"/>
                <w:szCs w:val="20"/>
                <w:color w:val="auto"/>
              </w:rPr>
            </w:pPr>
            <w:r>
              <w:rPr>
                <w:rFonts w:ascii="Arial" w:cs="Arial" w:eastAsia="Arial" w:hAnsi="Arial"/>
                <w:sz w:val="14"/>
                <w:szCs w:val="14"/>
                <w:color w:val="auto"/>
              </w:rPr>
              <w:t>intangible assets</w:t>
            </w:r>
          </w:p>
        </w:tc>
        <w:tc>
          <w:tcPr>
            <w:tcW w:w="80" w:type="dxa"/>
            <w:vAlign w:val="bottom"/>
          </w:tcPr>
          <w:p>
            <w:pPr>
              <w:jc w:val="right"/>
              <w:spacing w:after="0" w:line="153"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40"/>
              <w:spacing w:after="0" w:line="153" w:lineRule="exact"/>
              <w:rPr>
                <w:sz w:val="20"/>
                <w:szCs w:val="20"/>
                <w:color w:val="auto"/>
              </w:rPr>
            </w:pPr>
            <w:r>
              <w:rPr>
                <w:rFonts w:ascii="Arial" w:cs="Arial" w:eastAsia="Arial" w:hAnsi="Arial"/>
                <w:sz w:val="14"/>
                <w:szCs w:val="14"/>
                <w:color w:val="auto"/>
              </w:rPr>
              <w:t>43,711</w:t>
            </w:r>
          </w:p>
        </w:tc>
        <w:tc>
          <w:tcPr>
            <w:tcW w:w="18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00"/>
              <w:spacing w:after="0" w:line="153" w:lineRule="exact"/>
              <w:rPr>
                <w:sz w:val="20"/>
                <w:szCs w:val="20"/>
                <w:color w:val="auto"/>
              </w:rPr>
            </w:pPr>
            <w:r>
              <w:rPr>
                <w:rFonts w:ascii="Arial" w:cs="Arial" w:eastAsia="Arial" w:hAnsi="Arial"/>
                <w:sz w:val="14"/>
                <w:szCs w:val="14"/>
                <w:color w:val="auto"/>
              </w:rPr>
              <w:t>(127,601)</w:t>
            </w:r>
          </w:p>
        </w:tc>
        <w:tc>
          <w:tcPr>
            <w:tcW w:w="18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60"/>
              <w:spacing w:after="0" w:line="153" w:lineRule="exact"/>
              <w:rPr>
                <w:sz w:val="20"/>
                <w:szCs w:val="20"/>
                <w:color w:val="auto"/>
              </w:rPr>
            </w:pPr>
            <w:r>
              <w:rPr>
                <w:rFonts w:ascii="Arial" w:cs="Arial" w:eastAsia="Arial" w:hAnsi="Arial"/>
                <w:sz w:val="14"/>
                <w:szCs w:val="14"/>
                <w:color w:val="auto"/>
              </w:rPr>
              <w:t>133,866</w:t>
            </w:r>
          </w:p>
        </w:tc>
        <w:tc>
          <w:tcPr>
            <w:tcW w:w="80" w:type="dxa"/>
            <w:vAlign w:val="bottom"/>
          </w:tcPr>
          <w:p>
            <w:pPr>
              <w:jc w:val="right"/>
              <w:spacing w:after="0" w:line="153"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60"/>
              <w:spacing w:after="0" w:line="153" w:lineRule="exact"/>
              <w:rPr>
                <w:sz w:val="20"/>
                <w:szCs w:val="20"/>
                <w:color w:val="auto"/>
              </w:rPr>
            </w:pPr>
            <w:r>
              <w:rPr>
                <w:rFonts w:ascii="Arial" w:cs="Arial" w:eastAsia="Arial" w:hAnsi="Arial"/>
                <w:sz w:val="14"/>
                <w:szCs w:val="14"/>
                <w:color w:val="auto"/>
              </w:rPr>
              <w:t>49,976</w:t>
            </w:r>
          </w:p>
        </w:tc>
        <w:tc>
          <w:tcPr>
            <w:tcW w:w="80" w:type="dxa"/>
            <w:vAlign w:val="bottom"/>
          </w:tcPr>
          <w:p>
            <w:pPr>
              <w:jc w:val="right"/>
              <w:spacing w:after="0" w:line="153"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line="153" w:lineRule="exact"/>
              <w:rPr>
                <w:sz w:val="20"/>
                <w:szCs w:val="20"/>
                <w:color w:val="auto"/>
              </w:rPr>
            </w:pPr>
            <w:r>
              <w:rPr>
                <w:rFonts w:ascii="Arial" w:cs="Arial" w:eastAsia="Arial" w:hAnsi="Arial"/>
                <w:sz w:val="14"/>
                <w:szCs w:val="14"/>
                <w:color w:val="auto"/>
              </w:rPr>
              <w:t>21,083</w:t>
            </w:r>
          </w:p>
        </w:tc>
        <w:tc>
          <w:tcPr>
            <w:tcW w:w="18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line="153" w:lineRule="exact"/>
              <w:rPr>
                <w:sz w:val="20"/>
                <w:szCs w:val="20"/>
                <w:color w:val="auto"/>
              </w:rPr>
            </w:pPr>
            <w:r>
              <w:rPr>
                <w:rFonts w:ascii="Arial" w:cs="Arial" w:eastAsia="Arial" w:hAnsi="Arial"/>
                <w:sz w:val="14"/>
                <w:szCs w:val="14"/>
                <w:color w:val="auto"/>
              </w:rPr>
              <w:t>(135,785)</w:t>
            </w:r>
          </w:p>
        </w:tc>
        <w:tc>
          <w:tcPr>
            <w:tcW w:w="80" w:type="dxa"/>
            <w:vAlign w:val="bottom"/>
          </w:tcPr>
          <w:p>
            <w:pPr>
              <w:jc w:val="right"/>
              <w:spacing w:after="0" w:line="153"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00"/>
              <w:spacing w:after="0" w:line="153" w:lineRule="exact"/>
              <w:rPr>
                <w:sz w:val="20"/>
                <w:szCs w:val="20"/>
                <w:color w:val="auto"/>
              </w:rPr>
            </w:pPr>
            <w:r>
              <w:rPr>
                <w:rFonts w:ascii="Arial" w:cs="Arial" w:eastAsia="Arial" w:hAnsi="Arial"/>
                <w:sz w:val="14"/>
                <w:szCs w:val="14"/>
                <w:color w:val="auto"/>
              </w:rPr>
              <w:t>148,002</w:t>
            </w:r>
          </w:p>
        </w:tc>
        <w:tc>
          <w:tcPr>
            <w:tcW w:w="14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33,300</w:t>
            </w:r>
          </w:p>
        </w:tc>
        <w:tc>
          <w:tcPr>
            <w:tcW w:w="0" w:type="dxa"/>
            <w:vAlign w:val="bottom"/>
          </w:tcPr>
          <w:p>
            <w:pPr>
              <w:spacing w:after="0"/>
              <w:rPr>
                <w:sz w:val="1"/>
                <w:szCs w:val="1"/>
                <w:color w:val="auto"/>
              </w:rPr>
            </w:pPr>
          </w:p>
        </w:tc>
      </w:tr>
      <w:tr>
        <w:trPr>
          <w:trHeight w:val="168"/>
        </w:trPr>
        <w:tc>
          <w:tcPr>
            <w:tcW w:w="2420" w:type="dxa"/>
            <w:vAlign w:val="bottom"/>
          </w:tcPr>
          <w:p>
            <w:pPr>
              <w:spacing w:after="0" w:line="168" w:lineRule="exact"/>
              <w:rPr>
                <w:sz w:val="20"/>
                <w:szCs w:val="20"/>
                <w:color w:val="auto"/>
              </w:rPr>
            </w:pPr>
            <w:r>
              <w:rPr>
                <w:rFonts w:ascii="Arial" w:cs="Arial" w:eastAsia="Arial" w:hAnsi="Arial"/>
                <w:sz w:val="12"/>
                <w:szCs w:val="12"/>
                <w:color w:val="auto"/>
              </w:rPr>
              <w:t xml:space="preserve">Depreciation </w:t>
            </w:r>
            <w:r>
              <w:rPr>
                <w:rFonts w:ascii="Arial" w:cs="Arial" w:eastAsia="Arial" w:hAnsi="Arial"/>
                <w:sz w:val="19"/>
                <w:szCs w:val="19"/>
                <w:color w:val="auto"/>
                <w:vertAlign w:val="superscript"/>
              </w:rPr>
              <w:t>(3)</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224,614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31,725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47,806</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304,145</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177,027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25,202</w:t>
            </w:r>
          </w:p>
        </w:tc>
        <w:tc>
          <w:tcPr>
            <w:tcW w:w="8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39,706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w w:val="98"/>
              </w:rPr>
              <w:t>241,935</w:t>
            </w:r>
          </w:p>
        </w:tc>
        <w:tc>
          <w:tcPr>
            <w:tcW w:w="0" w:type="dxa"/>
            <w:vAlign w:val="bottom"/>
          </w:tcPr>
          <w:p>
            <w:pPr>
              <w:spacing w:after="0"/>
              <w:rPr>
                <w:sz w:val="1"/>
                <w:szCs w:val="1"/>
                <w:color w:val="auto"/>
              </w:rPr>
            </w:pPr>
          </w:p>
        </w:tc>
      </w:tr>
      <w:tr>
        <w:trPr>
          <w:trHeight w:val="161"/>
        </w:trPr>
        <w:tc>
          <w:tcPr>
            <w:tcW w:w="242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420" w:type="dxa"/>
            <w:vAlign w:val="bottom"/>
          </w:tcPr>
          <w:p>
            <w:pPr>
              <w:ind w:left="140"/>
              <w:spacing w:after="0"/>
              <w:rPr>
                <w:sz w:val="20"/>
                <w:szCs w:val="20"/>
                <w:color w:val="auto"/>
              </w:rPr>
            </w:pPr>
            <w:r>
              <w:rPr>
                <w:rFonts w:ascii="Arial" w:cs="Arial" w:eastAsia="Arial" w:hAnsi="Arial"/>
                <w:sz w:val="14"/>
                <w:szCs w:val="14"/>
                <w:color w:val="auto"/>
              </w:rPr>
              <w:t>expense</w:t>
            </w:r>
          </w:p>
        </w:tc>
        <w:tc>
          <w:tcPr>
            <w:tcW w:w="8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22,470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21,169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21,037</w:t>
            </w:r>
          </w:p>
        </w:tc>
        <w:tc>
          <w:tcPr>
            <w:tcW w:w="80" w:type="dxa"/>
            <w:vAlign w:val="bottom"/>
          </w:tcPr>
          <w:p>
            <w:pPr>
              <w:spacing w:after="0"/>
              <w:rPr>
                <w:sz w:val="13"/>
                <w:szCs w:val="1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64,676</w:t>
            </w:r>
          </w:p>
        </w:tc>
        <w:tc>
          <w:tcPr>
            <w:tcW w:w="8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19,545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22,931</w:t>
            </w:r>
          </w:p>
        </w:tc>
        <w:tc>
          <w:tcPr>
            <w:tcW w:w="80" w:type="dxa"/>
            <w:vAlign w:val="bottom"/>
          </w:tcPr>
          <w:p>
            <w:pPr>
              <w:spacing w:after="0"/>
              <w:rPr>
                <w:sz w:val="13"/>
                <w:szCs w:val="1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22,491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64,967</w:t>
            </w:r>
          </w:p>
        </w:tc>
        <w:tc>
          <w:tcPr>
            <w:tcW w:w="0" w:type="dxa"/>
            <w:vAlign w:val="bottom"/>
          </w:tcPr>
          <w:p>
            <w:pPr>
              <w:spacing w:after="0"/>
              <w:rPr>
                <w:sz w:val="1"/>
                <w:szCs w:val="1"/>
                <w:color w:val="auto"/>
              </w:rPr>
            </w:pPr>
          </w:p>
        </w:tc>
      </w:tr>
      <w:tr>
        <w:trPr>
          <w:trHeight w:val="161"/>
        </w:trPr>
        <w:tc>
          <w:tcPr>
            <w:tcW w:w="2420" w:type="dxa"/>
            <w:vAlign w:val="bottom"/>
          </w:tcPr>
          <w:p>
            <w:pPr>
              <w:spacing w:after="0"/>
              <w:rPr>
                <w:sz w:val="20"/>
                <w:szCs w:val="20"/>
                <w:color w:val="auto"/>
              </w:rPr>
            </w:pPr>
            <w:r>
              <w:rPr>
                <w:rFonts w:ascii="Arial" w:cs="Arial" w:eastAsia="Arial" w:hAnsi="Arial"/>
                <w:sz w:val="14"/>
                <w:szCs w:val="14"/>
                <w:color w:val="auto"/>
              </w:rPr>
              <w:t>Other amortization</w:t>
            </w:r>
          </w:p>
        </w:tc>
        <w:tc>
          <w:tcPr>
            <w:tcW w:w="8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24,580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7,631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12,273</w:t>
            </w:r>
          </w:p>
        </w:tc>
        <w:tc>
          <w:tcPr>
            <w:tcW w:w="80" w:type="dxa"/>
            <w:vAlign w:val="bottom"/>
          </w:tcPr>
          <w:p>
            <w:pPr>
              <w:spacing w:after="0"/>
              <w:rPr>
                <w:sz w:val="13"/>
                <w:szCs w:val="1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44,484</w:t>
            </w:r>
          </w:p>
        </w:tc>
        <w:tc>
          <w:tcPr>
            <w:tcW w:w="8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24,962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7,550</w:t>
            </w:r>
          </w:p>
        </w:tc>
        <w:tc>
          <w:tcPr>
            <w:tcW w:w="80" w:type="dxa"/>
            <w:vAlign w:val="bottom"/>
          </w:tcPr>
          <w:p>
            <w:pPr>
              <w:spacing w:after="0"/>
              <w:rPr>
                <w:sz w:val="13"/>
                <w:szCs w:val="1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13,498</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46,010</w:t>
            </w:r>
          </w:p>
        </w:tc>
        <w:tc>
          <w:tcPr>
            <w:tcW w:w="0" w:type="dxa"/>
            <w:vAlign w:val="bottom"/>
          </w:tcPr>
          <w:p>
            <w:pPr>
              <w:spacing w:after="0"/>
              <w:rPr>
                <w:sz w:val="1"/>
                <w:szCs w:val="1"/>
                <w:color w:val="auto"/>
              </w:rPr>
            </w:pPr>
          </w:p>
        </w:tc>
      </w:tr>
      <w:tr>
        <w:trPr>
          <w:trHeight w:val="161"/>
        </w:trPr>
        <w:tc>
          <w:tcPr>
            <w:tcW w:w="2420" w:type="dxa"/>
            <w:vAlign w:val="bottom"/>
          </w:tcPr>
          <w:p>
            <w:pPr>
              <w:spacing w:after="0"/>
              <w:rPr>
                <w:sz w:val="20"/>
                <w:szCs w:val="20"/>
                <w:color w:val="auto"/>
              </w:rPr>
            </w:pPr>
            <w:r>
              <w:rPr>
                <w:rFonts w:ascii="Arial" w:cs="Arial" w:eastAsia="Arial" w:hAnsi="Arial"/>
                <w:sz w:val="14"/>
                <w:szCs w:val="14"/>
                <w:color w:val="auto"/>
              </w:rPr>
              <w:t>Acquisition related expenses</w:t>
            </w:r>
          </w:p>
        </w:tc>
        <w:tc>
          <w:tcPr>
            <w:tcW w:w="8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14,631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4,721</w:t>
            </w:r>
          </w:p>
        </w:tc>
        <w:tc>
          <w:tcPr>
            <w:tcW w:w="80" w:type="dxa"/>
            <w:vAlign w:val="bottom"/>
          </w:tcPr>
          <w:p>
            <w:pPr>
              <w:spacing w:after="0"/>
              <w:rPr>
                <w:sz w:val="13"/>
                <w:szCs w:val="1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19,352</w:t>
            </w:r>
          </w:p>
        </w:tc>
        <w:tc>
          <w:tcPr>
            <w:tcW w:w="8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665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565</w:t>
            </w:r>
          </w:p>
        </w:tc>
        <w:tc>
          <w:tcPr>
            <w:tcW w:w="80" w:type="dxa"/>
            <w:vAlign w:val="bottom"/>
          </w:tcPr>
          <w:p>
            <w:pPr>
              <w:spacing w:after="0"/>
              <w:rPr>
                <w:sz w:val="13"/>
                <w:szCs w:val="1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646</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1,876</w:t>
            </w:r>
          </w:p>
        </w:tc>
        <w:tc>
          <w:tcPr>
            <w:tcW w:w="0" w:type="dxa"/>
            <w:vAlign w:val="bottom"/>
          </w:tcPr>
          <w:p>
            <w:pPr>
              <w:spacing w:after="0"/>
              <w:rPr>
                <w:sz w:val="1"/>
                <w:szCs w:val="1"/>
                <w:color w:val="auto"/>
              </w:rPr>
            </w:pPr>
          </w:p>
        </w:tc>
      </w:tr>
      <w:tr>
        <w:trPr>
          <w:trHeight w:val="161"/>
        </w:trPr>
        <w:tc>
          <w:tcPr>
            <w:tcW w:w="2420" w:type="dxa"/>
            <w:vAlign w:val="bottom"/>
          </w:tcPr>
          <w:p>
            <w:pPr>
              <w:spacing w:after="0"/>
              <w:rPr>
                <w:sz w:val="20"/>
                <w:szCs w:val="20"/>
                <w:color w:val="auto"/>
              </w:rPr>
            </w:pPr>
            <w:r>
              <w:rPr>
                <w:rFonts w:ascii="Arial" w:cs="Arial" w:eastAsia="Arial" w:hAnsi="Arial"/>
                <w:sz w:val="14"/>
                <w:szCs w:val="14"/>
                <w:color w:val="auto"/>
              </w:rPr>
              <w:t>Equity in (loss) income of</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420" w:type="dxa"/>
            <w:vAlign w:val="bottom"/>
          </w:tcPr>
          <w:p>
            <w:pPr>
              <w:ind w:left="140"/>
              <w:spacing w:after="0"/>
              <w:rPr>
                <w:sz w:val="20"/>
                <w:szCs w:val="20"/>
                <w:color w:val="auto"/>
              </w:rPr>
            </w:pPr>
            <w:r>
              <w:rPr>
                <w:rFonts w:ascii="Arial" w:cs="Arial" w:eastAsia="Arial" w:hAnsi="Arial"/>
                <w:sz w:val="14"/>
                <w:szCs w:val="14"/>
                <w:color w:val="auto"/>
              </w:rPr>
              <w:t>unconsolidated affiliate, net</w:t>
            </w:r>
          </w:p>
        </w:tc>
        <w:tc>
          <w:tcPr>
            <w:tcW w:w="8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(256)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(256)</w:t>
            </w:r>
          </w:p>
        </w:tc>
        <w:tc>
          <w:tcPr>
            <w:tcW w:w="8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788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788</w:t>
            </w:r>
          </w:p>
        </w:tc>
        <w:tc>
          <w:tcPr>
            <w:tcW w:w="0" w:type="dxa"/>
            <w:vAlign w:val="bottom"/>
          </w:tcPr>
          <w:p>
            <w:pPr>
              <w:spacing w:after="0"/>
              <w:rPr>
                <w:sz w:val="1"/>
                <w:szCs w:val="1"/>
                <w:color w:val="auto"/>
              </w:rPr>
            </w:pPr>
          </w:p>
        </w:tc>
      </w:tr>
      <w:tr>
        <w:trPr>
          <w:trHeight w:val="156"/>
        </w:trPr>
        <w:tc>
          <w:tcPr>
            <w:tcW w:w="2420" w:type="dxa"/>
            <w:vAlign w:val="bottom"/>
          </w:tcPr>
          <w:p>
            <w:pPr>
              <w:spacing w:after="0" w:line="156" w:lineRule="exact"/>
              <w:rPr>
                <w:sz w:val="20"/>
                <w:szCs w:val="20"/>
                <w:color w:val="auto"/>
              </w:rPr>
            </w:pPr>
            <w:r>
              <w:rPr>
                <w:rFonts w:ascii="Arial" w:cs="Arial" w:eastAsia="Arial" w:hAnsi="Arial"/>
                <w:sz w:val="14"/>
                <w:szCs w:val="14"/>
                <w:color w:val="auto"/>
              </w:rPr>
              <w:t>Noncontrolling interest</w:t>
            </w:r>
          </w:p>
        </w:tc>
        <w:tc>
          <w:tcPr>
            <w:tcW w:w="80" w:type="dxa"/>
            <w:vAlign w:val="bottom"/>
          </w:tcPr>
          <w:p>
            <w:pPr>
              <w:spacing w:after="0"/>
              <w:rPr>
                <w:sz w:val="13"/>
                <w:szCs w:val="13"/>
                <w:color w:val="auto"/>
              </w:rPr>
            </w:pPr>
          </w:p>
        </w:tc>
        <w:tc>
          <w:tcPr>
            <w:tcW w:w="82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(160)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200"/>
              <w:spacing w:after="0" w:line="156" w:lineRule="exact"/>
              <w:rPr>
                <w:sz w:val="20"/>
                <w:szCs w:val="20"/>
                <w:color w:val="auto"/>
              </w:rPr>
            </w:pPr>
            <w:r>
              <w:rPr>
                <w:rFonts w:ascii="Arial" w:cs="Arial" w:eastAsia="Arial" w:hAnsi="Arial"/>
                <w:sz w:val="14"/>
                <w:szCs w:val="14"/>
                <w:color w:val="auto"/>
              </w:rPr>
              <w:t>(5,366)</w:t>
            </w:r>
          </w:p>
        </w:tc>
        <w:tc>
          <w:tcPr>
            <w:tcW w:w="80" w:type="dxa"/>
            <w:vAlign w:val="bottom"/>
          </w:tcPr>
          <w:p>
            <w:pPr>
              <w:spacing w:after="0"/>
              <w:rPr>
                <w:sz w:val="13"/>
                <w:szCs w:val="13"/>
                <w:color w:val="auto"/>
              </w:rPr>
            </w:pPr>
          </w:p>
        </w:tc>
        <w:tc>
          <w:tcPr>
            <w:tcW w:w="780" w:type="dxa"/>
            <w:vAlign w:val="bottom"/>
            <w:gridSpan w:val="2"/>
          </w:tcPr>
          <w:p>
            <w:pPr>
              <w:jc w:val="right"/>
              <w:ind w:right="200"/>
              <w:spacing w:after="0" w:line="156" w:lineRule="exact"/>
              <w:rPr>
                <w:sz w:val="20"/>
                <w:szCs w:val="20"/>
                <w:color w:val="auto"/>
              </w:rPr>
            </w:pPr>
            <w:r>
              <w:rPr>
                <w:rFonts w:ascii="Arial" w:cs="Arial" w:eastAsia="Arial" w:hAnsi="Arial"/>
                <w:sz w:val="14"/>
                <w:szCs w:val="14"/>
                <w:color w:val="auto"/>
              </w:rPr>
              <w:t>(5,526)</w:t>
            </w:r>
          </w:p>
        </w:tc>
        <w:tc>
          <w:tcPr>
            <w:tcW w:w="80" w:type="dxa"/>
            <w:vAlign w:val="bottom"/>
          </w:tcPr>
          <w:p>
            <w:pPr>
              <w:spacing w:after="0"/>
              <w:rPr>
                <w:sz w:val="13"/>
                <w:szCs w:val="13"/>
                <w:color w:val="auto"/>
              </w:rPr>
            </w:pPr>
          </w:p>
        </w:tc>
        <w:tc>
          <w:tcPr>
            <w:tcW w:w="780" w:type="dxa"/>
            <w:vAlign w:val="bottom"/>
            <w:gridSpan w:val="2"/>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120" w:type="dxa"/>
            <w:vAlign w:val="bottom"/>
            <w:gridSpan w:val="2"/>
          </w:tcPr>
          <w:p>
            <w:pPr>
              <w:jc w:val="right"/>
              <w:ind w:right="160"/>
              <w:spacing w:after="0" w:line="156" w:lineRule="exact"/>
              <w:rPr>
                <w:sz w:val="20"/>
                <w:szCs w:val="20"/>
                <w:color w:val="auto"/>
              </w:rPr>
            </w:pPr>
            <w:r>
              <w:rPr>
                <w:rFonts w:ascii="Arial" w:cs="Arial" w:eastAsia="Arial" w:hAnsi="Arial"/>
                <w:sz w:val="14"/>
                <w:szCs w:val="14"/>
                <w:color w:val="auto"/>
              </w:rPr>
              <w:t>(6,290)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(6,290)</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420" w:type="dxa"/>
            <w:vAlign w:val="bottom"/>
          </w:tcPr>
          <w:p>
            <w:pPr>
              <w:spacing w:after="0"/>
              <w:rPr>
                <w:sz w:val="20"/>
                <w:szCs w:val="20"/>
                <w:color w:val="auto"/>
              </w:rPr>
            </w:pPr>
            <w:r>
              <w:rPr>
                <w:rFonts w:ascii="Arial" w:cs="Arial" w:eastAsia="Arial" w:hAnsi="Arial"/>
                <w:sz w:val="14"/>
                <w:szCs w:val="14"/>
                <w:color w:val="auto"/>
              </w:rPr>
              <w:t>Adjusted EBITDA</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329,590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(67,076)</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214,337</w:t>
            </w:r>
          </w:p>
        </w:tc>
        <w:tc>
          <w:tcPr>
            <w:tcW w:w="80" w:type="dxa"/>
            <w:vAlign w:val="bottom"/>
          </w:tcPr>
          <w:p>
            <w:pPr>
              <w:jc w:val="right"/>
              <w:spacing w:after="0"/>
              <w:rPr>
                <w:sz w:val="20"/>
                <w:szCs w:val="20"/>
                <w:color w:val="auto"/>
              </w:rPr>
            </w:pPr>
            <w:r>
              <w:rPr>
                <w:rFonts w:ascii="Arial" w:cs="Arial" w:eastAsia="Arial" w:hAnsi="Arial"/>
                <w:sz w:val="14"/>
                <w:szCs w:val="14"/>
                <w:u w:val="single" w:color="auto"/>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476,851</w:t>
            </w: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244,070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(79,537)</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218,053</w:t>
            </w:r>
          </w:p>
        </w:tc>
        <w:tc>
          <w:tcPr>
            <w:tcW w:w="14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w w:val="98"/>
              </w:rPr>
              <w:t>382,586</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325" w:right="180" w:hanging="325"/>
        <w:spacing w:after="0" w:line="182" w:lineRule="auto"/>
        <w:tabs>
          <w:tab w:leader="none" w:pos="325" w:val="left"/>
        </w:tabs>
        <w:numPr>
          <w:ilvl w:val="0"/>
          <w:numId w:val="7"/>
        </w:numPr>
        <w:rPr>
          <w:rFonts w:ascii="Arial" w:cs="Arial" w:eastAsia="Arial" w:hAnsi="Arial"/>
          <w:sz w:val="24"/>
          <w:szCs w:val="24"/>
          <w:color w:val="auto"/>
          <w:vertAlign w:val="superscript"/>
        </w:rPr>
      </w:pPr>
      <w:r>
        <w:rPr>
          <w:rFonts w:ascii="Arial" w:cs="Arial" w:eastAsia="Arial" w:hAnsi="Arial"/>
          <w:sz w:val="14"/>
          <w:szCs w:val="14"/>
          <w:color w:val="auto"/>
        </w:rPr>
        <w:t>Depreciation expenses not specifically recorded in a particular segment have been allocated based on other indirect allocable costs, which management believes is a reasonable method.</w:t>
      </w:r>
    </w:p>
    <w:p>
      <w:pPr>
        <w:spacing w:after="0" w:line="187" w:lineRule="exact"/>
        <w:rPr>
          <w:sz w:val="20"/>
          <w:szCs w:val="20"/>
          <w:color w:val="auto"/>
        </w:rPr>
      </w:pPr>
    </w:p>
    <w:p>
      <w:pPr>
        <w:jc w:val="center"/>
        <w:ind w:right="-4"/>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18" w:lineRule="exact"/>
        <w:rPr>
          <w:sz w:val="20"/>
          <w:szCs w:val="20"/>
          <w:color w:val="auto"/>
        </w:rPr>
      </w:pPr>
    </w:p>
    <w:p>
      <w:pPr>
        <w:jc w:val="center"/>
        <w:ind w:right="-4"/>
        <w:spacing w:after="0"/>
        <w:rPr>
          <w:sz w:val="20"/>
          <w:szCs w:val="20"/>
          <w:color w:val="auto"/>
        </w:rPr>
      </w:pPr>
      <w:r>
        <w:rPr>
          <w:rFonts w:ascii="Arial" w:cs="Arial" w:eastAsia="Arial" w:hAnsi="Arial"/>
          <w:sz w:val="14"/>
          <w:szCs w:val="14"/>
          <w:b w:val="1"/>
          <w:bCs w:val="1"/>
          <w:color w:val="auto"/>
        </w:rPr>
        <w:t>(Unaudited)</w:t>
      </w:r>
    </w:p>
    <w:p>
      <w:pPr>
        <w:jc w:val="center"/>
        <w:ind w:right="-4"/>
        <w:spacing w:after="0"/>
        <w:rPr>
          <w:sz w:val="20"/>
          <w:szCs w:val="20"/>
          <w:color w:val="auto"/>
        </w:rPr>
      </w:pPr>
      <w:r>
        <w:rPr>
          <w:rFonts w:ascii="Arial" w:cs="Arial" w:eastAsia="Arial" w:hAnsi="Arial"/>
          <w:sz w:val="14"/>
          <w:szCs w:val="14"/>
          <w:b w:val="1"/>
          <w:bCs w:val="1"/>
          <w:color w:val="auto"/>
        </w:rPr>
        <w:t>(In thousands)</w:t>
      </w:r>
    </w:p>
    <w:p>
      <w:pPr>
        <w:spacing w:after="0" w:line="223" w:lineRule="exact"/>
        <w:rPr>
          <w:sz w:val="20"/>
          <w:szCs w:val="20"/>
          <w:color w:val="auto"/>
        </w:rPr>
      </w:pPr>
    </w:p>
    <w:tbl>
      <w:tblPr>
        <w:tblLayout w:type="fixed"/>
        <w:tblInd w:w="5"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As of</w:t>
            </w:r>
          </w:p>
        </w:tc>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3"/>
          </w:tcPr>
          <w:p>
            <w:pPr>
              <w:ind w:left="200"/>
              <w:spacing w:after="0"/>
              <w:rPr>
                <w:sz w:val="20"/>
                <w:szCs w:val="20"/>
                <w:color w:val="auto"/>
              </w:rPr>
            </w:pPr>
            <w:r>
              <w:rPr>
                <w:rFonts w:ascii="Arial" w:cs="Arial" w:eastAsia="Arial" w:hAnsi="Arial"/>
                <w:sz w:val="14"/>
                <w:szCs w:val="14"/>
                <w:b w:val="1"/>
                <w:bCs w:val="1"/>
                <w:color w:val="auto"/>
              </w:rPr>
              <w:t>As of</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4"/>
        </w:trPr>
        <w:tc>
          <w:tcPr>
            <w:tcW w:w="328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December 31, 2021</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March 31, 2021</w:t>
            </w:r>
          </w:p>
        </w:tc>
        <w:tc>
          <w:tcPr>
            <w:tcW w:w="2020" w:type="dxa"/>
            <w:vAlign w:val="bottom"/>
          </w:tcPr>
          <w:p>
            <w:pPr>
              <w:ind w:left="140"/>
              <w:spacing w:after="0"/>
              <w:rPr>
                <w:sz w:val="20"/>
                <w:szCs w:val="20"/>
                <w:color w:val="auto"/>
              </w:rPr>
            </w:pPr>
            <w:r>
              <w:rPr>
                <w:rFonts w:ascii="Arial" w:cs="Arial" w:eastAsia="Arial" w:hAnsi="Arial"/>
                <w:sz w:val="14"/>
                <w:szCs w:val="14"/>
                <w:b w:val="1"/>
                <w:bCs w:val="1"/>
                <w:color w:val="auto"/>
              </w:rPr>
              <w:t>Liabilities and Equity</w:t>
            </w:r>
          </w:p>
        </w:tc>
        <w:tc>
          <w:tcPr>
            <w:tcW w:w="260" w:type="dxa"/>
            <w:vAlign w:val="bottom"/>
          </w:tcPr>
          <w:p>
            <w:pPr>
              <w:spacing w:after="0"/>
              <w:rPr>
                <w:sz w:val="15"/>
                <w:szCs w:val="15"/>
                <w:color w:val="auto"/>
              </w:rPr>
            </w:pPr>
          </w:p>
        </w:tc>
        <w:tc>
          <w:tcPr>
            <w:tcW w:w="1440" w:type="dxa"/>
            <w:vAlign w:val="bottom"/>
            <w:gridSpan w:val="4"/>
          </w:tcPr>
          <w:p>
            <w:pPr>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Pr>
          <w:p>
            <w:pPr>
              <w:spacing w:after="0"/>
              <w:rPr>
                <w:sz w:val="15"/>
                <w:szCs w:val="15"/>
                <w:color w:val="auto"/>
              </w:rPr>
            </w:pPr>
          </w:p>
        </w:tc>
        <w:tc>
          <w:tcPr>
            <w:tcW w:w="1060" w:type="dxa"/>
            <w:vAlign w:val="bottom"/>
            <w:gridSpan w:val="4"/>
          </w:tcPr>
          <w:p>
            <w:pPr>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320"/>
        </w:trPr>
        <w:tc>
          <w:tcPr>
            <w:tcW w:w="3280" w:type="dxa"/>
            <w:vAlign w:val="bottom"/>
          </w:tcPr>
          <w:p>
            <w:pPr>
              <w:spacing w:after="0"/>
              <w:rPr>
                <w:sz w:val="20"/>
                <w:szCs w:val="20"/>
                <w:color w:val="auto"/>
              </w:rPr>
            </w:pPr>
            <w:r>
              <w:rPr>
                <w:rFonts w:ascii="Arial" w:cs="Arial" w:eastAsia="Arial" w:hAnsi="Arial"/>
                <w:sz w:val="14"/>
                <w:szCs w:val="14"/>
                <w:color w:val="auto"/>
              </w:rPr>
              <w:t>Current assets:</w:t>
            </w: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tcPr>
          <w:p>
            <w:pPr>
              <w:ind w:left="140"/>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28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280" w:type="dxa"/>
            <w:vAlign w:val="bottom"/>
          </w:tcPr>
          <w:p>
            <w:pPr>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4"/>
                <w:szCs w:val="14"/>
                <w:color w:val="auto"/>
              </w:rPr>
              <w:t>166,032</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295,949</w:t>
            </w:r>
          </w:p>
        </w:tc>
        <w:tc>
          <w:tcPr>
            <w:tcW w:w="202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5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251,335</w:t>
            </w:r>
          </w:p>
        </w:tc>
        <w:tc>
          <w:tcPr>
            <w:tcW w:w="120" w:type="dxa"/>
            <w:vAlign w:val="bottom"/>
          </w:tcPr>
          <w:p>
            <w:pPr>
              <w:spacing w:after="0"/>
              <w:rPr>
                <w:sz w:val="13"/>
                <w:szCs w:val="13"/>
                <w:color w:val="auto"/>
              </w:rPr>
            </w:pPr>
          </w:p>
        </w:tc>
        <w:tc>
          <w:tcPr>
            <w:tcW w:w="3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4"/>
                <w:szCs w:val="14"/>
                <w:color w:val="auto"/>
              </w:rPr>
              <w:t>145,134</w:t>
            </w:r>
          </w:p>
        </w:tc>
        <w:tc>
          <w:tcPr>
            <w:tcW w:w="0" w:type="dxa"/>
            <w:vAlign w:val="bottom"/>
          </w:tcPr>
          <w:p>
            <w:pPr>
              <w:spacing w:after="0"/>
              <w:rPr>
                <w:sz w:val="1"/>
                <w:szCs w:val="1"/>
                <w:color w:val="auto"/>
              </w:rPr>
            </w:pPr>
          </w:p>
        </w:tc>
      </w:tr>
      <w:tr>
        <w:trPr>
          <w:trHeight w:val="161"/>
        </w:trPr>
        <w:tc>
          <w:tcPr>
            <w:tcW w:w="3280" w:type="dxa"/>
            <w:vAlign w:val="bottom"/>
          </w:tcPr>
          <w:p>
            <w:pPr>
              <w:spacing w:after="0"/>
              <w:rPr>
                <w:sz w:val="20"/>
                <w:szCs w:val="20"/>
                <w:color w:val="auto"/>
              </w:rPr>
            </w:pPr>
            <w:r>
              <w:rPr>
                <w:rFonts w:ascii="Arial" w:cs="Arial" w:eastAsia="Arial" w:hAnsi="Arial"/>
                <w:sz w:val="14"/>
                <w:szCs w:val="14"/>
                <w:color w:val="auto"/>
              </w:rPr>
              <w:t>Accounts receivable, net</w:t>
            </w:r>
          </w:p>
        </w:tc>
        <w:tc>
          <w:tcPr>
            <w:tcW w:w="280" w:type="dxa"/>
            <w:vAlign w:val="bottom"/>
          </w:tcPr>
          <w:p>
            <w:pPr>
              <w:spacing w:after="0"/>
              <w:rPr>
                <w:sz w:val="13"/>
                <w:szCs w:val="13"/>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color w:val="auto"/>
              </w:rPr>
              <w:t>363,013</w:t>
            </w:r>
          </w:p>
        </w:tc>
        <w:tc>
          <w:tcPr>
            <w:tcW w:w="22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238,652</w:t>
            </w:r>
          </w:p>
        </w:tc>
        <w:tc>
          <w:tcPr>
            <w:tcW w:w="2020" w:type="dxa"/>
            <w:vAlign w:val="bottom"/>
          </w:tcPr>
          <w:p>
            <w:pPr>
              <w:ind w:left="140"/>
              <w:spacing w:after="0"/>
              <w:rPr>
                <w:sz w:val="20"/>
                <w:szCs w:val="20"/>
                <w:color w:val="auto"/>
              </w:rPr>
            </w:pPr>
            <w:r>
              <w:rPr>
                <w:rFonts w:ascii="Arial" w:cs="Arial" w:eastAsia="Arial" w:hAnsi="Arial"/>
                <w:sz w:val="14"/>
                <w:szCs w:val="14"/>
                <w:color w:val="auto"/>
              </w:rPr>
              <w:t>Accrued and other liabilities</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505,702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4"/>
                <w:szCs w:val="14"/>
                <w:color w:val="auto"/>
              </w:rPr>
              <w:t>532,831</w:t>
            </w:r>
          </w:p>
        </w:tc>
        <w:tc>
          <w:tcPr>
            <w:tcW w:w="0" w:type="dxa"/>
            <w:vAlign w:val="bottom"/>
          </w:tcPr>
          <w:p>
            <w:pPr>
              <w:spacing w:after="0"/>
              <w:rPr>
                <w:sz w:val="1"/>
                <w:szCs w:val="1"/>
                <w:color w:val="auto"/>
              </w:rPr>
            </w:pPr>
          </w:p>
        </w:tc>
      </w:tr>
      <w:tr>
        <w:trPr>
          <w:trHeight w:val="161"/>
        </w:trPr>
        <w:tc>
          <w:tcPr>
            <w:tcW w:w="3280" w:type="dxa"/>
            <w:vAlign w:val="bottom"/>
          </w:tcPr>
          <w:p>
            <w:pPr>
              <w:spacing w:after="0"/>
              <w:rPr>
                <w:sz w:val="20"/>
                <w:szCs w:val="20"/>
                <w:color w:val="auto"/>
              </w:rPr>
            </w:pPr>
            <w:r>
              <w:rPr>
                <w:rFonts w:ascii="Arial" w:cs="Arial" w:eastAsia="Arial" w:hAnsi="Arial"/>
                <w:sz w:val="14"/>
                <w:szCs w:val="14"/>
                <w:color w:val="auto"/>
              </w:rPr>
              <w:t>Inventories</w:t>
            </w: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tcPr>
          <w:p>
            <w:pPr>
              <w:ind w:left="140"/>
              <w:spacing w:after="0"/>
              <w:rPr>
                <w:sz w:val="20"/>
                <w:szCs w:val="20"/>
                <w:color w:val="auto"/>
              </w:rPr>
            </w:pPr>
            <w:r>
              <w:rPr>
                <w:rFonts w:ascii="Arial" w:cs="Arial" w:eastAsia="Arial" w:hAnsi="Arial"/>
                <w:sz w:val="14"/>
                <w:szCs w:val="14"/>
                <w:color w:val="auto"/>
              </w:rPr>
              <w:t>Current portion of long-term</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jc w:val="right"/>
              <w:ind w:right="280"/>
              <w:spacing w:after="0" w:line="156" w:lineRule="exact"/>
              <w:rPr>
                <w:sz w:val="20"/>
                <w:szCs w:val="20"/>
                <w:color w:val="auto"/>
              </w:rPr>
            </w:pPr>
            <w:r>
              <w:rPr>
                <w:rFonts w:ascii="Arial" w:cs="Arial" w:eastAsia="Arial" w:hAnsi="Arial"/>
                <w:sz w:val="14"/>
                <w:szCs w:val="14"/>
                <w:color w:val="auto"/>
              </w:rPr>
              <w:t>353,993</w:t>
            </w:r>
          </w:p>
        </w:tc>
        <w:tc>
          <w:tcPr>
            <w:tcW w:w="220" w:type="dxa"/>
            <w:vAlign w:val="bottom"/>
          </w:tcPr>
          <w:p>
            <w:pPr>
              <w:spacing w:after="0"/>
              <w:rPr>
                <w:sz w:val="13"/>
                <w:szCs w:val="13"/>
                <w:color w:val="auto"/>
              </w:rPr>
            </w:pPr>
          </w:p>
        </w:tc>
        <w:tc>
          <w:tcPr>
            <w:tcW w:w="960" w:type="dxa"/>
            <w:vAlign w:val="bottom"/>
            <w:gridSpan w:val="2"/>
          </w:tcPr>
          <w:p>
            <w:pPr>
              <w:jc w:val="right"/>
              <w:ind w:right="160"/>
              <w:spacing w:after="0" w:line="156" w:lineRule="exact"/>
              <w:rPr>
                <w:sz w:val="20"/>
                <w:szCs w:val="20"/>
                <w:color w:val="auto"/>
              </w:rPr>
            </w:pPr>
            <w:r>
              <w:rPr>
                <w:rFonts w:ascii="Arial" w:cs="Arial" w:eastAsia="Arial" w:hAnsi="Arial"/>
                <w:sz w:val="14"/>
                <w:szCs w:val="14"/>
                <w:color w:val="auto"/>
              </w:rPr>
              <w:t>336,672</w:t>
            </w:r>
          </w:p>
        </w:tc>
        <w:tc>
          <w:tcPr>
            <w:tcW w:w="2020" w:type="dxa"/>
            <w:vAlign w:val="bottom"/>
          </w:tcPr>
          <w:p>
            <w:pPr>
              <w:ind w:left="140"/>
              <w:spacing w:after="0" w:line="156" w:lineRule="exact"/>
              <w:rPr>
                <w:sz w:val="20"/>
                <w:szCs w:val="20"/>
                <w:color w:val="auto"/>
              </w:rPr>
            </w:pPr>
            <w:r>
              <w:rPr>
                <w:rFonts w:ascii="Arial" w:cs="Arial" w:eastAsia="Arial" w:hAnsi="Arial"/>
                <w:sz w:val="14"/>
                <w:szCs w:val="14"/>
                <w:color w:val="auto"/>
              </w:rPr>
              <w:t>debt</w:t>
            </w:r>
          </w:p>
        </w:tc>
        <w:tc>
          <w:tcPr>
            <w:tcW w:w="2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20"/>
              <w:spacing w:after="0" w:line="156" w:lineRule="exact"/>
              <w:rPr>
                <w:sz w:val="20"/>
                <w:szCs w:val="20"/>
                <w:color w:val="auto"/>
              </w:rPr>
            </w:pPr>
            <w:r>
              <w:rPr>
                <w:rFonts w:ascii="Arial" w:cs="Arial" w:eastAsia="Arial" w:hAnsi="Arial"/>
                <w:sz w:val="14"/>
                <w:szCs w:val="14"/>
                <w:color w:val="auto"/>
              </w:rPr>
              <w:t>29,590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30,472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280" w:type="dxa"/>
            <w:vAlign w:val="bottom"/>
          </w:tcPr>
          <w:p>
            <w:pPr>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color w:val="auto"/>
              </w:rPr>
              <w:t>144,833</w:t>
            </w:r>
          </w:p>
        </w:tc>
        <w:tc>
          <w:tcPr>
            <w:tcW w:w="22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119,960</w:t>
            </w:r>
          </w:p>
        </w:tc>
        <w:tc>
          <w:tcPr>
            <w:tcW w:w="2020" w:type="dxa"/>
            <w:vAlign w:val="bottom"/>
          </w:tcPr>
          <w:p>
            <w:pPr>
              <w:ind w:left="140"/>
              <w:spacing w:after="0"/>
              <w:rPr>
                <w:sz w:val="20"/>
                <w:szCs w:val="20"/>
                <w:color w:val="auto"/>
              </w:rPr>
            </w:pPr>
            <w:r>
              <w:rPr>
                <w:rFonts w:ascii="Arial" w:cs="Arial" w:eastAsia="Arial" w:hAnsi="Arial"/>
                <w:sz w:val="14"/>
                <w:szCs w:val="14"/>
                <w:color w:val="auto"/>
              </w:rPr>
              <w:t>Total current liabilities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786,627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4"/>
                <w:szCs w:val="14"/>
                <w:color w:val="auto"/>
              </w:rPr>
              <w:t>708,437</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80" w:type="dxa"/>
            <w:vAlign w:val="bottom"/>
          </w:tcPr>
          <w:p>
            <w:pPr>
              <w:spacing w:after="0"/>
              <w:rPr>
                <w:sz w:val="20"/>
                <w:szCs w:val="20"/>
                <w:color w:val="auto"/>
              </w:rPr>
            </w:pPr>
            <w:r>
              <w:rPr>
                <w:rFonts w:ascii="Arial" w:cs="Arial" w:eastAsia="Arial" w:hAnsi="Arial"/>
                <w:sz w:val="14"/>
                <w:szCs w:val="14"/>
                <w:color w:val="auto"/>
              </w:rPr>
              <w:t>Total current assets</w:t>
            </w: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1,027,871</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991,233</w:t>
            </w:r>
          </w:p>
        </w:tc>
        <w:tc>
          <w:tcPr>
            <w:tcW w:w="2020" w:type="dxa"/>
            <w:vAlign w:val="bottom"/>
            <w:vMerge w:val="restart"/>
          </w:tcPr>
          <w:p>
            <w:pPr>
              <w:ind w:left="140"/>
              <w:spacing w:after="0"/>
              <w:rPr>
                <w:sz w:val="20"/>
                <w:szCs w:val="20"/>
                <w:color w:val="auto"/>
              </w:rPr>
            </w:pPr>
            <w:r>
              <w:rPr>
                <w:rFonts w:ascii="Arial" w:cs="Arial" w:eastAsia="Arial" w:hAnsi="Arial"/>
                <w:sz w:val="14"/>
                <w:szCs w:val="14"/>
                <w:color w:val="auto"/>
              </w:rPr>
              <w:t>Senior notes</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1,685,484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1,683,264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3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tcPr>
          <w:p>
            <w:pPr>
              <w:ind w:left="140"/>
              <w:spacing w:after="0"/>
              <w:rPr>
                <w:sz w:val="20"/>
                <w:szCs w:val="20"/>
                <w:color w:val="auto"/>
              </w:rPr>
            </w:pPr>
            <w:r>
              <w:rPr>
                <w:rFonts w:ascii="Arial" w:cs="Arial" w:eastAsia="Arial" w:hAnsi="Arial"/>
                <w:sz w:val="14"/>
                <w:szCs w:val="14"/>
                <w:color w:val="auto"/>
              </w:rPr>
              <w:t>Other long-term debt</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463,908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4"/>
                <w:szCs w:val="14"/>
                <w:color w:val="auto"/>
              </w:rPr>
              <w:t>119,420</w:t>
            </w:r>
          </w:p>
        </w:tc>
        <w:tc>
          <w:tcPr>
            <w:tcW w:w="0" w:type="dxa"/>
            <w:vAlign w:val="bottom"/>
          </w:tcPr>
          <w:p>
            <w:pPr>
              <w:spacing w:after="0"/>
              <w:rPr>
                <w:sz w:val="1"/>
                <w:szCs w:val="1"/>
                <w:color w:val="auto"/>
              </w:rPr>
            </w:pPr>
          </w:p>
        </w:tc>
      </w:tr>
      <w:tr>
        <w:trPr>
          <w:trHeight w:val="161"/>
        </w:trPr>
        <w:tc>
          <w:tcPr>
            <w:tcW w:w="3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tcPr>
          <w:p>
            <w:pPr>
              <w:ind w:left="140"/>
              <w:spacing w:after="0"/>
              <w:rPr>
                <w:sz w:val="20"/>
                <w:szCs w:val="20"/>
                <w:color w:val="auto"/>
              </w:rPr>
            </w:pPr>
            <w:r>
              <w:rPr>
                <w:rFonts w:ascii="Arial" w:cs="Arial" w:eastAsia="Arial" w:hAnsi="Arial"/>
                <w:sz w:val="14"/>
                <w:szCs w:val="14"/>
                <w:color w:val="auto"/>
              </w:rPr>
              <w:t>Non-current operating lease</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tcPr>
          <w:p>
            <w:pPr>
              <w:ind w:left="140"/>
              <w:spacing w:after="0"/>
              <w:rPr>
                <w:sz w:val="20"/>
                <w:szCs w:val="20"/>
                <w:color w:val="auto"/>
              </w:rPr>
            </w:pPr>
            <w:r>
              <w:rPr>
                <w:rFonts w:ascii="Arial" w:cs="Arial" w:eastAsia="Arial" w:hAnsi="Arial"/>
                <w:sz w:val="14"/>
                <w:szCs w:val="14"/>
                <w:color w:val="auto"/>
              </w:rPr>
              <w:t>liabilities</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317,941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4"/>
                <w:szCs w:val="14"/>
                <w:color w:val="auto"/>
              </w:rPr>
              <w:t>313,762</w:t>
            </w:r>
          </w:p>
        </w:tc>
        <w:tc>
          <w:tcPr>
            <w:tcW w:w="0" w:type="dxa"/>
            <w:vAlign w:val="bottom"/>
          </w:tcPr>
          <w:p>
            <w:pPr>
              <w:spacing w:after="0"/>
              <w:rPr>
                <w:sz w:val="1"/>
                <w:szCs w:val="1"/>
                <w:color w:val="auto"/>
              </w:rPr>
            </w:pPr>
          </w:p>
        </w:tc>
      </w:tr>
      <w:tr>
        <w:trPr>
          <w:trHeight w:val="156"/>
        </w:trPr>
        <w:tc>
          <w:tcPr>
            <w:tcW w:w="3280" w:type="dxa"/>
            <w:vAlign w:val="bottom"/>
          </w:tcPr>
          <w:p>
            <w:pPr>
              <w:spacing w:after="0" w:line="156" w:lineRule="exact"/>
              <w:rPr>
                <w:sz w:val="20"/>
                <w:szCs w:val="20"/>
                <w:color w:val="auto"/>
              </w:rPr>
            </w:pPr>
            <w:r>
              <w:rPr>
                <w:rFonts w:ascii="Arial" w:cs="Arial" w:eastAsia="Arial" w:hAnsi="Arial"/>
                <w:sz w:val="14"/>
                <w:szCs w:val="14"/>
                <w:color w:val="auto"/>
              </w:rPr>
              <w:t>Property, equipment and satellites, net</w:t>
            </w:r>
          </w:p>
        </w:tc>
        <w:tc>
          <w:tcPr>
            <w:tcW w:w="280" w:type="dxa"/>
            <w:vAlign w:val="bottom"/>
          </w:tcPr>
          <w:p>
            <w:pPr>
              <w:spacing w:after="0"/>
              <w:rPr>
                <w:sz w:val="13"/>
                <w:szCs w:val="13"/>
                <w:color w:val="auto"/>
              </w:rPr>
            </w:pPr>
          </w:p>
        </w:tc>
        <w:tc>
          <w:tcPr>
            <w:tcW w:w="1000" w:type="dxa"/>
            <w:vAlign w:val="bottom"/>
          </w:tcPr>
          <w:p>
            <w:pPr>
              <w:jc w:val="right"/>
              <w:spacing w:after="0" w:line="156" w:lineRule="exact"/>
              <w:rPr>
                <w:sz w:val="20"/>
                <w:szCs w:val="20"/>
                <w:color w:val="auto"/>
              </w:rPr>
            </w:pPr>
            <w:r>
              <w:rPr>
                <w:rFonts w:ascii="Arial" w:cs="Arial" w:eastAsia="Arial" w:hAnsi="Arial"/>
                <w:sz w:val="14"/>
                <w:szCs w:val="14"/>
                <w:color w:val="auto"/>
              </w:rPr>
              <w:t>3,603,181</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jc w:val="right"/>
              <w:ind w:right="160"/>
              <w:spacing w:after="0" w:line="156" w:lineRule="exact"/>
              <w:rPr>
                <w:sz w:val="20"/>
                <w:szCs w:val="20"/>
                <w:color w:val="auto"/>
              </w:rPr>
            </w:pPr>
            <w:r>
              <w:rPr>
                <w:rFonts w:ascii="Arial" w:cs="Arial" w:eastAsia="Arial" w:hAnsi="Arial"/>
                <w:sz w:val="14"/>
                <w:szCs w:val="14"/>
                <w:color w:val="auto"/>
              </w:rPr>
              <w:t>3,050,483</w:t>
            </w:r>
          </w:p>
        </w:tc>
        <w:tc>
          <w:tcPr>
            <w:tcW w:w="2020" w:type="dxa"/>
            <w:vAlign w:val="bottom"/>
          </w:tcPr>
          <w:p>
            <w:pPr>
              <w:ind w:left="140"/>
              <w:spacing w:after="0" w:line="156" w:lineRule="exact"/>
              <w:rPr>
                <w:sz w:val="20"/>
                <w:szCs w:val="20"/>
                <w:color w:val="auto"/>
              </w:rPr>
            </w:pPr>
            <w:r>
              <w:rPr>
                <w:rFonts w:ascii="Arial" w:cs="Arial" w:eastAsia="Arial" w:hAnsi="Arial"/>
                <w:sz w:val="14"/>
                <w:szCs w:val="14"/>
                <w:color w:val="auto"/>
              </w:rPr>
              <w:t>Other liabilities</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20"/>
              <w:spacing w:after="0" w:line="156" w:lineRule="exact"/>
              <w:rPr>
                <w:sz w:val="20"/>
                <w:szCs w:val="20"/>
                <w:color w:val="auto"/>
              </w:rPr>
            </w:pPr>
            <w:r>
              <w:rPr>
                <w:rFonts w:ascii="Arial" w:cs="Arial" w:eastAsia="Arial" w:hAnsi="Arial"/>
                <w:sz w:val="14"/>
                <w:szCs w:val="14"/>
                <w:color w:val="auto"/>
              </w:rPr>
              <w:t>157,104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3"/>
          </w:tcPr>
          <w:p>
            <w:pPr>
              <w:jc w:val="right"/>
              <w:ind w:right="40"/>
              <w:spacing w:after="0" w:line="156" w:lineRule="exact"/>
              <w:rPr>
                <w:sz w:val="20"/>
                <w:szCs w:val="20"/>
                <w:color w:val="auto"/>
              </w:rPr>
            </w:pPr>
            <w:r>
              <w:rPr>
                <w:rFonts w:ascii="Arial" w:cs="Arial" w:eastAsia="Arial" w:hAnsi="Arial"/>
                <w:sz w:val="14"/>
                <w:szCs w:val="14"/>
                <w:color w:val="auto"/>
              </w:rPr>
              <w:t>137,350</w:t>
            </w:r>
          </w:p>
        </w:tc>
        <w:tc>
          <w:tcPr>
            <w:tcW w:w="0" w:type="dxa"/>
            <w:vAlign w:val="bottom"/>
          </w:tcPr>
          <w:p>
            <w:pPr>
              <w:spacing w:after="0"/>
              <w:rPr>
                <w:sz w:val="1"/>
                <w:szCs w:val="1"/>
                <w:color w:val="auto"/>
              </w:rPr>
            </w:pPr>
          </w:p>
        </w:tc>
      </w:tr>
      <w:tr>
        <w:trPr>
          <w:trHeight w:val="168"/>
        </w:trPr>
        <w:tc>
          <w:tcPr>
            <w:tcW w:w="3280" w:type="dxa"/>
            <w:vAlign w:val="bottom"/>
          </w:tcPr>
          <w:p>
            <w:pPr>
              <w:spacing w:after="0"/>
              <w:rPr>
                <w:sz w:val="20"/>
                <w:szCs w:val="20"/>
                <w:color w:val="auto"/>
              </w:rPr>
            </w:pPr>
            <w:r>
              <w:rPr>
                <w:rFonts w:ascii="Arial" w:cs="Arial" w:eastAsia="Arial" w:hAnsi="Arial"/>
                <w:sz w:val="14"/>
                <w:szCs w:val="14"/>
                <w:color w:val="auto"/>
              </w:rPr>
              <w:t>Operating lease right-of-use assets</w:t>
            </w:r>
          </w:p>
        </w:tc>
        <w:tc>
          <w:tcPr>
            <w:tcW w:w="28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color w:val="auto"/>
              </w:rPr>
              <w:t>344,499</w:t>
            </w:r>
          </w:p>
        </w:tc>
        <w:tc>
          <w:tcPr>
            <w:tcW w:w="22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340,456</w:t>
            </w:r>
          </w:p>
        </w:tc>
        <w:tc>
          <w:tcPr>
            <w:tcW w:w="2020" w:type="dxa"/>
            <w:vAlign w:val="bottom"/>
          </w:tcPr>
          <w:p>
            <w:pPr>
              <w:ind w:left="140"/>
              <w:spacing w:after="0"/>
              <w:rPr>
                <w:sz w:val="20"/>
                <w:szCs w:val="20"/>
                <w:color w:val="auto"/>
              </w:rPr>
            </w:pPr>
            <w:r>
              <w:rPr>
                <w:rFonts w:ascii="Arial" w:cs="Arial" w:eastAsia="Arial" w:hAnsi="Arial"/>
                <w:sz w:val="14"/>
                <w:szCs w:val="14"/>
                <w:color w:val="auto"/>
              </w:rPr>
              <w:t>Total liabilities</w:t>
            </w:r>
          </w:p>
        </w:tc>
        <w:tc>
          <w:tcPr>
            <w:tcW w:w="2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3,411,064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2,962,233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80" w:type="dxa"/>
            <w:vAlign w:val="bottom"/>
          </w:tcPr>
          <w:p>
            <w:pPr>
              <w:spacing w:after="0"/>
              <w:rPr>
                <w:sz w:val="20"/>
                <w:szCs w:val="20"/>
                <w:color w:val="auto"/>
              </w:rPr>
            </w:pPr>
            <w:r>
              <w:rPr>
                <w:rFonts w:ascii="Arial" w:cs="Arial" w:eastAsia="Arial" w:hAnsi="Arial"/>
                <w:sz w:val="14"/>
                <w:szCs w:val="14"/>
                <w:color w:val="auto"/>
              </w:rPr>
              <w:t>Other acquired intangible assets, net</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tcPr>
          <w:p>
            <w:pPr>
              <w:ind w:left="140"/>
              <w:spacing w:after="0"/>
              <w:rPr>
                <w:sz w:val="20"/>
                <w:szCs w:val="20"/>
                <w:color w:val="auto"/>
              </w:rPr>
            </w:pPr>
            <w:r>
              <w:rPr>
                <w:rFonts w:ascii="Arial" w:cs="Arial" w:eastAsia="Arial" w:hAnsi="Arial"/>
                <w:sz w:val="14"/>
                <w:szCs w:val="14"/>
                <w:color w:val="auto"/>
              </w:rPr>
              <w:t>Total Viasat, Inc.</w:t>
            </w:r>
          </w:p>
        </w:tc>
        <w:tc>
          <w:tcPr>
            <w:tcW w:w="2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color w:val="auto"/>
              </w:rPr>
              <w:t>237,850</w:t>
            </w:r>
          </w:p>
        </w:tc>
        <w:tc>
          <w:tcPr>
            <w:tcW w:w="22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9,568</w:t>
            </w:r>
          </w:p>
        </w:tc>
        <w:tc>
          <w:tcPr>
            <w:tcW w:w="2020" w:type="dxa"/>
            <w:vAlign w:val="bottom"/>
          </w:tcPr>
          <w:p>
            <w:pPr>
              <w:ind w:left="140"/>
              <w:spacing w:after="0"/>
              <w:rPr>
                <w:sz w:val="20"/>
                <w:szCs w:val="20"/>
                <w:color w:val="auto"/>
              </w:rPr>
            </w:pPr>
            <w:r>
              <w:rPr>
                <w:rFonts w:ascii="Arial" w:cs="Arial" w:eastAsia="Arial" w:hAnsi="Arial"/>
                <w:sz w:val="14"/>
                <w:szCs w:val="14"/>
                <w:color w:val="auto"/>
              </w:rPr>
              <w:t>stockholders’ equity</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2,634,450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2,351,469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280" w:type="dxa"/>
            <w:vAlign w:val="bottom"/>
          </w:tcPr>
          <w:p>
            <w:pPr>
              <w:spacing w:after="0"/>
              <w:rPr>
                <w:sz w:val="20"/>
                <w:szCs w:val="20"/>
                <w:color w:val="auto"/>
              </w:rPr>
            </w:pPr>
            <w:r>
              <w:rPr>
                <w:rFonts w:ascii="Arial" w:cs="Arial" w:eastAsia="Arial" w:hAnsi="Arial"/>
                <w:sz w:val="14"/>
                <w:szCs w:val="14"/>
                <w:color w:val="auto"/>
              </w:rPr>
              <w:t>Goodwill</w:t>
            </w: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tcPr>
          <w:p>
            <w:pPr>
              <w:ind w:left="140"/>
              <w:spacing w:after="0"/>
              <w:rPr>
                <w:sz w:val="20"/>
                <w:szCs w:val="20"/>
                <w:color w:val="auto"/>
              </w:rPr>
            </w:pPr>
            <w:r>
              <w:rPr>
                <w:rFonts w:ascii="Arial" w:cs="Arial" w:eastAsia="Arial" w:hAnsi="Arial"/>
                <w:sz w:val="14"/>
                <w:szCs w:val="14"/>
                <w:color w:val="auto"/>
              </w:rPr>
              <w:t>Noncontrolling interest in</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jc w:val="right"/>
              <w:ind w:right="280"/>
              <w:spacing w:after="0" w:line="156" w:lineRule="exact"/>
              <w:rPr>
                <w:sz w:val="20"/>
                <w:szCs w:val="20"/>
                <w:color w:val="auto"/>
              </w:rPr>
            </w:pPr>
            <w:r>
              <w:rPr>
                <w:rFonts w:ascii="Arial" w:cs="Arial" w:eastAsia="Arial" w:hAnsi="Arial"/>
                <w:sz w:val="14"/>
                <w:szCs w:val="14"/>
                <w:color w:val="auto"/>
              </w:rPr>
              <w:t>190,907</w:t>
            </w:r>
          </w:p>
        </w:tc>
        <w:tc>
          <w:tcPr>
            <w:tcW w:w="220" w:type="dxa"/>
            <w:vAlign w:val="bottom"/>
          </w:tcPr>
          <w:p>
            <w:pPr>
              <w:spacing w:after="0"/>
              <w:rPr>
                <w:sz w:val="13"/>
                <w:szCs w:val="13"/>
                <w:color w:val="auto"/>
              </w:rPr>
            </w:pPr>
          </w:p>
        </w:tc>
        <w:tc>
          <w:tcPr>
            <w:tcW w:w="960" w:type="dxa"/>
            <w:vAlign w:val="bottom"/>
            <w:gridSpan w:val="2"/>
          </w:tcPr>
          <w:p>
            <w:pPr>
              <w:jc w:val="right"/>
              <w:ind w:right="160"/>
              <w:spacing w:after="0" w:line="156" w:lineRule="exact"/>
              <w:rPr>
                <w:sz w:val="20"/>
                <w:szCs w:val="20"/>
                <w:color w:val="auto"/>
              </w:rPr>
            </w:pPr>
            <w:r>
              <w:rPr>
                <w:rFonts w:ascii="Arial" w:cs="Arial" w:eastAsia="Arial" w:hAnsi="Arial"/>
                <w:sz w:val="14"/>
                <w:szCs w:val="14"/>
                <w:color w:val="auto"/>
              </w:rPr>
              <w:t>122,300</w:t>
            </w:r>
          </w:p>
        </w:tc>
        <w:tc>
          <w:tcPr>
            <w:tcW w:w="2020" w:type="dxa"/>
            <w:vAlign w:val="bottom"/>
          </w:tcPr>
          <w:p>
            <w:pPr>
              <w:ind w:left="140"/>
              <w:spacing w:after="0" w:line="156" w:lineRule="exact"/>
              <w:rPr>
                <w:sz w:val="20"/>
                <w:szCs w:val="20"/>
                <w:color w:val="auto"/>
              </w:rPr>
            </w:pPr>
            <w:r>
              <w:rPr>
                <w:rFonts w:ascii="Arial" w:cs="Arial" w:eastAsia="Arial" w:hAnsi="Arial"/>
                <w:sz w:val="14"/>
                <w:szCs w:val="14"/>
                <w:color w:val="auto"/>
              </w:rPr>
              <w:t>subsidiary</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3"/>
          </w:tcPr>
          <w:p>
            <w:pPr>
              <w:jc w:val="right"/>
              <w:ind w:right="140"/>
              <w:spacing w:after="0" w:line="156" w:lineRule="exact"/>
              <w:rPr>
                <w:sz w:val="20"/>
                <w:szCs w:val="20"/>
                <w:color w:val="auto"/>
              </w:rPr>
            </w:pPr>
            <w:r>
              <w:rPr>
                <w:rFonts w:ascii="Arial" w:cs="Arial" w:eastAsia="Arial" w:hAnsi="Arial"/>
                <w:sz w:val="14"/>
                <w:szCs w:val="14"/>
                <w:color w:val="auto"/>
              </w:rPr>
              <w:t>41,280</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gridSpan w:val="2"/>
          </w:tcPr>
          <w:p>
            <w:pPr>
              <w:jc w:val="right"/>
              <w:ind w:right="40"/>
              <w:spacing w:after="0" w:line="156" w:lineRule="exact"/>
              <w:rPr>
                <w:sz w:val="20"/>
                <w:szCs w:val="20"/>
                <w:color w:val="auto"/>
              </w:rPr>
            </w:pPr>
            <w:r>
              <w:rPr>
                <w:rFonts w:ascii="Arial" w:cs="Arial" w:eastAsia="Arial" w:hAnsi="Arial"/>
                <w:sz w:val="14"/>
                <w:szCs w:val="14"/>
                <w:color w:val="auto"/>
              </w:rPr>
              <w:t>35,765</w:t>
            </w:r>
          </w:p>
        </w:tc>
        <w:tc>
          <w:tcPr>
            <w:tcW w:w="0" w:type="dxa"/>
            <w:vAlign w:val="bottom"/>
          </w:tcPr>
          <w:p>
            <w:pPr>
              <w:spacing w:after="0"/>
              <w:rPr>
                <w:sz w:val="1"/>
                <w:szCs w:val="1"/>
                <w:color w:val="auto"/>
              </w:rPr>
            </w:pPr>
          </w:p>
        </w:tc>
      </w:tr>
      <w:tr>
        <w:trPr>
          <w:trHeight w:val="168"/>
        </w:trPr>
        <w:tc>
          <w:tcPr>
            <w:tcW w:w="3280" w:type="dxa"/>
            <w:vAlign w:val="bottom"/>
          </w:tcPr>
          <w:p>
            <w:pPr>
              <w:spacing w:after="0"/>
              <w:rPr>
                <w:sz w:val="20"/>
                <w:szCs w:val="20"/>
                <w:color w:val="auto"/>
              </w:rPr>
            </w:pPr>
            <w:r>
              <w:rPr>
                <w:rFonts w:ascii="Arial" w:cs="Arial" w:eastAsia="Arial" w:hAnsi="Arial"/>
                <w:sz w:val="14"/>
                <w:szCs w:val="14"/>
                <w:color w:val="auto"/>
              </w:rPr>
              <w:t>Other assets</w:t>
            </w:r>
          </w:p>
        </w:tc>
        <w:tc>
          <w:tcPr>
            <w:tcW w:w="28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color w:val="auto"/>
              </w:rPr>
              <w:t>682,486</w:t>
            </w:r>
          </w:p>
        </w:tc>
        <w:tc>
          <w:tcPr>
            <w:tcW w:w="22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835,427</w:t>
            </w:r>
          </w:p>
        </w:tc>
        <w:tc>
          <w:tcPr>
            <w:tcW w:w="2020" w:type="dxa"/>
            <w:vAlign w:val="bottom"/>
          </w:tcPr>
          <w:p>
            <w:pPr>
              <w:ind w:left="140"/>
              <w:spacing w:after="0"/>
              <w:rPr>
                <w:sz w:val="20"/>
                <w:szCs w:val="20"/>
                <w:color w:val="auto"/>
              </w:rPr>
            </w:pPr>
            <w:r>
              <w:rPr>
                <w:rFonts w:ascii="Arial" w:cs="Arial" w:eastAsia="Arial" w:hAnsi="Arial"/>
                <w:sz w:val="14"/>
                <w:szCs w:val="14"/>
                <w:color w:val="auto"/>
              </w:rPr>
              <w:t>Total equity</w:t>
            </w:r>
          </w:p>
        </w:tc>
        <w:tc>
          <w:tcPr>
            <w:tcW w:w="2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2,675,730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2,387,234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280" w:type="dxa"/>
            <w:vAlign w:val="bottom"/>
          </w:tcPr>
          <w:p>
            <w:pPr>
              <w:spacing w:after="0"/>
              <w:rPr>
                <w:sz w:val="20"/>
                <w:szCs w:val="20"/>
                <w:color w:val="auto"/>
              </w:rPr>
            </w:pPr>
            <w:r>
              <w:rPr>
                <w:rFonts w:ascii="Arial" w:cs="Arial" w:eastAsia="Arial" w:hAnsi="Arial"/>
                <w:sz w:val="14"/>
                <w:szCs w:val="14"/>
                <w:color w:val="auto"/>
              </w:rPr>
              <w:t>Total assets</w:t>
            </w:r>
          </w:p>
        </w:tc>
        <w:tc>
          <w:tcPr>
            <w:tcW w:w="280" w:type="dxa"/>
            <w:vAlign w:val="bottom"/>
          </w:tcPr>
          <w:p>
            <w:pPr>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6,086,794</w:t>
            </w:r>
          </w:p>
        </w:tc>
        <w:tc>
          <w:tcPr>
            <w:tcW w:w="28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5,349,467</w:t>
            </w:r>
          </w:p>
        </w:tc>
        <w:tc>
          <w:tcPr>
            <w:tcW w:w="2020" w:type="dxa"/>
            <w:vAlign w:val="bottom"/>
          </w:tcPr>
          <w:p>
            <w:pPr>
              <w:ind w:left="140"/>
              <w:spacing w:after="0"/>
              <w:rPr>
                <w:sz w:val="20"/>
                <w:szCs w:val="20"/>
                <w:color w:val="auto"/>
              </w:rPr>
            </w:pPr>
            <w:r>
              <w:rPr>
                <w:rFonts w:ascii="Arial" w:cs="Arial" w:eastAsia="Arial" w:hAnsi="Arial"/>
                <w:sz w:val="14"/>
                <w:szCs w:val="14"/>
                <w:color w:val="auto"/>
              </w:rPr>
              <w:t>Total liabilities and equity</w:t>
            </w:r>
          </w:p>
        </w:tc>
        <w:tc>
          <w:tcPr>
            <w:tcW w:w="5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6,086,794</w:t>
            </w:r>
          </w:p>
        </w:tc>
        <w:tc>
          <w:tcPr>
            <w:tcW w:w="120" w:type="dxa"/>
            <w:vAlign w:val="bottom"/>
          </w:tcPr>
          <w:p>
            <w:pPr>
              <w:spacing w:after="0"/>
              <w:rPr>
                <w:sz w:val="14"/>
                <w:szCs w:val="14"/>
                <w:color w:val="auto"/>
              </w:rPr>
            </w:pPr>
          </w:p>
        </w:tc>
        <w:tc>
          <w:tcPr>
            <w:tcW w:w="3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5,349,467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3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380" w:type="dxa"/>
            <w:vAlign w:val="bottom"/>
            <w:gridSpan w:val="8"/>
          </w:tcPr>
          <w:p>
            <w:pPr>
              <w:ind w:left="100"/>
              <w:spacing w:after="0"/>
              <w:rPr>
                <w:sz w:val="20"/>
                <w:szCs w:val="20"/>
                <w:color w:val="auto"/>
              </w:rPr>
            </w:pPr>
            <w:r>
              <w:rPr>
                <w:rFonts w:ascii="Arial" w:cs="Arial" w:eastAsia="Arial" w:hAnsi="Arial"/>
                <w:sz w:val="13"/>
                <w:szCs w:val="13"/>
                <w:color w:val="auto"/>
                <w:w w:val="95"/>
              </w:rPr>
              <w:t>Shareholder Letter | Q3 Fiscal Year 2022</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02475" cy="170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2475" cy="170180"/>
                    </a:xfrm>
                    <a:prstGeom prst="rect">
                      <a:avLst/>
                    </a:prstGeom>
                    <a:noFill/>
                  </pic:spPr>
                </pic:pic>
              </a:graphicData>
            </a:graphic>
          </wp:anchor>
        </w:drawing>
      </w:r>
    </w:p>
    <w:p>
      <w:pPr>
        <w:sectPr>
          <w:pgSz w:w="11900" w:h="16838" w:orient="portrait"/>
          <w:cols w:equalWidth="0" w:num="1">
            <w:col w:w="10945"/>
          </w:cols>
          <w:pgMar w:left="475" w:top="285" w:right="479" w:bottom="1440" w:gutter="0" w:footer="0" w:header="0"/>
        </w:sectPr>
      </w:pPr>
    </w:p>
    <w:bookmarkStart w:id="19" w:name="page20"/>
    <w:bookmarkEnd w:id="19"/>
    <w:p>
      <w:pPr>
        <w:ind w:left="5"/>
        <w:spacing w:after="0"/>
        <w:rPr>
          <w:sz w:val="20"/>
          <w:szCs w:val="20"/>
          <w:color w:val="auto"/>
        </w:rPr>
      </w:pPr>
      <w:r>
        <w:rPr>
          <w:rFonts w:ascii="Arial" w:cs="Arial" w:eastAsia="Arial" w:hAnsi="Arial"/>
          <w:sz w:val="36"/>
          <w:szCs w:val="3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5500" cy="38100"/>
                    </a:xfrm>
                    <a:prstGeom prst="rect">
                      <a:avLst/>
                    </a:prstGeom>
                    <a:noFill/>
                  </pic:spPr>
                </pic:pic>
              </a:graphicData>
            </a:graphic>
          </wp:anchor>
        </w:drawing>
        <w:t>Viasat Financial Reconciliation Prior Periods</w:t>
      </w:r>
    </w:p>
    <w:p>
      <w:pPr>
        <w:spacing w:after="0" w:line="128"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AN ITEMIZED RECONCILIATION BETWEEN NET INCOME ATTRIBUTABLE TO VIASAT, INC.</w:t>
      </w:r>
    </w:p>
    <w:p>
      <w:pPr>
        <w:spacing w:after="0" w:line="16"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ON A GAAP BASIS AND NON-GAAP BASIS IS AS FOLLOWS:</w:t>
      </w:r>
    </w:p>
    <w:p>
      <w:pPr>
        <w:ind w:left="5"/>
        <w:spacing w:after="0"/>
        <w:rPr>
          <w:sz w:val="20"/>
          <w:szCs w:val="20"/>
          <w:color w:val="auto"/>
        </w:rPr>
      </w:pPr>
      <w:r>
        <w:rPr>
          <w:rFonts w:ascii="Arial" w:cs="Arial" w:eastAsia="Arial" w:hAnsi="Arial"/>
          <w:sz w:val="14"/>
          <w:szCs w:val="14"/>
          <w:b w:val="1"/>
          <w:bCs w:val="1"/>
          <w:color w:val="auto"/>
        </w:rPr>
        <w:t>(In thousands)</w:t>
      </w:r>
    </w:p>
    <w:p>
      <w:pPr>
        <w:spacing w:after="0" w:line="223" w:lineRule="exact"/>
        <w:rPr>
          <w:sz w:val="20"/>
          <w:szCs w:val="20"/>
          <w:color w:val="auto"/>
        </w:rPr>
      </w:pPr>
    </w:p>
    <w:tbl>
      <w:tblPr>
        <w:tblLayout w:type="fixed"/>
        <w:tblInd w:w="5" w:type="dxa"/>
        <w:tblCellMar>
          <w:top w:w="0" w:type="dxa"/>
          <w:left w:w="0" w:type="dxa"/>
          <w:bottom w:w="0" w:type="dxa"/>
          <w:right w:w="0" w:type="dxa"/>
        </w:tblCellMar>
      </w:tblPr>
      <w:tr>
        <w:trPr>
          <w:trHeight w:val="174"/>
        </w:trPr>
        <w:tc>
          <w:tcPr>
            <w:tcW w:w="62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4"/>
        </w:trPr>
        <w:tc>
          <w:tcPr>
            <w:tcW w:w="6220" w:type="dxa"/>
            <w:vAlign w:val="bottom"/>
          </w:tcPr>
          <w:p>
            <w:pPr>
              <w:spacing w:after="0"/>
              <w:rPr>
                <w:sz w:val="13"/>
                <w:szCs w:val="13"/>
                <w:color w:val="auto"/>
              </w:rPr>
            </w:pPr>
          </w:p>
        </w:tc>
        <w:tc>
          <w:tcPr>
            <w:tcW w:w="1500" w:type="dxa"/>
            <w:vAlign w:val="bottom"/>
            <w:gridSpan w:val="3"/>
          </w:tcPr>
          <w:p>
            <w:pPr>
              <w:ind w:left="20"/>
              <w:spacing w:after="0" w:line="154" w:lineRule="exact"/>
              <w:rPr>
                <w:sz w:val="20"/>
                <w:szCs w:val="20"/>
                <w:color w:val="auto"/>
              </w:rPr>
            </w:pPr>
            <w:r>
              <w:rPr>
                <w:rFonts w:ascii="Arial" w:cs="Arial" w:eastAsia="Arial" w:hAnsi="Arial"/>
                <w:sz w:val="14"/>
                <w:szCs w:val="14"/>
                <w:b w:val="1"/>
                <w:bCs w:val="1"/>
                <w:color w:val="auto"/>
              </w:rPr>
              <w:t>September 30, 2021</w:t>
            </w:r>
          </w:p>
        </w:tc>
        <w:tc>
          <w:tcPr>
            <w:tcW w:w="500" w:type="dxa"/>
            <w:vAlign w:val="bottom"/>
          </w:tcPr>
          <w:p>
            <w:pPr>
              <w:spacing w:after="0"/>
              <w:rPr>
                <w:sz w:val="13"/>
                <w:szCs w:val="13"/>
                <w:color w:val="auto"/>
              </w:rPr>
            </w:pPr>
          </w:p>
        </w:tc>
        <w:tc>
          <w:tcPr>
            <w:tcW w:w="1280" w:type="dxa"/>
            <w:vAlign w:val="bottom"/>
            <w:gridSpan w:val="3"/>
          </w:tcPr>
          <w:p>
            <w:pPr>
              <w:spacing w:after="0" w:line="154" w:lineRule="exact"/>
              <w:rPr>
                <w:sz w:val="20"/>
                <w:szCs w:val="20"/>
                <w:color w:val="auto"/>
              </w:rPr>
            </w:pPr>
            <w:r>
              <w:rPr>
                <w:rFonts w:ascii="Arial" w:cs="Arial" w:eastAsia="Arial" w:hAnsi="Arial"/>
                <w:sz w:val="14"/>
                <w:szCs w:val="14"/>
                <w:b w:val="1"/>
                <w:bCs w:val="1"/>
                <w:color w:val="auto"/>
              </w:rPr>
              <w:t>June 30, 2021</w:t>
            </w:r>
          </w:p>
        </w:tc>
        <w:tc>
          <w:tcPr>
            <w:tcW w:w="300" w:type="dxa"/>
            <w:vAlign w:val="bottom"/>
          </w:tcPr>
          <w:p>
            <w:pPr>
              <w:spacing w:after="0"/>
              <w:rPr>
                <w:sz w:val="13"/>
                <w:szCs w:val="13"/>
                <w:color w:val="auto"/>
              </w:rPr>
            </w:pPr>
          </w:p>
        </w:tc>
        <w:tc>
          <w:tcPr>
            <w:tcW w:w="1020" w:type="dxa"/>
            <w:vAlign w:val="bottom"/>
            <w:gridSpan w:val="2"/>
          </w:tcPr>
          <w:p>
            <w:pPr>
              <w:spacing w:after="0" w:line="154" w:lineRule="exact"/>
              <w:rPr>
                <w:sz w:val="20"/>
                <w:szCs w:val="20"/>
                <w:color w:val="auto"/>
              </w:rPr>
            </w:pPr>
            <w:r>
              <w:rPr>
                <w:rFonts w:ascii="Arial" w:cs="Arial" w:eastAsia="Arial" w:hAnsi="Arial"/>
                <w:sz w:val="14"/>
                <w:szCs w:val="14"/>
                <w:b w:val="1"/>
                <w:bCs w:val="1"/>
                <w:color w:val="auto"/>
              </w:rPr>
              <w:t>March 31, 2021</w:t>
            </w:r>
          </w:p>
        </w:tc>
        <w:tc>
          <w:tcPr>
            <w:tcW w:w="60" w:type="dxa"/>
            <w:vAlign w:val="bottom"/>
          </w:tcPr>
          <w:p>
            <w:pPr>
              <w:spacing w:after="0"/>
              <w:rPr>
                <w:sz w:val="13"/>
                <w:szCs w:val="13"/>
                <w:color w:val="auto"/>
              </w:rPr>
            </w:pPr>
          </w:p>
        </w:tc>
      </w:tr>
      <w:tr>
        <w:trPr>
          <w:trHeight w:val="20"/>
        </w:trPr>
        <w:tc>
          <w:tcPr>
            <w:tcW w:w="6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7"/>
        </w:trPr>
        <w:tc>
          <w:tcPr>
            <w:tcW w:w="6220" w:type="dxa"/>
            <w:vAlign w:val="bottom"/>
          </w:tcPr>
          <w:p>
            <w:pPr>
              <w:spacing w:after="0"/>
              <w:rPr>
                <w:sz w:val="20"/>
                <w:szCs w:val="20"/>
                <w:color w:val="auto"/>
              </w:rPr>
            </w:pPr>
            <w:r>
              <w:rPr>
                <w:rFonts w:ascii="Arial" w:cs="Arial" w:eastAsia="Arial" w:hAnsi="Arial"/>
                <w:sz w:val="18"/>
                <w:szCs w:val="18"/>
                <w:color w:val="auto"/>
              </w:rPr>
              <w:t>GAAP net income attributable to Viasat, Inc.</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3,291</w:t>
            </w:r>
          </w:p>
        </w:tc>
        <w:tc>
          <w:tcPr>
            <w:tcW w:w="160" w:type="dxa"/>
            <w:vAlign w:val="bottom"/>
          </w:tcPr>
          <w:p>
            <w:pPr>
              <w:spacing w:after="0"/>
              <w:rPr>
                <w:sz w:val="21"/>
                <w:szCs w:val="21"/>
                <w:color w:val="auto"/>
              </w:rPr>
            </w:pPr>
          </w:p>
        </w:tc>
        <w:tc>
          <w:tcPr>
            <w:tcW w:w="7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16,968</w:t>
            </w:r>
          </w:p>
        </w:tc>
        <w:tc>
          <w:tcPr>
            <w:tcW w:w="5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7,357</w:t>
            </w:r>
          </w:p>
        </w:tc>
      </w:tr>
      <w:tr>
        <w:trPr>
          <w:trHeight w:val="201"/>
        </w:trPr>
        <w:tc>
          <w:tcPr>
            <w:tcW w:w="6220" w:type="dxa"/>
            <w:vAlign w:val="bottom"/>
          </w:tcPr>
          <w:p>
            <w:pPr>
              <w:spacing w:after="0" w:line="201" w:lineRule="exact"/>
              <w:rPr>
                <w:sz w:val="20"/>
                <w:szCs w:val="20"/>
                <w:color w:val="auto"/>
              </w:rPr>
            </w:pPr>
            <w:r>
              <w:rPr>
                <w:rFonts w:ascii="Arial" w:cs="Arial" w:eastAsia="Arial" w:hAnsi="Arial"/>
                <w:sz w:val="18"/>
                <w:szCs w:val="18"/>
                <w:color w:val="auto"/>
              </w:rPr>
              <w:t>Amortization of acquired intangible assets</w:t>
            </w:r>
          </w:p>
        </w:tc>
        <w:tc>
          <w:tcPr>
            <w:tcW w:w="460" w:type="dxa"/>
            <w:vAlign w:val="bottom"/>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7,399</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5,929</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1,311</w:t>
            </w:r>
          </w:p>
        </w:tc>
      </w:tr>
      <w:tr>
        <w:trPr>
          <w:trHeight w:val="201"/>
        </w:trPr>
        <w:tc>
          <w:tcPr>
            <w:tcW w:w="6220" w:type="dxa"/>
            <w:vAlign w:val="bottom"/>
          </w:tcPr>
          <w:p>
            <w:pPr>
              <w:spacing w:after="0" w:line="201" w:lineRule="exact"/>
              <w:rPr>
                <w:sz w:val="20"/>
                <w:szCs w:val="20"/>
                <w:color w:val="auto"/>
              </w:rPr>
            </w:pPr>
            <w:r>
              <w:rPr>
                <w:rFonts w:ascii="Arial" w:cs="Arial" w:eastAsia="Arial" w:hAnsi="Arial"/>
                <w:sz w:val="18"/>
                <w:szCs w:val="18"/>
                <w:color w:val="auto"/>
              </w:rPr>
              <w:t>Stock-based compensation expense</w:t>
            </w:r>
          </w:p>
        </w:tc>
        <w:tc>
          <w:tcPr>
            <w:tcW w:w="460" w:type="dxa"/>
            <w:vAlign w:val="bottom"/>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21,023</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22,218</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19,912</w:t>
            </w:r>
          </w:p>
        </w:tc>
      </w:tr>
      <w:tr>
        <w:trPr>
          <w:trHeight w:val="201"/>
        </w:trPr>
        <w:tc>
          <w:tcPr>
            <w:tcW w:w="6220" w:type="dxa"/>
            <w:vAlign w:val="bottom"/>
          </w:tcPr>
          <w:p>
            <w:pPr>
              <w:spacing w:after="0" w:line="201" w:lineRule="exact"/>
              <w:rPr>
                <w:sz w:val="20"/>
                <w:szCs w:val="20"/>
                <w:color w:val="auto"/>
              </w:rPr>
            </w:pPr>
            <w:r>
              <w:rPr>
                <w:rFonts w:ascii="Arial" w:cs="Arial" w:eastAsia="Arial" w:hAnsi="Arial"/>
                <w:sz w:val="18"/>
                <w:szCs w:val="18"/>
                <w:color w:val="auto"/>
              </w:rPr>
              <w:t>Acquisition related expenses</w:t>
            </w:r>
          </w:p>
        </w:tc>
        <w:tc>
          <w:tcPr>
            <w:tcW w:w="460" w:type="dxa"/>
            <w:vAlign w:val="bottom"/>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488</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7,002</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1,452</w:t>
            </w:r>
          </w:p>
        </w:tc>
      </w:tr>
      <w:tr>
        <w:trPr>
          <w:trHeight w:val="201"/>
        </w:trPr>
        <w:tc>
          <w:tcPr>
            <w:tcW w:w="6220" w:type="dxa"/>
            <w:vAlign w:val="bottom"/>
          </w:tcPr>
          <w:p>
            <w:pPr>
              <w:spacing w:after="0" w:line="201" w:lineRule="exact"/>
              <w:rPr>
                <w:sz w:val="20"/>
                <w:szCs w:val="20"/>
                <w:color w:val="auto"/>
              </w:rPr>
            </w:pPr>
            <w:r>
              <w:rPr>
                <w:rFonts w:ascii="Arial" w:cs="Arial" w:eastAsia="Arial" w:hAnsi="Arial"/>
                <w:sz w:val="18"/>
                <w:szCs w:val="18"/>
                <w:color w:val="auto"/>
              </w:rPr>
              <w:t>Other income, net</w:t>
            </w:r>
          </w:p>
        </w:tc>
        <w:tc>
          <w:tcPr>
            <w:tcW w:w="460" w:type="dxa"/>
            <w:vAlign w:val="bottom"/>
          </w:tcPr>
          <w:p>
            <w:pPr>
              <w:spacing w:after="0"/>
              <w:rPr>
                <w:sz w:val="17"/>
                <w:szCs w:val="17"/>
                <w:color w:val="auto"/>
              </w:rPr>
            </w:pPr>
          </w:p>
        </w:tc>
        <w:tc>
          <w:tcPr>
            <w:tcW w:w="104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(4,118)</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r>
      <w:tr>
        <w:trPr>
          <w:trHeight w:val="202"/>
        </w:trPr>
        <w:tc>
          <w:tcPr>
            <w:tcW w:w="6220" w:type="dxa"/>
            <w:vAlign w:val="bottom"/>
          </w:tcPr>
          <w:p>
            <w:pPr>
              <w:spacing w:after="0" w:line="202" w:lineRule="exact"/>
              <w:rPr>
                <w:sz w:val="20"/>
                <w:szCs w:val="20"/>
                <w:color w:val="auto"/>
              </w:rPr>
            </w:pPr>
            <w:r>
              <w:rPr>
                <w:rFonts w:ascii="Arial" w:cs="Arial" w:eastAsia="Arial" w:hAnsi="Arial"/>
                <w:sz w:val="18"/>
                <w:szCs w:val="18"/>
                <w:color w:val="auto"/>
              </w:rPr>
              <w:t>Income tax effect</w:t>
            </w:r>
            <w:r>
              <w:rPr>
                <w:rFonts w:ascii="Arial" w:cs="Arial" w:eastAsia="Arial" w:hAnsi="Arial"/>
                <w:sz w:val="10"/>
                <w:szCs w:val="10"/>
                <w:color w:val="auto"/>
              </w:rPr>
              <w:t>(1)</w:t>
            </w:r>
          </w:p>
        </w:tc>
        <w:tc>
          <w:tcPr>
            <w:tcW w:w="46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(6,784)</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(14,728)</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(4,844)</w:t>
            </w:r>
          </w:p>
        </w:tc>
      </w:tr>
      <w:tr>
        <w:trPr>
          <w:trHeight w:val="20"/>
        </w:trPr>
        <w:tc>
          <w:tcPr>
            <w:tcW w:w="6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8"/>
        </w:trPr>
        <w:tc>
          <w:tcPr>
            <w:tcW w:w="6220" w:type="dxa"/>
            <w:vAlign w:val="bottom"/>
          </w:tcPr>
          <w:p>
            <w:pPr>
              <w:spacing w:after="0"/>
              <w:rPr>
                <w:sz w:val="20"/>
                <w:szCs w:val="20"/>
                <w:color w:val="auto"/>
              </w:rPr>
            </w:pPr>
            <w:r>
              <w:rPr>
                <w:rFonts w:ascii="Arial" w:cs="Arial" w:eastAsia="Arial" w:hAnsi="Arial"/>
                <w:sz w:val="18"/>
                <w:szCs w:val="18"/>
                <w:color w:val="auto"/>
              </w:rPr>
              <w:t>Non-GAAP net income attributable to Viasat, Inc.</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25,417</w:t>
            </w:r>
          </w:p>
        </w:tc>
        <w:tc>
          <w:tcPr>
            <w:tcW w:w="160" w:type="dxa"/>
            <w:vAlign w:val="bottom"/>
          </w:tcPr>
          <w:p>
            <w:pPr>
              <w:spacing w:after="0"/>
              <w:rPr>
                <w:sz w:val="18"/>
                <w:szCs w:val="18"/>
                <w:color w:val="auto"/>
              </w:rPr>
            </w:pPr>
          </w:p>
        </w:tc>
        <w:tc>
          <w:tcPr>
            <w:tcW w:w="7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33,271</w:t>
            </w:r>
          </w:p>
        </w:tc>
        <w:tc>
          <w:tcPr>
            <w:tcW w:w="5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25,188</w:t>
            </w:r>
          </w:p>
        </w:tc>
      </w:tr>
      <w:tr>
        <w:trPr>
          <w:trHeight w:val="20"/>
        </w:trPr>
        <w:tc>
          <w:tcPr>
            <w:tcW w:w="6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0" w:lineRule="exact"/>
        <w:rPr>
          <w:sz w:val="20"/>
          <w:szCs w:val="20"/>
          <w:color w:val="auto"/>
        </w:rPr>
      </w:pPr>
    </w:p>
    <w:p>
      <w:pPr>
        <w:ind w:left="165" w:hanging="165"/>
        <w:spacing w:after="0"/>
        <w:tabs>
          <w:tab w:leader="none" w:pos="165" w:val="left"/>
        </w:tabs>
        <w:numPr>
          <w:ilvl w:val="0"/>
          <w:numId w:val="8"/>
        </w:numPr>
        <w:rPr>
          <w:rFonts w:ascii="Arial" w:cs="Arial" w:eastAsia="Arial" w:hAnsi="Arial"/>
          <w:sz w:val="20"/>
          <w:szCs w:val="20"/>
          <w:color w:val="auto"/>
          <w:vertAlign w:val="superscript"/>
        </w:rPr>
      </w:pPr>
      <w:r>
        <w:rPr>
          <w:rFonts w:ascii="Arial" w:cs="Arial" w:eastAsia="Arial" w:hAnsi="Arial"/>
          <w:sz w:val="12"/>
          <w:szCs w:val="12"/>
          <w:color w:val="auto"/>
        </w:rPr>
        <w:t>The income tax effect is calculated using the tax rate applicable for the non-GAAP adjustments.</w:t>
      </w:r>
    </w:p>
    <w:p>
      <w:pPr>
        <w:spacing w:after="0" w:line="284"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AN ITEMIZED RECONCILIATION BETWEEN NET INCOME ATTRIBUTABLE TO VIASAT, INC.</w:t>
      </w:r>
    </w:p>
    <w:p>
      <w:pPr>
        <w:spacing w:after="0" w:line="16"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AND ADJUSTED EBITDA IS AS FOLLOWS:</w:t>
      </w:r>
    </w:p>
    <w:p>
      <w:pPr>
        <w:ind w:left="5"/>
        <w:spacing w:after="0"/>
        <w:rPr>
          <w:sz w:val="20"/>
          <w:szCs w:val="20"/>
          <w:color w:val="auto"/>
        </w:rPr>
      </w:pPr>
      <w:r>
        <w:rPr>
          <w:rFonts w:ascii="Arial" w:cs="Arial" w:eastAsia="Arial" w:hAnsi="Arial"/>
          <w:sz w:val="14"/>
          <w:szCs w:val="14"/>
          <w:b w:val="1"/>
          <w:bCs w:val="1"/>
          <w:color w:val="auto"/>
        </w:rPr>
        <w:t>(In thousands)</w:t>
      </w:r>
    </w:p>
    <w:p>
      <w:pPr>
        <w:spacing w:after="0" w:line="223" w:lineRule="exact"/>
        <w:rPr>
          <w:sz w:val="20"/>
          <w:szCs w:val="20"/>
          <w:color w:val="auto"/>
        </w:rPr>
      </w:pPr>
    </w:p>
    <w:tbl>
      <w:tblPr>
        <w:tblLayout w:type="fixed"/>
        <w:tblInd w:w="5" w:type="dxa"/>
        <w:tblCellMar>
          <w:top w:w="0" w:type="dxa"/>
          <w:left w:w="0" w:type="dxa"/>
          <w:bottom w:w="0" w:type="dxa"/>
          <w:right w:w="0" w:type="dxa"/>
        </w:tblCellMar>
      </w:tblPr>
      <w:tr>
        <w:trPr>
          <w:trHeight w:val="174"/>
        </w:trPr>
        <w:tc>
          <w:tcPr>
            <w:tcW w:w="64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4"/>
        </w:trPr>
        <w:tc>
          <w:tcPr>
            <w:tcW w:w="6420" w:type="dxa"/>
            <w:vAlign w:val="bottom"/>
          </w:tcPr>
          <w:p>
            <w:pPr>
              <w:spacing w:after="0"/>
              <w:rPr>
                <w:sz w:val="13"/>
                <w:szCs w:val="13"/>
                <w:color w:val="auto"/>
              </w:rPr>
            </w:pPr>
          </w:p>
        </w:tc>
        <w:tc>
          <w:tcPr>
            <w:tcW w:w="1480" w:type="dxa"/>
            <w:vAlign w:val="bottom"/>
            <w:gridSpan w:val="3"/>
          </w:tcPr>
          <w:p>
            <w:pPr>
              <w:ind w:left="20"/>
              <w:spacing w:after="0" w:line="154" w:lineRule="exact"/>
              <w:rPr>
                <w:sz w:val="20"/>
                <w:szCs w:val="20"/>
                <w:color w:val="auto"/>
              </w:rPr>
            </w:pPr>
            <w:r>
              <w:rPr>
                <w:rFonts w:ascii="Arial" w:cs="Arial" w:eastAsia="Arial" w:hAnsi="Arial"/>
                <w:sz w:val="14"/>
                <w:szCs w:val="14"/>
                <w:b w:val="1"/>
                <w:bCs w:val="1"/>
                <w:color w:val="auto"/>
              </w:rPr>
              <w:t>September 30, 2021</w:t>
            </w:r>
          </w:p>
        </w:tc>
        <w:tc>
          <w:tcPr>
            <w:tcW w:w="440" w:type="dxa"/>
            <w:vAlign w:val="bottom"/>
          </w:tcPr>
          <w:p>
            <w:pPr>
              <w:spacing w:after="0"/>
              <w:rPr>
                <w:sz w:val="13"/>
                <w:szCs w:val="13"/>
                <w:color w:val="auto"/>
              </w:rPr>
            </w:pPr>
          </w:p>
        </w:tc>
        <w:tc>
          <w:tcPr>
            <w:tcW w:w="1260" w:type="dxa"/>
            <w:vAlign w:val="bottom"/>
            <w:gridSpan w:val="3"/>
          </w:tcPr>
          <w:p>
            <w:pPr>
              <w:ind w:left="20"/>
              <w:spacing w:after="0" w:line="154" w:lineRule="exact"/>
              <w:rPr>
                <w:sz w:val="20"/>
                <w:szCs w:val="20"/>
                <w:color w:val="auto"/>
              </w:rPr>
            </w:pPr>
            <w:r>
              <w:rPr>
                <w:rFonts w:ascii="Arial" w:cs="Arial" w:eastAsia="Arial" w:hAnsi="Arial"/>
                <w:sz w:val="14"/>
                <w:szCs w:val="14"/>
                <w:b w:val="1"/>
                <w:bCs w:val="1"/>
                <w:color w:val="auto"/>
              </w:rPr>
              <w:t>June 30, 2021</w:t>
            </w:r>
          </w:p>
        </w:tc>
        <w:tc>
          <w:tcPr>
            <w:tcW w:w="260" w:type="dxa"/>
            <w:vAlign w:val="bottom"/>
          </w:tcPr>
          <w:p>
            <w:pPr>
              <w:spacing w:after="0"/>
              <w:rPr>
                <w:sz w:val="13"/>
                <w:szCs w:val="13"/>
                <w:color w:val="auto"/>
              </w:rPr>
            </w:pPr>
          </w:p>
        </w:tc>
        <w:tc>
          <w:tcPr>
            <w:tcW w:w="1020" w:type="dxa"/>
            <w:vAlign w:val="bottom"/>
            <w:gridSpan w:val="3"/>
          </w:tcPr>
          <w:p>
            <w:pPr>
              <w:spacing w:after="0" w:line="154" w:lineRule="exact"/>
              <w:rPr>
                <w:sz w:val="20"/>
                <w:szCs w:val="20"/>
                <w:color w:val="auto"/>
              </w:rPr>
            </w:pPr>
            <w:r>
              <w:rPr>
                <w:rFonts w:ascii="Arial" w:cs="Arial" w:eastAsia="Arial" w:hAnsi="Arial"/>
                <w:sz w:val="14"/>
                <w:szCs w:val="14"/>
                <w:b w:val="1"/>
                <w:bCs w:val="1"/>
                <w:color w:val="auto"/>
              </w:rPr>
              <w:t>March 31, 2021</w:t>
            </w:r>
          </w:p>
        </w:tc>
        <w:tc>
          <w:tcPr>
            <w:tcW w:w="60" w:type="dxa"/>
            <w:vAlign w:val="bottom"/>
          </w:tcPr>
          <w:p>
            <w:pPr>
              <w:spacing w:after="0"/>
              <w:rPr>
                <w:sz w:val="13"/>
                <w:szCs w:val="13"/>
                <w:color w:val="auto"/>
              </w:rPr>
            </w:pPr>
          </w:p>
        </w:tc>
      </w:tr>
      <w:tr>
        <w:trPr>
          <w:trHeight w:val="20"/>
        </w:trPr>
        <w:tc>
          <w:tcPr>
            <w:tcW w:w="6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7"/>
        </w:trPr>
        <w:tc>
          <w:tcPr>
            <w:tcW w:w="6420" w:type="dxa"/>
            <w:vAlign w:val="bottom"/>
          </w:tcPr>
          <w:p>
            <w:pPr>
              <w:spacing w:after="0"/>
              <w:rPr>
                <w:sz w:val="20"/>
                <w:szCs w:val="20"/>
                <w:color w:val="auto"/>
              </w:rPr>
            </w:pPr>
            <w:r>
              <w:rPr>
                <w:rFonts w:ascii="Arial" w:cs="Arial" w:eastAsia="Arial" w:hAnsi="Arial"/>
                <w:sz w:val="18"/>
                <w:szCs w:val="18"/>
                <w:color w:val="auto"/>
              </w:rPr>
              <w:t>GAAP net income attributable to Viasat, Inc.</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3,291</w:t>
            </w:r>
          </w:p>
        </w:tc>
        <w:tc>
          <w:tcPr>
            <w:tcW w:w="6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16,968</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7,357</w:t>
            </w:r>
          </w:p>
        </w:tc>
      </w:tr>
      <w:tr>
        <w:trPr>
          <w:trHeight w:val="201"/>
        </w:trPr>
        <w:tc>
          <w:tcPr>
            <w:tcW w:w="6420" w:type="dxa"/>
            <w:vAlign w:val="bottom"/>
          </w:tcPr>
          <w:p>
            <w:pPr>
              <w:spacing w:after="0" w:line="201" w:lineRule="exact"/>
              <w:rPr>
                <w:sz w:val="20"/>
                <w:szCs w:val="20"/>
                <w:color w:val="auto"/>
              </w:rPr>
            </w:pPr>
            <w:r>
              <w:rPr>
                <w:rFonts w:ascii="Arial" w:cs="Arial" w:eastAsia="Arial" w:hAnsi="Arial"/>
                <w:sz w:val="18"/>
                <w:szCs w:val="18"/>
                <w:color w:val="auto"/>
              </w:rPr>
              <w:t>(Benefit from) provision for income taxes</w:t>
            </w:r>
          </w:p>
        </w:tc>
        <w:tc>
          <w:tcPr>
            <w:tcW w:w="400" w:type="dxa"/>
            <w:vAlign w:val="bottom"/>
          </w:tcPr>
          <w:p>
            <w:pPr>
              <w:spacing w:after="0"/>
              <w:rPr>
                <w:sz w:val="17"/>
                <w:szCs w:val="17"/>
                <w:color w:val="auto"/>
              </w:rPr>
            </w:pPr>
          </w:p>
        </w:tc>
        <w:tc>
          <w:tcPr>
            <w:tcW w:w="108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(2,874)</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(4,087)</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w w:val="97"/>
              </w:rPr>
              <w:t>8,868</w:t>
            </w:r>
          </w:p>
        </w:tc>
      </w:tr>
      <w:tr>
        <w:trPr>
          <w:trHeight w:val="201"/>
        </w:trPr>
        <w:tc>
          <w:tcPr>
            <w:tcW w:w="6420" w:type="dxa"/>
            <w:vAlign w:val="bottom"/>
          </w:tcPr>
          <w:p>
            <w:pPr>
              <w:spacing w:after="0" w:line="201" w:lineRule="exact"/>
              <w:rPr>
                <w:sz w:val="20"/>
                <w:szCs w:val="20"/>
                <w:color w:val="auto"/>
              </w:rPr>
            </w:pPr>
            <w:r>
              <w:rPr>
                <w:rFonts w:ascii="Arial" w:cs="Arial" w:eastAsia="Arial" w:hAnsi="Arial"/>
                <w:sz w:val="18"/>
                <w:szCs w:val="18"/>
                <w:color w:val="auto"/>
              </w:rPr>
              <w:t>Interest expense, net</w:t>
            </w:r>
          </w:p>
        </w:tc>
        <w:tc>
          <w:tcPr>
            <w:tcW w:w="400" w:type="dxa"/>
            <w:vAlign w:val="bottom"/>
          </w:tcPr>
          <w:p>
            <w:pPr>
              <w:spacing w:after="0"/>
              <w:rPr>
                <w:sz w:val="17"/>
                <w:szCs w:val="17"/>
                <w:color w:val="auto"/>
              </w:rPr>
            </w:pPr>
          </w:p>
        </w:tc>
        <w:tc>
          <w:tcPr>
            <w:tcW w:w="108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6,022</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6,229</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w w:val="97"/>
              </w:rPr>
              <w:t>5,527</w:t>
            </w:r>
          </w:p>
        </w:tc>
      </w:tr>
      <w:tr>
        <w:trPr>
          <w:trHeight w:val="201"/>
        </w:trPr>
        <w:tc>
          <w:tcPr>
            <w:tcW w:w="6420" w:type="dxa"/>
            <w:vAlign w:val="bottom"/>
          </w:tcPr>
          <w:p>
            <w:pPr>
              <w:spacing w:after="0" w:line="201" w:lineRule="exact"/>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7"/>
                <w:szCs w:val="17"/>
                <w:color w:val="auto"/>
              </w:rPr>
            </w:pPr>
          </w:p>
        </w:tc>
        <w:tc>
          <w:tcPr>
            <w:tcW w:w="108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127,108</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114,752</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104,986</w:t>
            </w:r>
          </w:p>
        </w:tc>
      </w:tr>
      <w:tr>
        <w:trPr>
          <w:trHeight w:val="201"/>
        </w:trPr>
        <w:tc>
          <w:tcPr>
            <w:tcW w:w="6420" w:type="dxa"/>
            <w:vAlign w:val="bottom"/>
          </w:tcPr>
          <w:p>
            <w:pPr>
              <w:spacing w:after="0" w:line="201" w:lineRule="exact"/>
              <w:rPr>
                <w:sz w:val="20"/>
                <w:szCs w:val="20"/>
                <w:color w:val="auto"/>
              </w:rPr>
            </w:pPr>
            <w:r>
              <w:rPr>
                <w:rFonts w:ascii="Arial" w:cs="Arial" w:eastAsia="Arial" w:hAnsi="Arial"/>
                <w:sz w:val="18"/>
                <w:szCs w:val="18"/>
                <w:color w:val="auto"/>
              </w:rPr>
              <w:t>Stock-based compensation expense</w:t>
            </w:r>
          </w:p>
        </w:tc>
        <w:tc>
          <w:tcPr>
            <w:tcW w:w="400" w:type="dxa"/>
            <w:vAlign w:val="bottom"/>
          </w:tcPr>
          <w:p>
            <w:pPr>
              <w:spacing w:after="0"/>
              <w:rPr>
                <w:sz w:val="17"/>
                <w:szCs w:val="17"/>
                <w:color w:val="auto"/>
              </w:rPr>
            </w:pPr>
          </w:p>
        </w:tc>
        <w:tc>
          <w:tcPr>
            <w:tcW w:w="108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21,023</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22,218</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19,912</w:t>
            </w:r>
          </w:p>
        </w:tc>
      </w:tr>
      <w:tr>
        <w:trPr>
          <w:trHeight w:val="201"/>
        </w:trPr>
        <w:tc>
          <w:tcPr>
            <w:tcW w:w="6420" w:type="dxa"/>
            <w:vAlign w:val="bottom"/>
          </w:tcPr>
          <w:p>
            <w:pPr>
              <w:spacing w:after="0" w:line="201" w:lineRule="exact"/>
              <w:rPr>
                <w:sz w:val="20"/>
                <w:szCs w:val="20"/>
                <w:color w:val="auto"/>
              </w:rPr>
            </w:pPr>
            <w:r>
              <w:rPr>
                <w:rFonts w:ascii="Arial" w:cs="Arial" w:eastAsia="Arial" w:hAnsi="Arial"/>
                <w:sz w:val="18"/>
                <w:szCs w:val="18"/>
                <w:color w:val="auto"/>
              </w:rPr>
              <w:t>Acquisition related expenses</w:t>
            </w:r>
          </w:p>
        </w:tc>
        <w:tc>
          <w:tcPr>
            <w:tcW w:w="400" w:type="dxa"/>
            <w:vAlign w:val="bottom"/>
          </w:tcPr>
          <w:p>
            <w:pPr>
              <w:spacing w:after="0"/>
              <w:rPr>
                <w:sz w:val="17"/>
                <w:szCs w:val="17"/>
                <w:color w:val="auto"/>
              </w:rPr>
            </w:pPr>
          </w:p>
        </w:tc>
        <w:tc>
          <w:tcPr>
            <w:tcW w:w="108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488</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7,002</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w w:val="97"/>
              </w:rPr>
              <w:t>1,452</w:t>
            </w:r>
          </w:p>
        </w:tc>
      </w:tr>
      <w:tr>
        <w:trPr>
          <w:trHeight w:val="202"/>
        </w:trPr>
        <w:tc>
          <w:tcPr>
            <w:tcW w:w="6420" w:type="dxa"/>
            <w:vAlign w:val="bottom"/>
          </w:tcPr>
          <w:p>
            <w:pPr>
              <w:spacing w:after="0" w:line="202" w:lineRule="exact"/>
              <w:rPr>
                <w:sz w:val="20"/>
                <w:szCs w:val="20"/>
                <w:color w:val="auto"/>
              </w:rPr>
            </w:pPr>
            <w:r>
              <w:rPr>
                <w:rFonts w:ascii="Arial" w:cs="Arial" w:eastAsia="Arial" w:hAnsi="Arial"/>
                <w:sz w:val="18"/>
                <w:szCs w:val="18"/>
                <w:color w:val="auto"/>
              </w:rPr>
              <w:t>Other income, net</w:t>
            </w:r>
          </w:p>
        </w:tc>
        <w:tc>
          <w:tcPr>
            <w:tcW w:w="400" w:type="dxa"/>
            <w:vAlign w:val="bottom"/>
          </w:tcPr>
          <w:p>
            <w:pPr>
              <w:spacing w:after="0"/>
              <w:rPr>
                <w:sz w:val="17"/>
                <w:szCs w:val="17"/>
                <w:color w:val="auto"/>
              </w:rPr>
            </w:pPr>
          </w:p>
        </w:tc>
        <w:tc>
          <w:tcPr>
            <w:tcW w:w="940" w:type="dxa"/>
            <w:vAlign w:val="bottom"/>
          </w:tcPr>
          <w:p>
            <w:pPr>
              <w:ind w:left="6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(4,118)</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
        </w:trPr>
        <w:tc>
          <w:tcPr>
            <w:tcW w:w="6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8"/>
        </w:trPr>
        <w:tc>
          <w:tcPr>
            <w:tcW w:w="6420" w:type="dxa"/>
            <w:vAlign w:val="bottom"/>
          </w:tcPr>
          <w:p>
            <w:pPr>
              <w:spacing w:after="0"/>
              <w:rPr>
                <w:sz w:val="20"/>
                <w:szCs w:val="20"/>
                <w:color w:val="auto"/>
              </w:rPr>
            </w:pPr>
            <w:r>
              <w:rPr>
                <w:rFonts w:ascii="Arial" w:cs="Arial" w:eastAsia="Arial" w:hAnsi="Arial"/>
                <w:sz w:val="18"/>
                <w:szCs w:val="18"/>
                <w:color w:val="auto"/>
              </w:rPr>
              <w:t>Adjusted EBITDA</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155,058</w:t>
            </w:r>
          </w:p>
        </w:tc>
        <w:tc>
          <w:tcPr>
            <w:tcW w:w="6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158,964</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148,102</w:t>
            </w:r>
          </w:p>
        </w:tc>
      </w:tr>
      <w:tr>
        <w:trPr>
          <w:trHeight w:val="20"/>
        </w:trPr>
        <w:tc>
          <w:tcPr>
            <w:tcW w:w="6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52"/>
        </w:trPr>
        <w:tc>
          <w:tcPr>
            <w:tcW w:w="6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7"/>
          </w:tcPr>
          <w:p>
            <w:pPr>
              <w:ind w:left="240"/>
              <w:spacing w:after="0"/>
              <w:rPr>
                <w:sz w:val="20"/>
                <w:szCs w:val="20"/>
                <w:color w:val="auto"/>
              </w:rPr>
            </w:pPr>
            <w:r>
              <w:rPr>
                <w:rFonts w:ascii="Arial" w:cs="Arial" w:eastAsia="Arial" w:hAnsi="Arial"/>
                <w:sz w:val="13"/>
                <w:szCs w:val="13"/>
                <w:color w:val="auto"/>
                <w:w w:val="95"/>
              </w:rPr>
              <w:t>Shareholder Letter | Q3 Fiscal Year 2022</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02475" cy="170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2475" cy="170180"/>
                    </a:xfrm>
                    <a:prstGeom prst="rect">
                      <a:avLst/>
                    </a:prstGeom>
                    <a:noFill/>
                  </pic:spPr>
                </pic:pic>
              </a:graphicData>
            </a:graphic>
          </wp:anchor>
        </w:drawing>
      </w:r>
    </w:p>
    <w:sectPr>
      <w:pgSz w:w="11900" w:h="16838" w:orient="portrait"/>
      <w:cols w:equalWidth="0" w:num="1">
        <w:col w:w="10945"/>
      </w:cols>
      <w:pgMar w:left="475" w:top="28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04"/>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3"/>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2022-02-03T07:13:26Z</dcterms:created>
  <dcterms:modified xsi:type="dcterms:W3CDTF">2022-02-03T07:13:26Z</dcterms:modified>
</cp:coreProperties>
</file>