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SCHEDULE 14A INFORMATION</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5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19" w:lineRule="exact"/>
        <w:rPr>
          <w:sz w:val="24"/>
          <w:szCs w:val="24"/>
          <w:color w:val="auto"/>
        </w:rPr>
      </w:pPr>
    </w:p>
    <w:p>
      <w:pPr>
        <w:spacing w:after="0" w:line="276"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24"/>
          <w:szCs w:val="24"/>
          <w:color w:val="auto"/>
        </w:rPr>
        <w:t>☒</w:t>
      </w:r>
    </w:p>
    <w:p>
      <w:pPr>
        <w:spacing w:after="0" w:line="79" w:lineRule="exact"/>
        <w:rPr>
          <w:sz w:val="24"/>
          <w:szCs w:val="24"/>
          <w:color w:val="auto"/>
        </w:rPr>
      </w:pPr>
    </w:p>
    <w:p>
      <w:pPr>
        <w:spacing w:after="0" w:line="276"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24"/>
          <w:szCs w:val="24"/>
          <w:color w:val="auto"/>
        </w:rPr>
        <w: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260"/>
          </w:cols>
          <w:pgMar w:left="240" w:top="230" w:right="399" w:bottom="1440" w:gutter="0" w:footer="0" w:header="0"/>
        </w:sectPr>
      </w:pPr>
    </w:p>
    <w:p>
      <w:pPr>
        <w:spacing w:after="0" w:line="15"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83"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77"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77"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77"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ectPr>
          <w:pgSz w:w="11900" w:h="16838" w:orient="portrait"/>
          <w:cols w:equalWidth="0" w:num="2">
            <w:col w:w="220" w:space="140"/>
            <w:col w:w="10900"/>
          </w:cols>
          <w:pgMar w:left="240" w:top="230" w:right="399" w:bottom="1440" w:gutter="0" w:footer="0" w:header="0"/>
          <w:type w:val="continuous"/>
        </w:sectPr>
      </w:pPr>
    </w:p>
    <w:p>
      <w:pPr>
        <w:spacing w:after="0" w:line="12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VIASAT, INC.</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1394460</wp:posOffset>
            </wp:positionH>
            <wp:positionV relativeFrom="paragraph">
              <wp:posOffset>370840</wp:posOffset>
            </wp:positionV>
            <wp:extent cx="46310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7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4"/>
          <w:szCs w:val="24"/>
          <w:color w:val="auto"/>
        </w:rPr>
      </w:pPr>
      <w:r>
        <w:rPr>
          <w:rFonts w:ascii="Arial" w:cs="Arial" w:eastAsia="Arial" w:hAnsi="Arial"/>
          <w:sz w:val="18"/>
          <w:szCs w:val="18"/>
          <w:color w:val="auto"/>
        </w:rPr>
        <w:t>No fee required.</w:t>
      </w:r>
    </w:p>
    <w:p>
      <w:pPr>
        <w:spacing w:after="0" w:line="26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24"/>
          <w:szCs w:val="24"/>
          <w:color w:val="auto"/>
        </w:rPr>
      </w:pPr>
      <w:r>
        <w:rPr>
          <w:rFonts w:ascii="Arial" w:cs="Arial" w:eastAsia="Arial" w:hAnsi="Arial"/>
          <w:sz w:val="18"/>
          <w:szCs w:val="18"/>
          <w:color w:val="auto"/>
        </w:rPr>
        <w:t>Fee computed on table below per Exchange Act Rules 14a-6(i)(1) and 0-11.</w:t>
      </w:r>
    </w:p>
    <w:p>
      <w:pPr>
        <w:spacing w:after="0" w:line="7" w:lineRule="exact"/>
        <w:rPr>
          <w:rFonts w:ascii="MS PGothic" w:cs="MS PGothic" w:eastAsia="MS PGothic" w:hAnsi="MS PGothic"/>
          <w:sz w:val="24"/>
          <w:szCs w:val="24"/>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 w:lineRule="exact"/>
        <w:rPr>
          <w:rFonts w:ascii="Arial" w:cs="Arial" w:eastAsia="Arial" w:hAnsi="Arial"/>
          <w:sz w:val="18"/>
          <w:szCs w:val="18"/>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820" w:hanging="461"/>
        <w:spacing w:after="0" w:line="250" w:lineRule="auto"/>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7"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MS PGothic" w:cs="MS PGothic" w:eastAsia="MS PGothic" w:hAnsi="MS PGothic"/>
          <w:sz w:val="24"/>
          <w:szCs w:val="24"/>
          <w:color w:val="auto"/>
        </w:rPr>
      </w:pPr>
      <w:r>
        <w:rPr>
          <w:rFonts w:ascii="Arial" w:cs="Arial" w:eastAsia="Arial" w:hAnsi="Arial"/>
          <w:sz w:val="18"/>
          <w:szCs w:val="18"/>
          <w:color w:val="auto"/>
        </w:rPr>
        <w:t>Fee paid previously with preliminary materials.</w:t>
      </w:r>
    </w:p>
    <w:p>
      <w:pPr>
        <w:spacing w:after="0" w:line="209" w:lineRule="exact"/>
        <w:rPr>
          <w:rFonts w:ascii="MS PGothic" w:cs="MS PGothic" w:eastAsia="MS PGothic" w:hAnsi="MS PGothic"/>
          <w:sz w:val="24"/>
          <w:szCs w:val="24"/>
          <w:color w:val="auto"/>
        </w:rPr>
      </w:pPr>
    </w:p>
    <w:p>
      <w:pPr>
        <w:ind w:left="360" w:right="640" w:hanging="352"/>
        <w:spacing w:after="0" w:line="180" w:lineRule="auto"/>
        <w:tabs>
          <w:tab w:leader="none" w:pos="36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60"/>
          </w:cols>
          <w:pgMar w:left="240" w:top="230" w:right="3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805815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205740</wp:posOffset>
            </wp:positionV>
            <wp:extent cx="181800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September 8, 2016</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8:30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187325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You are cordially invited to attend our 2016 annual meeting of stockholders, which will be held on September 8, 2016 at 8:30 a.m. Pacific Time at the corporate offices of ViaSat located at 6155 El Camino Real, Founders Hall, Carlsbad, California. We are holding the annual meeting for the following purposes:</w:t>
      </w:r>
    </w:p>
    <w:p>
      <w:pPr>
        <w:spacing w:after="0" w:line="4" w:lineRule="exact"/>
        <w:rPr>
          <w:sz w:val="20"/>
          <w:szCs w:val="20"/>
          <w:color w:val="auto"/>
        </w:rPr>
      </w:pPr>
    </w:p>
    <w:p>
      <w:pPr>
        <w:ind w:left="1480" w:right="480" w:hanging="567"/>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Richard Baldridge, B. Allen Lay and Dr. Jeffrey Nash to serve as Class II Directors for a three-year term to expire at the 2019 annual meeting of stockholders.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ViaSat’s independent registered public accounting firm for fiscal year 2017.</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other business that may properly come before the annual meeting or any adjournments or postponements of the meeting.</w:t>
      </w:r>
    </w:p>
    <w:p>
      <w:pPr>
        <w:spacing w:after="0" w:line="19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These items are fully described in the proxy statement, which is part of this notice. We have not received notice of other matters that may be properly presented at the annual meeting.</w:t>
      </w:r>
    </w:p>
    <w:p>
      <w:pPr>
        <w:spacing w:after="0" w:line="12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 xml:space="preserve">All stockholders of record as of July 15, 2016, the record date, are entitled to vote at the annual meeting. </w:t>
      </w:r>
      <w:r>
        <w:rPr>
          <w:rFonts w:ascii="Arial" w:cs="Arial" w:eastAsia="Arial" w:hAnsi="Arial"/>
          <w:sz w:val="16"/>
          <w:szCs w:val="16"/>
          <w:b w:val="1"/>
          <w:bCs w:val="1"/>
          <w:color w:val="auto"/>
        </w:rPr>
        <w:t>Your vote is very important. Whether or not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you expect to attend the annual meeting in person, please sign, date and return the enclosed proxy card as soon as possible to ensure that your shares are represented at the annual meeting. </w:t>
      </w:r>
      <w:r>
        <w:rPr>
          <w:rFonts w:ascii="Arial" w:cs="Arial" w:eastAsia="Arial" w:hAnsi="Arial"/>
          <w:sz w:val="16"/>
          <w:szCs w:val="16"/>
          <w:color w:val="auto"/>
        </w:rPr>
        <w:t>If your shares are held in “street name,” which means your shares are held of record by a broker, bank or other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 you must provide your broker, bank or financial institution with instructions on how to vote your shares.</w:t>
      </w:r>
    </w:p>
    <w:p>
      <w:pPr>
        <w:spacing w:after="0" w:line="15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Order of the Board of Directors</w:t>
      </w:r>
    </w:p>
    <w:p>
      <w:pPr>
        <w:spacing w:after="0" w:line="9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Mark Dankberg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YOUR VOTE IS IMPORTANT.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WHETHER OR NOT YOU PLAN TO ATTEND THE ANNUAL MEETING IN PERSON,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PLEASE SIGN, DATE AND RETURN THE ACCOMPANYING PROXY CARD.</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40" w:type="dxa"/>
            <w:vAlign w:val="bottom"/>
            <w:gridSpan w:val="5"/>
          </w:tcPr>
          <w:p>
            <w:pPr>
              <w:ind w:left="200"/>
              <w:spacing w:after="0"/>
              <w:rPr>
                <w:sz w:val="20"/>
                <w:szCs w:val="20"/>
                <w:color w:val="auto"/>
              </w:rPr>
            </w:pPr>
            <w:r>
              <w:rPr>
                <w:rFonts w:ascii="Arial" w:cs="Arial" w:eastAsia="Arial" w:hAnsi="Arial"/>
                <w:sz w:val="18"/>
                <w:szCs w:val="18"/>
                <w:b w:val="1"/>
                <w:bCs w:val="1"/>
                <w:color w:val="auto"/>
              </w:rPr>
              <w:t>TABLE OF CONTENTS</w:t>
            </w:r>
          </w:p>
        </w:tc>
        <w:tc>
          <w:tcPr>
            <w:tcW w:w="1900" w:type="dxa"/>
            <w:vAlign w:val="bottom"/>
          </w:tcPr>
          <w:p>
            <w:pPr>
              <w:spacing w:after="0"/>
              <w:rPr>
                <w:sz w:val="19"/>
                <w:szCs w:val="19"/>
                <w:color w:val="auto"/>
              </w:rPr>
            </w:pPr>
          </w:p>
        </w:tc>
      </w:tr>
      <w:tr>
        <w:trPr>
          <w:trHeight w:val="380"/>
        </w:trPr>
        <w:tc>
          <w:tcPr>
            <w:tcW w:w="9420" w:type="dxa"/>
            <w:vAlign w:val="bottom"/>
            <w:gridSpan w:val="3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GENERAL INFORMATION ABOUT THE ANNUAL MEETING AND VOTING</w:t>
              </w:r>
            </w:hyperlink>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554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b w:val="1"/>
                <w:bCs w:val="1"/>
                <w:color w:val="0000EE"/>
                <w:w w:val="97"/>
              </w:rPr>
            </w:pPr>
            <w:hyperlink w:anchor="page8">
              <w:r>
                <w:rPr>
                  <w:rFonts w:ascii="Arial" w:cs="Arial" w:eastAsia="Arial" w:hAnsi="Arial"/>
                  <w:sz w:val="18"/>
                  <w:szCs w:val="18"/>
                  <w:b w:val="1"/>
                  <w:bCs w:val="1"/>
                  <w:color w:val="0000EE"/>
                  <w:w w:val="97"/>
                </w:rPr>
                <w:t>CORPORATE GOVERNANCE PRINCIPLES AND BOARD MATTERS</w:t>
              </w:r>
            </w:hyperlink>
          </w:p>
        </w:tc>
        <w:tc>
          <w:tcPr>
            <w:tcW w:w="620" w:type="dxa"/>
            <w:vAlign w:val="bottom"/>
            <w:tcBorders>
              <w:top w:val="single" w:sz="8" w:color="0000EE"/>
            </w:tcBorders>
          </w:tcPr>
          <w:p>
            <w:pPr>
              <w:spacing w:after="0"/>
              <w:rPr>
                <w:sz w:val="17"/>
                <w:szCs w:val="17"/>
                <w:color w:val="auto"/>
              </w:rPr>
            </w:pPr>
          </w:p>
        </w:tc>
        <w:tc>
          <w:tcPr>
            <w:tcW w:w="326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196"/>
        </w:trPr>
        <w:tc>
          <w:tcPr>
            <w:tcW w:w="22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Board Responsibilities</w:t>
              </w:r>
            </w:hyperlink>
          </w:p>
        </w:tc>
        <w:tc>
          <w:tcPr>
            <w:tcW w:w="7600" w:type="dxa"/>
            <w:vAlign w:val="bottom"/>
            <w:gridSpan w:val="31"/>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258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Board Leadership and Independence</w:t>
              </w:r>
            </w:hyperlink>
          </w:p>
        </w:tc>
        <w:tc>
          <w:tcPr>
            <w:tcW w:w="6620" w:type="dxa"/>
            <w:vAlign w:val="bottom"/>
            <w:gridSpan w:val="20"/>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32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Board Structure and Committee Composition</w:t>
              </w:r>
            </w:hyperlink>
          </w:p>
        </w:tc>
        <w:tc>
          <w:tcPr>
            <w:tcW w:w="6000" w:type="dxa"/>
            <w:vAlign w:val="bottom"/>
            <w:gridSpan w:val="1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2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Director Nomination Process</w:t>
              </w:r>
            </w:hyperlink>
          </w:p>
        </w:tc>
        <w:tc>
          <w:tcPr>
            <w:tcW w:w="7140" w:type="dxa"/>
            <w:vAlign w:val="bottom"/>
            <w:gridSpan w:val="2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Pr>
          <w:p>
            <w:pPr>
              <w:spacing w:after="0"/>
              <w:rPr>
                <w:sz w:val="17"/>
                <w:szCs w:val="17"/>
                <w:color w:val="auto"/>
              </w:rPr>
            </w:pPr>
          </w:p>
        </w:tc>
        <w:tc>
          <w:tcPr>
            <w:tcW w:w="23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Communications with the Board</w:t>
              </w:r>
            </w:hyperlink>
          </w:p>
        </w:tc>
        <w:tc>
          <w:tcPr>
            <w:tcW w:w="6900" w:type="dxa"/>
            <w:vAlign w:val="bottom"/>
            <w:gridSpan w:val="2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50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6"/>
              </w:rPr>
            </w:pPr>
            <w:hyperlink w:anchor="page12">
              <w:r>
                <w:rPr>
                  <w:rFonts w:ascii="Arial" w:cs="Arial" w:eastAsia="Arial" w:hAnsi="Arial"/>
                  <w:sz w:val="18"/>
                  <w:szCs w:val="18"/>
                  <w:b w:val="1"/>
                  <w:bCs w:val="1"/>
                  <w:color w:val="0000EE"/>
                  <w:w w:val="96"/>
                </w:rPr>
                <w:t>PROPOSAL 1: ELECTION OF DIRECTORS</w:t>
              </w:r>
            </w:hyperlink>
          </w:p>
        </w:tc>
        <w:tc>
          <w:tcPr>
            <w:tcW w:w="5920" w:type="dxa"/>
            <w:vAlign w:val="bottom"/>
            <w:gridSpan w:val="1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w:t>
            </w:r>
          </w:p>
        </w:tc>
      </w:tr>
      <w:tr>
        <w:trPr>
          <w:trHeight w:val="196"/>
        </w:trPr>
        <w:tc>
          <w:tcPr>
            <w:tcW w:w="2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Overview</w:t>
              </w:r>
            </w:hyperlink>
          </w:p>
        </w:tc>
        <w:tc>
          <w:tcPr>
            <w:tcW w:w="8500" w:type="dxa"/>
            <w:vAlign w:val="bottom"/>
            <w:gridSpan w:val="3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9200" w:type="dxa"/>
            <w:vAlign w:val="bottom"/>
            <w:gridSpan w:val="3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Class II Directors Nominated for Election at this Annual Meeting</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Class III Directors with Terms Expiring in 2017</w:t>
              </w:r>
            </w:hyperlink>
          </w:p>
        </w:tc>
        <w:tc>
          <w:tcPr>
            <w:tcW w:w="1220" w:type="dxa"/>
            <w:vAlign w:val="bottom"/>
            <w:tcBorders>
              <w:top w:val="single" w:sz="8" w:color="0000EE"/>
            </w:tcBorders>
            <w:gridSpan w:val="7"/>
          </w:tcPr>
          <w:p>
            <w:pPr>
              <w:spacing w:after="0"/>
              <w:rPr>
                <w:sz w:val="17"/>
                <w:szCs w:val="17"/>
                <w:color w:val="auto"/>
              </w:rPr>
            </w:pPr>
          </w:p>
        </w:tc>
        <w:tc>
          <w:tcPr>
            <w:tcW w:w="4600" w:type="dxa"/>
            <w:vAlign w:val="bottom"/>
            <w:gridSpan w:val="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20" w:type="dxa"/>
            <w:vAlign w:val="bottom"/>
          </w:tcPr>
          <w:p>
            <w:pPr>
              <w:spacing w:after="0"/>
              <w:rPr>
                <w:sz w:val="17"/>
                <w:szCs w:val="17"/>
                <w:color w:val="auto"/>
              </w:rPr>
            </w:pPr>
          </w:p>
        </w:tc>
        <w:tc>
          <w:tcPr>
            <w:tcW w:w="32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Class I Directors with Terms Expiring in 2018</w:t>
              </w:r>
            </w:hyperlink>
          </w:p>
        </w:tc>
        <w:tc>
          <w:tcPr>
            <w:tcW w:w="5940" w:type="dxa"/>
            <w:vAlign w:val="bottom"/>
            <w:gridSpan w:val="1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20" w:type="dxa"/>
            <w:vAlign w:val="bottom"/>
          </w:tcPr>
          <w:p>
            <w:pPr>
              <w:spacing w:after="0"/>
              <w:rPr>
                <w:sz w:val="17"/>
                <w:szCs w:val="17"/>
                <w:color w:val="auto"/>
              </w:rPr>
            </w:pPr>
          </w:p>
        </w:tc>
        <w:tc>
          <w:tcPr>
            <w:tcW w:w="9200" w:type="dxa"/>
            <w:vAlign w:val="bottom"/>
            <w:gridSpan w:val="3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Recommendation of the Board</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420" w:type="dxa"/>
            <w:vAlign w:val="bottom"/>
            <w:tcBorders>
              <w:bottom w:val="single" w:sz="8" w:color="0000EE"/>
            </w:tcBorders>
            <w:gridSpan w:val="36"/>
          </w:tcPr>
          <w:p>
            <w:pPr>
              <w:spacing w:after="0" w:line="196" w:lineRule="exact"/>
              <w:rPr>
                <w:rFonts w:ascii="Arial" w:cs="Arial" w:eastAsia="Arial" w:hAnsi="Arial"/>
                <w:sz w:val="18"/>
                <w:szCs w:val="18"/>
                <w:b w:val="1"/>
                <w:bCs w:val="1"/>
                <w:color w:val="0000EE"/>
                <w:w w:val="98"/>
              </w:rPr>
            </w:pPr>
            <w:hyperlink w:anchor="page15">
              <w:r>
                <w:rPr>
                  <w:rFonts w:ascii="Arial" w:cs="Arial" w:eastAsia="Arial" w:hAnsi="Arial"/>
                  <w:sz w:val="18"/>
                  <w:szCs w:val="18"/>
                  <w:b w:val="1"/>
                  <w:bCs w:val="1"/>
                  <w:color w:val="0000EE"/>
                  <w:w w:val="98"/>
                </w:rPr>
                <w:t>PROPOSAL 2: RATIFICATION OF APPOINTMENT OF INDEPENDENT REGISTERED PUBLIC ACCOUNTING FIRM</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w:t>
            </w:r>
          </w:p>
        </w:tc>
      </w:tr>
      <w:tr>
        <w:trPr>
          <w:trHeight w:val="196"/>
        </w:trPr>
        <w:tc>
          <w:tcPr>
            <w:tcW w:w="2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Overview</w:t>
              </w:r>
            </w:hyperlink>
          </w:p>
        </w:tc>
        <w:tc>
          <w:tcPr>
            <w:tcW w:w="8500" w:type="dxa"/>
            <w:vAlign w:val="bottom"/>
            <w:gridSpan w:val="3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0" w:type="dxa"/>
            <w:vAlign w:val="bottom"/>
          </w:tcPr>
          <w:p>
            <w:pPr>
              <w:spacing w:after="0"/>
              <w:rPr>
                <w:sz w:val="17"/>
                <w:szCs w:val="17"/>
                <w:color w:val="auto"/>
              </w:rPr>
            </w:pPr>
          </w:p>
        </w:tc>
        <w:tc>
          <w:tcPr>
            <w:tcW w:w="280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Principal Accountant Fees and Services</w:t>
              </w:r>
            </w:hyperlink>
          </w:p>
        </w:tc>
        <w:tc>
          <w:tcPr>
            <w:tcW w:w="6400" w:type="dxa"/>
            <w:vAlign w:val="bottom"/>
            <w:gridSpan w:val="1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0" w:type="dxa"/>
            <w:vAlign w:val="bottom"/>
          </w:tcPr>
          <w:p>
            <w:pPr>
              <w:spacing w:after="0"/>
              <w:rPr>
                <w:sz w:val="17"/>
                <w:szCs w:val="17"/>
                <w:color w:val="auto"/>
              </w:rPr>
            </w:pPr>
          </w:p>
        </w:tc>
        <w:tc>
          <w:tcPr>
            <w:tcW w:w="9200" w:type="dxa"/>
            <w:vAlign w:val="bottom"/>
            <w:gridSpan w:val="3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Pre-Approval Policy of the Audit Committee</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20" w:type="dxa"/>
            <w:vAlign w:val="bottom"/>
          </w:tcPr>
          <w:p>
            <w:pPr>
              <w:spacing w:after="0"/>
              <w:rPr>
                <w:sz w:val="17"/>
                <w:szCs w:val="17"/>
                <w:color w:val="auto"/>
              </w:rPr>
            </w:pPr>
          </w:p>
        </w:tc>
        <w:tc>
          <w:tcPr>
            <w:tcW w:w="31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Recommendation of the Board</w:t>
              </w:r>
            </w:hyperlink>
          </w:p>
        </w:tc>
        <w:tc>
          <w:tcPr>
            <w:tcW w:w="6040" w:type="dxa"/>
            <w:vAlign w:val="bottom"/>
            <w:gridSpan w:val="1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420" w:type="dxa"/>
            <w:vAlign w:val="bottom"/>
            <w:gridSpan w:val="36"/>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PROPOSAL 3: ADVISORY VOTE ON EXECUTIVE COMPENSATION</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196"/>
        </w:trPr>
        <w:tc>
          <w:tcPr>
            <w:tcW w:w="22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Overview</w:t>
              </w:r>
            </w:hyperlink>
          </w:p>
        </w:tc>
        <w:tc>
          <w:tcPr>
            <w:tcW w:w="4620" w:type="dxa"/>
            <w:vAlign w:val="bottom"/>
            <w:tcBorders>
              <w:top w:val="single" w:sz="8" w:color="0000EE"/>
            </w:tcBorders>
            <w:gridSpan w:val="32"/>
          </w:tcPr>
          <w:p>
            <w:pPr>
              <w:spacing w:after="0"/>
              <w:rPr>
                <w:sz w:val="17"/>
                <w:szCs w:val="17"/>
                <w:color w:val="auto"/>
              </w:rPr>
            </w:pPr>
          </w:p>
        </w:tc>
        <w:tc>
          <w:tcPr>
            <w:tcW w:w="388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20" w:type="dxa"/>
            <w:vAlign w:val="bottom"/>
          </w:tcPr>
          <w:p>
            <w:pPr>
              <w:spacing w:after="0"/>
              <w:rPr>
                <w:sz w:val="17"/>
                <w:szCs w:val="17"/>
                <w:color w:val="auto"/>
              </w:rPr>
            </w:pPr>
          </w:p>
        </w:tc>
        <w:tc>
          <w:tcPr>
            <w:tcW w:w="9200" w:type="dxa"/>
            <w:vAlign w:val="bottom"/>
            <w:gridSpan w:val="3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Recommendation of the Board</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7"/>
              </w:rPr>
            </w:pPr>
            <w:hyperlink w:anchor="page18">
              <w:r>
                <w:rPr>
                  <w:rFonts w:ascii="Arial" w:cs="Arial" w:eastAsia="Arial" w:hAnsi="Arial"/>
                  <w:sz w:val="18"/>
                  <w:szCs w:val="18"/>
                  <w:b w:val="1"/>
                  <w:bCs w:val="1"/>
                  <w:color w:val="0000EE"/>
                  <w:w w:val="97"/>
                </w:rPr>
                <w:t>OWNERSHIP OF SECURITIES</w:t>
              </w:r>
            </w:hyperlink>
          </w:p>
        </w:tc>
        <w:tc>
          <w:tcPr>
            <w:tcW w:w="6920" w:type="dxa"/>
            <w:vAlign w:val="bottom"/>
            <w:gridSpan w:val="2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w:t>
            </w:r>
          </w:p>
        </w:tc>
      </w:tr>
      <w:tr>
        <w:trPr>
          <w:trHeight w:val="196"/>
        </w:trPr>
        <w:tc>
          <w:tcPr>
            <w:tcW w:w="220" w:type="dxa"/>
            <w:vAlign w:val="bottom"/>
          </w:tcPr>
          <w:p>
            <w:pPr>
              <w:spacing w:after="0"/>
              <w:rPr>
                <w:sz w:val="17"/>
                <w:szCs w:val="17"/>
                <w:color w:val="auto"/>
              </w:rPr>
            </w:pPr>
          </w:p>
        </w:tc>
        <w:tc>
          <w:tcPr>
            <w:tcW w:w="19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Beneficial Ownership Table</w:t>
              </w:r>
            </w:hyperlink>
          </w:p>
        </w:tc>
        <w:tc>
          <w:tcPr>
            <w:tcW w:w="7220" w:type="dxa"/>
            <w:vAlign w:val="bottom"/>
            <w:gridSpan w:val="2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20" w:type="dxa"/>
            <w:vAlign w:val="bottom"/>
          </w:tcPr>
          <w:p>
            <w:pPr>
              <w:spacing w:after="0"/>
              <w:rPr>
                <w:sz w:val="17"/>
                <w:szCs w:val="17"/>
                <w:color w:val="auto"/>
              </w:rPr>
            </w:pPr>
          </w:p>
        </w:tc>
        <w:tc>
          <w:tcPr>
            <w:tcW w:w="9200" w:type="dxa"/>
            <w:vAlign w:val="bottom"/>
            <w:gridSpan w:val="3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Section 16(a) Beneficial Ownership Reporting Compliance</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EXECUTIVE COMPENSATION</w:t>
              </w:r>
            </w:hyperlink>
          </w:p>
        </w:tc>
        <w:tc>
          <w:tcPr>
            <w:tcW w:w="6880" w:type="dxa"/>
            <w:vAlign w:val="bottom"/>
            <w:gridSpan w:val="2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w:t>
            </w:r>
          </w:p>
        </w:tc>
      </w:tr>
      <w:tr>
        <w:trPr>
          <w:trHeight w:val="196"/>
        </w:trPr>
        <w:tc>
          <w:tcPr>
            <w:tcW w:w="220" w:type="dxa"/>
            <w:vAlign w:val="bottom"/>
          </w:tcPr>
          <w:p>
            <w:pPr>
              <w:spacing w:after="0"/>
              <w:rPr>
                <w:sz w:val="17"/>
                <w:szCs w:val="17"/>
                <w:color w:val="auto"/>
              </w:rPr>
            </w:pPr>
          </w:p>
        </w:tc>
        <w:tc>
          <w:tcPr>
            <w:tcW w:w="9200" w:type="dxa"/>
            <w:vAlign w:val="bottom"/>
            <w:gridSpan w:val="3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Compensation Discussion and Analysis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20" w:type="dxa"/>
            <w:vAlign w:val="bottom"/>
          </w:tcPr>
          <w:p>
            <w:pPr>
              <w:spacing w:after="0"/>
              <w:rPr>
                <w:sz w:val="17"/>
                <w:szCs w:val="17"/>
                <w:color w:val="auto"/>
              </w:rPr>
            </w:pPr>
          </w:p>
        </w:tc>
        <w:tc>
          <w:tcPr>
            <w:tcW w:w="27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Compensation Committee Report</w:t>
              </w:r>
            </w:hyperlink>
          </w:p>
        </w:tc>
        <w:tc>
          <w:tcPr>
            <w:tcW w:w="6420" w:type="dxa"/>
            <w:vAlign w:val="bottom"/>
            <w:gridSpan w:val="1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Summary Compensation Table</w:t>
              </w:r>
            </w:hyperlink>
          </w:p>
        </w:tc>
        <w:tc>
          <w:tcPr>
            <w:tcW w:w="180" w:type="dxa"/>
            <w:vAlign w:val="bottom"/>
            <w:tcBorders>
              <w:top w:val="single" w:sz="8" w:color="0000EE"/>
            </w:tcBorders>
            <w:gridSpan w:val="4"/>
          </w:tcPr>
          <w:p>
            <w:pPr>
              <w:spacing w:after="0"/>
              <w:rPr>
                <w:sz w:val="17"/>
                <w:szCs w:val="17"/>
                <w:color w:val="auto"/>
              </w:rPr>
            </w:pPr>
          </w:p>
        </w:tc>
        <w:tc>
          <w:tcPr>
            <w:tcW w:w="6840" w:type="dxa"/>
            <w:vAlign w:val="bottom"/>
            <w:gridSpan w:val="21"/>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20" w:type="dxa"/>
            <w:vAlign w:val="bottom"/>
          </w:tcPr>
          <w:p>
            <w:pPr>
              <w:spacing w:after="0"/>
              <w:rPr>
                <w:sz w:val="17"/>
                <w:szCs w:val="17"/>
                <w:color w:val="auto"/>
              </w:rPr>
            </w:pPr>
          </w:p>
        </w:tc>
        <w:tc>
          <w:tcPr>
            <w:tcW w:w="9200" w:type="dxa"/>
            <w:vAlign w:val="bottom"/>
            <w:gridSpan w:val="3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Grants of Plan-Based Awards in Fiscal Year 2016</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Outstanding Equity Awards at 2016 Fiscal Year End</w:t>
              </w:r>
            </w:hyperlink>
          </w:p>
        </w:tc>
        <w:tc>
          <w:tcPr>
            <w:tcW w:w="5520" w:type="dxa"/>
            <w:vAlign w:val="bottom"/>
            <w:gridSpan w:val="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20" w:type="dxa"/>
            <w:vAlign w:val="bottom"/>
          </w:tcPr>
          <w:p>
            <w:pPr>
              <w:spacing w:after="0"/>
              <w:rPr>
                <w:sz w:val="17"/>
                <w:szCs w:val="17"/>
                <w:color w:val="auto"/>
              </w:rPr>
            </w:pPr>
          </w:p>
        </w:tc>
        <w:tc>
          <w:tcPr>
            <w:tcW w:w="9200" w:type="dxa"/>
            <w:vAlign w:val="bottom"/>
            <w:gridSpan w:val="3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Option Exercises and Stock Vested in Fiscal Year 2016</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20" w:type="dxa"/>
            <w:vAlign w:val="bottom"/>
          </w:tcPr>
          <w:p>
            <w:pPr>
              <w:spacing w:after="0"/>
              <w:rPr>
                <w:sz w:val="17"/>
                <w:szCs w:val="17"/>
                <w:color w:val="auto"/>
              </w:rPr>
            </w:pPr>
          </w:p>
        </w:tc>
        <w:tc>
          <w:tcPr>
            <w:tcW w:w="38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Pension Benefits</w:t>
              </w:r>
            </w:hyperlink>
          </w:p>
        </w:tc>
        <w:tc>
          <w:tcPr>
            <w:tcW w:w="5340" w:type="dxa"/>
            <w:vAlign w:val="bottom"/>
            <w:gridSpan w:val="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7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Non-Qualified Deferred Compensation</w:t>
              </w:r>
            </w:hyperlink>
          </w:p>
        </w:tc>
        <w:tc>
          <w:tcPr>
            <w:tcW w:w="6440" w:type="dxa"/>
            <w:vAlign w:val="bottom"/>
            <w:gridSpan w:val="1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20" w:type="dxa"/>
            <w:vAlign w:val="bottom"/>
          </w:tcPr>
          <w:p>
            <w:pPr>
              <w:spacing w:after="0"/>
              <w:rPr>
                <w:sz w:val="17"/>
                <w:szCs w:val="17"/>
                <w:color w:val="auto"/>
              </w:rPr>
            </w:pPr>
          </w:p>
        </w:tc>
        <w:tc>
          <w:tcPr>
            <w:tcW w:w="9200" w:type="dxa"/>
            <w:vAlign w:val="bottom"/>
            <w:gridSpan w:val="3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Potential Payments Upon Termination</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20" w:type="dxa"/>
            <w:vAlign w:val="bottom"/>
          </w:tcPr>
          <w:p>
            <w:pPr>
              <w:spacing w:after="0"/>
              <w:rPr>
                <w:sz w:val="17"/>
                <w:szCs w:val="17"/>
                <w:color w:val="auto"/>
              </w:rPr>
            </w:pPr>
          </w:p>
        </w:tc>
        <w:tc>
          <w:tcPr>
            <w:tcW w:w="26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Director Compensation</w:t>
              </w:r>
            </w:hyperlink>
          </w:p>
        </w:tc>
        <w:tc>
          <w:tcPr>
            <w:tcW w:w="6520" w:type="dxa"/>
            <w:vAlign w:val="bottom"/>
            <w:gridSpan w:val="1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2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6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Compensation Committee Interlocks and Insider Participation</w:t>
              </w:r>
            </w:hyperlink>
          </w:p>
        </w:tc>
        <w:tc>
          <w:tcPr>
            <w:tcW w:w="4840" w:type="dxa"/>
            <w:vAlign w:val="bottom"/>
            <w:gridSpan w:val="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20" w:type="dxa"/>
            <w:vAlign w:val="bottom"/>
          </w:tcPr>
          <w:p>
            <w:pPr>
              <w:spacing w:after="0"/>
              <w:rPr>
                <w:sz w:val="17"/>
                <w:szCs w:val="17"/>
                <w:color w:val="auto"/>
              </w:rPr>
            </w:pPr>
          </w:p>
        </w:tc>
        <w:tc>
          <w:tcPr>
            <w:tcW w:w="9200" w:type="dxa"/>
            <w:vAlign w:val="bottom"/>
            <w:gridSpan w:val="3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Equity Compensation Plan Information</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2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97"/>
              </w:rPr>
            </w:pPr>
            <w:hyperlink w:anchor="page39">
              <w:r>
                <w:rPr>
                  <w:rFonts w:ascii="Arial" w:cs="Arial" w:eastAsia="Arial" w:hAnsi="Arial"/>
                  <w:sz w:val="18"/>
                  <w:szCs w:val="18"/>
                  <w:b w:val="1"/>
                  <w:bCs w:val="1"/>
                  <w:color w:val="0000EE"/>
                  <w:w w:val="97"/>
                </w:rPr>
                <w:t>CERTAIN RELATIONSHIPS AND RELATED TRANSACTIONS</w:t>
              </w:r>
            </w:hyperlink>
          </w:p>
        </w:tc>
        <w:tc>
          <w:tcPr>
            <w:tcW w:w="4400" w:type="dxa"/>
            <w:vAlign w:val="bottom"/>
            <w:gridSpan w:val="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36</w:t>
            </w:r>
          </w:p>
        </w:tc>
      </w:tr>
      <w:tr>
        <w:trPr>
          <w:trHeight w:val="196"/>
        </w:trPr>
        <w:tc>
          <w:tcPr>
            <w:tcW w:w="220" w:type="dxa"/>
            <w:vAlign w:val="bottom"/>
          </w:tcPr>
          <w:p>
            <w:pPr>
              <w:spacing w:after="0"/>
              <w:rPr>
                <w:sz w:val="17"/>
                <w:szCs w:val="17"/>
                <w:color w:val="auto"/>
              </w:rPr>
            </w:pPr>
          </w:p>
        </w:tc>
        <w:tc>
          <w:tcPr>
            <w:tcW w:w="9200" w:type="dxa"/>
            <w:vAlign w:val="bottom"/>
            <w:gridSpan w:val="3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Review and Approval of Related Party Transactions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20" w:type="dxa"/>
            <w:vAlign w:val="bottom"/>
          </w:tcPr>
          <w:p>
            <w:pPr>
              <w:spacing w:after="0"/>
              <w:rPr>
                <w:sz w:val="17"/>
                <w:szCs w:val="17"/>
                <w:color w:val="auto"/>
              </w:rPr>
            </w:pPr>
          </w:p>
        </w:tc>
        <w:tc>
          <w:tcPr>
            <w:tcW w:w="36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Related Party Transactions</w:t>
              </w:r>
            </w:hyperlink>
          </w:p>
        </w:tc>
        <w:tc>
          <w:tcPr>
            <w:tcW w:w="5540" w:type="dxa"/>
            <w:vAlign w:val="bottom"/>
            <w:gridSpan w:val="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2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900" w:type="dxa"/>
            <w:vAlign w:val="bottom"/>
            <w:gridSpan w:val="2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AUDIT COMMITTEE REPORT</w:t>
              </w:r>
            </w:hyperlink>
          </w:p>
        </w:tc>
        <w:tc>
          <w:tcPr>
            <w:tcW w:w="6900" w:type="dxa"/>
            <w:vAlign w:val="bottom"/>
            <w:gridSpan w:val="2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w:t>
            </w:r>
          </w:p>
        </w:tc>
      </w:tr>
      <w:tr>
        <w:trPr>
          <w:trHeight w:val="196"/>
        </w:trPr>
        <w:tc>
          <w:tcPr>
            <w:tcW w:w="9420" w:type="dxa"/>
            <w:vAlign w:val="bottom"/>
            <w:gridSpan w:val="36"/>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OTHER MATTERS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w:t>
            </w:r>
          </w:p>
        </w:tc>
      </w:tr>
      <w:tr>
        <w:trPr>
          <w:trHeight w:val="20"/>
        </w:trPr>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205740</wp:posOffset>
            </wp:positionV>
            <wp:extent cx="1818005"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6155 El Camino Real</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Carlsbad, California 92009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67310</wp:posOffset>
            </wp:positionV>
            <wp:extent cx="1311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114300</wp:posOffset>
            </wp:positionV>
            <wp:extent cx="1311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of ViaSat, Inc. is soliciting the enclosed proxy for use at the annual meeting of stockholders to be held on September 8, 2016 at</w:t>
      </w:r>
    </w:p>
    <w:p>
      <w:pPr>
        <w:spacing w:after="0" w:line="3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8:30 a.m. Pacific Time at the corporate offices of ViaSat located at 6155 El Camino Real, Founders Hall, Carlsbad, California, and at any adjournments or postponements of the meeting, for the purposes set forth in the Notice of Annual Meeting of Stockholders.</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INFORMATION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THE ANNUAL MEETING AND VOTING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this proxy statement?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sent you this proxy statement and the enclosed proxy card because ViaSat’s Board of Directors is soliciting your proxy to vote at the 2016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sign, date and return the enclosed proxy card.</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intend to begin mailing this proxy statement, the attached notice of annual meeting and the enclosed proxy card on or about July 22, 2016 to all stockholders of record entitled to vote at the annual meeting. Only stockholders who owned ViaSat common stock on the record date, July 15, 2016, are entitled to vote at the annual meeting. On this record date, there were approximately 49,281,090 shares of ViaSat common stock outstanding. Common stock is our only class of stock entitled to vote. We are also sending along with this proxy statement our fiscal year 2016 annual report, which includes our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items of business scheduled to be voted on at the annual meeting are:</w:t>
      </w:r>
    </w:p>
    <w:p>
      <w:pPr>
        <w:spacing w:after="0" w:line="90" w:lineRule="exact"/>
        <w:rPr>
          <w:sz w:val="20"/>
          <w:szCs w:val="20"/>
          <w:color w:val="auto"/>
        </w:rPr>
      </w:pPr>
    </w:p>
    <w:p>
      <w:pPr>
        <w:ind w:left="660" w:right="26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 The election of Richard Baldridge, B. Allen Lay and Dr. Jeffrey Nash to serve as Class II Directors for a three-year term to expire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2019 annual meeting of stockholders.</w:t>
      </w:r>
    </w:p>
    <w:p>
      <w:pPr>
        <w:spacing w:after="0" w:line="5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 The ratification of the appointment of PricewaterhouseCoopers as ViaSat’s independent registered public accounting firm for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2017.</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Proposal 3</w:t>
      </w:r>
      <w:r>
        <w:rPr>
          <w:rFonts w:ascii="Arial" w:cs="Arial" w:eastAsia="Arial" w:hAnsi="Arial"/>
          <w:sz w:val="18"/>
          <w:szCs w:val="18"/>
          <w:color w:val="auto"/>
        </w:rPr>
        <w:t>: The advisory vote on executive compensation.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will consider any other business that properly comes before the annual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unanimously recommends that you vote:</w:t>
      </w:r>
    </w:p>
    <w:p>
      <w:pPr>
        <w:spacing w:after="0" w:line="84"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Richard Baldridge, B. Allen Lay and Dr. Jeffrey Nash (Proposal 1);</w:t>
      </w:r>
    </w:p>
    <w:p>
      <w:pPr>
        <w:spacing w:after="0" w:line="90" w:lineRule="exact"/>
        <w:rPr>
          <w:rFonts w:ascii="Arial" w:cs="Arial" w:eastAsia="Arial" w:hAnsi="Arial"/>
          <w:sz w:val="18"/>
          <w:szCs w:val="18"/>
          <w:color w:val="auto"/>
        </w:rPr>
      </w:pPr>
    </w:p>
    <w:p>
      <w:pPr>
        <w:ind w:left="660" w:right="180" w:hanging="206"/>
        <w:spacing w:after="0" w:line="27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as ViaSat’s independent registered public accounting firm for fiscal year 2017</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2); and</w:t>
      </w:r>
    </w:p>
    <w:p>
      <w:pPr>
        <w:spacing w:after="0" w:line="38"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executive compensation (Proposal 3).</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one vote for every share of ViaSat common stock that you own as of July 15,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by proxy?</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Your vote is important. Whether or not you plan to attend the annual meeting in person, we urge you to sign, date and return the enclosed proxy card as soon as possible to ensure that your vote is recorded promptly. Returning the proxy card will not affect your right to attend the annual meeting or vote your shares in person.</w:t>
      </w:r>
    </w:p>
    <w:p>
      <w:pPr>
        <w:spacing w:after="0" w:line="14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If you complete and submit your proxy card, the persons named as proxies will vote your shares in accordance with your instructions. If you submit a proxy card but do not fill out the voting instructions on the proxy card, your shares will be voted as recommended by the Board of Directors.</w:t>
      </w:r>
    </w:p>
    <w:p>
      <w:pPr>
        <w:spacing w:after="0" w:line="8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other matters are properly presented for voting at the annual meeting, or any adjournments or postponements of the annual meeting, the proxy card will confer discretionary authority on the individuals named as proxies to vote your shares in accordance with their best judgment. As of the date of this proxy statement, we have not received notice of other matters that may properly be presented for voting at the annual meeting.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revoke my proxy?</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If you give us your proxy, you may revoke it at any time before your proxy is voted at the annual meeting. You may revoke your proxy in any of the following three ways:</w:t>
      </w:r>
    </w:p>
    <w:p>
      <w:pPr>
        <w:spacing w:after="0" w:line="51"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send in another signed proxy card bearing a later date;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deliver a written notice of revocation to ViaSat’s Corporate Secretary prior to the annual meeting;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notify ViaSat’s Corporate Secretary in writing before the annual meeting and vote in person at the meeting.</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your shares are held in “street name,” which means your shares are held of record by a broker, bank or other financial institution, you must contact your broker, bank or financial institution to revoke any prior instructions.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in person?</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If you plan to attend the annual meeting and wish to vote in person, we will give you a ballot when you arrive. Even if you plan to attend the annual meeting, we recommend that you also vote by proxy as described above so that your vote will be counted if you later decide not to attend the meeting.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my shares are held by a broker, bank or other financial institution?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you are the beneficial owner of shares held by a broker, bank or other financial institution, then your shares are held in “street name” and the organization holding your shares is considered to be the stockholder of record for purposes of voting at the annual meeting. As the beneficial owner, you have the right to direct your broker, bank or other financial institution regarding how to vote your shares. You are also invited to attend the annual meeting. However, since you are not the stockholder of record, you may not vote in person at the meeting unless you bring to the meeting a “legal proxy” from the record holder of the shares (your broker, bank or other financial institution). The legal proxy will give you the right to vote the shares at the meeting.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via the internet or by telephone?</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your shares are registered in the name of a broker, bank or other financial institution, you may be eligible to vote your shares electronically over the internet or by telephone. A large number of banks and brokerage firms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offer internet and telephone voting. If the broker, bank or other financial institution holding your shares does not offer internet or telephone voting information, please complete and return your proxy card or voting instruction card in the self-addressed, postage-paid envelope provided.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You are entitled to attend the annual meeting only if you were a ViaSat stockholder or joint holder as of the record date, July 15, 2016, or you hold a valid proxy for the annual meeting. You should be prepared to present valid government issued photo identification for admittance. If you are a stockholder of record, your name will be verified against the list of stockholders of record on the record date prior to your admission to the annual meeting. If you are not a stockholder of record but hold shares in street name, you should provide proof of beneficial ownership by bringing either a copy of the voting instruction card provided by your broker or a copy of a brokerage statement showing your share ownership as of July 15, 2016. If you do not provide photo identification or comply with the other procedures outlined above, you will not be admitted to the annual meeting. The use of cell phones, smartphones, pagers, recording and photographic equipment and/or computers is not permitted at the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quorum is present when at least a majority of the outstanding shares entitled to vote are represented at the annual meeting either in person or by proxy.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This year, approximately 24,640,546 shares must be represented to constitute a quorum at the meeting and permit us to conduct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 the election of directors, the three nominees for director who receive the highest number of affirmative votes will be elected as directors. All other proposals require the affirmative vote of a majority of the votes cast on that proposal. Voting results will be tabulated and certified by our transfer agent, Computershare.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happen if I abstain from voting or fail to vote?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Shares held by persons attending the annual meeting but not voting, and shares represented by proxies that reflect abstentions as to a particular proposal will be counted as present for purposes of determining the presence of a quorum.</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Similarly, shares represented by proxies that reflect a “broker non-vote” will be counted for purposes of determining whether a quorum exists. A broker non-vote occurs when a broker, bank or other financial institution holding shares in street name for a beneficial owner has not received instructions from the beneficial owner and does not have discretionary authority to vote the shares for a particular proposal. Under the rules of various national and regional securities exchanges, the organization that holds your shares in street name has discretionary authority to vote only on routine matters and cannot vote on non-routine matters. The only proposal at the meeting that is considered a routine matter under applicable rules is the proposal to ratify the appointment of PricewaterhouseCoopers as ViaSat’s independent registered public accounting firm for the 2017 fiscal year. Therefore, unless you provide voting instructions to the broker, bank or other financial institution holding shares on your behalf, they will not have discretionary authority to vote your shares on any of the other proposals described in this proxy statement. Please vote your proxy or provide voting instructions to the broker, bank or other financial institution holding your shares so your vote on the other proposals will be counted.</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tabulating the voting results for each proposal, neither abstentions nor shares that constitute broker non-votes are considered votes cast on that proposal. Because abstentions and broker non-votes will not be considered votes cast, abstentions and broker non-votes will not affect the outcome of any matter being voted on at the meeting, assuming that a quorum is obtained.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will pay the entire cost of soliciting these proxies, including the preparation, assembly, printing and mailing of this proxy statement and any additional solicitation material that we may provide to stockholders. In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w:t>
      </w:r>
    </w:p>
    <w:p>
      <w:pPr>
        <w:spacing w:after="0" w:line="10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 share an address with another stockholder, but we received only one paper copy of the proxy materials. How may I obtain an additional copy of the proxy materials?</w:t>
      </w:r>
    </w:p>
    <w:p>
      <w:pPr>
        <w:spacing w:after="0" w:line="4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this practice for future mailings, and receive separate annual reports and proxy statements for each stockholder sharing the same address, please contact your broker, bank or financial institution. You may also obtain a separate annual report or proxy statement without charge by sending a written request to ViaSat, Inc., Attention: Investor Relations, 6155 El Camino Real, Carlsbad, California 92009, by email at </w:t>
      </w:r>
      <w:r>
        <w:rPr>
          <w:rFonts w:ascii="Arial" w:cs="Arial" w:eastAsia="Arial" w:hAnsi="Arial"/>
          <w:sz w:val="16"/>
          <w:szCs w:val="16"/>
          <w:i w:val="1"/>
          <w:iCs w:val="1"/>
          <w:color w:val="auto"/>
        </w:rPr>
        <w:t>ir@viasat.com</w:t>
      </w:r>
      <w:r>
        <w:rPr>
          <w:rFonts w:ascii="Arial" w:cs="Arial" w:eastAsia="Arial" w:hAnsi="Arial"/>
          <w:sz w:val="16"/>
          <w:szCs w:val="16"/>
          <w:color w:val="auto"/>
        </w:rPr>
        <w:t xml:space="preserve"> or by telephone at (760) 476-2633. We will promptly send additional copies of the annual report or proxy statement upon receipt of such request.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 for the ViaSat annual meeting of stockholders to be held on September 8, 2016</w:t>
      </w:r>
    </w:p>
    <w:p>
      <w:pPr>
        <w:spacing w:after="0" w:line="11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Under rules adopted by the SEC, we are also furnishing proxy materials to our stockholders via the internet. This process is designed to expedite stockholders’ receipt of proxy materials, lower the cost of the annual meeting and help conserve natural resources. </w:t>
      </w:r>
      <w:r>
        <w:rPr>
          <w:rFonts w:ascii="Arial" w:cs="Arial" w:eastAsia="Arial" w:hAnsi="Arial"/>
          <w:sz w:val="16"/>
          <w:szCs w:val="16"/>
          <w:b w:val="1"/>
          <w:bCs w:val="1"/>
          <w:color w:val="auto"/>
        </w:rPr>
        <w:t>This proxy statement and our annual report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 stockholders are available on the Investor Relations section of our website at </w:t>
      </w:r>
      <w:r>
        <w:rPr>
          <w:rFonts w:ascii="Arial" w:cs="Arial" w:eastAsia="Arial" w:hAnsi="Arial"/>
          <w:sz w:val="16"/>
          <w:szCs w:val="16"/>
          <w:b w:val="1"/>
          <w:bCs w:val="1"/>
          <w:i w:val="1"/>
          <w:iCs w:val="1"/>
          <w:color w:val="auto"/>
        </w:rPr>
        <w:t>investors.viasat.com</w:t>
      </w:r>
      <w:r>
        <w:rPr>
          <w:rFonts w:ascii="Arial" w:cs="Arial" w:eastAsia="Arial" w:hAnsi="Arial"/>
          <w:sz w:val="16"/>
          <w:szCs w:val="16"/>
          <w:b w:val="1"/>
          <w:bCs w:val="1"/>
          <w:color w:val="auto"/>
        </w:rPr>
        <w:t xml:space="preserve">. </w:t>
      </w:r>
      <w:r>
        <w:rPr>
          <w:rFonts w:ascii="Arial" w:cs="Arial" w:eastAsia="Arial" w:hAnsi="Arial"/>
          <w:sz w:val="16"/>
          <w:szCs w:val="16"/>
          <w:color w:val="auto"/>
        </w:rPr>
        <w:t>If you are a stockholder of record, you can elect to</w:t>
      </w:r>
      <w:r>
        <w:rPr>
          <w:rFonts w:ascii="Arial" w:cs="Arial" w:eastAsia="Arial" w:hAnsi="Arial"/>
          <w:sz w:val="16"/>
          <w:szCs w:val="16"/>
          <w:b w:val="1"/>
          <w:bCs w:val="1"/>
          <w:color w:val="auto"/>
        </w:rPr>
        <w:t xml:space="preserve"> </w:t>
      </w:r>
      <w:r>
        <w:rPr>
          <w:rFonts w:ascii="Arial" w:cs="Arial" w:eastAsia="Arial" w:hAnsi="Arial"/>
          <w:sz w:val="16"/>
          <w:szCs w:val="16"/>
          <w:color w:val="auto"/>
        </w:rPr>
        <w:t>access future proxy 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by mail that you wish to resume mail delivery of these documents. If you hold your shares in street name, please refer to the information provided by your broker, bank or other financial institution for instructions on how to elect this 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PRINCIPLES AND BOARD MATTERS</w:t>
      </w:r>
    </w:p>
    <w:p>
      <w:pPr>
        <w:spacing w:after="0" w:line="17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 xml:space="preserve">We are dedicated to maintaining the highest standards of business integrity. It is our belief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Responsibilities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Primary Responsibilities. </w:t>
      </w:r>
      <w:r>
        <w:rPr>
          <w:rFonts w:ascii="Arial" w:cs="Arial" w:eastAsia="Arial" w:hAnsi="Arial"/>
          <w:sz w:val="16"/>
          <w:szCs w:val="16"/>
          <w:color w:val="auto"/>
        </w:rPr>
        <w:t>The Board of Directors is the company’s governing body, responsible for overseeing ViaSat’s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senior management in the competent and ethical operation of the company on a day-to-day basis and assuring that the long-term interests of the stockholders are being served. To satisfy its duties, directors are expected to take a proactive, focused approach to their position, and set standards to ensure that the company is committed to business success through the maintenance of high standards of responsibility and ethics.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Risk Oversight. </w:t>
      </w:r>
      <w:r>
        <w:rPr>
          <w:rFonts w:ascii="Arial" w:cs="Arial" w:eastAsia="Arial" w:hAnsi="Arial"/>
          <w:sz w:val="16"/>
          <w:szCs w:val="16"/>
          <w:color w:val="auto"/>
        </w:rPr>
        <w:t>We take a comprehensive approach to risk management which is reflected in the reporting processes by which our management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timely and comprehensive information to the Board to support the Board’s role in oversight, approval and decision-making. Our senior management is responsible for assessing and managing the company’s various exposures to risk on a day-to-day basis, including the creation of appropriate risk management programs and policies. The Board is responsible for overseeing management in the execution of its responsibilities and for assessing the company’s approach to risk management. The Board exercises these responsibilities periodically as part of its meetings and also through the Board’s committees, each of which examines various components of enterprise risk as it pertains to the committee’s area of oversight. In addition, an overall review of risk is inherent in the Board’s consideration of the company’s long-term strategies and in the transactions and other matters presented to the Board, including capital expenditures, acquisitions and divestitures, and financial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and Independence</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Mark Dankberg, our Chief Executive Officer, serves as the Chairman of the Board. Currently, the Board believes this leadership structure provides the most efficient and effective leadership model for ViaSat by enhancing the Chairman and Chief Executive Officer’s ability to provide clear insight and direction of business strategies and plans to both the Board and management. The Board regularly evaluates its leadership structure and currently believes ViaSat can most effectively execute its business strategies and plans if the Chairman is also a member of the management team. A single person, acting in the capacities of Chairman and Chief Executive Officer, promotes unity of vision and leadership, which allows for a single, clear focus for management to execute the company’s business strategies and plans. While we have not currently designated a lead independent director, we believe that ViaSat’s unitary leadership structure is appropriately balanced by sound corporate governance principles, the effective oversight of management by non-employee directors and the strength of ViaSat’s independent directors.</w:t>
      </w:r>
    </w:p>
    <w:p>
      <w:pPr>
        <w:spacing w:after="0" w:line="14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criteria established by The Nasdaq Stock Market, or Nasdaq, for director independence include various objective standards and a subjective test. The subjective test requires that each independent director not have a relationship which, in the opinion of the Board, would interfere with the exercise of independent judgment in carrying out the responsibilities of a director. Under the objective standards, a member of the Board of Directors is not considered independent if, for example, he or she is (1) an employee of ViaSat, or (2) a partner in, or a controlling shareholder or an executive officer of, an entity to which ViaSat made, or from which ViaSat received, payments in the current or any of the past three fiscal years that exceed 5% of the recipient’s consolidated gross revenues for that year.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None of our existing directors were disqualified from independent status under the objective standards, other than Mr. Dankberg, who does not qualify as independent because he is a ViaSat employee. Richard Baldridge, our President and Chief Operating Officer who has been nominated for election at the 2016 annual meeting of stockholders, will also not qualify as independent because he is a ViaSat employee. The subjective evaluation of director independence by the Board of Directors was made in the context of the objective standards by taking into account the standards in the objective tests, and reviewing and discussing additional information provided by the directors and the company with regard to each director’s business and personal activities as they may relate to ViaSat and ViaSat’s management.</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this evaluation, the Board of Directors affirmatively determined that each existing member of the Board other than Mr. Dankberg is independent under the criteria established by Nasdaq for director independence. As noted above, Mr. Baldridge, if elected to the Board at the 2016 annual meeting of stockholders, will also not qualify as independent under the criteria established by Nasdaq for director independence. In addition to the Board level standards for director independence, all members of the Audit Committee, Compensation and Human Resources Committee, and Nomination, Evaluation and Corporate Governance Committee qualify as independent directors as defined by Nasdaq.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Committee Composition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date of this proxy statement, our Board of Directors has eight directors and the following four standing committees: (1) Audit Committee,</w:t>
      </w:r>
    </w:p>
    <w:p>
      <w:pPr>
        <w:spacing w:after="0" w:line="38" w:lineRule="exact"/>
        <w:rPr>
          <w:sz w:val="20"/>
          <w:szCs w:val="20"/>
          <w:color w:val="auto"/>
        </w:rPr>
      </w:pPr>
    </w:p>
    <w:p>
      <w:pPr>
        <w:ind w:right="120" w:firstLine="8"/>
        <w:spacing w:after="0" w:line="287"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Compensation and Human Resources Committee, (3) Nomination, Evaluation and Corporate Governance Committee, and (4) Banking and Finance Committee. The membership during the last fiscal year and the function of each of the committees are described below. Each of the committees operates under a written charter which can be found on the Investor Relations section of our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 During our fiscal year ended March 31, 2016, the Board held seven meetings, including telephonic meetings. During this period, all of the directors attended or participated in at least 75% of the aggregate of the total number of meetings of the Board and the total number of meetings held by all committees of the Board on which each such director served, except for Mr. Bowman. Although we do not have a formal policy regarding attendance by members of our Board at our annual meeting of stockholders, we encourage the attendance of our directors and director nominees at our annual meeting, and historically more than a majority have done so. Six of our directors attended last year’s annual meeting of stockholders.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Nomination,</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Evaluation and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and Human</w:t>
            </w: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Corporate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Banking and</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6140" w:type="dxa"/>
            <w:vAlign w:val="bottom"/>
            <w:vMerge w:val="restart"/>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Audit</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Resources</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Governance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Finance</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6140" w:type="dxa"/>
            <w:vAlign w:val="bottom"/>
            <w:vMerge w:val="continue"/>
          </w:tcPr>
          <w:p>
            <w:pPr>
              <w:spacing w:after="0"/>
              <w:rPr>
                <w:sz w:val="14"/>
                <w:szCs w:val="14"/>
                <w:color w:val="auto"/>
              </w:rPr>
            </w:pPr>
          </w:p>
        </w:tc>
        <w:tc>
          <w:tcPr>
            <w:tcW w:w="12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8"/>
              </w:rPr>
              <w:t>Committee</w:t>
            </w:r>
          </w:p>
        </w:tc>
        <w:tc>
          <w:tcPr>
            <w:tcW w:w="14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8"/>
              </w:rPr>
              <w:t>Committee</w:t>
            </w:r>
          </w:p>
        </w:tc>
        <w:tc>
          <w:tcPr>
            <w:tcW w:w="144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8"/>
              </w:rPr>
              <w:t>Committee</w:t>
            </w: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Committee</w:t>
            </w:r>
          </w:p>
        </w:tc>
        <w:tc>
          <w:tcPr>
            <w:tcW w:w="0" w:type="dxa"/>
            <w:vAlign w:val="bottom"/>
          </w:tcPr>
          <w:p>
            <w:pPr>
              <w:spacing w:after="0"/>
              <w:rPr>
                <w:sz w:val="1"/>
                <w:szCs w:val="1"/>
                <w:color w:val="auto"/>
              </w:rPr>
            </w:pPr>
          </w:p>
        </w:tc>
      </w:tr>
      <w:tr>
        <w:trPr>
          <w:trHeight w:val="203"/>
        </w:trPr>
        <w:tc>
          <w:tcPr>
            <w:tcW w:w="6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Frank J. Biondi, Jr. (1)</w:t>
            </w: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 Bowman (2)</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Robert Johnson</w:t>
            </w: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Chair</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Allen Lay</w:t>
            </w:r>
          </w:p>
        </w:tc>
        <w:tc>
          <w:tcPr>
            <w:tcW w:w="12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Chair</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Chair</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Stenbit</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Harvey White</w:t>
            </w: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Chair</w:t>
            </w: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Number of Meetings in Fiscal Year 2016</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Biondi was appointed as a member of the Banking and Finance Committee on December 5, 2015.</w:t>
      </w:r>
    </w:p>
    <w:p>
      <w:pPr>
        <w:spacing w:after="0" w:line="15" w:lineRule="exact"/>
        <w:rPr>
          <w:rFonts w:ascii="Arial" w:cs="Arial" w:eastAsia="Arial" w:hAnsi="Arial"/>
          <w:sz w:val="18"/>
          <w:szCs w:val="18"/>
          <w:color w:val="auto"/>
        </w:rPr>
      </w:pPr>
    </w:p>
    <w:p>
      <w:pPr>
        <w:ind w:left="340" w:right="380" w:hanging="332"/>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Bowman will not be seeking re-election at our 2016 annual meeting of stockholders, and Richard Baldridge has been nominated by the Nomination, Evaluation and Corporate Governance Committee for election at the 2016 annual meeting of stockholders to fill the resulting vacancy on the Board of Directors.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reviews the professional services provided by our independent registered public accounting firm,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independence of such independent registered public accounting firm from our management, and our annual and quarterly financial statements. The Audit Committee also reviews such other matters with respect to our accounting, auditing and financial reporting practices and procedures as it may find appropriate or may be brought to its attention. The Board of Directors has determined that each of the members of our Audit Committee is an “audit committee financial expert” as defined by the rules of the SEC. The responsibilities and activities of the Audit Committee are described in greater detail in the Audit Committee Report.</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Compensation and Human Resources Committee</w:t>
      </w:r>
      <w:r>
        <w:rPr>
          <w:rFonts w:ascii="Arial" w:cs="Arial" w:eastAsia="Arial" w:hAnsi="Arial"/>
          <w:sz w:val="16"/>
          <w:szCs w:val="16"/>
          <w:color w:val="auto"/>
        </w:rPr>
        <w:t>. The Compensation and Human Resources Committee is responsible for designing and evaluating</w:t>
      </w:r>
      <w:r>
        <w:rPr>
          <w:rFonts w:ascii="Arial" w:cs="Arial" w:eastAsia="Arial" w:hAnsi="Arial"/>
          <w:sz w:val="16"/>
          <w:szCs w:val="16"/>
          <w:i w:val="1"/>
          <w:iCs w:val="1"/>
          <w:color w:val="auto"/>
        </w:rPr>
        <w:t xml:space="preserve"> </w:t>
      </w:r>
      <w:r>
        <w:rPr>
          <w:rFonts w:ascii="Arial" w:cs="Arial" w:eastAsia="Arial" w:hAnsi="Arial"/>
          <w:sz w:val="16"/>
          <w:szCs w:val="16"/>
          <w:color w:val="auto"/>
        </w:rPr>
        <w:t>ViaSat’s compensation plans, policies and programs, including the compensation of executive officers. In carrying out these responsibilities, the Compensation and Human Resources Committee is responsible for advising and consulting with the officers regarding managerial personnel and development, and for reviewing and, as appropriate, recommending to the Board of Directors, policies, practices and procedures relating to the compensation of directors, officers and other managerial employees. The objectives of the Compensation and Human Resources Committee are to encourage high performance, promote accountability and assure that employee interests are aligned with the interests of our stockholders. For additional information concerning the Compensation and Human Resources Committee, see the Compensation Discussion and Analysis section of this proxy statement.</w:t>
      </w:r>
    </w:p>
    <w:p>
      <w:pPr>
        <w:spacing w:after="0" w:line="11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Nomination, Evaluation and Corporate Governance Committee</w:t>
      </w:r>
      <w:r>
        <w:rPr>
          <w:rFonts w:ascii="Arial" w:cs="Arial" w:eastAsia="Arial" w:hAnsi="Arial"/>
          <w:sz w:val="16"/>
          <w:szCs w:val="16"/>
          <w:color w:val="auto"/>
        </w:rPr>
        <w:t>. The Nomination, Evaluation and Corporate Governance Committee is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development and recommendation to the Board of a set of corporate governance guidelines and principles, provides oversight of the process for the self-assessment by the Board and each of its committees, reviews and recommends nominees for election as directors and committee members, conducts the evaluation of our Chief Executive Officer, and advises the Board with respect to Board and committee composition.</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Banking and Finance Committee</w:t>
      </w:r>
      <w:r>
        <w:rPr>
          <w:rFonts w:ascii="Arial" w:cs="Arial" w:eastAsia="Arial" w:hAnsi="Arial"/>
          <w:sz w:val="18"/>
          <w:szCs w:val="18"/>
          <w:color w:val="auto"/>
        </w:rPr>
        <w:t>. The Banking and Finance Committee oversees certain aspects of corporate finance for the company, and reviews and</w:t>
      </w:r>
      <w:r>
        <w:rPr>
          <w:rFonts w:ascii="Arial" w:cs="Arial" w:eastAsia="Arial" w:hAnsi="Arial"/>
          <w:sz w:val="18"/>
          <w:szCs w:val="18"/>
          <w:i w:val="1"/>
          <w:iCs w:val="1"/>
          <w:color w:val="auto"/>
        </w:rPr>
        <w:t xml:space="preserve"> </w:t>
      </w:r>
      <w:r>
        <w:rPr>
          <w:rFonts w:ascii="Arial" w:cs="Arial" w:eastAsia="Arial" w:hAnsi="Arial"/>
          <w:sz w:val="18"/>
          <w:szCs w:val="18"/>
          <w:color w:val="auto"/>
        </w:rPr>
        <w:t>makes recommendations to the Board about the company’s financial affairs and policies, including short and long-term financing plans, objectives and principles, borrowings or the issuance of debt and equity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Nomination, Evaluation and Corporate Governance Committee is responsible for reviewing and assessing the appropriate skills and characteristics required of Board members in the context of the current size and membership of the Board. This assessment includes a consideration of personal and professional integrity, experience in corporate management, experience in our industry, experience as a board member of other publicly-held companies, diversity of expertise, practical and mature business judgment, and with respect to current directors, performance on the ViaSat Board. These factors, and any other qualifications considered useful by the Nomination, Evaluation and Corporate Governance Committee, are reviewed in the context of an assessment of the perceived needs of the Board at a particular point in time. As a result, the priorities and emphasis of the Nomination, Evaluation and Corporate Governance Committee with regard to these factors may change from time to time to take into account changes in our business and other trends, as well as the portfolio of skills and experience of current and prospective Board members.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recommending candidates for election to the Board of Directors, the Nomination, Evaluation and Corporate Governance Committee considers nominees recommended by directors, management and stockholders using the same criteria to evaluate all candidates. The Nomination, Evaluation and Corporate Governance Committee reviews each candidate’s qualifications, including whether a candidate possesses any of the specific qualities and skills desirable in certain members of the Board. Evaluations of candidates generally involve a review of background materials, internal discussions and interviews with selected candidates as appropriate. Upon selection of a qualified candidate, the Nomination, Evaluation and Corporate Governance Committee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recommends the candidate for consideration by the full Board of Directors. The Nomination, Evaluation and Corporate Governance Committee may engage consultants or third party search firms to assist in identifying and evaluating potential nominees.</w:t>
      </w:r>
    </w:p>
    <w:p>
      <w:pPr>
        <w:spacing w:after="0" w:line="132"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The Nomination, Evaluation and Corporate Governance Committee will consider candidates recommended by any stockholder who has held our common stock for at least one year and who holds a minimum of 1% of our outstanding shares. When submitting candidates for nomination, stockholders must follow the notice procedures and provide the information specified in the section titled Other Matters. In addition, the recommendation must include the following: (1) the name and address of the stockholder and the beneficial owner (if any) on whose behalf the nomination is proposed, (2) a detailed resume of the nominee, and the signed consent of the nominee to serve if elected, (3) the stockholder’s reason for making the nomination, including an explanation of why the stockholder believes the nominee is qualified for service on our Board, (4) proof of the number of shares of our common stock owned by the record owner and the beneficial owner (if any) on whose behalf the record owner is proposing the nominee, (5) a description of any arrangements or understandings between the stockholder, the nominee and any other person regarding the nomination, (6) a description of any material interest of the stockholder and the beneficial owner (if any) on whose behalf the nomination is proposed, and (7) information regarding the nominee that would be required to be included in our proxy statement by the rules of the SEC, including the nominee’s age, business experience, directorships, and involvement in legal proceedings during the past ten years.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wishing to communicate with any of our directors regarding corporate matters may write to the director, c/o General Counsel, ViaSat, Inc., 6155 El Camino Real, Carlsbad, California 92009. The General Counsel will forward such communications to each member of our Board of Directors; provided that, if in the opinion of the General Counsel it would be inappropriate to send a particular stockholder communication to a specific director, such communication will only be sent to the remaining directors (subject to the remaining directors concurring with such opinion).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Our Board of Directors is presently comprised of eight individuals. One of our current directors, Bob Bowman, will not be seeking re-election at our 2016 annual meeting of stockholders, and Richard Baldridge has been nominated by the Nomination, Evaluation and Corporate Governance Committee for election at the 2016 annual meeting of stockholders to fill the resulting vacancy on the Board of Directors.</w:t>
      </w:r>
    </w:p>
    <w:p>
      <w:pPr>
        <w:spacing w:after="0" w:line="107"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In accordance with our certificate of incorporation, we divide our Board of Directors into three classes, with each class consisting, as nearly as may be possible, of one-third of the total number of directors. We elect one class of directors to serve a three-year term at each annual meeting of stockholders. At this year’s annual meeting of stockholders, we will elect three Class II Directors to hold office until the 2019 annual meeting. At next year’s annual meeting of stockholders, we will elect two Class III directors to hold office until the 2020 annual meeting, and the following year, we will elect three Class I Directors to hold office until the 2021 annual meeting. Thereafter, elections will continue in a similar manner at subsequent annual meetings. Each elected director will continue to serve until his successor is duly elected or appointed.</w:t>
      </w:r>
    </w:p>
    <w:p>
      <w:pPr>
        <w:spacing w:after="0" w:line="120" w:lineRule="exact"/>
        <w:rPr>
          <w:sz w:val="20"/>
          <w:szCs w:val="20"/>
          <w:color w:val="auto"/>
        </w:rPr>
      </w:pPr>
    </w:p>
    <w:p>
      <w:pPr>
        <w:ind w:right="460" w:firstLine="456"/>
        <w:spacing w:after="0" w:line="286" w:lineRule="auto"/>
        <w:rPr>
          <w:sz w:val="20"/>
          <w:szCs w:val="20"/>
          <w:color w:val="auto"/>
        </w:rPr>
      </w:pPr>
      <w:r>
        <w:rPr>
          <w:rFonts w:ascii="Arial" w:cs="Arial" w:eastAsia="Arial" w:hAnsi="Arial"/>
          <w:sz w:val="16"/>
          <w:szCs w:val="16"/>
          <w:color w:val="auto"/>
        </w:rPr>
        <w:t xml:space="preserve">The Board of Directors unanimously nominated Richard Baldridge, B. Allen Lay and Dr. Jeffrey Nash as Class II nominees for election to the Board. Unless proxy cards are otherwise marked, the persons named as proxies will vote all proxies received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Mr. Baldridge, Mr. Lay and</w:t>
      </w:r>
    </w:p>
    <w:p>
      <w:pPr>
        <w:spacing w:after="0"/>
        <w:rPr>
          <w:sz w:val="20"/>
          <w:szCs w:val="20"/>
          <w:color w:val="auto"/>
        </w:rPr>
      </w:pPr>
      <w:r>
        <w:rPr>
          <w:rFonts w:ascii="Arial" w:cs="Arial" w:eastAsia="Arial" w:hAnsi="Arial"/>
          <w:sz w:val="16"/>
          <w:szCs w:val="16"/>
          <w:color w:val="auto"/>
        </w:rPr>
        <w:t>Dr. Nash. If any director nominee is unable or unwilling to serve as a nominee at the time of the annual meeting, the persons named as proxies may vote either</w:t>
      </w:r>
    </w:p>
    <w:p>
      <w:pPr>
        <w:spacing w:after="0" w:line="32" w:lineRule="exact"/>
        <w:rPr>
          <w:sz w:val="20"/>
          <w:szCs w:val="20"/>
          <w:color w:val="auto"/>
        </w:rPr>
      </w:pPr>
    </w:p>
    <w:p>
      <w:pPr>
        <w:ind w:right="60" w:firstLine="8"/>
        <w:spacing w:after="0" w:line="361" w:lineRule="auto"/>
        <w:tabs>
          <w:tab w:leader="none" w:pos="249"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w:t>
      </w:r>
    </w:p>
    <w:p>
      <w:pPr>
        <w:spacing w:after="0" w:line="6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table sets forth for each nominee to be elected at the annual meeting and for each director whose term of office will extend beyond the annual meeting, the age of each nominee or director, the positions currently held by each nominee or director with ViaSat, the year in which each nominee’s or director’s current term will expire, and the class of director of each nominee or director.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0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540" w:type="dxa"/>
            <w:vAlign w:val="bottom"/>
          </w:tcPr>
          <w:p>
            <w:pPr>
              <w:spacing w:after="0"/>
              <w:rPr>
                <w:sz w:val="15"/>
                <w:szCs w:val="15"/>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Position with ViaSat</w:t>
            </w:r>
          </w:p>
        </w:tc>
        <w:tc>
          <w:tcPr>
            <w:tcW w:w="226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 Expires</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0"/>
              </w:rPr>
              <w:t>Class</w:t>
            </w:r>
          </w:p>
        </w:tc>
      </w:tr>
      <w:tr>
        <w:trPr>
          <w:trHeight w:val="203"/>
        </w:trPr>
        <w:tc>
          <w:tcPr>
            <w:tcW w:w="5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w:t>
            </w:r>
          </w:p>
        </w:tc>
        <w:tc>
          <w:tcPr>
            <w:tcW w:w="4040" w:type="dxa"/>
            <w:vAlign w:val="bottom"/>
            <w:tcBorders>
              <w:top w:val="single" w:sz="8" w:color="CCEEFF"/>
            </w:tcBorders>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Chairman and Chief Executive Officer</w:t>
            </w: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2017</w:t>
            </w: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III</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4040" w:type="dxa"/>
            <w:vAlign w:val="bottom"/>
            <w:gridSpan w:val="3"/>
          </w:tcPr>
          <w:p>
            <w:pPr>
              <w:ind w:left="540"/>
              <w:spacing w:after="0"/>
              <w:rPr>
                <w:sz w:val="20"/>
                <w:szCs w:val="20"/>
                <w:color w:val="auto"/>
              </w:rPr>
            </w:pPr>
            <w:r>
              <w:rPr>
                <w:rFonts w:ascii="Arial" w:cs="Arial" w:eastAsia="Arial" w:hAnsi="Arial"/>
                <w:sz w:val="18"/>
                <w:szCs w:val="18"/>
                <w:color w:val="auto"/>
              </w:rPr>
              <w:t>President and Chief Operating Officer</w:t>
            </w: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360" w:type="dxa"/>
            <w:vAlign w:val="bottom"/>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 Biondi, Jr.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Director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Robert Johnson</w:t>
            </w:r>
          </w:p>
        </w:tc>
        <w:tc>
          <w:tcPr>
            <w:tcW w:w="240" w:type="dxa"/>
            <w:vAlign w:val="bottom"/>
          </w:tcPr>
          <w:p>
            <w:pPr>
              <w:jc w:val="right"/>
              <w:spacing w:after="0"/>
              <w:rPr>
                <w:sz w:val="20"/>
                <w:szCs w:val="20"/>
                <w:color w:val="auto"/>
              </w:rPr>
            </w:pPr>
            <w:r>
              <w:rPr>
                <w:rFonts w:ascii="Arial" w:cs="Arial" w:eastAsia="Arial" w:hAnsi="Arial"/>
                <w:sz w:val="18"/>
                <w:szCs w:val="18"/>
                <w:color w:val="auto"/>
              </w:rPr>
              <w:t>66</w:t>
            </w:r>
          </w:p>
        </w:tc>
        <w:tc>
          <w:tcPr>
            <w:tcW w:w="4040" w:type="dxa"/>
            <w:vAlign w:val="bottom"/>
            <w:gridSpan w:val="3"/>
          </w:tcPr>
          <w:p>
            <w:pPr>
              <w:ind w:left="540"/>
              <w:spacing w:after="0"/>
              <w:rPr>
                <w:sz w:val="20"/>
                <w:szCs w:val="20"/>
                <w:color w:val="auto"/>
              </w:rPr>
            </w:pPr>
            <w:r>
              <w:rPr>
                <w:rFonts w:ascii="Arial" w:cs="Arial" w:eastAsia="Arial" w:hAnsi="Arial"/>
                <w:sz w:val="18"/>
                <w:szCs w:val="18"/>
                <w:color w:val="auto"/>
              </w:rPr>
              <w:t>Director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4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I</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Allen Lay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Director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240" w:type="dxa"/>
            <w:vAlign w:val="bottom"/>
          </w:tcPr>
          <w:p>
            <w:pPr>
              <w:jc w:val="right"/>
              <w:spacing w:after="0"/>
              <w:rPr>
                <w:sz w:val="20"/>
                <w:szCs w:val="20"/>
                <w:color w:val="auto"/>
              </w:rPr>
            </w:pPr>
            <w:r>
              <w:rPr>
                <w:rFonts w:ascii="Arial" w:cs="Arial" w:eastAsia="Arial" w:hAnsi="Arial"/>
                <w:sz w:val="18"/>
                <w:szCs w:val="18"/>
                <w:color w:val="auto"/>
              </w:rPr>
              <w:t>68</w:t>
            </w:r>
          </w:p>
        </w:tc>
        <w:tc>
          <w:tcPr>
            <w:tcW w:w="4040" w:type="dxa"/>
            <w:vAlign w:val="bottom"/>
            <w:gridSpan w:val="3"/>
          </w:tcPr>
          <w:p>
            <w:pPr>
              <w:ind w:left="540"/>
              <w:spacing w:after="0"/>
              <w:rPr>
                <w:sz w:val="20"/>
                <w:szCs w:val="20"/>
                <w:color w:val="auto"/>
              </w:rPr>
            </w:pPr>
            <w:r>
              <w:rPr>
                <w:rFonts w:ascii="Arial" w:cs="Arial" w:eastAsia="Arial" w:hAnsi="Arial"/>
                <w:sz w:val="18"/>
                <w:szCs w:val="18"/>
                <w:color w:val="auto"/>
              </w:rPr>
              <w:t>Director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4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Stenbit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Director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Harvey White</w:t>
            </w:r>
          </w:p>
        </w:tc>
        <w:tc>
          <w:tcPr>
            <w:tcW w:w="240" w:type="dxa"/>
            <w:vAlign w:val="bottom"/>
          </w:tcPr>
          <w:p>
            <w:pPr>
              <w:jc w:val="right"/>
              <w:spacing w:after="0"/>
              <w:rPr>
                <w:sz w:val="20"/>
                <w:szCs w:val="20"/>
                <w:color w:val="auto"/>
              </w:rPr>
            </w:pPr>
            <w:r>
              <w:rPr>
                <w:rFonts w:ascii="Arial" w:cs="Arial" w:eastAsia="Arial" w:hAnsi="Arial"/>
                <w:sz w:val="18"/>
                <w:szCs w:val="18"/>
                <w:color w:val="auto"/>
              </w:rPr>
              <w:t>82</w:t>
            </w:r>
          </w:p>
        </w:tc>
        <w:tc>
          <w:tcPr>
            <w:tcW w:w="4040" w:type="dxa"/>
            <w:vAlign w:val="bottom"/>
            <w:gridSpan w:val="3"/>
          </w:tcPr>
          <w:p>
            <w:pPr>
              <w:ind w:left="540"/>
              <w:spacing w:after="0"/>
              <w:rPr>
                <w:sz w:val="20"/>
                <w:szCs w:val="20"/>
                <w:color w:val="auto"/>
              </w:rPr>
            </w:pPr>
            <w:r>
              <w:rPr>
                <w:rFonts w:ascii="Arial" w:cs="Arial" w:eastAsia="Arial" w:hAnsi="Arial"/>
                <w:sz w:val="18"/>
                <w:szCs w:val="18"/>
                <w:color w:val="auto"/>
              </w:rPr>
              <w:t>Director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44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III</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Nominated for Election at this Annual Meeting</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Richard Baldridge </w:t>
      </w:r>
      <w:r>
        <w:rPr>
          <w:rFonts w:ascii="Arial" w:cs="Arial" w:eastAsia="Arial" w:hAnsi="Arial"/>
          <w:sz w:val="18"/>
          <w:szCs w:val="18"/>
          <w:color w:val="auto"/>
        </w:rPr>
        <w:t>joined ViaSat in 1999, serving as our Executive Vice President, Chief Financial Officer and Chief Operating Officer from 2000 and as</w:t>
      </w:r>
      <w:r>
        <w:rPr>
          <w:rFonts w:ascii="Arial" w:cs="Arial" w:eastAsia="Arial" w:hAnsi="Arial"/>
          <w:sz w:val="18"/>
          <w:szCs w:val="18"/>
          <w:i w:val="1"/>
          <w:iCs w:val="1"/>
          <w:color w:val="auto"/>
        </w:rPr>
        <w:t xml:space="preserve"> </w:t>
      </w:r>
      <w:r>
        <w:rPr>
          <w:rFonts w:ascii="Arial" w:cs="Arial" w:eastAsia="Arial" w:hAnsi="Arial"/>
          <w:sz w:val="18"/>
          <w:szCs w:val="18"/>
          <w:color w:val="auto"/>
        </w:rPr>
        <w:t>our Executive Vice President and Chief Operating Officer from 2002. Mr. Baldridge assumed his current role as President and Chief Operating Officer in 2003. Our Board will benefit from Mr. Baldridge’s many years with ViaSat and his extensive knowledge regarding our strategic vision, management and operations, including our segments, technology areas and competition. He has a proven track record of driving results and in leading and executing many of ViaSat’s strategy shifts as part of our growth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initiatives. Mr. Baldridge serves as a director of Ducommun Incorporated,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1998 to 1999. From 1994 to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B. Allen Lay </w:t>
      </w:r>
      <w:r>
        <w:rPr>
          <w:rFonts w:ascii="Arial" w:cs="Arial" w:eastAsia="Arial" w:hAnsi="Arial"/>
          <w:sz w:val="16"/>
          <w:szCs w:val="16"/>
          <w:color w:val="auto"/>
        </w:rPr>
        <w:t>has been a director of ViaSat since 1996. Mr. Lay brings significant business and financial expertise to our Board due to his background as 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 in companies in various fields. From 1983 to 2001, he was a General Partner of Southern California Ventures, a venture capital company. From 2001 to the present, he has acted as a consultant to the venture capital industry. Mr. Lay also has significant expertise and perspective as a member of the boards of directors of companies in various industries, including software and hardware. Mr. Lay formerly served as the President and Chief Operating Officer of CADO Systems, Inc., and Chief Executive Officer of Meridian Data Inc. and Westbrae Natural Inc. He has served on a number of boards of directors of companies both private and public, and currently serves on the board of directors of Carley Lamps, LLC.</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Dr. Jeffrey Nash </w:t>
      </w:r>
      <w:r>
        <w:rPr>
          <w:rFonts w:ascii="Arial" w:cs="Arial" w:eastAsia="Arial" w:hAnsi="Arial"/>
          <w:sz w:val="16"/>
          <w:szCs w:val="16"/>
          <w:color w:val="auto"/>
        </w:rPr>
        <w:t>has been a director of ViaSat since 1987. Dr. Nash provides our Board with significant operational and financial expertise due to his</w:t>
      </w:r>
      <w:r>
        <w:rPr>
          <w:rFonts w:ascii="Arial" w:cs="Arial" w:eastAsia="Arial" w:hAnsi="Arial"/>
          <w:sz w:val="16"/>
          <w:szCs w:val="16"/>
          <w:i w:val="1"/>
          <w:iCs w:val="1"/>
          <w:color w:val="auto"/>
        </w:rPr>
        <w:t xml:space="preserve"> </w:t>
      </w:r>
      <w:r>
        <w:rPr>
          <w:rFonts w:ascii="Arial" w:cs="Arial" w:eastAsia="Arial" w:hAnsi="Arial"/>
          <w:sz w:val="16"/>
          <w:szCs w:val="16"/>
          <w:color w:val="auto"/>
        </w:rPr>
        <w:t>background as an executive of, investor in, and consultant to technology companies in various fields, including communications, aerospace and defense. From 2003 to 2009, Dr. Nash was President and Chairman of Inclined Plane Inc., a privately-held consulting and intellectual property development company serving the defense, communications and media industries. Dr. Nash also brings significant expertise and perspective through his service as a member of the boards of directors of private and public companies in various industries, including defense. Dr. Nash previously served as a director of REMEC, Inc., a former manufacturer of microwave products for defense, commercial communications and related applications, and Pepperball Technologies, Inc., a former manufacturer of non-lethal personal defense equipment for law enforcement, security and personal defense applications.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with Terms Expiring in 2017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Mark Dankberg </w:t>
      </w:r>
      <w:r>
        <w:rPr>
          <w:rFonts w:ascii="Arial" w:cs="Arial" w:eastAsia="Arial" w:hAnsi="Arial"/>
          <w:sz w:val="16"/>
          <w:szCs w:val="16"/>
          <w:color w:val="auto"/>
        </w:rPr>
        <w:t>is a founder of ViaSat and has served as Chairman of the Board and Chief Executive Officer of ViaSat since its inception in 1986.</w:t>
      </w:r>
    </w:p>
    <w:p>
      <w:pPr>
        <w:spacing w:after="0" w:line="3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Mr. Dankberg is widely regarded as a leading technology visionary and an acknowledged industry expert in aerospace, defense, and satellite communications. As our Chief Executive Officer, he has intimate familiarity with and knowledge of our technologies and product and service offerings and, for 30 years, he has successfully steered ViaSat in new strategic directions as the industries in which we compete continue to evolve. Mr. Dankberg serves as a director of TrellisWare Technologies, Inc., a majority-owned subsidiary of ViaSat that develops advanced signal processing technologies for communication applications, and serves on the board of Minnetronix, Inc., a privately-held medical device and design company. In addition, Mr. Dankberg was elected to the Rice University Board of Trustees in 2013, and was a member of the board of directors of REMEC, Inc. from 1999 to 2010.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2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Harvey White </w:t>
      </w:r>
      <w:r>
        <w:rPr>
          <w:rFonts w:ascii="Arial" w:cs="Arial" w:eastAsia="Arial" w:hAnsi="Arial"/>
          <w:sz w:val="16"/>
          <w:szCs w:val="16"/>
          <w:color w:val="auto"/>
        </w:rPr>
        <w:t>has been a director of ViaSat since 2005. Mr. White provides our Board with significant first-hand operational, management and leadership</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as an executive of large, complex global organizations in the technology industry. Since 2004, Mr. White has served as Chairman of (SHW)2 Enterprises, a privately-held firm that consults primarily in the wireless communication field. Prior to (SHW)2 Enterprises, Mr. White founded Leap Wireless International, Inc. in 1998 and was its Chairman and Chief Executive Officer until 2004, was a co-founder of QUALCOMM Incorporated (Nasdaq: QCOM) where he held various positions including director, President, Chief Operating Officer and Vice Chairman, and served as a director, Executive Vice President and Chief Operating Officer of Linkabit from 1978 to 1985. Mr. White currently serves on the board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directors of the Brain Corporation, a private robotics software company, and he previously served on the board of directors of Applied Micro Circuits Corporation (Nasdaq: AMCC) and Motive, Inc. Mr. White attended West Virginia Wesleyan College and Marshall University where he earned a B.A. degree in Economics.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with Terms Expiring in 2018</w:t>
      </w:r>
    </w:p>
    <w:p>
      <w:pPr>
        <w:spacing w:after="0" w:line="96"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i w:val="1"/>
          <w:iCs w:val="1"/>
          <w:color w:val="auto"/>
        </w:rPr>
        <w:t xml:space="preserve">Frank J. Biondi, Jr. </w:t>
      </w:r>
      <w:r>
        <w:rPr>
          <w:rFonts w:ascii="Arial" w:cs="Arial" w:eastAsia="Arial" w:hAnsi="Arial"/>
          <w:sz w:val="15"/>
          <w:szCs w:val="15"/>
          <w:color w:val="auto"/>
        </w:rPr>
        <w:t>has served as a director of ViaSat since 2015. Mr. Biondi provides our Board with leadership expertise and expansive board experience</w:t>
      </w:r>
      <w:r>
        <w:rPr>
          <w:rFonts w:ascii="Arial" w:cs="Arial" w:eastAsia="Arial" w:hAnsi="Arial"/>
          <w:sz w:val="15"/>
          <w:szCs w:val="15"/>
          <w:i w:val="1"/>
          <w:iCs w:val="1"/>
          <w:color w:val="auto"/>
        </w:rPr>
        <w:t xml:space="preserve"> </w:t>
      </w:r>
      <w:r>
        <w:rPr>
          <w:rFonts w:ascii="Arial" w:cs="Arial" w:eastAsia="Arial" w:hAnsi="Arial"/>
          <w:sz w:val="15"/>
          <w:szCs w:val="15"/>
          <w:color w:val="auto"/>
        </w:rPr>
        <w:t>resulting from his top executive roles at various corporations in the television and entertainment industries. Mr. Biondi currently serves as Senior Managing Director of WaterView Advisors LLC, a private equity fund specializing in media, a position he has held since 1999. Prior to joining WaterView Advisors,</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Mr. Biondi was Chairman and CEO of Universal Studios from 1996 through 1998, served as President and CEO of Viacom Inc. from 1987 to 1996, and served as Chairman and CEO of Coca Cola Television and an Executive Vice President of the Entertainment Business Sector of the Coca Cola Company from 1985 through 1987. Mr. Biondi currently serves on the boards of directors of Amgen, Inc. and Seagate Technology PLC. Mr. Biondi previously served on the boards of directors of Cablevision Systems Corporation from 2005 until 2016, of RealD Inc. from 2010 until 2016, of Hasbro, Inc. from 2002 until 2015, of Yahoo! Inc. from 2008 until 2010 and of Harrah’s Entertainment from 2002 to 2008. He is a graduate of Princeton University and earned an MBA from Harvard University.</w:t>
      </w:r>
    </w:p>
    <w:p>
      <w:pPr>
        <w:spacing w:after="0" w:line="11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Robert Johnson </w:t>
      </w:r>
      <w:r>
        <w:rPr>
          <w:rFonts w:ascii="Arial" w:cs="Arial" w:eastAsia="Arial" w:hAnsi="Arial"/>
          <w:sz w:val="16"/>
          <w:szCs w:val="16"/>
          <w:color w:val="auto"/>
        </w:rPr>
        <w:t>has been a director of ViaSat since 1986. Mr. Johnson brings significant business and corporate finance expertise to our Board through his</w:t>
      </w:r>
      <w:r>
        <w:rPr>
          <w:rFonts w:ascii="Arial" w:cs="Arial" w:eastAsia="Arial" w:hAnsi="Arial"/>
          <w:sz w:val="16"/>
          <w:szCs w:val="16"/>
          <w:i w:val="1"/>
          <w:iCs w:val="1"/>
          <w:color w:val="auto"/>
        </w:rPr>
        <w:t xml:space="preserve"> </w:t>
      </w:r>
      <w:r>
        <w:rPr>
          <w:rFonts w:ascii="Arial" w:cs="Arial" w:eastAsia="Arial" w:hAnsi="Arial"/>
          <w:sz w:val="16"/>
          <w:szCs w:val="16"/>
          <w:color w:val="auto"/>
        </w:rPr>
        <w:t>role as an investor in companies in various industries. Mr. Johnson has worked in the venture capital industry since 1980, and has acted as an independent investor and served on the board of directors of a number of entrepreneurial companies since 1983. Mr. Johnson has also taught classes at the Stanford Graduate School of Business, Stanford Department of Engineering, Caltech, UCLA Anderson School of Management and the Claremont Graduate School. Mr. Johnson earned B.S. and M.S. degrees in Electrical Engineering from Stanford University and M.B.A. and D.B.A. degrees from the Harvard Business School.</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John Stenbit </w:t>
      </w:r>
      <w:r>
        <w:rPr>
          <w:rFonts w:ascii="Arial" w:cs="Arial" w:eastAsia="Arial" w:hAnsi="Arial"/>
          <w:sz w:val="16"/>
          <w:szCs w:val="16"/>
          <w:color w:val="auto"/>
        </w:rPr>
        <w:t>has been a director of ViaSat since 2004, and is a consultant for various government and commercial clients. Mr. Stenbit provides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with significant technological, defense and national security expertise as a result of his distinguished career of corporate and government service focused on the communications, aerospace and satellite fields. From 2001 to his retirement in 2004, Mr. Stenbit served as the Assistant Secretary of Defense for Command, Control, Communications, and Intelligence (C3I) and later as Assistant Secretary of Defense of Networks and Information Integration / Department of Defense Chief Information Officer, the C3I successor organization. From 1977 to 2001, Mr. Stenbit worked for TRW, retiring as Executive Vice President. Mr. Stenbit was a Fulbright Fellow and Aerospace Corporation Fellow at the Technische Hogeschool, Einhoven, Netherlands. Mr. Stenbit has chaired the Science Advisory Panel for the Administrator of the Federal Aviation Administration and to the Director of the Central Intelligence Agency. He also has significant expertise and perspective as a member of the boards of directors of private and public companies in various industries. Mr. Stenbit currently serves on the boards of directors of Loral Space &amp; Communications Inc. (Nasdaq: LORL) and Defense Group Inc., a private corporation. He also serves on the board of trustees of The Mitre Corp., a not-for-profit corporation, and as a member of the Advisory Boards of the National Security Agency and the Science Advisory Group of the U.S. Strategic Command. Mr. Stenbit previously served as a director of Cogent, Inc., SM&amp;A Corporation and SI International,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Mr. Baldridge, Mr. Lay and Dr. Nash.</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Audit Committee has selected PricewaterhouseCoopers LLP as ViaSat’s independent registered public accounting firm for our fiscal year ending March 31, 2017.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is a summary of the fees billed by PricewaterhouseCoopers for professional services rendered for the fiscal years ended March 31, 2016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April 3, 2015:</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FY</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FY</w:t>
            </w:r>
          </w:p>
        </w:tc>
        <w:tc>
          <w:tcPr>
            <w:tcW w:w="0" w:type="dxa"/>
            <w:vAlign w:val="bottom"/>
          </w:tcPr>
          <w:p>
            <w:pPr>
              <w:spacing w:after="0"/>
              <w:rPr>
                <w:sz w:val="1"/>
                <w:szCs w:val="1"/>
                <w:color w:val="auto"/>
              </w:rPr>
            </w:pPr>
          </w:p>
        </w:tc>
      </w:tr>
      <w:tr>
        <w:trPr>
          <w:trHeight w:val="149"/>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Fee Category</w:t>
            </w: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2016 Fees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2015 Fees</w:t>
            </w:r>
          </w:p>
        </w:tc>
        <w:tc>
          <w:tcPr>
            <w:tcW w:w="0" w:type="dxa"/>
            <w:vAlign w:val="bottom"/>
          </w:tcPr>
          <w:p>
            <w:pPr>
              <w:spacing w:after="0"/>
              <w:rPr>
                <w:sz w:val="1"/>
                <w:szCs w:val="1"/>
                <w:color w:val="auto"/>
              </w:rPr>
            </w:pPr>
          </w:p>
        </w:tc>
      </w:tr>
      <w:tr>
        <w:trPr>
          <w:trHeight w:val="168"/>
        </w:trPr>
        <w:tc>
          <w:tcPr>
            <w:tcW w:w="8480" w:type="dxa"/>
            <w:vAlign w:val="bottom"/>
            <w:gridSpan w:val="3"/>
            <w:vMerge w:val="continue"/>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Audit Fees</w:t>
            </w:r>
          </w:p>
        </w:tc>
        <w:tc>
          <w:tcPr>
            <w:tcW w:w="76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2,721,456</w:t>
            </w: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2,196,168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100,109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96,778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81,564</w:t>
            </w:r>
          </w:p>
        </w:tc>
        <w:tc>
          <w:tcPr>
            <w:tcW w:w="760" w:type="dxa"/>
            <w:vAlign w:val="bottom"/>
          </w:tcPr>
          <w:p>
            <w:pPr>
              <w:jc w:val="right"/>
              <w:spacing w:after="0"/>
              <w:rPr>
                <w:sz w:val="20"/>
                <w:szCs w:val="20"/>
                <w:color w:val="auto"/>
              </w:rPr>
            </w:pPr>
            <w:r>
              <w:rPr>
                <w:rFonts w:ascii="Arial" w:cs="Arial" w:eastAsia="Arial" w:hAnsi="Arial"/>
                <w:sz w:val="18"/>
                <w:szCs w:val="18"/>
                <w:color w:val="auto"/>
              </w:rPr>
              <w:t>69,941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2,999,907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2,325,529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This category includes the audit of our annual consolidated financial statements and the audit of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financial statements included in our Form 10-Q quarterly reports, and services that are normally provided by the independent registered public accounting firm in connection with statutory and regulatory filings or engagements.</w:t>
      </w:r>
    </w:p>
    <w:p>
      <w:pPr>
        <w:spacing w:after="0" w:line="14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This category consists of assurance and related services provided by PricewaterhouseCoopers that are reasonably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audit or review of our consolidated financial statements, and are not reported above as Audit Fees. These services include accounting consultations in connection with acquisitions, and consultations concerning financial accounting and reporting standards.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This category consists of professional services rendered by PricewaterhouseCoopers, primarily in connection with tax compliance, tax planning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tax advice activities. These services include assistance with the preparation of tax returns, claims for refunds, value added tax compliance, and consultations on state, local and international tax matters.</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This category consists of fees for products and services other than the services reported above, including fees for subscription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PricewaterhouseCoopers’ on-line research tool.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the Audit Committee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policy, and the fees for the services performed to date. During fiscal year 2016, the fees paid to PricewaterhouseCoopers shown in the table above were pre-approved in accordance with this policy.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as ViaSat’s independent registered public accounting firm for fiscal year 2017.</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are providing ViaSat stockholders with an opportunity to cast an advisory vote to endorse or not endorse the compensation of our Named Executive Officers (identified in the Summary Compensation Table) as disclosed in this proxy statement in accordance with the SEC’s compensation disclosure rules. This proposal, commonly known as a “say-on-pay” proposal, gives our stockholders the opportunity to express their views on the design and effectiveness of our executive compensation program. This vote is not intended to address any specific item of compensation, but rather the overall compensation of our Named Executive Officers and the compensation philosophy, policies and practices described in this proxy statement.</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At our last annual meeting of stockholders held in September 2015, an overwhelming majority of the votes cast on the say-on-pay proposal were voted in favor of the proposal. We were gratified that, at our last annual meeting, approximately 94% of the votes cast by our stockholders supported our executive compensation program. Our Board of Directors believes this affirms stockholders’ support of ViaSat’s approach to executive compensation.</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Consistent with ViaSat’s compensation philosophy described more fully in the Compensation Discussion and Analysis section of this proxy statement, our executive compensation program has been designed to encourage high performance, promote accountability and align the interests of our executives with the interests of our stockholders by linking a substantial portion of compensation to the company’s performance. The program is designed to reward superior performance and provide financial consequences for underperformance. The program is also designed to attract, retain and motivate a talented team of executives with superior ability, experience and leadership to grow the company’s business and build stockholder value. We urge stockholders to read the Compensation Discussion and Analysis section of this proxy statement, which describes in more detail how our compensation policies and procedures operate and are designed to achieve our compensation objectives, as well as the Summary Compensation Table and other related compensation tables and disclosure, which provide detailed information on the compensation of our Named Executive Officers. We believe that our executive compensation program fulfills these objectives and that the compensation of our Named Executive Officers is instrumental in contributing to ViaSat’s long-term success.</w:t>
      </w:r>
    </w:p>
    <w:p>
      <w:pPr>
        <w:spacing w:after="0" w:line="12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request stockholder approval, on an advisory basis, of the compensation of ViaSat’s Named Executive Officers, as disclosed in ViaSat’s proxy statement for the 2016 annual meeting of stockholders pursuant to the compensation disclosure rules of the SEC, including the Compensation Discussion and Analysis, the Summary Compensation Table and the other related compensation tables and disclosure.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While this advisory vote is non-binding, our Board of Directors values the opinions that our stockholders express in their votes and will, as a matter of good corporate practice, take into account the outcome of the vote when considering future compensation decisions.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Consistent with the preference of our stockholders as reflected in our prior non-binding advisory vote on the frequency of future say-on-pay votes, this say-on-pay advisory vote will be presented on an annual basis unless otherwise disclosed. Following this year’s advisory vote, the next scheduled say-on-pay advisory vote will take place at our 2017 annual meeting of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compensation of the Named Executive Officers as disclosed in this proxy statement.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OWNERSHIP OF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Table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information known to us regarding the ownership of ViaSat common stock as of July 1, 2016 by (1) each director, (2) each of the Named Executive Officers identified in the Summary Compensation Table, (3) all directors and executive officers of ViaSat as a group, and (4) all other stockholders known by us to be beneficial owners of more than 5% of ViaSat common stock.</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Beneficial Owner (1)</w:t>
            </w:r>
          </w:p>
        </w:tc>
        <w:tc>
          <w:tcPr>
            <w:tcW w:w="4500" w:type="dxa"/>
            <w:vAlign w:val="bottom"/>
            <w:vMerge w:val="restart"/>
          </w:tcPr>
          <w:p>
            <w:pPr>
              <w:spacing w:after="0"/>
              <w:rPr>
                <w:sz w:val="14"/>
                <w:szCs w:val="14"/>
                <w:color w:val="auto"/>
              </w:rPr>
            </w:pPr>
          </w:p>
        </w:tc>
        <w:tc>
          <w:tcPr>
            <w:tcW w:w="298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w w:val="92"/>
              </w:rPr>
              <w:t>Amount and Nature of</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Percent Beneficial</w:t>
            </w:r>
          </w:p>
        </w:tc>
        <w:tc>
          <w:tcPr>
            <w:tcW w:w="0" w:type="dxa"/>
            <w:vAlign w:val="bottom"/>
          </w:tcPr>
          <w:p>
            <w:pPr>
              <w:spacing w:after="0"/>
              <w:rPr>
                <w:sz w:val="1"/>
                <w:szCs w:val="1"/>
                <w:color w:val="auto"/>
              </w:rPr>
            </w:pPr>
          </w:p>
        </w:tc>
      </w:tr>
      <w:tr>
        <w:trPr>
          <w:trHeight w:val="168"/>
        </w:trPr>
        <w:tc>
          <w:tcPr>
            <w:tcW w:w="1840" w:type="dxa"/>
            <w:vAlign w:val="bottom"/>
            <w:tcBorders>
              <w:bottom w:val="single" w:sz="8" w:color="auto"/>
            </w:tcBorders>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2980" w:type="dxa"/>
            <w:vAlign w:val="bottom"/>
            <w:gridSpan w:val="2"/>
          </w:tcPr>
          <w:p>
            <w:pPr>
              <w:jc w:val="right"/>
              <w:ind w:right="1540"/>
              <w:spacing w:after="0" w:line="148" w:lineRule="exact"/>
              <w:rPr>
                <w:sz w:val="20"/>
                <w:szCs w:val="20"/>
                <w:color w:val="auto"/>
              </w:rPr>
            </w:pPr>
            <w:r>
              <w:rPr>
                <w:rFonts w:ascii="Arial" w:cs="Arial" w:eastAsia="Arial" w:hAnsi="Arial"/>
                <w:sz w:val="14"/>
                <w:szCs w:val="14"/>
                <w:b w:val="1"/>
                <w:bCs w:val="1"/>
                <w:color w:val="auto"/>
                <w:w w:val="86"/>
              </w:rPr>
              <w:t>Beneficial Ownership (2)</w:t>
            </w:r>
          </w:p>
        </w:tc>
        <w:tc>
          <w:tcPr>
            <w:tcW w:w="11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7"/>
              </w:rPr>
              <w:t>Ownership (%) (3)</w:t>
            </w:r>
          </w:p>
        </w:tc>
        <w:tc>
          <w:tcPr>
            <w:tcW w:w="0" w:type="dxa"/>
            <w:vAlign w:val="bottom"/>
          </w:tcPr>
          <w:p>
            <w:pPr>
              <w:spacing w:after="0"/>
              <w:rPr>
                <w:sz w:val="1"/>
                <w:szCs w:val="1"/>
                <w:color w:val="auto"/>
              </w:rPr>
            </w:pPr>
          </w:p>
        </w:tc>
      </w:tr>
      <w:tr>
        <w:trPr>
          <w:trHeight w:val="190"/>
        </w:trPr>
        <w:tc>
          <w:tcPr>
            <w:tcW w:w="6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Officers:</w:t>
            </w:r>
          </w:p>
        </w:tc>
        <w:tc>
          <w:tcPr>
            <w:tcW w:w="144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Mark Dankberg</w:t>
            </w:r>
          </w:p>
        </w:tc>
        <w:tc>
          <w:tcPr>
            <w:tcW w:w="2980" w:type="dxa"/>
            <w:vAlign w:val="bottom"/>
            <w:gridSpan w:val="2"/>
          </w:tcPr>
          <w:p>
            <w:pPr>
              <w:jc w:val="right"/>
              <w:ind w:right="1320"/>
              <w:spacing w:after="0"/>
              <w:rPr>
                <w:sz w:val="20"/>
                <w:szCs w:val="20"/>
                <w:color w:val="auto"/>
              </w:rPr>
            </w:pPr>
            <w:r>
              <w:rPr>
                <w:rFonts w:ascii="Arial" w:cs="Arial" w:eastAsia="Arial" w:hAnsi="Arial"/>
                <w:sz w:val="18"/>
                <w:szCs w:val="18"/>
                <w:color w:val="auto"/>
              </w:rPr>
              <w:t>1,971,977(4)</w:t>
            </w: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Johnson</w:t>
            </w:r>
          </w:p>
        </w:tc>
        <w:tc>
          <w:tcPr>
            <w:tcW w:w="29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692,096(5)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B. Allen Lay</w:t>
            </w:r>
          </w:p>
        </w:tc>
        <w:tc>
          <w:tcPr>
            <w:tcW w:w="2980" w:type="dxa"/>
            <w:vAlign w:val="bottom"/>
            <w:gridSpan w:val="2"/>
          </w:tcPr>
          <w:p>
            <w:pPr>
              <w:jc w:val="right"/>
              <w:ind w:right="1320"/>
              <w:spacing w:after="0"/>
              <w:rPr>
                <w:sz w:val="20"/>
                <w:szCs w:val="20"/>
                <w:color w:val="auto"/>
              </w:rPr>
            </w:pPr>
            <w:r>
              <w:rPr>
                <w:rFonts w:ascii="Arial" w:cs="Arial" w:eastAsia="Arial" w:hAnsi="Arial"/>
                <w:sz w:val="18"/>
                <w:szCs w:val="18"/>
                <w:color w:val="auto"/>
              </w:rPr>
              <w:t>363,813(6)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Baldridge</w:t>
            </w:r>
          </w:p>
        </w:tc>
        <w:tc>
          <w:tcPr>
            <w:tcW w:w="29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349,207(7)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2980" w:type="dxa"/>
            <w:vAlign w:val="bottom"/>
            <w:gridSpan w:val="2"/>
          </w:tcPr>
          <w:p>
            <w:pPr>
              <w:jc w:val="right"/>
              <w:ind w:right="1320"/>
              <w:spacing w:after="0"/>
              <w:rPr>
                <w:sz w:val="20"/>
                <w:szCs w:val="20"/>
                <w:color w:val="auto"/>
              </w:rPr>
            </w:pPr>
            <w:r>
              <w:rPr>
                <w:rFonts w:ascii="Arial" w:cs="Arial" w:eastAsia="Arial" w:hAnsi="Arial"/>
                <w:sz w:val="18"/>
                <w:szCs w:val="18"/>
                <w:color w:val="auto"/>
              </w:rPr>
              <w:t>341,365(8)</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Harvey White</w:t>
            </w:r>
          </w:p>
        </w:tc>
        <w:tc>
          <w:tcPr>
            <w:tcW w:w="29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73,500(9)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John Stenbit</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34,500(10)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Duffy</w:t>
            </w:r>
          </w:p>
        </w:tc>
        <w:tc>
          <w:tcPr>
            <w:tcW w:w="2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28,302(11)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Bob Bowman</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25,200(12)</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Keven Lippert</w:t>
            </w:r>
          </w:p>
        </w:tc>
        <w:tc>
          <w:tcPr>
            <w:tcW w:w="2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17,343(13)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16,581(14)</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 Biondi, Jr.</w:t>
            </w:r>
          </w:p>
        </w:tc>
        <w:tc>
          <w:tcPr>
            <w:tcW w:w="2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4,000(15)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(17 persons)</w:t>
            </w:r>
          </w:p>
        </w:tc>
        <w:tc>
          <w:tcPr>
            <w:tcW w:w="1440" w:type="dxa"/>
            <w:vAlign w:val="bottom"/>
          </w:tcPr>
          <w:p>
            <w:pPr>
              <w:jc w:val="right"/>
              <w:spacing w:after="0"/>
              <w:rPr>
                <w:sz w:val="20"/>
                <w:szCs w:val="20"/>
                <w:color w:val="auto"/>
              </w:rPr>
            </w:pPr>
            <w:r>
              <w:rPr>
                <w:rFonts w:ascii="Arial" w:cs="Arial" w:eastAsia="Arial" w:hAnsi="Arial"/>
                <w:sz w:val="18"/>
                <w:szCs w:val="18"/>
                <w:color w:val="auto"/>
              </w:rPr>
              <w:t>4,867,032</w:t>
            </w:r>
          </w:p>
        </w:tc>
        <w:tc>
          <w:tcPr>
            <w:tcW w:w="1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5% Stockholders:</w:t>
            </w:r>
          </w:p>
        </w:tc>
        <w:tc>
          <w:tcPr>
            <w:tcW w:w="1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The Baupost Group, L.L.C.</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11,533,137(16)</w:t>
            </w:r>
          </w:p>
        </w:tc>
        <w:tc>
          <w:tcPr>
            <w:tcW w:w="10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FPR Partners, LLC</w:t>
            </w:r>
          </w:p>
        </w:tc>
        <w:tc>
          <w:tcPr>
            <w:tcW w:w="2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5,917,893(17)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Southeastern Asset Management, Inc.</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4,606,627(18)</w:t>
            </w: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2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4,172,455(19)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40" w:type="dxa"/>
            <w:vAlign w:val="bottom"/>
            <w:gridSpan w:val="2"/>
          </w:tcPr>
          <w:p>
            <w:pPr>
              <w:spacing w:after="0"/>
              <w:rPr>
                <w:sz w:val="20"/>
                <w:szCs w:val="20"/>
                <w:color w:val="auto"/>
              </w:rPr>
            </w:pPr>
            <w:r>
              <w:rPr>
                <w:rFonts w:ascii="Arial" w:cs="Arial" w:eastAsia="Arial" w:hAnsi="Arial"/>
                <w:sz w:val="18"/>
                <w:szCs w:val="18"/>
                <w:color w:val="auto"/>
              </w:rPr>
              <w:t>The Vanguard Group</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3,340,647(20)</w:t>
            </w: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27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0" w:hanging="364"/>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 Unless otherwise indicated, the address of each person or entity named below is c/o ViaSat, Inc., 6155 El Camino Real, Carlsbad, California 92009.</w:t>
      </w:r>
    </w:p>
    <w:p>
      <w:pPr>
        <w:spacing w:after="0" w:line="2" w:lineRule="exact"/>
        <w:rPr>
          <w:rFonts w:ascii="Arial" w:cs="Arial" w:eastAsia="Arial" w:hAnsi="Arial"/>
          <w:sz w:val="18"/>
          <w:szCs w:val="18"/>
          <w:color w:val="auto"/>
        </w:rPr>
      </w:pPr>
    </w:p>
    <w:p>
      <w:pPr>
        <w:ind w:left="460" w:hanging="364"/>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computing the number of shares beneficially owned by a person named in the table and the percentage ownership of that person, shares of common stock that such person had the right to acquire within 60 days after July 1, 2016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July 1, 2016 and references to restricted stock units in the footnotes of the table include only restricted stock units that are scheduled to vest within 60 days after July 1, 2016.</w:t>
      </w:r>
    </w:p>
    <w:p>
      <w:pPr>
        <w:spacing w:after="0" w:line="2" w:lineRule="exact"/>
        <w:rPr>
          <w:rFonts w:ascii="Arial" w:cs="Arial" w:eastAsia="Arial" w:hAnsi="Arial"/>
          <w:sz w:val="18"/>
          <w:szCs w:val="18"/>
          <w:color w:val="auto"/>
        </w:rPr>
      </w:pPr>
    </w:p>
    <w:p>
      <w:pPr>
        <w:ind w:left="460" w:right="180" w:hanging="364"/>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each person included in the table, percentage ownership is calculated by dividing the number of shares beneficially owned by such person by the sum of (a) 49,280,147 shares of common stock outstanding on July 1, 2016 plus (b) the number of shares of common stock that such person had the right to acquire within 60 days after July 1, 2016.</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364"/>
        <w:spacing w:after="0" w:line="28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(a) 385,750 shares subject to options exercisable by Mr. Dankberg within 60 days after July 1, 2016, (b) 62,261 shares held by the Dankberg Family Foundation, (c) 1,522,378 shares held by the Dankberg Family Trust, and (d) 661,967 shares pledged as collateral in a brokerage margin account. With respect to the shares pledged by Mr. Dankberg, it should be noted that (i) Mr. Dankberg’s pledged shares are not designed to shift or hedge any economic risk associated with his ownership of ViaSat common stock, (ii) the total number of shares of ViaSat common stock pledged under this margin account arrangement constituted only 1.34% of the total outstanding shares of ViaSat common stock as of July 1, 2016, (iii) the maximum aggregate principal amount of advances secured by Mr. Dankberg’s pledged shares is $9.5 million, which, based on the closing price of ViaSat common stock on July 1, 2016, would be equivalent to only approximately 134,029 shares of ViaSat common stock, and (iv) Mr. Dankberg has advised us that he has the financial capacity to meet a margin call or repay any advance under his margin agreement without resort to the pledged shares.</w:t>
      </w:r>
    </w:p>
    <w:p>
      <w:pPr>
        <w:spacing w:after="0" w:line="5" w:lineRule="exact"/>
        <w:rPr>
          <w:rFonts w:ascii="Arial" w:cs="Arial" w:eastAsia="Arial" w:hAnsi="Arial"/>
          <w:sz w:val="16"/>
          <w:szCs w:val="16"/>
          <w:color w:val="auto"/>
        </w:rPr>
      </w:pPr>
    </w:p>
    <w:p>
      <w:pPr>
        <w:ind w:left="460" w:right="240" w:hanging="364"/>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 25,000 shares subject to options exercisable by Mr. Johnson within 60 days after July 1, 2016, and (b) 667,096 shares held by the Robert W. Johnson Revocable Trust dated 8/13/1992.</w:t>
      </w:r>
    </w:p>
    <w:p>
      <w:pPr>
        <w:ind w:left="460" w:right="160" w:hanging="364"/>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 20,000 shares subject to options exercisable by Mr. Lay within 60 days after July 1, 2016, and (b) 186,026 shares, 127,387 shares and 30,400 shares held by Lay Ventures, L.P., the Lay Living Trust and the Lay Charitable Remainder Trust, respectively.</w:t>
      </w:r>
    </w:p>
    <w:p>
      <w:pPr>
        <w:ind w:left="460" w:right="200" w:hanging="364"/>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 204,025 shares subject to options exercisable by Mr. Baldridge within 60 days after July 1, 2016, and (b) 143,113 shares held by the Richard and Donna Baldridge Family Trust.</w:t>
      </w:r>
    </w:p>
    <w:p>
      <w:pPr>
        <w:ind w:left="460" w:right="300" w:hanging="364"/>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 20,000 shares subject to options exercisable by Dr. Nash within 60 days after July 1, 2016, and (b) 321,365 shares held by the Nash Family Trust n/d/t 3/18/1980.</w:t>
      </w:r>
    </w:p>
    <w:p>
      <w:pPr>
        <w:ind w:left="460" w:hanging="364"/>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 20,000 shares subject to options exercisable by Mr. White within 60 days after July 1, 2016, (b) 51,900 shares held by the Harvey P. and Sheryl L. White Trust, and (c) 1,600 shares held by The Sheryl &amp; Harvey White Foundation.</w:t>
      </w:r>
    </w:p>
    <w:p>
      <w:pPr>
        <w:ind w:left="460" w:right="1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 21,500 shares subject to options exercisable by Mr. Stenbit within 60 days after July 1, 2016, and (b) 6,600 shares held by THE PIETJE 2012 GIFT TRUST.</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14,375 shares subject to options exercisable by Ms. Duffy within 60 days after July 1,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19,000 shares subject to options exercisable by Mr. Bowman within 60 days after July 1,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16,250 shares subject to options exercisable by Mr. Lippert within 60 days after July 1,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9,376 shares subject to options exercisable by Mr. Peterman within 60 days after July 1,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3,000 shares subject to options exercisable by Mr. Biondi within 60 days after July 1, 2016.</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13G jointly filed with the SEC on February 13, 2015 by The Baupost Group, L.L.C. (Baupost), SAK Corporation and Seth A. Klarman. Such Schedule states that Baupost, SAK Corporation and Mr. Klarman have shared voting and dispositive power over 11,533,137 shares. Baupost is a registered investment adviser and acts as an investment adviser and general partner to certain private investment limited partnerships. SAK Corporation is the manager of Baupost. Mr. Klarman is the sole director and sole officer of SAK Corporation and a controlling person of Baupost. The address of Baupost, SAK Corporation and Mr. Klarman is 10 St. James Avenue, Suite 1700, Boston, Massachusetts 02116.</w:t>
      </w:r>
    </w:p>
    <w:p>
      <w:pPr>
        <w:spacing w:after="0" w:line="3"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13G jointly filed with the SEC on February 16, 2016 by FPR Partners, LLC (FPR), Andrew Raab and Bob Peck. Such Schedule states that FPR, Mr. Raab and Mr. Peck have shared voting and dispositive power over 5,917,893 shares. FPR is a registered investment adviser and acts as an investment manager to certain limited partnerships. Mr. Raab and Mr. Peck are the senior managing members of FPR. The address of FPR, Mr. Raab and Mr. Peck is 199 Fremont Street, Suite 2500, San Francisco, California 94105.</w:t>
      </w:r>
    </w:p>
    <w:p>
      <w:pPr>
        <w:spacing w:after="0" w:line="2" w:lineRule="exact"/>
        <w:rPr>
          <w:rFonts w:ascii="Arial" w:cs="Arial" w:eastAsia="Arial" w:hAnsi="Arial"/>
          <w:sz w:val="16"/>
          <w:szCs w:val="16"/>
          <w:color w:val="auto"/>
        </w:rPr>
      </w:pPr>
    </w:p>
    <w:p>
      <w:pPr>
        <w:ind w:left="460" w:right="40" w:hanging="452"/>
        <w:spacing w:after="0" w:line="290"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13G jointly filed with the SEC on February 12, 2016 by Southeastern Asset Management, Inc. (Southeastern), Longleaf Partners Small-Cap Fund (Longleaf) and O. Mason Hawkins. Such Schedule states that Southeastern and Longleaf have shared voting and dispositive power over 3,436,313 shares, that Southeastern has sole voting power over 1,125,390 shares, no voting power over 44,924 shares and sole dispositive power over 1,170,314 shares, and that Mr. Hawkins does not have shared voting power or shared dispositive power with respect to any shares. Southeastern is a registered investment adviser and acts as an investment adviser to Longleaf, an investment company. All of the securities reported are owned legally by Southeastern’s investment advisory clients. Mr. Hawkins is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4" w:lineRule="auto"/>
        <w:rPr>
          <w:sz w:val="20"/>
          <w:szCs w:val="20"/>
          <w:color w:val="auto"/>
        </w:rPr>
      </w:pPr>
      <w:r>
        <w:rPr>
          <w:rFonts w:ascii="Arial" w:cs="Arial" w:eastAsia="Arial" w:hAnsi="Arial"/>
          <w:sz w:val="18"/>
          <w:szCs w:val="18"/>
          <w:color w:val="auto"/>
        </w:rPr>
        <w:t>chairman of the board and chief executive officer of Southeastern. The address of Southeastern, Longleaf and Mr. Hawkins is 6410 Poplar Avenue, Suite 900, Memphis, Tennessee 38119.</w:t>
      </w:r>
    </w:p>
    <w:p>
      <w:pPr>
        <w:ind w:left="4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 on January 27, 2016 by BlackRock, Inc. The address of BlackRock, Inc. is 55 East 52nd Street, New York, New York 10055.</w:t>
      </w:r>
    </w:p>
    <w:p>
      <w:pPr>
        <w:jc w:val="both"/>
        <w:ind w:left="460" w:right="220" w:hanging="452"/>
        <w:spacing w:after="0" w:line="331"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solely on information contained in a Schedule 13G filed with the SEC on February 11, 2016 by The Vanguard Group (Vanguard). Such Schedule states that Vanguard has sole voting power over 88,948 shares, shared voting power over 2,700 shares, sole dispositive power over 3,251,799 shares and shared dispositive power over 88,948 shares. The address of Vanguard is 100 Vanguard Boulevard, Malvern, Pennsylvania 19355.</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Section 16(a) of the Securities Exchange Act of 1934 requires our directors, executive officers and holders of more than 10% of ViaSat common stock to file reports of ownership and changes in ownership with the SEC. These persons are required to furnish us with copies of all forms that they file. Based solely on our review of copies of these forms in our possession, or in reliance upon written representations from our directors and executive officers, we believe that all of our directors, executive officers and 10% stockholders complied with the Section 16(a) filing requirements during the fiscal year ended March 31, 2016.</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Compensation Discussion and Analysis provides information regarding the compensation program in place for our executive officers, including the Named Executive Officers identified in the Summary Compensation Table, during our 2016 fiscal year. In particular, this Compensation Discussion and Analysis provides information related to each of the following aspects of our executive compensation program:</w:t>
      </w:r>
    </w:p>
    <w:p>
      <w:pPr>
        <w:spacing w:after="0" w:line="26"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overview and objectives of our executive compensation program,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explanation of our executive compensation processes and criteria,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description of the components of our compensation program,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discussion of how each component fits into our overall compensation objectives.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and Objectives of Executive Compensation Program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components of our executive compensation program include:</w:t>
      </w:r>
    </w:p>
    <w:p>
      <w:pPr>
        <w:spacing w:after="0" w:line="90"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short-term or annual awards in the form of cash bonuses,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long-term equity awards,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benefits generally available to all of our employees.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executive compensation program incorporates these components because our Compensation and Human Resources Committee considers a blend of these components to be necessary and effective in order to provide a competitive total compensation package to our executive officers while meeting the principal objectives of our executive compensation program. In addition, the Compensation and Human Resources Committee believes that our use of base salary, annual cash bonuses and long-term equity awards as the primary components of our executive compensation program is consistent with the executive compensation programs employed by technology companies of similar size and stage of growth.</w:t>
      </w:r>
    </w:p>
    <w:p>
      <w:pPr>
        <w:spacing w:after="0" w:line="1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overall compensation objectives are premised on the following three fundamental principles, each of which is discussed below: (1) a significant portion of executive compensation should be performance-based, linking the achievement of company financial objectives and individual objectives; (2) the financial interests of our executive management and our stockholders should be aligned; and (3) the executive compensation program should be structured so that we can compete in the marketplace in hiring and retaining top level executives with compensation that is competitive and fair. Because our compensation program is designed to reward prudent business judgment and promote disciplined progress towards longer-term company goals, we believe that our balanced compensation policies and practices do not encourage unnecessary and excessive risk-taking by employees that could reasonably be expected to have a material adverse effect on us.</w:t>
      </w:r>
    </w:p>
    <w:p>
      <w:pPr>
        <w:spacing w:after="0" w:line="14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i w:val="1"/>
          <w:iCs w:val="1"/>
          <w:color w:val="auto"/>
        </w:rPr>
        <w:t xml:space="preserve">Performance-Based Compensation. </w:t>
      </w:r>
      <w:r>
        <w:rPr>
          <w:rFonts w:ascii="Arial" w:cs="Arial" w:eastAsia="Arial" w:hAnsi="Arial"/>
          <w:sz w:val="18"/>
          <w:szCs w:val="18"/>
          <w:color w:val="auto"/>
        </w:rPr>
        <w:t>We strongly believe that a significant amount of executive compensation should be performance-based.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words, our compensation program is designed to reward superior performance, and we believe that our executive officers should feel accountable for the overall performance of our business as well as their individual performance. In order to achieve this objective, we have structured our compensation program so that executive compensation is tied, in large part, directly to both company-wide and individual performance. For example, and as discussed specifically below, annual cash bonuses are based on, among other things, pre-determined corporate financial performance metrics and operational targets, and individual performance.</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Alignment with Stockholder Interests. </w:t>
      </w:r>
      <w:r>
        <w:rPr>
          <w:rFonts w:ascii="Arial" w:cs="Arial" w:eastAsia="Arial" w:hAnsi="Arial"/>
          <w:sz w:val="18"/>
          <w:szCs w:val="18"/>
          <w:color w:val="auto"/>
        </w:rPr>
        <w:t>We believe that executive compensation and stockholder interests should be linked, and our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is designed so that the financial interests of our executive officers are aligned with the interests of our stockholders. We accomplish this objective in multiple ways. First,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as noted above, payments of annual cash bonuses are based on, among other things, pre-determined corporate financial performance metrics and operational targets that, if achieved, we believe enhance the value of our common stock.</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Second, a significant portion of the total compensation paid to our executive officers is paid in the form of equity to further align the interests of executives with stockholders and to provide each executive with an incentive to manage ViaSat from the perspective of an owner with an equity stake in the business. Because vesting is based on continued service to ViaSat, our equity-based incentives also facilitate the retention of executives through the term of the awards. We use a combination of restricted stock units and stock option awards as the primary incentive vehicles for long-term compensation to create a meaningful opportunity for reward predicated on the creation of long-term stockholder value. We believe that restricted stock units are an effective tool for meeting our compensation goal of increasing long-term stockholder value by tying the value of the restricted stock units to our future performance. In addition, because employees are able to profit from stock options only if our stock price increases in value over the stock option’s exercise price, we believe the options provide effective incentives to executives to achieve increases in the value of our stock.</w:t>
      </w:r>
    </w:p>
    <w:p>
      <w:pPr>
        <w:spacing w:after="0" w:line="11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 xml:space="preserve">Structure Allows Competitive and Fair Compensation Packages. </w:t>
      </w:r>
      <w:r>
        <w:rPr>
          <w:rFonts w:ascii="Arial" w:cs="Arial" w:eastAsia="Arial" w:hAnsi="Arial"/>
          <w:sz w:val="18"/>
          <w:szCs w:val="18"/>
          <w:color w:val="auto"/>
        </w:rPr>
        <w:t>We provide innovative broadband, advanced wireless communications and secure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networking products, systems and services for residential, commercial, military and civil government customers. The markets in which we compete are highly competitive and characterized by rapid change, converging technologies and a migration to solutions that offer higher capacity and speed and other superior advantages. We believe our success depends to a significant degree on our ability to attract and retain highly skilled personnel. Stockholders are accordingly best served when we can attract and retain talented executives with compensation packages that are competitive and fair. Therefore, we strive to create compensation packages for executive officers that deliver compensation that is comparable to the total compensation delivered by the companies with which we compete for executive talent.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Processes and Criteria</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Compensation and Human Resources Committee is responsible for determining our overall executive compensation philosophy, and for evaluating and recommending all components of executive officer compensation to our Board of Directors for approval. The Compensation and Human Resources Committee acts under a written charter adopted and approved by our Board and may, in its discretion, obtain the assistance of outside advisors, including compensation consultants, legal counsel and accounting and other advisors. Each member of our Compensation and Human Resources Committee qualifies as an “outside director” within the meaning of Section 162(m) of the Internal Revenue Code, a “non-employee director” within the meaning of Rule 16b-3 of the Securities Exchange Act of 1934, and as independent within the meaning of the corporate governance standards of Nasdaq. A copy of the Compensation and Human Resources Committee charter can be found on the Investor Relations section of our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Because our executive compensation program relies on the use of three relatively straightforward components (base salary, annual cash bonuses and long-term equity awards), the process for determining each component of executive compensation remains fairly consistent across each component. The Compensation and Human Resources Committee determines compensation in a manner consistent with our primary objectives for executive compensation discussed above. In determining each component of executive compensation, the Compensation and Human Resources Committee generally considers each of the following factors:</w:t>
      </w:r>
    </w:p>
    <w:p>
      <w:pPr>
        <w:spacing w:after="0" w:line="17"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industry compensation data,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individual performance and contributions,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company financial and operational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company strategic positioning,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executive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affordability of cash compensation based on ViaSat’s financial results,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the most recent say-on-pay vote,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and affordability of shares for equity awards.</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Industry Compensation Data. </w:t>
      </w:r>
      <w:r>
        <w:rPr>
          <w:rFonts w:ascii="Arial" w:cs="Arial" w:eastAsia="Arial" w:hAnsi="Arial"/>
          <w:sz w:val="16"/>
          <w:szCs w:val="16"/>
          <w:color w:val="auto"/>
        </w:rPr>
        <w:t>The Compensation and Human Resources Committee reviews the executive compensation data of comparable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and other companies which are otherwise relevant as part of the process of determining executive compensation. In fiscal year 2016, the Compensation and Human Resources Committee again engaged Compensia, independent compensation consultant to the Compensation and Human Resources Committee, to provide insight and advice on matters relating to executive officer compensation and benefits practices. After conducting an evaluation using the factors established by the SEC and Nasdaq, the Compensation and Human Resources Committee determined that Compensia is independent and that there is no conflict of interest resulting from the engagement of Compensia during fiscal year 2016.</w:t>
      </w:r>
    </w:p>
    <w:p>
      <w:pPr>
        <w:spacing w:after="0" w:line="12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With the assistance of Compensia, the Compensation and Human Resources Committee identified a group of companies to reference as a peer group for compensation comparison purposes. For fiscal year 2016 compensation decisions, this peer group consisted of the following companies, which peer group was unchanged from the 2015 peer group: Akamai Technologies, Arris Group, Aruba Networks, Inc., Avid Technology, Inc., Ciena Corporation, Equinix, Inc., Finisar Corp., FLIR Systems, Inc., Harris Corporation, Internap Network Svs., Polycom, Inc., Riverbed, Rockwell Collins Inc. and Teledyne Technologies. The peer group was selected based on factors such as industry, revenue, business model and market capitalization. Additionally, the Compensation and Human Resources Committee believes that this group of companies provides an appropriate peer group because it is comprised of similar organizations against whom we compete to obtain and retain top quality talent. In addition to peer group data, the Compensation and Human Resources Committee also reviewed information from the Radford Global Technology Survey, a nationally recognized compensation survey containing market information of companies in the high technology industry. This survey was not compiled specifically for ViaSat but rather represents a database containing comparative compensation data and information for a broad range of other high technology companies, thereby permitting the Compensation and Human Resources Committee to review pooled compensation data for positions similar to those held by each executive officer. The survey data provided to the Compensation and Human Resources Committee does not include the particular names of those companies whose pay practices are surveyed with respect to any particular position being reviewed. Unlike peer group compensation data, which is limited to publicly available information and does not provide precise comparisons for certain positions, the more comprehensive survey data can be used to provide pooled compensation data for positions closely akin to those held by each executive officer. In addition, the pool of senior executive talent from which we draw, and against which we compare ourselves, extends beyond the limited community of ViaSat’s immediate peer group. Rather, this pool includes a wide range of other organizations in the technology sector outside of ViaSat’s traditional competitors. As a result, the Compensation and Human Resources Committee relies on a combination of industry survey data published by Radford and peer group compensation data in evaluating our executive compensation.</w:t>
      </w:r>
    </w:p>
    <w:p>
      <w:pPr>
        <w:spacing w:after="0" w:line="133"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i w:val="1"/>
          <w:iCs w:val="1"/>
          <w:color w:val="auto"/>
        </w:rPr>
        <w:t xml:space="preserve">Individual Performance. </w:t>
      </w:r>
      <w:r>
        <w:rPr>
          <w:rFonts w:ascii="Arial" w:cs="Arial" w:eastAsia="Arial" w:hAnsi="Arial"/>
          <w:sz w:val="15"/>
          <w:szCs w:val="15"/>
          <w:color w:val="auto"/>
        </w:rPr>
        <w:t>The Compensation and Human Resources Committee makes an assessment of individual executive performance and</w:t>
      </w:r>
      <w:r>
        <w:rPr>
          <w:rFonts w:ascii="Arial" w:cs="Arial" w:eastAsia="Arial" w:hAnsi="Arial"/>
          <w:sz w:val="15"/>
          <w:szCs w:val="15"/>
          <w:i w:val="1"/>
          <w:iCs w:val="1"/>
          <w:color w:val="auto"/>
        </w:rPr>
        <w:t xml:space="preserve"> </w:t>
      </w:r>
      <w:r>
        <w:rPr>
          <w:rFonts w:ascii="Arial" w:cs="Arial" w:eastAsia="Arial" w:hAnsi="Arial"/>
          <w:sz w:val="15"/>
          <w:szCs w:val="15"/>
          <w:color w:val="auto"/>
        </w:rPr>
        <w:t>contributions. The individual performance assessments made by the Compensation and Human Resources Committee are based in part on input from executive management. As part of our executive compensation process, our Chief Executive Officer and President provide input to the Compensation and Human Resources Committee on the individual performance and contributions of executives other than themselves. With respect to assessing the individual performance of our Chief Executive Officer, the Compensation and Human Resources Committee relies on an annual assessment completed by our Nomination, Evaluation and Corporate Governance Committee. In evaluating the performance of our President, the Nomination, Evaluation and Corporate Governance Committee relies on input from our Chief Executive Officer. While the Compensation and Human Resources Committee believes input from management and outside advisors is valuable, the Compensation and Human Resources Committee makes its recommendations and decisions based on its independent analysis and assessment.</w:t>
      </w:r>
    </w:p>
    <w:p>
      <w:pPr>
        <w:spacing w:after="0" w:line="10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Company Financial and Operational Performance. </w:t>
      </w:r>
      <w:r>
        <w:rPr>
          <w:rFonts w:ascii="Arial" w:cs="Arial" w:eastAsia="Arial" w:hAnsi="Arial"/>
          <w:sz w:val="18"/>
          <w:szCs w:val="18"/>
          <w:color w:val="auto"/>
        </w:rPr>
        <w:t>As previously discussed, a major component of our executive compensation program is the belief that</w:t>
      </w:r>
      <w:r>
        <w:rPr>
          <w:rFonts w:ascii="Arial" w:cs="Arial" w:eastAsia="Arial" w:hAnsi="Arial"/>
          <w:sz w:val="18"/>
          <w:szCs w:val="18"/>
          <w:i w:val="1"/>
          <w:iCs w:val="1"/>
          <w:color w:val="auto"/>
        </w:rPr>
        <w:t xml:space="preserve"> </w:t>
      </w:r>
      <w:r>
        <w:rPr>
          <w:rFonts w:ascii="Arial" w:cs="Arial" w:eastAsia="Arial" w:hAnsi="Arial"/>
          <w:sz w:val="18"/>
          <w:szCs w:val="18"/>
          <w:color w:val="auto"/>
        </w:rPr>
        <w:t>a significant amount of executive compensation should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based on performance, including company financial and operational performance. These financial and operational performance metrics are important factors considered by the Compensation and Human Resources Committee in determining base salary, cash bonuses and equity awards.</w:t>
      </w:r>
    </w:p>
    <w:p>
      <w:pPr>
        <w:spacing w:after="0" w:line="85"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i w:val="1"/>
          <w:iCs w:val="1"/>
          <w:color w:val="auto"/>
        </w:rPr>
        <w:t>Company Strategic Positioning</w:t>
      </w:r>
      <w:r>
        <w:rPr>
          <w:rFonts w:ascii="Arial" w:cs="Arial" w:eastAsia="Arial" w:hAnsi="Arial"/>
          <w:sz w:val="16"/>
          <w:szCs w:val="16"/>
          <w:color w:val="auto"/>
        </w:rPr>
        <w:t>. Given the importance of the long-term performance of the company, the current strategic positioning of 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also a significant factor in the assessment and determination of our executive compensation program. The Compensation and Human Resources Committee takes into account the strategic positioning of the company as a basis for determining annual cash bonus compensation and other executive compensation.</w:t>
      </w:r>
    </w:p>
    <w:p>
      <w:pPr>
        <w:spacing w:after="0" w:line="107"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i w:val="1"/>
          <w:iCs w:val="1"/>
          <w:color w:val="auto"/>
        </w:rPr>
        <w:t xml:space="preserve">Total Executive Compensation. </w:t>
      </w:r>
      <w:r>
        <w:rPr>
          <w:rFonts w:ascii="Arial" w:cs="Arial" w:eastAsia="Arial" w:hAnsi="Arial"/>
          <w:sz w:val="16"/>
          <w:szCs w:val="16"/>
          <w:color w:val="auto"/>
        </w:rPr>
        <w:t>As part of reviewing each component of executive officer compensation, the Compensation and Human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also considers the total compensation of the executive. This review of total compensation is completed to assure that each executive’s total compensation remains appropriately competitive and continues to meet the compensation objectives described above.</w:t>
      </w:r>
    </w:p>
    <w:p>
      <w:pPr>
        <w:spacing w:after="0" w:line="107"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i w:val="1"/>
          <w:iCs w:val="1"/>
          <w:color w:val="auto"/>
        </w:rPr>
        <w:t xml:space="preserve">Affordability. </w:t>
      </w:r>
      <w:r>
        <w:rPr>
          <w:rFonts w:ascii="Arial" w:cs="Arial" w:eastAsia="Arial" w:hAnsi="Arial"/>
          <w:sz w:val="16"/>
          <w:szCs w:val="16"/>
          <w:color w:val="auto"/>
        </w:rPr>
        <w:t>Prior to completing the executive cash compensation (base salary and annual cash bonuses) process, the Compensation and Human</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Committee confirms that the proposed cash compensation is affordable under and consistent with ViaSat’s financial results. With respect to equity compensation, the Compensation and Human Resources Committee confirms the availability and affordability of shares prior to granting the equity awards to executives. To the extent the Compensation and Human Resources Committee determines that a component of executive compensation is not affordable, appropriate adjustments to that compensation component are made prior to final approval by the Compensation and Human Resources Committee and any subsequent recommendation to the Board.</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The Role of Stockholder Say-on-Pay Votes. </w:t>
      </w:r>
      <w:r>
        <w:rPr>
          <w:rFonts w:ascii="Arial" w:cs="Arial" w:eastAsia="Arial" w:hAnsi="Arial"/>
          <w:sz w:val="16"/>
          <w:szCs w:val="16"/>
          <w:color w:val="auto"/>
        </w:rPr>
        <w:t>At our most recent annual meeting of stockholders, we conducted a non-binding advisory vote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of our Named Executive Officers, commonly referred to as a “say-on-pay” vote. Our stockholders overwhelmingly approved the compensation of our Named Executive Officers, with approximately 94% of stockholder votes cast in favor of our executive compensation program at our last annual meeting. As the Compensation and Human Resources Committee evaluated our executive compensation policies and practices throughout fiscal year 2016, they were mindful of the strong support our stockholders expressed for our compensation philosophy and objectives. As a result, the Compensation and Human Resources Committee decided to retain our general approach to executive compensation, with an emphasis on incentive compensation that rewards our most senior executives when they deliver value for our stockholders and, as a result, made no significant changes to our executive compensation program. The Compensation and Human Resources Committee will continue to consider the outcome of say-on-pay advisory votes and material investor feedback when making future compensation decisions for the Named Executive Officers.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Determination of Compensation. </w:t>
      </w:r>
      <w:r>
        <w:rPr>
          <w:rFonts w:ascii="Arial" w:cs="Arial" w:eastAsia="Arial" w:hAnsi="Arial"/>
          <w:sz w:val="16"/>
          <w:szCs w:val="16"/>
          <w:color w:val="auto"/>
        </w:rPr>
        <w:t>The Compensation and Human Resources Committee and the Board hold several meetings each year for the review,</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 and determination of executive compensation. The Compensation and Human Resources Committee determines (or makes a recommendation to the Board) regarding the appropriate compensation for each individual executive officer after considering the factors described in the preceding paragraphs, including the survey and peer group compensation data described above. However, we do not believe that it is appropriate to establish compensation levels solely by benchmarking. Instead, we rely upon the judgment of our Compensation and Human Resources Committee members in making compensation decisions, after reviewing the performance of the company and carefully evaluating an executive officer’s performance during the year against established goals, leadership qualities, individual contributions, operational results, business responsibilities, experience, career with the company, current compensation arrangements and long-term potential to enhance stockholder value. While competitive market compensation paid by other companies is one of the many factors that we consider in assessing the reasonableness of compensation, we do not attempt to maintain a certain target percentile within a peer group or otherwise rely entirely on that data to determine executive officer compensation. Instead, we incorporate flexibility into our compensation programs and in the assessment process to respond to and adjust for the evolving business environment.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strive to achieve an appropriate mix between equity incentive awards and cash payments in order to meet our objectives. Any apportionment goal is not applied rigidly and does not control our compensation decisions. Our mix of compensation elements is designed to reward recent results, align compensation with stockholder interests and fairly compensate executives through a combination of cash and equity incentive awards. We believe the most important indicator of whether our compensation objectives are being met is our ability to motivate our executive officers to deliver superior performance and retain them to continue their careers with ViaSat on a cost-effective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Compensation Program</w:t>
      </w:r>
    </w:p>
    <w:p>
      <w:pPr>
        <w:spacing w:after="0" w:line="90"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As discussed above, the components of our compensation program are the following: base salary, annual cash bonuses, long-term equity-based compensation and certain other benefits that are generally available to all of our employees.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In determining base salary, the Compensation and Human Resources Committee primarily considers (1) executive compensation survey</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from Radford, which generally reports a compensation range for each position, (2) compensation data of our peer group companies prepared and analyzed by our independent compensation consultants, and (3) individual performance and contributions. In evaluating individual executive performance and contributions, the Compensation and Human Resources Committee also considers to what extent the executive:</w:t>
      </w:r>
    </w:p>
    <w:p>
      <w:pPr>
        <w:spacing w:after="0" w:line="32"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sustains a high level of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demonstrates leadership and success in contributing toward ViaSat’s achievement of key business and financial objectives,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contributes significantly to the development and execution of ViaSat’s long-term strategy,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has a proven ability to help create stockholder value,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possesses highly developed skills and abilities critical to ViaSat’s success.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assessing individual executive performance and contributions during fiscal year 2015 for fiscal year 2016 base salary determination purposes, the Compensation and Human Resources Committee considered the individual contributions toward the achievement of key strategic objectives, such as the continued earnings growth of our Exede</w:t>
      </w:r>
      <w:r>
        <w:rPr>
          <w:rFonts w:ascii="Arial" w:cs="Arial" w:eastAsia="Arial" w:hAnsi="Arial"/>
          <w:sz w:val="10"/>
          <w:szCs w:val="10"/>
          <w:color w:val="auto"/>
        </w:rPr>
        <w:t>®</w:t>
      </w:r>
      <w:r>
        <w:rPr>
          <w:rFonts w:ascii="Arial" w:cs="Arial" w:eastAsia="Arial" w:hAnsi="Arial"/>
          <w:sz w:val="16"/>
          <w:szCs w:val="16"/>
          <w:color w:val="auto"/>
        </w:rPr>
        <w:t xml:space="preserve"> consumer broadband business, strong positioning and growth of the company’s government mobile broadband business, service performance of in-flight connectivity services, key awards and development progress on the ViaSat-2 satellite and associated ground technologies. In light of the foregoing, the Compensation and Human Resources Committee set new base salaries for each of the executive officers. The following table describes the base salaries for fiscal years 2015 and 2016 for each of our Named Executive Officers.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2015 and Fiscal Year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Base Salary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Executive</w:t>
            </w:r>
          </w:p>
        </w:tc>
        <w:tc>
          <w:tcPr>
            <w:tcW w:w="6480" w:type="dxa"/>
            <w:vAlign w:val="bottom"/>
            <w:vMerge w:val="restart"/>
          </w:tcPr>
          <w:p>
            <w:pPr>
              <w:spacing w:after="0"/>
              <w:rPr>
                <w:sz w:val="14"/>
                <w:szCs w:val="14"/>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Fiscal Year 2015</w:t>
            </w:r>
          </w:p>
        </w:tc>
        <w:tc>
          <w:tcPr>
            <w:tcW w:w="17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6"/>
              </w:rPr>
              <w:t>Fiscal Year 2016</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6480" w:type="dxa"/>
            <w:vAlign w:val="bottom"/>
            <w:vMerge w:val="continue"/>
          </w:tcPr>
          <w:p>
            <w:pPr>
              <w:spacing w:after="0"/>
              <w:rPr>
                <w:sz w:val="14"/>
                <w:szCs w:val="14"/>
                <w:color w:val="auto"/>
              </w:rPr>
            </w:pPr>
          </w:p>
        </w:tc>
        <w:tc>
          <w:tcPr>
            <w:tcW w:w="17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74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5"/>
              </w:rPr>
              <w:t xml:space="preserve">Base Salary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8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9"/>
              </w:rPr>
              <w:t>Increase (%)</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965,000</w:t>
            </w:r>
          </w:p>
        </w:tc>
        <w:tc>
          <w:tcPr>
            <w:tcW w:w="8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1,025,000</w:t>
            </w:r>
          </w:p>
        </w:tc>
        <w:tc>
          <w:tcPr>
            <w:tcW w:w="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940" w:type="dxa"/>
            <w:vAlign w:val="bottom"/>
          </w:tcPr>
          <w:p>
            <w:pPr>
              <w:jc w:val="right"/>
              <w:spacing w:after="0"/>
              <w:rPr>
                <w:sz w:val="20"/>
                <w:szCs w:val="20"/>
                <w:color w:val="auto"/>
              </w:rPr>
            </w:pPr>
            <w:r>
              <w:rPr>
                <w:rFonts w:ascii="Arial" w:cs="Arial" w:eastAsia="Arial" w:hAnsi="Arial"/>
                <w:sz w:val="18"/>
                <w:szCs w:val="18"/>
                <w:color w:val="auto"/>
              </w:rPr>
              <w:t>800,000</w:t>
            </w:r>
          </w:p>
        </w:tc>
        <w:tc>
          <w:tcPr>
            <w:tcW w:w="8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850,000</w:t>
            </w:r>
          </w:p>
        </w:tc>
        <w:tc>
          <w:tcPr>
            <w:tcW w:w="8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Duffy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940" w:type="dxa"/>
            <w:vAlign w:val="bottom"/>
          </w:tcPr>
          <w:p>
            <w:pPr>
              <w:jc w:val="right"/>
              <w:spacing w:after="0"/>
              <w:rPr>
                <w:sz w:val="20"/>
                <w:szCs w:val="20"/>
                <w:color w:val="auto"/>
              </w:rPr>
            </w:pPr>
            <w:r>
              <w:rPr>
                <w:rFonts w:ascii="Arial" w:cs="Arial" w:eastAsia="Arial" w:hAnsi="Arial"/>
                <w:sz w:val="18"/>
                <w:szCs w:val="18"/>
                <w:color w:val="auto"/>
              </w:rPr>
              <w:t>450,000</w:t>
            </w:r>
          </w:p>
        </w:tc>
        <w:tc>
          <w:tcPr>
            <w:tcW w:w="8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500,000</w:t>
            </w:r>
          </w:p>
        </w:tc>
        <w:tc>
          <w:tcPr>
            <w:tcW w:w="8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Peterman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Annual Cash Bonuses. </w:t>
      </w:r>
      <w:r>
        <w:rPr>
          <w:rFonts w:ascii="Arial" w:cs="Arial" w:eastAsia="Arial" w:hAnsi="Arial"/>
          <w:sz w:val="18"/>
          <w:szCs w:val="18"/>
          <w:color w:val="auto"/>
        </w:rPr>
        <w:t>Consistent with our overall compensation objectives of linking compensation to performance, aligning executive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stockholder interests, and attracting and retaining top level executive officers in our industry, our Compensation and Human Resources Committee approved annual cash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bonuses for fiscal year 2016. Under our executive compensation program, target ranges for cash bonuses are established and actual award amounts are determined primarily based on the achievement of certain company and individual performance objectives. For fiscal year 2016, the range for the target bonus for each Named Executive Officer was determined by the Compensation and Human Resources Committee primarily based on industry compensation surveys and validated with compensation data from peer group companies. In determining the target bonus amounts, the Compensation and Human Resources Committee also considered the expected individual contributions of each executive toward the overall success of the company.</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executive bonus program does not have any pre-established minimum or maximum payout. While the Compensation and Human Resources Committee approves a targeted range of bonuses for executives for the fiscal year, the Board and the Compensation and Human Resources Committee also retain the discretion to take additional factors into account in determining final annual bonus awards (such as market conditions, key awards, total executive compensation, strategic positioning, additional company financial metrics or extraordinary individual contributions) and may make adjustments to executive bonus compensation to the extent appropriate.</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For fiscal year 2016, the metrics for determining annual cash bonuses for our Named Executive Officers, other than our Chief Executive Officer, placed equal emphasis on ViaSat’s annual financial performance and individual performance. The financial objectives were set at the beginning of fiscal year 2016 and were based on the year’s internally-developed financial plan, which was approved by our Board. The individual performance objectives for the executive officers (excluding the Chief Executive Officer and President) were determined by the Compensation and Human Resources Committee, with the objectives for the executive officers (other than our Chief Executive Officer and President) based on input and recommendations from our Chief Executive Officer and President. These individual performance objectives are qualitative in nature and not quantifiable. Each individual executive officer’s attainment of individual performance objectives, while made in the context of such pre-established objectives, is based upon a subjective evaluation of individual performance by the Compensation and Human Resources Committee. The annual performance metrics for determining annual cash bonuses, both financial and individual, are intended to be challenging and rigorous but achievable. The table below describes the company financial and individual objectives and weighting of each objective used for determining annual cash bonuses for our executive officers (other than our Chief Executive Officer and President) for fiscal year 2016.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2016 Cash Bonus Objectives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4"/>
              </w:rPr>
              <w:t>Performance Metric</w:t>
            </w:r>
          </w:p>
        </w:tc>
        <w:tc>
          <w:tcPr>
            <w:tcW w:w="5900" w:type="dxa"/>
            <w:vAlign w:val="bottom"/>
            <w:vMerge w:val="restart"/>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1"/>
              </w:rPr>
              <w:t>Approximate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FY 2016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FY 2016</w:t>
            </w:r>
          </w:p>
        </w:tc>
        <w:tc>
          <w:tcPr>
            <w:tcW w:w="0" w:type="dxa"/>
            <w:vAlign w:val="bottom"/>
          </w:tcPr>
          <w:p>
            <w:pPr>
              <w:spacing w:after="0"/>
              <w:rPr>
                <w:sz w:val="1"/>
                <w:szCs w:val="1"/>
                <w:color w:val="auto"/>
              </w:rPr>
            </w:pPr>
          </w:p>
        </w:tc>
      </w:tr>
      <w:tr>
        <w:trPr>
          <w:trHeight w:val="168"/>
        </w:trPr>
        <w:tc>
          <w:tcPr>
            <w:tcW w:w="1260" w:type="dxa"/>
            <w:vAlign w:val="bottom"/>
            <w:tcBorders>
              <w:bottom w:val="single" w:sz="8" w:color="auto"/>
            </w:tcBorders>
            <w:vMerge w:val="continue"/>
          </w:tcPr>
          <w:p>
            <w:pPr>
              <w:spacing w:after="0"/>
              <w:rPr>
                <w:sz w:val="14"/>
                <w:szCs w:val="14"/>
                <w:color w:val="auto"/>
              </w:rPr>
            </w:pPr>
          </w:p>
        </w:tc>
        <w:tc>
          <w:tcPr>
            <w:tcW w:w="5900" w:type="dxa"/>
            <w:vAlign w:val="bottom"/>
            <w:vMerge w:val="continue"/>
          </w:tcPr>
          <w:p>
            <w:pPr>
              <w:spacing w:after="0"/>
              <w:rPr>
                <w:sz w:val="14"/>
                <w:szCs w:val="14"/>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9"/>
              </w:rPr>
              <w:t>Weighting (%)</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rPr>
              <w:t>Objective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2"/>
              </w:rPr>
              <w:t>Actual Results</w:t>
            </w:r>
          </w:p>
        </w:tc>
        <w:tc>
          <w:tcPr>
            <w:tcW w:w="0" w:type="dxa"/>
            <w:vAlign w:val="bottom"/>
          </w:tcPr>
          <w:p>
            <w:pPr>
              <w:spacing w:after="0"/>
              <w:rPr>
                <w:sz w:val="1"/>
                <w:szCs w:val="1"/>
                <w:color w:val="auto"/>
              </w:rPr>
            </w:pPr>
          </w:p>
        </w:tc>
      </w:tr>
      <w:tr>
        <w:trPr>
          <w:trHeight w:val="181"/>
        </w:trPr>
        <w:tc>
          <w:tcPr>
            <w:tcW w:w="71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8"/>
              </w:rPr>
              <w:t>Financial — Non-GAAP Diluted Net Income Per Share Attributable to ViaSat, Inc. Common</w:t>
            </w:r>
          </w:p>
        </w:tc>
        <w:tc>
          <w:tcPr>
            <w:tcW w:w="8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Stockholders (1)</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Financial — Adjusted EBITDA (2)</w:t>
            </w:r>
          </w:p>
        </w:tc>
        <w:tc>
          <w:tcPr>
            <w:tcW w:w="860" w:type="dxa"/>
            <w:vAlign w:val="bottom"/>
          </w:tcPr>
          <w:p>
            <w:pPr>
              <w:jc w:val="right"/>
              <w:ind w:right="197"/>
              <w:spacing w:after="0"/>
              <w:rPr>
                <w:sz w:val="20"/>
                <w:szCs w:val="20"/>
                <w:color w:val="auto"/>
              </w:rPr>
            </w:pPr>
            <w:r>
              <w:rPr>
                <w:rFonts w:ascii="Arial" w:cs="Arial" w:eastAsia="Arial" w:hAnsi="Arial"/>
                <w:sz w:val="18"/>
                <w:szCs w:val="18"/>
                <w:color w:val="auto"/>
              </w:rPr>
              <w:t>12.5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355.3 million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330.7 million</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 New Contract Awards</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7.5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1,545.0 million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1,483.3 million</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Financial — Total Revenues</w:t>
            </w:r>
          </w:p>
        </w:tc>
        <w:tc>
          <w:tcPr>
            <w:tcW w:w="860" w:type="dxa"/>
            <w:vAlign w:val="bottom"/>
          </w:tcPr>
          <w:p>
            <w:pPr>
              <w:jc w:val="right"/>
              <w:ind w:right="197"/>
              <w:spacing w:after="0"/>
              <w:rPr>
                <w:sz w:val="20"/>
                <w:szCs w:val="20"/>
                <w:color w:val="auto"/>
              </w:rPr>
            </w:pPr>
            <w:r>
              <w:rPr>
                <w:rFonts w:ascii="Arial" w:cs="Arial" w:eastAsia="Arial" w:hAnsi="Arial"/>
                <w:sz w:val="18"/>
                <w:szCs w:val="18"/>
                <w:color w:val="auto"/>
              </w:rPr>
              <w:t>12.5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1,544.8 million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1,417.4 million</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 Net Operating Asset Turnover</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Individual — Contribution Toward Achievement of Company Financial Targets</w:t>
            </w:r>
          </w:p>
        </w:tc>
        <w:tc>
          <w:tcPr>
            <w:tcW w:w="860" w:type="dxa"/>
            <w:vAlign w:val="bottom"/>
          </w:tcPr>
          <w:p>
            <w:pPr>
              <w:jc w:val="right"/>
              <w:ind w:right="177"/>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 — Achievement of Individual Goals</w:t>
            </w:r>
          </w:p>
        </w:tc>
        <w:tc>
          <w:tcPr>
            <w:tcW w:w="8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7160" w:type="dxa"/>
            <w:vAlign w:val="bottom"/>
            <w:gridSpan w:val="2"/>
          </w:tcPr>
          <w:p>
            <w:pPr>
              <w:ind w:left="5620"/>
              <w:spacing w:after="0"/>
              <w:rPr>
                <w:sz w:val="20"/>
                <w:szCs w:val="20"/>
                <w:color w:val="auto"/>
              </w:rPr>
            </w:pPr>
            <w:r>
              <w:rPr>
                <w:rFonts w:ascii="Arial" w:cs="Arial" w:eastAsia="Arial" w:hAnsi="Arial"/>
                <w:sz w:val="18"/>
                <w:szCs w:val="18"/>
                <w:color w:val="auto"/>
              </w:rPr>
              <w:t>23</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436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itemized reconciliation between net income per share attributable to ViaSat, Inc. common stockholders on a GAAP and non-GAAP basis for fiscal year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2016 is set forth below:</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1"/>
              </w:rPr>
              <w:t>Twelve months ended</w:t>
            </w:r>
          </w:p>
        </w:tc>
        <w:tc>
          <w:tcPr>
            <w:tcW w:w="0" w:type="dxa"/>
            <w:vAlign w:val="bottom"/>
          </w:tcPr>
          <w:p>
            <w:pPr>
              <w:spacing w:after="0"/>
              <w:rPr>
                <w:sz w:val="1"/>
                <w:szCs w:val="1"/>
                <w:color w:val="auto"/>
              </w:rPr>
            </w:pPr>
          </w:p>
        </w:tc>
      </w:tr>
      <w:tr>
        <w:trPr>
          <w:trHeight w:val="161"/>
        </w:trPr>
        <w:tc>
          <w:tcPr>
            <w:tcW w:w="9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March 31, 2016</w:t>
            </w:r>
          </w:p>
        </w:tc>
        <w:tc>
          <w:tcPr>
            <w:tcW w:w="0" w:type="dxa"/>
            <w:vAlign w:val="bottom"/>
          </w:tcPr>
          <w:p>
            <w:pPr>
              <w:spacing w:after="0"/>
              <w:rPr>
                <w:sz w:val="1"/>
                <w:szCs w:val="1"/>
                <w:color w:val="auto"/>
              </w:rPr>
            </w:pPr>
          </w:p>
        </w:tc>
      </w:tr>
      <w:tr>
        <w:trPr>
          <w:trHeight w:val="142"/>
        </w:trPr>
        <w:tc>
          <w:tcPr>
            <w:tcW w:w="914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attributable to ViaSat, Inc.</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Income tax effect</w:t>
            </w: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(24,664)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attributable to ViaSat, Inc.</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Non-GAAP diluted net income per share attributable to ViaSat, Inc. common stockholders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4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equivalent shares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49,445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60" w:hanging="452"/>
        <w:spacing w:after="0" w:line="298"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define Adjusted EBITDA as net income attributable to ViaSat, Inc. before interest, income taxes, depreciation and amortization, adjusted to exclude certain significant items as set forth below. We use Adjusted EBITDA to evaluate our operating performance, to allocate resources and capital, to measure performance for incentive compensation programs and to evaluate future growth opportunities. An itemized reconciliation between net income attributable to ViaSat, Inc. and Adjusted EBITDA for fiscal year 2016 is set forth below:</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6"/>
          <w:szCs w:val="16"/>
          <w:color w:val="auto"/>
        </w:rPr>
        <w:t>GAAP net income attributable to ViaSat, Inc.</w:t>
      </w:r>
    </w:p>
    <w:p>
      <w:pPr>
        <w:spacing w:after="0" w:line="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Benefit from income taxes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998"/>
        <w:spacing w:after="0"/>
        <w:rPr>
          <w:sz w:val="20"/>
          <w:szCs w:val="20"/>
          <w:color w:val="auto"/>
        </w:rPr>
      </w:pPr>
      <w:r>
        <w:rPr>
          <w:rFonts w:ascii="Arial" w:cs="Arial" w:eastAsia="Arial" w:hAnsi="Arial"/>
          <w:sz w:val="12"/>
          <w:szCs w:val="12"/>
          <w:b w:val="1"/>
          <w:bCs w:val="1"/>
          <w:color w:val="auto"/>
        </w:rPr>
        <w:t>Twelve months ended</w:t>
      </w:r>
    </w:p>
    <w:p>
      <w:pPr>
        <w:spacing w:after="0" w:line="24" w:lineRule="exact"/>
        <w:rPr>
          <w:sz w:val="20"/>
          <w:szCs w:val="20"/>
          <w:color w:val="auto"/>
        </w:rPr>
      </w:pPr>
    </w:p>
    <w:p>
      <w:pPr>
        <w:jc w:val="center"/>
        <w:ind w:right="998"/>
        <w:spacing w:after="0"/>
        <w:rPr>
          <w:sz w:val="20"/>
          <w:szCs w:val="20"/>
          <w:color w:val="auto"/>
        </w:rPr>
      </w:pPr>
      <w:r>
        <w:rPr>
          <w:rFonts w:ascii="Arial" w:cs="Arial" w:eastAsia="Arial" w:hAnsi="Arial"/>
          <w:sz w:val="14"/>
          <w:szCs w:val="14"/>
          <w:b w:val="1"/>
          <w:bCs w:val="1"/>
          <w:color w:val="auto"/>
        </w:rPr>
        <w:t>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975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1" w:lineRule="exact"/>
        <w:rPr>
          <w:sz w:val="20"/>
          <w:szCs w:val="20"/>
          <w:color w:val="auto"/>
        </w:rPr>
      </w:pPr>
    </w:p>
    <w:p>
      <w:pPr>
        <w:ind w:left="782" w:hanging="782"/>
        <w:spacing w:after="0"/>
        <w:tabs>
          <w:tab w:leader="none" w:pos="7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21,741</w:t>
      </w:r>
    </w:p>
    <w:p>
      <w:pPr>
        <w:spacing w:after="0" w:line="38" w:lineRule="exact"/>
        <w:rPr>
          <w:rFonts w:ascii="Arial" w:cs="Arial" w:eastAsia="Arial" w:hAnsi="Arial"/>
          <w:sz w:val="16"/>
          <w:szCs w:val="16"/>
          <w:color w:val="auto"/>
        </w:rPr>
      </w:pPr>
    </w:p>
    <w:p>
      <w:pPr>
        <w:ind w:left="802"/>
        <w:spacing w:after="0"/>
        <w:rPr>
          <w:rFonts w:ascii="Arial" w:cs="Arial" w:eastAsia="Arial" w:hAnsi="Arial"/>
          <w:sz w:val="16"/>
          <w:szCs w:val="16"/>
          <w:color w:val="auto"/>
        </w:rPr>
      </w:pPr>
      <w:r>
        <w:rPr>
          <w:rFonts w:ascii="Arial" w:cs="Arial" w:eastAsia="Arial" w:hAnsi="Arial"/>
          <w:sz w:val="16"/>
          <w:szCs w:val="16"/>
          <w:color w:val="auto"/>
        </w:rPr>
        <w:t>(4,173)</w:t>
      </w:r>
    </w:p>
    <w:p>
      <w:pPr>
        <w:spacing w:after="0" w:line="32" w:lineRule="exact"/>
        <w:rPr>
          <w:rFonts w:ascii="Arial" w:cs="Arial" w:eastAsia="Arial" w:hAnsi="Arial"/>
          <w:sz w:val="16"/>
          <w:szCs w:val="16"/>
          <w:color w:val="auto"/>
        </w:rPr>
      </w:pPr>
    </w:p>
    <w:p>
      <w:pPr>
        <w:ind w:left="782"/>
        <w:spacing w:after="0"/>
        <w:rPr>
          <w:rFonts w:ascii="Arial" w:cs="Arial" w:eastAsia="Arial" w:hAnsi="Arial"/>
          <w:sz w:val="16"/>
          <w:szCs w:val="16"/>
          <w:color w:val="auto"/>
        </w:rPr>
      </w:pPr>
      <w:r>
        <w:rPr>
          <w:rFonts w:ascii="Arial" w:cs="Arial" w:eastAsia="Arial" w:hAnsi="Arial"/>
          <w:sz w:val="16"/>
          <w:szCs w:val="16"/>
          <w:color w:val="auto"/>
        </w:rPr>
        <w:t>23,522</w:t>
      </w:r>
    </w:p>
    <w:p>
      <w:pPr>
        <w:spacing w:after="0" w:line="32"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242,076</w:t>
      </w:r>
    </w:p>
    <w:p>
      <w:pPr>
        <w:spacing w:after="0" w:line="9"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47,510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975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0" w:lineRule="exact"/>
        <w:rPr>
          <w:sz w:val="20"/>
          <w:szCs w:val="20"/>
          <w:color w:val="auto"/>
        </w:rPr>
      </w:pPr>
    </w:p>
    <w:p>
      <w:pPr>
        <w:ind w:left="682" w:hanging="682"/>
        <w:spacing w:after="0"/>
        <w:tabs>
          <w:tab w:leader="none" w:pos="682" w:val="left"/>
        </w:tabs>
        <w:numPr>
          <w:ilvl w:val="0"/>
          <w:numId w:val="22"/>
        </w:numPr>
        <w:rPr>
          <w:rFonts w:ascii="Arial" w:cs="Arial" w:eastAsia="Arial" w:hAnsi="Arial"/>
          <w:sz w:val="16"/>
          <w:szCs w:val="16"/>
          <w:color w:val="auto"/>
        </w:rPr>
      </w:pPr>
      <w:r>
        <w:rPr>
          <w:rFonts w:ascii="Arial" w:cs="Arial" w:eastAsia="Arial" w:hAnsi="Arial"/>
          <w:sz w:val="16"/>
          <w:szCs w:val="16"/>
          <w:color w:val="auto"/>
        </w:rPr>
        <w:t>330,676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975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7975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418" w:space="720"/>
            <w:col w:w="2262"/>
          </w:cols>
          <w:pgMar w:left="240" w:top="459" w:right="259" w:bottom="1440" w:gutter="0" w:footer="0" w:header="0"/>
          <w:type w:val="continuous"/>
        </w:sectPr>
      </w:pPr>
    </w:p>
    <w:p>
      <w:pPr>
        <w:spacing w:after="0" w:line="2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purposes of determining the annual cash bonus for our Chief Executive Officer in fiscal year 2016, the Compensation and Human Resources Committee relied on an assessment of our Chief Executive Officer’s performance completed by the Nomination, Evaluation and Corporate Governance Committee. The criteria used by the Nomination, Evaluation and Corporate Governance Committee for our Chief Executive Officer’s fiscal year 2016 evaluation included the following, with equal weighting (33%) applied to each of the three main categories:</w:t>
      </w:r>
    </w:p>
    <w:p>
      <w:pPr>
        <w:spacing w:after="0" w:line="62" w:lineRule="exact"/>
        <w:rPr>
          <w:sz w:val="20"/>
          <w:szCs w:val="20"/>
          <w:color w:val="auto"/>
        </w:rPr>
      </w:pPr>
    </w:p>
    <w:p>
      <w:pPr>
        <w:ind w:left="660" w:right="2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Company Financial Performance</w:t>
      </w:r>
      <w:r>
        <w:rPr>
          <w:rFonts w:ascii="Arial" w:cs="Arial" w:eastAsia="Arial" w:hAnsi="Arial"/>
          <w:sz w:val="18"/>
          <w:szCs w:val="18"/>
          <w:color w:val="auto"/>
        </w:rPr>
        <w:t>. Non-GAAP diluted net income per share attributable to ViaSat, Inc. common stockholders, Adjusted EBITDA, new</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awards, total revenues and net operating asset turnover (at the same levels as set forth in the table above).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Leadership</w:t>
      </w:r>
      <w:r>
        <w:rPr>
          <w:rFonts w:ascii="Arial" w:cs="Arial" w:eastAsia="Arial" w:hAnsi="Arial"/>
          <w:sz w:val="16"/>
          <w:szCs w:val="16"/>
          <w:color w:val="auto"/>
        </w:rPr>
        <w:t>.  Defining, managing and attaining corporate goals, exemplifying and promoting ethics and integrity throughout the company.</w:t>
      </w:r>
    </w:p>
    <w:p>
      <w:pPr>
        <w:spacing w:after="0" w:line="113" w:lineRule="exact"/>
        <w:rPr>
          <w:rFonts w:ascii="Arial" w:cs="Arial" w:eastAsia="Arial" w:hAnsi="Arial"/>
          <w:sz w:val="16"/>
          <w:szCs w:val="16"/>
          <w:color w:val="auto"/>
        </w:rPr>
      </w:pPr>
    </w:p>
    <w:p>
      <w:pPr>
        <w:ind w:left="660" w:right="64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Strategic</w:t>
      </w:r>
      <w:r>
        <w:rPr>
          <w:rFonts w:ascii="Arial" w:cs="Arial" w:eastAsia="Arial" w:hAnsi="Arial"/>
          <w:sz w:val="18"/>
          <w:szCs w:val="18"/>
          <w:color w:val="auto"/>
        </w:rPr>
        <w:t>. Industry positioning, short-term and long-term strategies, measurable progress in key business areas and effective pursuit of growth</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a result, the performance metrics for determining the annual cash bonus for our Chief Executive Officer consist of both objective and subjective criteria. Under the objective performance factors, the company must achieve quantifiable financial performance metrics, as described above. The attainment of our Chief Executive Officer’s leadership and strategic individual performance factors, while made in the context of the company’s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achievement relative to the objective financial criteria described above, is based upon a subjective evaluation of his individual performance by the Nomination, Evaluation and Corporate Governance Committee. With respect to leadership performance, the Nomination, Evaluation and Corporate Governance Committee determined that Mr. Dankberg achieved, among other things:</w:t>
      </w:r>
    </w:p>
    <w:p>
      <w:pPr>
        <w:spacing w:after="0" w:line="59"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growth in ViaSat brand awareness across the industry,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continued commitment to a culture of ethical leadership with employee engagement at levels surpassing high tech industry benchmarks.</w:t>
      </w:r>
    </w:p>
    <w:p>
      <w:pPr>
        <w:spacing w:after="0" w:line="19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terms of strategic objectives, the Nomination, Evaluation and Corporate Governance Committee noted the following achievements by Mr. Dankberg during fiscal year 2016, among other things:</w:t>
      </w:r>
    </w:p>
    <w:p>
      <w:pPr>
        <w:spacing w:after="0" w:line="51"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led ViaSat to be the first U.S. satellite internet service provider to offer download speeds of 25 Mbps,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increased average revenue per user for our residential broadband services business by 7% year-over-year while continuing to improve subscriber churn,</w:t>
      </w:r>
    </w:p>
    <w:p>
      <w:pPr>
        <w:spacing w:after="0" w:line="124" w:lineRule="exact"/>
        <w:rPr>
          <w:rFonts w:ascii="Arial" w:cs="Arial" w:eastAsia="Arial" w:hAnsi="Arial"/>
          <w:sz w:val="15"/>
          <w:szCs w:val="15"/>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kept ViaSat on track for the launch of our ViaSat-2 satellite in fiscal year 2017,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successfully demonstrated the industry’s first high-speed 100 Gbps Ethernet encryption device in partnership with the U.S. Naval Research Laboratory.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and Human Resources Committee considered the foregoing evaluations in determining Mr. Dankberg’s final annual bonus award.</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upon ViaSat’s financial results for fiscal year 2016 relative to the pre-established financial objectives described above and the Compensation and Human Resources Committee’s subjective evaluation of ViaSat’s other corporate achievements during fiscal year 2016 and individual executive performance, the Compensation and Human Resources Committee, acting under delegation of authority from the Board, approved the cash bonuses in the table below for our Named Executive Officers for fiscal year 2016 (paid in fiscal year 2017). The Compensation and Human Resources Committee determined that the company’s achievement relative to the pre-established financial objectives described above was approximately 94%.</w:t>
      </w:r>
    </w:p>
    <w:p>
      <w:pPr>
        <w:spacing w:after="0" w:line="116"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In making its overall determinations relative to the individual component of each executive’s bonus, the Compensation and Human Resources Committee placed special emphasis on the leadership provided by the executive team in the achievement of critical non-financial, operational and strategic business objectives during fiscal year 2016, specifically including each executive’s contributions during the fiscal year to significant progress in the development and construction of our ViaSat-2 and ViaSat-3 class satellites (our second and third generation high-capacity Ka-band satellite designs, respectively), ViaSat’s strategic role in the transformation of the in-flight connectivity market, continued growth in our global mobile broadband service business, growth of our government mobile broadband business and overall strong strategic positioning, which resulted in the bonus awards reflected in the following table.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Fiscal Year 2016 Cash Bonuses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4"/>
              </w:rPr>
              <w:t>Target Bonus</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Actual Cash</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Range As</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Bonuses As</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Executive</w:t>
            </w:r>
          </w:p>
        </w:tc>
        <w:tc>
          <w:tcPr>
            <w:tcW w:w="6020" w:type="dxa"/>
            <w:vAlign w:val="bottom"/>
            <w:vMerge w:val="restart"/>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2"/>
              </w:rPr>
              <w:t>of Base</w:t>
            </w: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Actual Cash</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of Base</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6020" w:type="dxa"/>
            <w:vAlign w:val="bottom"/>
            <w:vMerge w:val="continue"/>
          </w:tcPr>
          <w:p>
            <w:pPr>
              <w:spacing w:after="0"/>
              <w:rPr>
                <w:sz w:val="14"/>
                <w:szCs w:val="14"/>
                <w:color w:val="auto"/>
              </w:rPr>
            </w:pPr>
          </w:p>
        </w:tc>
        <w:tc>
          <w:tcPr>
            <w:tcW w:w="154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94"/>
              </w:rPr>
              <w:t>Salary (%)</w:t>
            </w:r>
          </w:p>
        </w:tc>
        <w:tc>
          <w:tcPr>
            <w:tcW w:w="154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2"/>
              </w:rPr>
              <w:t xml:space="preserve">Bonuses </w:t>
            </w: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w:t>
            </w:r>
          </w:p>
        </w:tc>
        <w:tc>
          <w:tcPr>
            <w:tcW w:w="8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1"/>
              </w:rPr>
              <w:t>Salary (%)</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100-125</w:t>
            </w:r>
          </w:p>
        </w:tc>
        <w:tc>
          <w:tcPr>
            <w:tcW w:w="7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1,200,000</w:t>
            </w:r>
          </w:p>
        </w:tc>
        <w:tc>
          <w:tcPr>
            <w:tcW w:w="7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100-125</w:t>
            </w:r>
          </w:p>
        </w:tc>
        <w:tc>
          <w:tcPr>
            <w:tcW w:w="760" w:type="dxa"/>
            <w:vAlign w:val="bottom"/>
          </w:tcPr>
          <w:p>
            <w:pPr>
              <w:jc w:val="right"/>
              <w:spacing w:after="0"/>
              <w:rPr>
                <w:sz w:val="20"/>
                <w:szCs w:val="20"/>
                <w:color w:val="auto"/>
              </w:rPr>
            </w:pPr>
            <w:r>
              <w:rPr>
                <w:rFonts w:ascii="Arial" w:cs="Arial" w:eastAsia="Arial" w:hAnsi="Arial"/>
                <w:sz w:val="18"/>
                <w:szCs w:val="18"/>
                <w:color w:val="auto"/>
              </w:rPr>
              <w:t>975,000</w:t>
            </w:r>
          </w:p>
        </w:tc>
        <w:tc>
          <w:tcPr>
            <w:tcW w:w="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Duffy</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100-125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100-125</w:t>
            </w:r>
          </w:p>
        </w:tc>
        <w:tc>
          <w:tcPr>
            <w:tcW w:w="760" w:type="dxa"/>
            <w:vAlign w:val="bottom"/>
          </w:tcPr>
          <w:p>
            <w:pPr>
              <w:jc w:val="right"/>
              <w:spacing w:after="0"/>
              <w:rPr>
                <w:sz w:val="20"/>
                <w:szCs w:val="20"/>
                <w:color w:val="auto"/>
              </w:rPr>
            </w:pPr>
            <w:r>
              <w:rPr>
                <w:rFonts w:ascii="Arial" w:cs="Arial" w:eastAsia="Arial" w:hAnsi="Arial"/>
                <w:sz w:val="18"/>
                <w:szCs w:val="18"/>
                <w:color w:val="auto"/>
              </w:rPr>
              <w:t>525,000</w:t>
            </w:r>
          </w:p>
        </w:tc>
        <w:tc>
          <w:tcPr>
            <w:tcW w:w="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Peterman</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80-125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00" w:firstLine="456"/>
        <w:spacing w:after="0" w:line="268" w:lineRule="auto"/>
        <w:rPr>
          <w:sz w:val="20"/>
          <w:szCs w:val="20"/>
          <w:color w:val="auto"/>
        </w:rPr>
      </w:pPr>
      <w:r>
        <w:rPr>
          <w:rFonts w:ascii="Arial" w:cs="Arial" w:eastAsia="Arial" w:hAnsi="Arial"/>
          <w:sz w:val="18"/>
          <w:szCs w:val="18"/>
          <w:i w:val="1"/>
          <w:iCs w:val="1"/>
          <w:color w:val="auto"/>
        </w:rPr>
        <w:t>Equity-Based Compensation</w:t>
      </w:r>
      <w:r>
        <w:rPr>
          <w:rFonts w:ascii="Arial" w:cs="Arial" w:eastAsia="Arial" w:hAnsi="Arial"/>
          <w:sz w:val="18"/>
          <w:szCs w:val="18"/>
          <w:color w:val="auto"/>
        </w:rPr>
        <w:t>. Consistent with our belief that equity-based compensation is a key component of an effective executive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at growth-oriented technology companies, our Board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03" w:lineRule="auto"/>
        <w:rPr>
          <w:sz w:val="20"/>
          <w:szCs w:val="20"/>
          <w:color w:val="auto"/>
        </w:rPr>
      </w:pPr>
      <w:r>
        <w:rPr>
          <w:rFonts w:ascii="Arial" w:cs="Arial" w:eastAsia="Arial" w:hAnsi="Arial"/>
          <w:sz w:val="15"/>
          <w:szCs w:val="15"/>
          <w:color w:val="auto"/>
        </w:rPr>
        <w:t>approved (upon recommendation of our Compensation and Human Resources Committee) long-term equity awards to our executive officers in fiscal year 2016. Our Compensation and Human Resources Committee determined equity award levels for fiscal year 2016 in a manner consistent with the determination of base salary and annual cash bonuses. The Compensation and Human Resources Committee considered (1) the industry compensation data described above,</w:t>
      </w:r>
    </w:p>
    <w:p>
      <w:pPr>
        <w:spacing w:after="0" w:line="1" w:lineRule="exact"/>
        <w:rPr>
          <w:sz w:val="20"/>
          <w:szCs w:val="20"/>
          <w:color w:val="auto"/>
        </w:rPr>
      </w:pPr>
    </w:p>
    <w:p>
      <w:pPr>
        <w:ind w:firstLine="8"/>
        <w:spacing w:after="0" w:line="253"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individual performance and contributions, (3) total executive compensation, and (4) the availability and affordability of shares for equity grants in determining equity compensation for executives. In determining the fiscal year 2016 equity compensation awards for the executive officers, the Compensation and Human Resources Committee considered the peer group data and compensation survey data from Radford, but did not grant equity awards at a specific percentile relative to such data. Instead, in determining the availability and affordability of shares for equity grants, the Compensation and Human Resources Committee also considered:</w:t>
      </w:r>
    </w:p>
    <w:p>
      <w:pPr>
        <w:spacing w:after="0" w:line="64" w:lineRule="exact"/>
        <w:rPr>
          <w:rFonts w:ascii="Arial" w:cs="Arial" w:eastAsia="Arial" w:hAnsi="Arial"/>
          <w:sz w:val="18"/>
          <w:szCs w:val="18"/>
          <w:color w:val="auto"/>
        </w:rPr>
      </w:pPr>
    </w:p>
    <w:p>
      <w:pPr>
        <w:ind w:left="660" w:hanging="206"/>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our equity plan,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number of shares budgeted for non-executive equity grants,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expected future retention and new hire grants to executives and non-executives,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annual dilution (burn) rate associated with the grant of equity awards,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ViaSat’s equity overhang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estimated accounting expense of potential equity grants,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tax consequences associated with the grant of equity awards.</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Based on the factors discussed above, our Board (upon recommendation from the Compensation and Human Resources Committee) approved equity incentive awards for our Named Executive Officers in November 2015. For more information on these equity awards, see the Grants of Plan-Based Awards in Fiscal Year 2016 table below.</w:t>
      </w:r>
    </w:p>
    <w:p>
      <w:pPr>
        <w:spacing w:after="0" w:line="14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i w:val="1"/>
          <w:iCs w:val="1"/>
          <w:color w:val="auto"/>
        </w:rPr>
        <w:t>Other Benefits</w:t>
      </w:r>
      <w:r>
        <w:rPr>
          <w:rFonts w:ascii="Arial" w:cs="Arial" w:eastAsia="Arial" w:hAnsi="Arial"/>
          <w:sz w:val="15"/>
          <w:szCs w:val="15"/>
          <w:color w:val="auto"/>
        </w:rPr>
        <w:t>. We provide a comprehensive benefits package to all of our employees, including our executive officers, which includes medical, dental,</w:t>
      </w:r>
      <w:r>
        <w:rPr>
          <w:rFonts w:ascii="Arial" w:cs="Arial" w:eastAsia="Arial" w:hAnsi="Arial"/>
          <w:sz w:val="15"/>
          <w:szCs w:val="15"/>
          <w:i w:val="1"/>
          <w:iCs w:val="1"/>
          <w:color w:val="auto"/>
        </w:rPr>
        <w:t xml:space="preserve"> </w:t>
      </w:r>
      <w:r>
        <w:rPr>
          <w:rFonts w:ascii="Arial" w:cs="Arial" w:eastAsia="Arial" w:hAnsi="Arial"/>
          <w:sz w:val="15"/>
          <w:szCs w:val="15"/>
          <w:color w:val="auto"/>
        </w:rPr>
        <w:t>vision care, disability insurance, life insurance benefits, flexible spending plan, 401(k) savings plan, educational reimbursement program, employee assistance program, employee stock purchase plan, holidays and personal time off which includes vacation and sick days as needed. Certain executives also receive access to our sports and golf club memberships. We do not currently offer defined benefit pension or supplemental executive retirement plans to any of our employees.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 Process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Stock options and restricted stock units are part of the equity compensation program for many of our employees. Equity awards are granted in approximately 12 month cycles. Grant approval for executive officers occurs at meetings of the Board. Because of the more extensive process for determining executive equity grants, executive equity grants are not always made at the same time as grants to all other eligible employees. The timing of grants is not coordinated with the release of material non-public information. Stock option awards are priced at fair market value on the date of grant (as defined under our equity plan) and awards of restricted stock units are also made in accordance with the terms of our equity plan.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addition to grants made as part of our annual equity grant process for our current employees, stock option and restricted stock unit grants may also be made during the year to newly-hired employees as part of the in-hire package, as well as to existing employees for purposes of retention or in recognition of special achievements. In order to address the need to grant options at multiple times during the year, the Compensation and Human Resources Committee has delegated authority to our Chief Executive Officer, President and Vice President of Human Resources to make grants to employees other than executive officers, subject to certain guidelines and an overall share limitation. Grants made by these senior executives under delegation of authority from the Compensation and Human Resources Committee are generally made once per quarter. We do not grant “re-load” options, make loans to executives for any purpose, including to exercise stock options, nor do we grant stock options at a discount.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enhance our overall corporate governance practices and executive compensation program, our Board has adopted stock ownership guidelines for our executive officers. These guidelines are designed to align our executive officers’ interests with our stockholders’ long-term interests by promoting long-term ownership of ViaSat common stock, which reduces the incentive for excessive short-term risk taking. These guidelines provide that, within five years of the later of the adoption of the guidelines or his or her first date of employment, our executive officers should attain an investment position in shares of ViaSat common stock having a value not less than the amounts specified below:</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8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86"/>
              </w:rPr>
              <w:t>Stock Ownership Guideline</w:t>
            </w:r>
          </w:p>
        </w:tc>
      </w:tr>
      <w:tr>
        <w:trPr>
          <w:trHeight w:val="168"/>
        </w:trPr>
        <w:tc>
          <w:tcPr>
            <w:tcW w:w="2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Executive Officer</w:t>
            </w:r>
          </w:p>
        </w:tc>
        <w:tc>
          <w:tcPr>
            <w:tcW w:w="400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a multiple of base salary)</w:t>
            </w:r>
          </w:p>
        </w:tc>
        <w:tc>
          <w:tcPr>
            <w:tcW w:w="1540" w:type="dxa"/>
            <w:vAlign w:val="bottom"/>
          </w:tcPr>
          <w:p>
            <w:pPr>
              <w:spacing w:after="0"/>
              <w:rPr>
                <w:sz w:val="14"/>
                <w:szCs w:val="14"/>
                <w:color w:val="auto"/>
              </w:rPr>
            </w:pPr>
          </w:p>
        </w:tc>
      </w:tr>
      <w:tr>
        <w:trPr>
          <w:trHeight w:val="216"/>
        </w:trPr>
        <w:tc>
          <w:tcPr>
            <w:tcW w:w="7220" w:type="dxa"/>
            <w:vAlign w:val="bottom"/>
            <w:gridSpan w:val="3"/>
            <w:shd w:val="clear" w:color="auto" w:fill="CCEEFF"/>
          </w:tcPr>
          <w:p>
            <w:pPr>
              <w:jc w:val="center"/>
              <w:ind w:right="1860"/>
              <w:spacing w:after="0"/>
              <w:rPr>
                <w:sz w:val="20"/>
                <w:szCs w:val="20"/>
                <w:color w:val="auto"/>
              </w:rPr>
            </w:pPr>
            <w:r>
              <w:rPr>
                <w:rFonts w:ascii="Arial" w:cs="Arial" w:eastAsia="Arial" w:hAnsi="Arial"/>
                <w:sz w:val="18"/>
                <w:szCs w:val="18"/>
                <w:color w:val="auto"/>
                <w:w w:val="91"/>
              </w:rPr>
              <w:t>Chief Executive Officer</w:t>
            </w:r>
          </w:p>
        </w:tc>
        <w:tc>
          <w:tcPr>
            <w:tcW w:w="3280" w:type="dxa"/>
            <w:vAlign w:val="bottom"/>
            <w:gridSpan w:val="2"/>
            <w:shd w:val="clear" w:color="auto" w:fill="CCEEFF"/>
          </w:tcPr>
          <w:p>
            <w:pPr>
              <w:jc w:val="center"/>
              <w:ind w:right="1540"/>
              <w:spacing w:after="0"/>
              <w:rPr>
                <w:sz w:val="20"/>
                <w:szCs w:val="20"/>
                <w:color w:val="auto"/>
              </w:rPr>
            </w:pPr>
            <w:r>
              <w:rPr>
                <w:rFonts w:ascii="Arial" w:cs="Arial" w:eastAsia="Arial" w:hAnsi="Arial"/>
                <w:sz w:val="18"/>
                <w:szCs w:val="18"/>
                <w:color w:val="auto"/>
                <w:w w:val="86"/>
              </w:rPr>
              <w:t>Three times</w:t>
            </w:r>
          </w:p>
        </w:tc>
      </w:tr>
      <w:tr>
        <w:trPr>
          <w:trHeight w:val="216"/>
        </w:trPr>
        <w:tc>
          <w:tcPr>
            <w:tcW w:w="7220" w:type="dxa"/>
            <w:vAlign w:val="bottom"/>
            <w:gridSpan w:val="3"/>
          </w:tcPr>
          <w:p>
            <w:pPr>
              <w:jc w:val="center"/>
              <w:ind w:right="1860"/>
              <w:spacing w:after="0"/>
              <w:rPr>
                <w:sz w:val="20"/>
                <w:szCs w:val="20"/>
                <w:color w:val="auto"/>
              </w:rPr>
            </w:pPr>
            <w:r>
              <w:rPr>
                <w:rFonts w:ascii="Arial" w:cs="Arial" w:eastAsia="Arial" w:hAnsi="Arial"/>
                <w:sz w:val="18"/>
                <w:szCs w:val="18"/>
                <w:color w:val="auto"/>
                <w:w w:val="89"/>
              </w:rPr>
              <w:t>President and Chief Operating Officer</w:t>
            </w:r>
          </w:p>
        </w:tc>
        <w:tc>
          <w:tcPr>
            <w:tcW w:w="3280" w:type="dxa"/>
            <w:vAlign w:val="bottom"/>
            <w:gridSpan w:val="2"/>
          </w:tcPr>
          <w:p>
            <w:pPr>
              <w:jc w:val="center"/>
              <w:ind w:right="1540"/>
              <w:spacing w:after="0"/>
              <w:rPr>
                <w:sz w:val="20"/>
                <w:szCs w:val="20"/>
                <w:color w:val="auto"/>
              </w:rPr>
            </w:pPr>
            <w:r>
              <w:rPr>
                <w:rFonts w:ascii="Arial" w:cs="Arial" w:eastAsia="Arial" w:hAnsi="Arial"/>
                <w:sz w:val="18"/>
                <w:szCs w:val="18"/>
                <w:color w:val="auto"/>
                <w:w w:val="86"/>
              </w:rPr>
              <w:t>Three times</w:t>
            </w:r>
          </w:p>
        </w:tc>
      </w:tr>
      <w:tr>
        <w:trPr>
          <w:trHeight w:val="216"/>
        </w:trPr>
        <w:tc>
          <w:tcPr>
            <w:tcW w:w="7220" w:type="dxa"/>
            <w:vAlign w:val="bottom"/>
            <w:gridSpan w:val="3"/>
            <w:shd w:val="clear" w:color="auto" w:fill="CCEEFF"/>
          </w:tcPr>
          <w:p>
            <w:pPr>
              <w:jc w:val="center"/>
              <w:ind w:right="1860"/>
              <w:spacing w:after="0"/>
              <w:rPr>
                <w:sz w:val="20"/>
                <w:szCs w:val="20"/>
                <w:color w:val="auto"/>
              </w:rPr>
            </w:pPr>
            <w:r>
              <w:rPr>
                <w:rFonts w:ascii="Arial" w:cs="Arial" w:eastAsia="Arial" w:hAnsi="Arial"/>
                <w:sz w:val="18"/>
                <w:szCs w:val="18"/>
                <w:color w:val="auto"/>
                <w:w w:val="90"/>
              </w:rPr>
              <w:t>Other Executive Officers</w:t>
            </w:r>
          </w:p>
        </w:tc>
        <w:tc>
          <w:tcPr>
            <w:tcW w:w="3280" w:type="dxa"/>
            <w:vAlign w:val="bottom"/>
            <w:gridSpan w:val="2"/>
            <w:shd w:val="clear" w:color="auto" w:fill="CCEEFF"/>
          </w:tcPr>
          <w:p>
            <w:pPr>
              <w:jc w:val="center"/>
              <w:ind w:right="1540"/>
              <w:spacing w:after="0"/>
              <w:rPr>
                <w:sz w:val="20"/>
                <w:szCs w:val="20"/>
                <w:color w:val="auto"/>
              </w:rPr>
            </w:pPr>
            <w:r>
              <w:rPr>
                <w:rFonts w:ascii="Arial" w:cs="Arial" w:eastAsia="Arial" w:hAnsi="Arial"/>
                <w:sz w:val="18"/>
                <w:szCs w:val="18"/>
                <w:color w:val="auto"/>
                <w:w w:val="90"/>
              </w:rPr>
              <w:t>One time</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 Short Sale and Pledging Policies</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ViaSat’s policies prohibit all of our directors and officers from trading in put and call options and engaging in short sales with respect to shares of ViaSat common stock. ViaSat also strongly discourages any pledges of ViaSat common stock that could have any adverse impact on the company. Our policies require all pledges of ViaSat common stock by our directors and officers, including the establishment of a margin account containing ViaSat common stock, to be pre-cleared by our General Counsel.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90"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We select and implement the components of our compensation program primarily for their ability to help us achieve the company’s objectives and not on the basis of any unique or preferential financial tax or accounting treatment. However, when awarding compensation, the Compensation and Human Resources Committee is mindful of the level of earnings per share dilution that will be caused as a result of the compensation expense related to the Compensation and Human Resources Committee’s actions. In addition, Section 162(m) of the Internal Revenue Code generally sets a limit of $1.0 million on the amount of annual compensation (other than certain enumerated categories of performance-based compensation) that we may deduct for federal income tax purposes for certain covered individuals. We have not adopted a policy requiring that all compensation be deductible, although the Compensation and Human Resources Committee will continue to review the Section 162(m) deductibility of our compensation arrangements in fiscal year 2017 and future fiscal years. The Compensation and Human Resources Committee retains the discretion to approve compensation that may not qualify for the compensation deduction if, in light of all applicable circumstances, it would be in our best interest for such compensation to be paid without regard to whether it may be tax deductible.</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and Human Resources Committee has reviewed and discussed the Compensation Discussion and Analysis with management and, based on such review and discussions, the Compensation and Human Resources Committee recommended to the Board of Directors that the Compensation Discussion and Analysis be included in this proxy statement.</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 by the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and Human Resources Committee</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Nash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J. Biondi, Jr.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Stenbit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Harvey White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The following table sets forth the compensation earned during the fiscal years ended March 31, 2016, April 3, 2015 and April 4, 2014 by our Chief Executive Officer and Chief Financial Officer, as well as our three other most highly compensated executive officers (collectively, the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Non-Equity</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All 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7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Fiscal</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7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Bonus</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660" w:type="dxa"/>
            <w:vAlign w:val="bottom"/>
          </w:tcPr>
          <w:p>
            <w:pPr>
              <w:jc w:val="right"/>
              <w:ind w:right="192"/>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20" w:type="dxa"/>
            <w:vAlign w:val="bottom"/>
          </w:tcPr>
          <w:p>
            <w:pPr>
              <w:ind w:left="140"/>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300" w:type="dxa"/>
            <w:vAlign w:val="bottom"/>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300" w:type="dxa"/>
            <w:vAlign w:val="bottom"/>
          </w:tcPr>
          <w:p>
            <w:pPr>
              <w:spacing w:after="0"/>
              <w:rPr>
                <w:sz w:val="14"/>
                <w:szCs w:val="14"/>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(2)</w:t>
            </w:r>
          </w:p>
        </w:tc>
        <w:tc>
          <w:tcPr>
            <w:tcW w:w="300" w:type="dxa"/>
            <w:vAlign w:val="bottom"/>
          </w:tcPr>
          <w:p>
            <w:pPr>
              <w:spacing w:after="0"/>
              <w:rPr>
                <w:sz w:val="14"/>
                <w:szCs w:val="14"/>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(3)</w:t>
            </w:r>
          </w:p>
        </w:tc>
        <w:tc>
          <w:tcPr>
            <w:tcW w:w="300" w:type="dxa"/>
            <w:vAlign w:val="bottom"/>
          </w:tcPr>
          <w:p>
            <w:pPr>
              <w:spacing w:after="0"/>
              <w:rPr>
                <w:sz w:val="14"/>
                <w:szCs w:val="14"/>
                <w:color w:val="auto"/>
              </w:rPr>
            </w:pPr>
          </w:p>
        </w:tc>
        <w:tc>
          <w:tcPr>
            <w:tcW w:w="700" w:type="dxa"/>
            <w:vAlign w:val="bottom"/>
          </w:tcPr>
          <w:p>
            <w:pPr>
              <w:jc w:val="right"/>
              <w:ind w:right="192"/>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Mark Dankberg</w:t>
            </w:r>
          </w:p>
        </w:tc>
        <w:tc>
          <w:tcPr>
            <w:tcW w:w="2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ind w:left="120"/>
              <w:spacing w:after="0" w:line="136" w:lineRule="exact"/>
              <w:rPr>
                <w:sz w:val="20"/>
                <w:szCs w:val="20"/>
                <w:color w:val="auto"/>
              </w:rPr>
            </w:pPr>
            <w:r>
              <w:rPr>
                <w:rFonts w:ascii="Arial" w:cs="Arial" w:eastAsia="Arial" w:hAnsi="Arial"/>
                <w:sz w:val="14"/>
                <w:szCs w:val="14"/>
                <w:color w:val="auto"/>
                <w:w w:val="76"/>
              </w:rPr>
              <w:t>2016</w:t>
            </w:r>
          </w:p>
        </w:tc>
        <w:tc>
          <w:tcPr>
            <w:tcW w:w="3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1,025,000</w:t>
            </w:r>
          </w:p>
        </w:tc>
        <w:tc>
          <w:tcPr>
            <w:tcW w:w="2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ind w:left="220"/>
              <w:spacing w:after="0" w:line="136"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2,552,520</w:t>
            </w:r>
          </w:p>
        </w:tc>
        <w:tc>
          <w:tcPr>
            <w:tcW w:w="3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2,547,950</w:t>
            </w:r>
          </w:p>
        </w:tc>
        <w:tc>
          <w:tcPr>
            <w:tcW w:w="3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1,200,000</w:t>
            </w:r>
          </w:p>
        </w:tc>
        <w:tc>
          <w:tcPr>
            <w:tcW w:w="3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10,279</w:t>
            </w:r>
          </w:p>
        </w:tc>
        <w:tc>
          <w:tcPr>
            <w:tcW w:w="3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7,335,749</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Chairman and Chief</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2015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965,000</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2,414,889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2,471,106</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1,200,000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21,540</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7,072,535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Executive Officer</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2014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949,400</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2,030,313</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2,350,680</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1,100,000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25,700</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6,456,093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40" w:type="dxa"/>
            <w:vAlign w:val="bottom"/>
            <w:gridSpan w:val="2"/>
          </w:tcPr>
          <w:p>
            <w:pPr>
              <w:spacing w:after="0" w:line="138" w:lineRule="exact"/>
              <w:rPr>
                <w:sz w:val="20"/>
                <w:szCs w:val="20"/>
                <w:color w:val="auto"/>
              </w:rPr>
            </w:pPr>
            <w:r>
              <w:rPr>
                <w:rFonts w:ascii="Arial" w:cs="Arial" w:eastAsia="Arial" w:hAnsi="Arial"/>
                <w:sz w:val="14"/>
                <w:szCs w:val="14"/>
                <w:color w:val="auto"/>
              </w:rPr>
              <w:t>Richard Baldridge</w:t>
            </w:r>
          </w:p>
        </w:tc>
        <w:tc>
          <w:tcPr>
            <w:tcW w:w="200" w:type="dxa"/>
            <w:vAlign w:val="bottom"/>
          </w:tcPr>
          <w:p>
            <w:pPr>
              <w:spacing w:after="0"/>
              <w:rPr>
                <w:sz w:val="11"/>
                <w:szCs w:val="11"/>
                <w:color w:val="auto"/>
              </w:rPr>
            </w:pPr>
          </w:p>
        </w:tc>
        <w:tc>
          <w:tcPr>
            <w:tcW w:w="68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2016</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850,000</w:t>
            </w:r>
          </w:p>
        </w:tc>
        <w:tc>
          <w:tcPr>
            <w:tcW w:w="280" w:type="dxa"/>
            <w:vAlign w:val="bottom"/>
          </w:tcPr>
          <w:p>
            <w:pPr>
              <w:spacing w:after="0"/>
              <w:rPr>
                <w:sz w:val="11"/>
                <w:szCs w:val="11"/>
                <w:color w:val="auto"/>
              </w:rPr>
            </w:pPr>
          </w:p>
        </w:tc>
        <w:tc>
          <w:tcPr>
            <w:tcW w:w="7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1,939,920</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1,936,442</w:t>
            </w:r>
          </w:p>
        </w:tc>
        <w:tc>
          <w:tcPr>
            <w:tcW w:w="300" w:type="dxa"/>
            <w:vAlign w:val="bottom"/>
          </w:tcPr>
          <w:p>
            <w:pPr>
              <w:spacing w:after="0"/>
              <w:rPr>
                <w:sz w:val="11"/>
                <w:szCs w:val="11"/>
                <w:color w:val="auto"/>
              </w:rPr>
            </w:pPr>
          </w:p>
        </w:tc>
        <w:tc>
          <w:tcPr>
            <w:tcW w:w="12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975,000</w:t>
            </w:r>
          </w:p>
        </w:tc>
        <w:tc>
          <w:tcPr>
            <w:tcW w:w="1000" w:type="dxa"/>
            <w:vAlign w:val="bottom"/>
          </w:tcPr>
          <w:p>
            <w:pPr>
              <w:jc w:val="right"/>
              <w:spacing w:after="0" w:line="138" w:lineRule="exact"/>
              <w:rPr>
                <w:sz w:val="20"/>
                <w:szCs w:val="20"/>
                <w:color w:val="auto"/>
              </w:rPr>
            </w:pPr>
            <w:r>
              <w:rPr>
                <w:rFonts w:ascii="Arial" w:cs="Arial" w:eastAsia="Arial" w:hAnsi="Arial"/>
                <w:sz w:val="14"/>
                <w:szCs w:val="14"/>
                <w:color w:val="auto"/>
              </w:rPr>
              <w:t>11,519</w:t>
            </w:r>
          </w:p>
        </w:tc>
        <w:tc>
          <w:tcPr>
            <w:tcW w:w="3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5,712,881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President and Chief</w:t>
            </w:r>
          </w:p>
        </w:tc>
        <w:tc>
          <w:tcPr>
            <w:tcW w:w="8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2015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280" w:type="dxa"/>
            <w:vAlign w:val="bottom"/>
          </w:tcPr>
          <w:p>
            <w:pPr>
              <w:spacing w:after="0"/>
              <w:rPr>
                <w:sz w:val="12"/>
                <w:szCs w:val="12"/>
                <w:color w:val="auto"/>
              </w:rPr>
            </w:pP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1,426,989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1,460,199</w:t>
            </w:r>
          </w:p>
        </w:tc>
        <w:tc>
          <w:tcPr>
            <w:tcW w:w="300" w:type="dxa"/>
            <w:vAlign w:val="bottom"/>
          </w:tcPr>
          <w:p>
            <w:pPr>
              <w:spacing w:after="0"/>
              <w:rPr>
                <w:sz w:val="12"/>
                <w:szCs w:val="12"/>
                <w:color w:val="auto"/>
              </w:rPr>
            </w:pPr>
          </w:p>
        </w:tc>
        <w:tc>
          <w:tcPr>
            <w:tcW w:w="12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1,000,000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12,240</w:t>
            </w:r>
          </w:p>
        </w:tc>
        <w:tc>
          <w:tcPr>
            <w:tcW w:w="3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4,699,428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Operating Officer</w:t>
            </w:r>
          </w:p>
        </w:tc>
        <w:tc>
          <w:tcPr>
            <w:tcW w:w="880" w:type="dxa"/>
            <w:vAlign w:val="bottom"/>
            <w:gridSpan w:val="3"/>
          </w:tcPr>
          <w:p>
            <w:pPr>
              <w:ind w:left="320"/>
              <w:spacing w:after="0" w:line="159" w:lineRule="exact"/>
              <w:rPr>
                <w:sz w:val="20"/>
                <w:szCs w:val="20"/>
                <w:color w:val="auto"/>
              </w:rPr>
            </w:pPr>
            <w:r>
              <w:rPr>
                <w:rFonts w:ascii="Arial" w:cs="Arial" w:eastAsia="Arial" w:hAnsi="Arial"/>
                <w:sz w:val="14"/>
                <w:szCs w:val="14"/>
                <w:color w:val="auto"/>
              </w:rPr>
              <w:t>2014</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716,000</w:t>
            </w:r>
          </w:p>
        </w:tc>
        <w:tc>
          <w:tcPr>
            <w:tcW w:w="280" w:type="dxa"/>
            <w:vAlign w:val="bottom"/>
          </w:tcPr>
          <w:p>
            <w:pPr>
              <w:spacing w:after="0"/>
              <w:rPr>
                <w:sz w:val="13"/>
                <w:szCs w:val="13"/>
                <w:color w:val="auto"/>
              </w:rPr>
            </w:pPr>
          </w:p>
        </w:tc>
        <w:tc>
          <w:tcPr>
            <w:tcW w:w="7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1,116,663</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1,292,874</w:t>
            </w:r>
          </w:p>
        </w:tc>
        <w:tc>
          <w:tcPr>
            <w:tcW w:w="300" w:type="dxa"/>
            <w:vAlign w:val="bottom"/>
          </w:tcPr>
          <w:p>
            <w:pPr>
              <w:spacing w:after="0"/>
              <w:rPr>
                <w:sz w:val="13"/>
                <w:szCs w:val="13"/>
                <w:color w:val="auto"/>
              </w:rPr>
            </w:pPr>
          </w:p>
        </w:tc>
        <w:tc>
          <w:tcPr>
            <w:tcW w:w="12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825,000</w:t>
            </w: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48,087</w:t>
            </w:r>
          </w:p>
        </w:tc>
        <w:tc>
          <w:tcPr>
            <w:tcW w:w="3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3,998,624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Shawn Duffy</w:t>
            </w:r>
          </w:p>
        </w:tc>
        <w:tc>
          <w:tcPr>
            <w:tcW w:w="8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2016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561,570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560,549</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450,000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8,885</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2,031,004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2015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493,950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505,454</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450,000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16,801</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1,866,205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Financial Officer</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2014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336,500</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355,288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411,369</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375,000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9,463</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1,487,620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40" w:type="dxa"/>
            <w:vAlign w:val="bottom"/>
            <w:gridSpan w:val="2"/>
          </w:tcPr>
          <w:p>
            <w:pPr>
              <w:spacing w:after="0" w:line="138" w:lineRule="exact"/>
              <w:rPr>
                <w:sz w:val="20"/>
                <w:szCs w:val="20"/>
                <w:color w:val="auto"/>
              </w:rPr>
            </w:pPr>
            <w:r>
              <w:rPr>
                <w:rFonts w:ascii="Arial" w:cs="Arial" w:eastAsia="Arial" w:hAnsi="Arial"/>
                <w:sz w:val="14"/>
                <w:szCs w:val="14"/>
                <w:color w:val="auto"/>
              </w:rPr>
              <w:t>Keven Lippert</w:t>
            </w:r>
          </w:p>
        </w:tc>
        <w:tc>
          <w:tcPr>
            <w:tcW w:w="200" w:type="dxa"/>
            <w:vAlign w:val="bottom"/>
          </w:tcPr>
          <w:p>
            <w:pPr>
              <w:spacing w:after="0"/>
              <w:rPr>
                <w:sz w:val="11"/>
                <w:szCs w:val="11"/>
                <w:color w:val="auto"/>
              </w:rPr>
            </w:pPr>
          </w:p>
        </w:tc>
        <w:tc>
          <w:tcPr>
            <w:tcW w:w="68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2016</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500,000</w:t>
            </w:r>
          </w:p>
        </w:tc>
        <w:tc>
          <w:tcPr>
            <w:tcW w:w="280" w:type="dxa"/>
            <w:vAlign w:val="bottom"/>
          </w:tcPr>
          <w:p>
            <w:pPr>
              <w:spacing w:after="0"/>
              <w:rPr>
                <w:sz w:val="11"/>
                <w:szCs w:val="11"/>
                <w:color w:val="auto"/>
              </w:rPr>
            </w:pPr>
          </w:p>
        </w:tc>
        <w:tc>
          <w:tcPr>
            <w:tcW w:w="7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765,750</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764,385</w:t>
            </w:r>
          </w:p>
        </w:tc>
        <w:tc>
          <w:tcPr>
            <w:tcW w:w="300" w:type="dxa"/>
            <w:vAlign w:val="bottom"/>
          </w:tcPr>
          <w:p>
            <w:pPr>
              <w:spacing w:after="0"/>
              <w:rPr>
                <w:sz w:val="11"/>
                <w:szCs w:val="11"/>
                <w:color w:val="auto"/>
              </w:rPr>
            </w:pPr>
          </w:p>
        </w:tc>
        <w:tc>
          <w:tcPr>
            <w:tcW w:w="12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525,000</w:t>
            </w:r>
          </w:p>
        </w:tc>
        <w:tc>
          <w:tcPr>
            <w:tcW w:w="1000" w:type="dxa"/>
            <w:vAlign w:val="bottom"/>
          </w:tcPr>
          <w:p>
            <w:pPr>
              <w:jc w:val="right"/>
              <w:spacing w:after="0" w:line="138" w:lineRule="exact"/>
              <w:rPr>
                <w:sz w:val="20"/>
                <w:szCs w:val="20"/>
                <w:color w:val="auto"/>
              </w:rPr>
            </w:pPr>
            <w:r>
              <w:rPr>
                <w:rFonts w:ascii="Arial" w:cs="Arial" w:eastAsia="Arial" w:hAnsi="Arial"/>
                <w:sz w:val="14"/>
                <w:szCs w:val="14"/>
                <w:color w:val="auto"/>
              </w:rPr>
              <w:t>18,370</w:t>
            </w:r>
          </w:p>
        </w:tc>
        <w:tc>
          <w:tcPr>
            <w:tcW w:w="3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2,573,505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Executive Vice President —</w:t>
            </w:r>
          </w:p>
        </w:tc>
        <w:tc>
          <w:tcPr>
            <w:tcW w:w="8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2015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450,000</w:t>
            </w:r>
          </w:p>
        </w:tc>
        <w:tc>
          <w:tcPr>
            <w:tcW w:w="280" w:type="dxa"/>
            <w:vAlign w:val="bottom"/>
          </w:tcPr>
          <w:p>
            <w:pPr>
              <w:spacing w:after="0"/>
              <w:rPr>
                <w:sz w:val="12"/>
                <w:szCs w:val="12"/>
                <w:color w:val="auto"/>
              </w:rPr>
            </w:pP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548,811</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561,615</w:t>
            </w:r>
          </w:p>
        </w:tc>
        <w:tc>
          <w:tcPr>
            <w:tcW w:w="300" w:type="dxa"/>
            <w:vAlign w:val="bottom"/>
          </w:tcPr>
          <w:p>
            <w:pPr>
              <w:spacing w:after="0"/>
              <w:rPr>
                <w:sz w:val="12"/>
                <w:szCs w:val="12"/>
                <w:color w:val="auto"/>
              </w:rPr>
            </w:pPr>
          </w:p>
        </w:tc>
        <w:tc>
          <w:tcPr>
            <w:tcW w:w="12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525,000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15,571</w:t>
            </w:r>
          </w:p>
        </w:tc>
        <w:tc>
          <w:tcPr>
            <w:tcW w:w="3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2,100,997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General Counsel and Secretary</w:t>
            </w:r>
          </w:p>
        </w:tc>
        <w:tc>
          <w:tcPr>
            <w:tcW w:w="880" w:type="dxa"/>
            <w:vAlign w:val="bottom"/>
            <w:gridSpan w:val="3"/>
          </w:tcPr>
          <w:p>
            <w:pPr>
              <w:ind w:left="320"/>
              <w:spacing w:after="0" w:line="159" w:lineRule="exact"/>
              <w:rPr>
                <w:sz w:val="20"/>
                <w:szCs w:val="20"/>
                <w:color w:val="auto"/>
              </w:rPr>
            </w:pPr>
            <w:r>
              <w:rPr>
                <w:rFonts w:ascii="Arial" w:cs="Arial" w:eastAsia="Arial" w:hAnsi="Arial"/>
                <w:sz w:val="14"/>
                <w:szCs w:val="14"/>
                <w:color w:val="auto"/>
              </w:rPr>
              <w:t>2014</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435,800</w:t>
            </w:r>
          </w:p>
        </w:tc>
        <w:tc>
          <w:tcPr>
            <w:tcW w:w="280" w:type="dxa"/>
            <w:vAlign w:val="bottom"/>
          </w:tcPr>
          <w:p>
            <w:pPr>
              <w:spacing w:after="0"/>
              <w:rPr>
                <w:sz w:val="13"/>
                <w:szCs w:val="13"/>
                <w:color w:val="auto"/>
              </w:rPr>
            </w:pPr>
          </w:p>
        </w:tc>
        <w:tc>
          <w:tcPr>
            <w:tcW w:w="7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406,087</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470,136</w:t>
            </w:r>
          </w:p>
        </w:tc>
        <w:tc>
          <w:tcPr>
            <w:tcW w:w="300" w:type="dxa"/>
            <w:vAlign w:val="bottom"/>
          </w:tcPr>
          <w:p>
            <w:pPr>
              <w:spacing w:after="0"/>
              <w:rPr>
                <w:sz w:val="13"/>
                <w:szCs w:val="13"/>
                <w:color w:val="auto"/>
              </w:rPr>
            </w:pPr>
          </w:p>
        </w:tc>
        <w:tc>
          <w:tcPr>
            <w:tcW w:w="12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425,000</w:t>
            </w: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9,284</w:t>
            </w:r>
          </w:p>
        </w:tc>
        <w:tc>
          <w:tcPr>
            <w:tcW w:w="3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1,746,307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 Peterman</w:t>
            </w:r>
          </w:p>
        </w:tc>
        <w:tc>
          <w:tcPr>
            <w:tcW w:w="8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2016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459,450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458,631</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400,000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171,188</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1,914,269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2015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439,089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449,292</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375,000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166,350</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1,804,731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Government Systems</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2014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312,500</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577,034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516,089</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250,000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164,973</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1,820,596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83"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calculated in accordance with SEC rules, of stock options and restricted stock units granted in fiscal years 2016, 2015 and 2014. These amounts generally reflect the amount that the company expects to expense in its financial statements over the award’s vesting schedule, and do not correspond to the actual value that will be realized by the Named Executive Officers. For additional information on the valuation assumptions used in the calculation of these amounts for the respective year end, refer to note 6 to the financial statements included in our annual report on Form 10-K for the fiscal year ended March 31, 2016, as filed with the SEC.</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amounts earned under our annual bonus program.</w:t>
      </w:r>
    </w:p>
    <w:p>
      <w:pPr>
        <w:spacing w:after="0" w:line="9" w:lineRule="exact"/>
        <w:rPr>
          <w:rFonts w:ascii="Arial" w:cs="Arial" w:eastAsia="Arial" w:hAnsi="Arial"/>
          <w:sz w:val="18"/>
          <w:szCs w:val="18"/>
          <w:color w:val="auto"/>
        </w:rPr>
      </w:pPr>
    </w:p>
    <w:p>
      <w:pPr>
        <w:ind w:left="460" w:right="22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for fiscal year 2016 include the following: reimbursement of club dues for Mr. Lippert in the amount of $12,051; housing allowance for Mr. Peterman in the amount of $159,188; patent awards for Mr. Dankberg and Mr. Lippert in the amount of $2,000 and $500, respectively; and matching 401(k) contributions for Mr. Dankberg, Mr. Baldridge, Ms. Duffy, Mr. Lippert and Mr. Peterman in the amount of $8,279, $11,519, $8,885, $5,819 and $12,000,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Year 2016</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grants of plan-based awards to each of the Named Executive Officers during fiscal year 2016.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All Other</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All Other</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Option</w:t>
            </w: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Exercise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Estimated Future Payouts Under</w:t>
            </w:r>
          </w:p>
        </w:tc>
        <w:tc>
          <w:tcPr>
            <w:tcW w:w="4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Awards:</w:t>
            </w: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or Base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7"/>
              </w:rPr>
              <w:t>Non-Equity Incentive Plan</w:t>
            </w:r>
          </w:p>
        </w:tc>
        <w:tc>
          <w:tcPr>
            <w:tcW w:w="4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Number</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Price of</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Awards (1)</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of Shares</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40"/>
        </w:trPr>
        <w:tc>
          <w:tcPr>
            <w:tcW w:w="38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of Stock</w:t>
            </w:r>
          </w:p>
        </w:tc>
        <w:tc>
          <w:tcPr>
            <w:tcW w:w="106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89"/>
        </w:trPr>
        <w:tc>
          <w:tcPr>
            <w:tcW w:w="380" w:type="dxa"/>
            <w:vAlign w:val="bottom"/>
          </w:tcPr>
          <w:p>
            <w:pPr>
              <w:spacing w:after="0"/>
              <w:rPr>
                <w:sz w:val="7"/>
                <w:szCs w:val="7"/>
                <w:color w:val="auto"/>
              </w:rPr>
            </w:pPr>
          </w:p>
        </w:tc>
        <w:tc>
          <w:tcPr>
            <w:tcW w:w="3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18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Grant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Threshold</w:t>
            </w:r>
          </w:p>
        </w:tc>
        <w:tc>
          <w:tcPr>
            <w:tcW w:w="3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Maximum</w:t>
            </w:r>
          </w:p>
        </w:tc>
        <w:tc>
          <w:tcPr>
            <w:tcW w:w="4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or Units</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Options</w:t>
            </w: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($/Sh)</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rPr>
              <w:t>Date</w:t>
            </w: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center"/>
              <w:ind w:left="332"/>
              <w:spacing w:after="0" w:line="148"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left="332"/>
              <w:spacing w:after="0" w:line="148" w:lineRule="exact"/>
              <w:rPr>
                <w:sz w:val="20"/>
                <w:szCs w:val="20"/>
                <w:color w:val="auto"/>
              </w:rPr>
            </w:pPr>
            <w:r>
              <w:rPr>
                <w:rFonts w:ascii="Arial" w:cs="Arial" w:eastAsia="Arial" w:hAnsi="Arial"/>
                <w:sz w:val="14"/>
                <w:szCs w:val="14"/>
                <w:b w:val="1"/>
                <w:bCs w:val="1"/>
                <w:color w:val="auto"/>
                <w:w w:val="89"/>
              </w:rPr>
              <w:t>(#) (2)</w:t>
            </w:r>
          </w:p>
        </w:tc>
        <w:tc>
          <w:tcPr>
            <w:tcW w:w="40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(3)</w:t>
            </w:r>
          </w:p>
        </w:tc>
        <w:tc>
          <w:tcPr>
            <w:tcW w:w="400" w:type="dxa"/>
            <w:vAlign w:val="bottom"/>
          </w:tcPr>
          <w:p>
            <w:pPr>
              <w:spacing w:after="0"/>
              <w:rPr>
                <w:sz w:val="14"/>
                <w:szCs w:val="14"/>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40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Mark Dankberg</w:t>
            </w:r>
          </w:p>
        </w:tc>
        <w:tc>
          <w:tcPr>
            <w:tcW w:w="3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1,025,000</w:t>
            </w:r>
          </w:p>
        </w:tc>
        <w:tc>
          <w:tcPr>
            <w:tcW w:w="4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420"/>
              <w:spacing w:after="0" w:line="136" w:lineRule="exact"/>
              <w:rPr>
                <w:sz w:val="20"/>
                <w:szCs w:val="20"/>
                <w:color w:val="auto"/>
              </w:rPr>
            </w:pPr>
            <w:r>
              <w:rPr>
                <w:rFonts w:ascii="Arial" w:cs="Arial" w:eastAsia="Arial" w:hAnsi="Arial"/>
                <w:sz w:val="14"/>
                <w:szCs w:val="14"/>
                <w:color w:val="auto"/>
                <w:w w:val="71"/>
              </w:rPr>
              <w:t>—</w:t>
            </w:r>
          </w:p>
        </w:tc>
        <w:tc>
          <w:tcPr>
            <w:tcW w:w="4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1"/>
              </w:rPr>
              <w:t>11/17/2015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41,667</w:t>
            </w:r>
          </w:p>
        </w:tc>
        <w:tc>
          <w:tcPr>
            <w:tcW w:w="4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2,552,520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1"/>
              </w:rPr>
              <w:t>11/17/2015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61.26</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2,547,950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60" w:type="dxa"/>
            <w:vAlign w:val="bottom"/>
            <w:gridSpan w:val="2"/>
          </w:tcPr>
          <w:p>
            <w:pPr>
              <w:spacing w:after="0" w:line="138" w:lineRule="exact"/>
              <w:rPr>
                <w:sz w:val="20"/>
                <w:szCs w:val="20"/>
                <w:color w:val="auto"/>
              </w:rPr>
            </w:pPr>
            <w:r>
              <w:rPr>
                <w:rFonts w:ascii="Arial" w:cs="Arial" w:eastAsia="Arial" w:hAnsi="Arial"/>
                <w:sz w:val="14"/>
                <w:szCs w:val="14"/>
                <w:color w:val="auto"/>
              </w:rPr>
              <w:t>Richard Baldridge</w:t>
            </w:r>
          </w:p>
        </w:tc>
        <w:tc>
          <w:tcPr>
            <w:tcW w:w="320" w:type="dxa"/>
            <w:vAlign w:val="bottom"/>
          </w:tcPr>
          <w:p>
            <w:pPr>
              <w:spacing w:after="0"/>
              <w:rPr>
                <w:sz w:val="11"/>
                <w:szCs w:val="11"/>
                <w:color w:val="auto"/>
              </w:rPr>
            </w:pP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850,000</w:t>
            </w:r>
          </w:p>
        </w:tc>
        <w:tc>
          <w:tcPr>
            <w:tcW w:w="40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9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11/17/2015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31,667</w:t>
            </w:r>
          </w:p>
        </w:tc>
        <w:tc>
          <w:tcPr>
            <w:tcW w:w="40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1,939,920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380" w:type="dxa"/>
            <w:vAlign w:val="bottom"/>
            <w:gridSpan w:val="3"/>
          </w:tcPr>
          <w:p>
            <w:pPr>
              <w:jc w:val="right"/>
              <w:ind w:right="400"/>
              <w:spacing w:after="0" w:line="159" w:lineRule="exact"/>
              <w:rPr>
                <w:sz w:val="20"/>
                <w:szCs w:val="20"/>
                <w:color w:val="auto"/>
              </w:rPr>
            </w:pPr>
            <w:r>
              <w:rPr>
                <w:rFonts w:ascii="Arial" w:cs="Arial" w:eastAsia="Arial" w:hAnsi="Arial"/>
                <w:sz w:val="14"/>
                <w:szCs w:val="14"/>
                <w:color w:val="auto"/>
              </w:rPr>
              <w:t>11/17/2015</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9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94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95,000</w:t>
            </w:r>
          </w:p>
        </w:tc>
        <w:tc>
          <w:tcPr>
            <w:tcW w:w="4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61.26</w:t>
            </w:r>
          </w:p>
        </w:tc>
        <w:tc>
          <w:tcPr>
            <w:tcW w:w="4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1,936,442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Shawn Duffy</w:t>
            </w: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w:t>
            </w: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1"/>
              </w:rPr>
              <w:t>11/17/2015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9,167</w:t>
            </w:r>
          </w:p>
        </w:tc>
        <w:tc>
          <w:tcPr>
            <w:tcW w:w="4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561,570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1"/>
              </w:rPr>
              <w:t>11/17/2015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27,500</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61.26</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560,549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60" w:type="dxa"/>
            <w:vAlign w:val="bottom"/>
            <w:gridSpan w:val="2"/>
          </w:tcPr>
          <w:p>
            <w:pPr>
              <w:spacing w:after="0" w:line="138" w:lineRule="exact"/>
              <w:rPr>
                <w:sz w:val="20"/>
                <w:szCs w:val="20"/>
                <w:color w:val="auto"/>
              </w:rPr>
            </w:pPr>
            <w:r>
              <w:rPr>
                <w:rFonts w:ascii="Arial" w:cs="Arial" w:eastAsia="Arial" w:hAnsi="Arial"/>
                <w:sz w:val="14"/>
                <w:szCs w:val="14"/>
                <w:color w:val="auto"/>
              </w:rPr>
              <w:t>Keven Lippert</w:t>
            </w:r>
          </w:p>
        </w:tc>
        <w:tc>
          <w:tcPr>
            <w:tcW w:w="320" w:type="dxa"/>
            <w:vAlign w:val="bottom"/>
          </w:tcPr>
          <w:p>
            <w:pPr>
              <w:spacing w:after="0"/>
              <w:rPr>
                <w:sz w:val="11"/>
                <w:szCs w:val="11"/>
                <w:color w:val="auto"/>
              </w:rPr>
            </w:pP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500,000</w:t>
            </w:r>
          </w:p>
        </w:tc>
        <w:tc>
          <w:tcPr>
            <w:tcW w:w="40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9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11/17/2015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w:t>
            </w:r>
          </w:p>
        </w:tc>
        <w:tc>
          <w:tcPr>
            <w:tcW w:w="40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765,750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380" w:type="dxa"/>
            <w:vAlign w:val="bottom"/>
            <w:gridSpan w:val="3"/>
          </w:tcPr>
          <w:p>
            <w:pPr>
              <w:jc w:val="right"/>
              <w:ind w:right="400"/>
              <w:spacing w:after="0" w:line="159" w:lineRule="exact"/>
              <w:rPr>
                <w:sz w:val="20"/>
                <w:szCs w:val="20"/>
                <w:color w:val="auto"/>
              </w:rPr>
            </w:pPr>
            <w:r>
              <w:rPr>
                <w:rFonts w:ascii="Arial" w:cs="Arial" w:eastAsia="Arial" w:hAnsi="Arial"/>
                <w:sz w:val="14"/>
                <w:szCs w:val="14"/>
                <w:color w:val="auto"/>
              </w:rPr>
              <w:t>11/17/2015</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9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94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37,500</w:t>
            </w:r>
          </w:p>
        </w:tc>
        <w:tc>
          <w:tcPr>
            <w:tcW w:w="4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61.26</w:t>
            </w:r>
          </w:p>
        </w:tc>
        <w:tc>
          <w:tcPr>
            <w:tcW w:w="4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764,385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 Peterman</w:t>
            </w: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340,000</w:t>
            </w: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1"/>
              </w:rPr>
              <w:t>11/17/2015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4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1"/>
              </w:rPr>
              <w:t>11/17/2015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61.26</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458,631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84"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target amounts payable under our annual cash bonus program for fiscal year 2016. Actual amounts paid to the Named Executive Officers pursuant to such bonus program are disclosed in the Summary Compensation Table under the column heading Non-Equity Incentive Plan Compensation. The material terms of the bonus program are described in the Compensation Discussion and Analysis section.</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 unit awards vest in four equal annual installments over the course of four years measured from the grant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Options vest and become exercisable in four equal annual installments over the course of four years measured from the grant date.</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exercise price for option awards is the fair market value per share of our common stock, which is defined under our 1996 Equity Participation Plan as the closing price per share on the grant date.</w:t>
      </w:r>
    </w:p>
    <w:p>
      <w:pPr>
        <w:ind w:left="460" w:hanging="452"/>
        <w:spacing w:after="0" w:line="295"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This column represents the grant date fair value, calculated in accordance with SEC rules, of each equity award. These amounts generally reflect the amount that the company expects to expense in its financial statements over the award’s vesting schedule, and do not correspond to the actual value that will be realized by the Named Executive Officers. For additional information on the valuation assumptions used in the calculation of these amounts, refer to note 6 to the financial statements included in our annual report on Form 10-K for the fiscal year ended March 31, 2016, as filed with the SEC.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2016 Fiscal Year 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lists all outstanding equity awards held by each of the Named Executive Officers as of March 31, 2016.</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w:t>
      </w:r>
      <w:r>
        <w:rPr>
          <w:rFonts w:ascii="Arial" w:cs="Arial" w:eastAsia="Arial" w:hAnsi="Arial"/>
          <w:sz w:val="14"/>
          <w:szCs w:val="14"/>
          <w:b w:val="1"/>
          <w:bCs w:val="1"/>
          <w:color w:val="auto"/>
        </w:rPr>
        <w: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Mark Dankberg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Richard Baldridge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Shawn Duffy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Keven Lippert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Option Awards</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Stock Awards</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right"/>
              <w:ind w:right="192"/>
              <w:spacing w:after="0" w:line="129" w:lineRule="exact"/>
              <w:rPr>
                <w:sz w:val="20"/>
                <w:szCs w:val="20"/>
                <w:color w:val="auto"/>
              </w:rPr>
            </w:pPr>
            <w:r>
              <w:rPr>
                <w:rFonts w:ascii="Arial" w:cs="Arial" w:eastAsia="Arial" w:hAnsi="Arial"/>
                <w:sz w:val="14"/>
                <w:szCs w:val="14"/>
                <w:b w:val="1"/>
                <w:bCs w:val="1"/>
                <w:color w:val="auto"/>
              </w:rPr>
              <w:t>Equity Incentive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4"/>
          </w:tcPr>
          <w:p>
            <w:pPr>
              <w:ind w:left="360"/>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Market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or</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Equity</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Incentive</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Plan</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Market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Unearned</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3"/>
              </w:rPr>
              <w:t>Unearned</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Shares</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Value of</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Shares,</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or Units</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 or</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Units or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of Stock</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Units of</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Underlying</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That</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Rights</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Rights</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Have</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That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That Have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Unearned</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Not</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Have Not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restart"/>
          </w:tcPr>
          <w:p>
            <w:pPr>
              <w:jc w:val="center"/>
              <w:ind w:right="100"/>
              <w:spacing w:after="0" w:line="123" w:lineRule="exact"/>
              <w:rPr>
                <w:sz w:val="20"/>
                <w:szCs w:val="20"/>
                <w:color w:val="auto"/>
              </w:rPr>
            </w:pPr>
            <w:r>
              <w:rPr>
                <w:rFonts w:ascii="Arial" w:cs="Arial" w:eastAsia="Arial" w:hAnsi="Arial"/>
                <w:sz w:val="14"/>
                <w:szCs w:val="14"/>
                <w:b w:val="1"/>
                <w:bCs w:val="1"/>
                <w:color w:val="auto"/>
                <w:w w:val="96"/>
              </w:rPr>
              <w:t>Grant</w:t>
            </w:r>
          </w:p>
        </w:tc>
        <w:tc>
          <w:tcPr>
            <w:tcW w:w="1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restart"/>
          </w:tcPr>
          <w:p>
            <w:pPr>
              <w:jc w:val="center"/>
              <w:ind w:right="220"/>
              <w:spacing w:after="0" w:line="123" w:lineRule="exact"/>
              <w:rPr>
                <w:sz w:val="20"/>
                <w:szCs w:val="20"/>
                <w:color w:val="auto"/>
              </w:rPr>
            </w:pPr>
            <w:r>
              <w:rPr>
                <w:rFonts w:ascii="Arial" w:cs="Arial" w:eastAsia="Arial" w:hAnsi="Arial"/>
                <w:sz w:val="14"/>
                <w:szCs w:val="14"/>
                <w:b w:val="1"/>
                <w:bCs w:val="1"/>
                <w:color w:val="auto"/>
                <w:w w:val="86"/>
              </w:rPr>
              <w:t>Options</w:t>
            </w:r>
          </w:p>
        </w:tc>
        <w:tc>
          <w:tcPr>
            <w:tcW w:w="700" w:type="dxa"/>
            <w:vAlign w:val="bottom"/>
            <w:gridSpan w:val="2"/>
            <w:vMerge w:val="restart"/>
          </w:tcPr>
          <w:p>
            <w:pPr>
              <w:jc w:val="center"/>
              <w:ind w:right="240"/>
              <w:spacing w:after="0" w:line="123" w:lineRule="exact"/>
              <w:rPr>
                <w:sz w:val="20"/>
                <w:szCs w:val="20"/>
                <w:color w:val="auto"/>
              </w:rPr>
            </w:pPr>
            <w:r>
              <w:rPr>
                <w:rFonts w:ascii="Arial" w:cs="Arial" w:eastAsia="Arial" w:hAnsi="Arial"/>
                <w:sz w:val="14"/>
                <w:szCs w:val="14"/>
                <w:b w:val="1"/>
                <w:bCs w:val="1"/>
                <w:color w:val="auto"/>
                <w:w w:val="87"/>
              </w:rPr>
              <w:t>Price</w:t>
            </w:r>
          </w:p>
        </w:tc>
        <w:tc>
          <w:tcPr>
            <w:tcW w:w="900" w:type="dxa"/>
            <w:vAlign w:val="bottom"/>
            <w:gridSpan w:val="2"/>
            <w:vMerge w:val="restart"/>
          </w:tcPr>
          <w:p>
            <w:pPr>
              <w:jc w:val="center"/>
              <w:ind w:right="220"/>
              <w:spacing w:after="0" w:line="123" w:lineRule="exact"/>
              <w:rPr>
                <w:sz w:val="20"/>
                <w:szCs w:val="20"/>
                <w:color w:val="auto"/>
              </w:rPr>
            </w:pPr>
            <w:r>
              <w:rPr>
                <w:rFonts w:ascii="Arial" w:cs="Arial" w:eastAsia="Arial" w:hAnsi="Arial"/>
                <w:sz w:val="14"/>
                <w:szCs w:val="14"/>
                <w:b w:val="1"/>
                <w:bCs w:val="1"/>
                <w:color w:val="auto"/>
                <w:w w:val="93"/>
              </w:rPr>
              <w:t>Expiration</w:t>
            </w:r>
          </w:p>
        </w:tc>
        <w:tc>
          <w:tcPr>
            <w:tcW w:w="740" w:type="dxa"/>
            <w:vAlign w:val="bottom"/>
            <w:gridSpan w:val="2"/>
            <w:vMerge w:val="restart"/>
          </w:tcPr>
          <w:p>
            <w:pPr>
              <w:jc w:val="center"/>
              <w:ind w:right="240"/>
              <w:spacing w:after="0" w:line="123" w:lineRule="exact"/>
              <w:rPr>
                <w:sz w:val="20"/>
                <w:szCs w:val="20"/>
                <w:color w:val="auto"/>
              </w:rPr>
            </w:pPr>
            <w:r>
              <w:rPr>
                <w:rFonts w:ascii="Arial" w:cs="Arial" w:eastAsia="Arial" w:hAnsi="Arial"/>
                <w:sz w:val="14"/>
                <w:szCs w:val="14"/>
                <w:b w:val="1"/>
                <w:bCs w:val="1"/>
                <w:color w:val="auto"/>
                <w:w w:val="82"/>
              </w:rPr>
              <w:t>Vested</w:t>
            </w:r>
          </w:p>
        </w:tc>
        <w:tc>
          <w:tcPr>
            <w:tcW w:w="820" w:type="dxa"/>
            <w:vAlign w:val="bottom"/>
            <w:gridSpan w:val="2"/>
            <w:vMerge w:val="restart"/>
          </w:tcPr>
          <w:p>
            <w:pPr>
              <w:jc w:val="center"/>
              <w:ind w:right="260"/>
              <w:spacing w:after="0" w:line="123" w:lineRule="exact"/>
              <w:rPr>
                <w:sz w:val="20"/>
                <w:szCs w:val="20"/>
                <w:color w:val="auto"/>
              </w:rPr>
            </w:pPr>
            <w:r>
              <w:rPr>
                <w:rFonts w:ascii="Arial" w:cs="Arial" w:eastAsia="Arial" w:hAnsi="Arial"/>
                <w:sz w:val="14"/>
                <w:szCs w:val="14"/>
                <w:b w:val="1"/>
                <w:bCs w:val="1"/>
                <w:color w:val="auto"/>
                <w:w w:val="78"/>
              </w:rPr>
              <w:t>Vested</w:t>
            </w:r>
          </w:p>
        </w:tc>
        <w:tc>
          <w:tcPr>
            <w:tcW w:w="880" w:type="dxa"/>
            <w:vAlign w:val="bottom"/>
            <w:gridSpan w:val="2"/>
            <w:vMerge w:val="restart"/>
          </w:tcPr>
          <w:p>
            <w:pPr>
              <w:jc w:val="center"/>
              <w:ind w:right="260"/>
              <w:spacing w:after="0" w:line="123" w:lineRule="exact"/>
              <w:rPr>
                <w:sz w:val="20"/>
                <w:szCs w:val="20"/>
                <w:color w:val="auto"/>
              </w:rPr>
            </w:pPr>
            <w:r>
              <w:rPr>
                <w:rFonts w:ascii="Arial" w:cs="Arial" w:eastAsia="Arial" w:hAnsi="Arial"/>
                <w:sz w:val="14"/>
                <w:szCs w:val="14"/>
                <w:b w:val="1"/>
                <w:bCs w:val="1"/>
                <w:color w:val="auto"/>
                <w:w w:val="82"/>
              </w:rPr>
              <w:t>Vested</w:t>
            </w:r>
          </w:p>
        </w:tc>
        <w:tc>
          <w:tcPr>
            <w:tcW w:w="640" w:type="dxa"/>
            <w:vAlign w:val="bottom"/>
            <w:gridSpan w:val="2"/>
            <w:vMerge w:val="restart"/>
          </w:tcPr>
          <w:p>
            <w:pPr>
              <w:jc w:val="center"/>
              <w:ind w:right="60"/>
              <w:spacing w:after="0" w:line="123"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62"/>
        </w:trPr>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2"/>
              </w:rPr>
              <w:t>Exercisable</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84"/>
              </w:rPr>
              <w:t>Unexercisable (1)</w:t>
            </w:r>
          </w:p>
        </w:tc>
        <w:tc>
          <w:tcPr>
            <w:tcW w:w="94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 (2)</w:t>
            </w:r>
          </w:p>
        </w:tc>
        <w:tc>
          <w:tcPr>
            <w:tcW w:w="2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 (3)</w:t>
            </w: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5"/>
              </w:rPr>
              <w:t>11/10/2010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105,000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41.52</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11/10/2016</w:t>
            </w:r>
          </w:p>
        </w:tc>
        <w:tc>
          <w:tcPr>
            <w:tcW w:w="220" w:type="dxa"/>
            <w:vAlign w:val="bottom"/>
          </w:tcPr>
          <w:p>
            <w:pPr>
              <w:spacing w:after="0"/>
              <w:rPr>
                <w:sz w:val="12"/>
                <w:szCs w:val="12"/>
                <w:color w:val="auto"/>
              </w:rPr>
            </w:pPr>
          </w:p>
        </w:tc>
        <w:tc>
          <w:tcPr>
            <w:tcW w:w="48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color w:val="auto"/>
                <w:w w:val="71"/>
              </w:rPr>
              <w:t>—</w:t>
            </w:r>
          </w:p>
        </w:tc>
        <w:tc>
          <w:tcPr>
            <w:tcW w:w="26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tcBorders>
              <w:top w:val="single" w:sz="8" w:color="auto"/>
            </w:tcBorders>
          </w:tcPr>
          <w:p>
            <w:pPr>
              <w:ind w:left="500"/>
              <w:spacing w:after="0" w:line="142" w:lineRule="exact"/>
              <w:rPr>
                <w:sz w:val="20"/>
                <w:szCs w:val="20"/>
                <w:color w:val="auto"/>
              </w:rPr>
            </w:pPr>
            <w:r>
              <w:rPr>
                <w:rFonts w:ascii="Arial" w:cs="Arial" w:eastAsia="Arial" w:hAnsi="Arial"/>
                <w:sz w:val="14"/>
                <w:szCs w:val="14"/>
                <w:color w:val="auto"/>
                <w:w w:val="71"/>
              </w:rPr>
              <w:t>—</w:t>
            </w:r>
          </w:p>
        </w:tc>
        <w:tc>
          <w:tcPr>
            <w:tcW w:w="26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11/10/2011</w:t>
            </w: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114,000</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44.53</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11/10/2017</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11/12/2012</w:t>
            </w: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89,250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29,750</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11/12/2018</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11/14/2013</w:t>
            </w: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60.91</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11/14/2019</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11/17/2014</w:t>
            </w: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27,500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82,500</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65.86</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11/17/2020</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11/17/2015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61.26</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11/17/2021</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11/12/2012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9,916</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728,628</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11/14/2013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16,666</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1,224,618</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11/17/2014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27,500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2,020,700</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11/17/2015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41,667</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3,061,691</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5"/>
              </w:rPr>
              <w:t>11/10/2010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55,000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41.52</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94"/>
              </w:rPr>
              <w:t>11/10/2016</w:t>
            </w:r>
          </w:p>
        </w:tc>
        <w:tc>
          <w:tcPr>
            <w:tcW w:w="7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3"/>
          </w:tcPr>
          <w:p>
            <w:pPr>
              <w:jc w:val="center"/>
              <w:ind w:left="152"/>
              <w:spacing w:after="0" w:line="149" w:lineRule="exact"/>
              <w:rPr>
                <w:sz w:val="20"/>
                <w:szCs w:val="20"/>
                <w:color w:val="auto"/>
              </w:rPr>
            </w:pPr>
            <w:r>
              <w:rPr>
                <w:rFonts w:ascii="Arial" w:cs="Arial" w:eastAsia="Arial" w:hAnsi="Arial"/>
                <w:sz w:val="14"/>
                <w:szCs w:val="14"/>
                <w:color w:val="auto"/>
                <w:w w:val="85"/>
              </w:rPr>
              <w:t>11/10/2011</w:t>
            </w:r>
          </w:p>
        </w:tc>
        <w:tc>
          <w:tcPr>
            <w:tcW w:w="8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59,000</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44.53</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11/10/2017</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0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5"/>
              </w:rPr>
              <w:t>11/12/2012</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46,275</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15,425</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36.30</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11/12/2018</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0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5"/>
              </w:rPr>
              <w:t>11/14/2013</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27,500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27,500</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60.91</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11/14/2019</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0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5"/>
              </w:rPr>
              <w:t>11/17/2014</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16,250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48,750</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65.86</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11/17/2020</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0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5"/>
              </w:rPr>
              <w:t>11/17/2015</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95,000</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61.26</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11/17/2021</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0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5"/>
              </w:rPr>
              <w:t>11/12/2012</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5,141</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377,761</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0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5"/>
              </w:rPr>
              <w:t>11/14/2013</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9,166</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673,518</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0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5"/>
              </w:rPr>
              <w:t>11/17/2014</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16,250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9"/>
              </w:rPr>
              <w:t>1,194,050</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0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5"/>
              </w:rPr>
              <w:t>11/17/2015</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31,667</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9"/>
              </w:rPr>
              <w:t>2,326,891</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900" w:type="dxa"/>
            <w:vAlign w:val="bottom"/>
            <w:gridSpan w:val="4"/>
          </w:tcPr>
          <w:p>
            <w:pPr>
              <w:jc w:val="center"/>
              <w:ind w:left="72"/>
              <w:spacing w:after="0" w:line="159" w:lineRule="exact"/>
              <w:rPr>
                <w:sz w:val="20"/>
                <w:szCs w:val="20"/>
                <w:color w:val="auto"/>
              </w:rPr>
            </w:pPr>
            <w:r>
              <w:rPr>
                <w:rFonts w:ascii="Arial" w:cs="Arial" w:eastAsia="Arial" w:hAnsi="Arial"/>
                <w:sz w:val="14"/>
                <w:szCs w:val="14"/>
                <w:color w:val="auto"/>
                <w:w w:val="85"/>
              </w:rPr>
              <w:t>11/14/2013</w:t>
            </w:r>
          </w:p>
        </w:tc>
        <w:tc>
          <w:tcPr>
            <w:tcW w:w="9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8,750</w:t>
            </w:r>
          </w:p>
        </w:tc>
        <w:tc>
          <w:tcPr>
            <w:tcW w:w="1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8,750</w:t>
            </w:r>
          </w:p>
        </w:tc>
        <w:tc>
          <w:tcPr>
            <w:tcW w:w="220" w:type="dxa"/>
            <w:vAlign w:val="bottom"/>
          </w:tcPr>
          <w:p>
            <w:pPr>
              <w:spacing w:after="0"/>
              <w:rPr>
                <w:sz w:val="13"/>
                <w:szCs w:val="13"/>
                <w:color w:val="auto"/>
              </w:rPr>
            </w:pPr>
          </w:p>
        </w:tc>
        <w:tc>
          <w:tcPr>
            <w:tcW w:w="9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60.91</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94"/>
              </w:rPr>
              <w:t>11/14/2019</w:t>
            </w:r>
          </w:p>
        </w:tc>
        <w:tc>
          <w:tcPr>
            <w:tcW w:w="7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11/17/2014</w:t>
            </w: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5,625</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16,875</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65.86</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11/17/2020</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11/17/2015</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27,500</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61.26</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11/17/2021</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11/12/2012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1,500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110,220</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11/14/2013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2,916</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214,268</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11/17/2014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5,625</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413,325</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11/17/2015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9,167</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673,591</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5"/>
              </w:rPr>
              <w:t>11/12/2012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8,750</w:t>
            </w:r>
          </w:p>
        </w:tc>
        <w:tc>
          <w:tcPr>
            <w:tcW w:w="1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6,250</w:t>
            </w:r>
          </w:p>
        </w:tc>
        <w:tc>
          <w:tcPr>
            <w:tcW w:w="220" w:type="dxa"/>
            <w:vAlign w:val="bottom"/>
          </w:tcPr>
          <w:p>
            <w:pPr>
              <w:spacing w:after="0"/>
              <w:rPr>
                <w:sz w:val="11"/>
                <w:szCs w:val="11"/>
                <w:color w:val="auto"/>
              </w:rPr>
            </w:pPr>
          </w:p>
        </w:tc>
        <w:tc>
          <w:tcPr>
            <w:tcW w:w="9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36.30</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94"/>
              </w:rPr>
              <w:t>11/12/2018</w:t>
            </w:r>
          </w:p>
        </w:tc>
        <w:tc>
          <w:tcPr>
            <w:tcW w:w="7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0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5"/>
              </w:rPr>
              <w:t>11/14/2013</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60.91</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11/14/2019</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0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5"/>
              </w:rPr>
              <w:t>11/17/2014</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6,250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65.86</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11/17/2020</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0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5"/>
              </w:rPr>
              <w:t>11/17/2015</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37,500</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61.26</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11/17/2021</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0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5"/>
              </w:rPr>
              <w:t>11/12/2012</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2,083</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153,059</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0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5"/>
              </w:rPr>
              <w:t>11/14/2013</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3,333</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244,909</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0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85"/>
              </w:rPr>
              <w:t>11/17/2014</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6,249</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459,177</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900" w:type="dxa"/>
            <w:vAlign w:val="bottom"/>
            <w:gridSpan w:val="4"/>
          </w:tcPr>
          <w:p>
            <w:pPr>
              <w:jc w:val="center"/>
              <w:ind w:left="72"/>
              <w:spacing w:after="0" w:line="157" w:lineRule="exact"/>
              <w:rPr>
                <w:sz w:val="20"/>
                <w:szCs w:val="20"/>
                <w:color w:val="auto"/>
              </w:rPr>
            </w:pPr>
            <w:r>
              <w:rPr>
                <w:rFonts w:ascii="Arial" w:cs="Arial" w:eastAsia="Arial" w:hAnsi="Arial"/>
                <w:sz w:val="14"/>
                <w:szCs w:val="14"/>
                <w:color w:val="auto"/>
                <w:w w:val="85"/>
              </w:rPr>
              <w:t>11/17/2015</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12,500</w:t>
            </w:r>
          </w:p>
        </w:tc>
        <w:tc>
          <w:tcPr>
            <w:tcW w:w="8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918,500</w:t>
            </w:r>
          </w:p>
        </w:tc>
        <w:tc>
          <w:tcPr>
            <w:tcW w:w="880" w:type="dxa"/>
            <w:vAlign w:val="bottom"/>
            <w:gridSpan w:val="2"/>
          </w:tcPr>
          <w:p>
            <w:pPr>
              <w:ind w:left="500"/>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-3308350</wp:posOffset>
            </wp:positionV>
            <wp:extent cx="7246620" cy="951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95186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-1412875</wp:posOffset>
            </wp:positionV>
            <wp:extent cx="7246620" cy="660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6604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880" w:space="720"/>
            <w:col w:w="88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26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Ken Peterman</w:t>
            </w:r>
          </w:p>
        </w:tc>
        <w:tc>
          <w:tcPr>
            <w:tcW w:w="900" w:type="dxa"/>
            <w:vAlign w:val="bottom"/>
            <w:shd w:val="clear" w:color="auto" w:fill="CCEEFF"/>
          </w:tcPr>
          <w:p>
            <w:pPr>
              <w:jc w:val="right"/>
              <w:ind w:right="12"/>
              <w:spacing w:after="0" w:line="151" w:lineRule="exact"/>
              <w:rPr>
                <w:sz w:val="20"/>
                <w:szCs w:val="20"/>
                <w:color w:val="auto"/>
              </w:rPr>
            </w:pPr>
            <w:r>
              <w:rPr>
                <w:rFonts w:ascii="Arial" w:cs="Arial" w:eastAsia="Arial" w:hAnsi="Arial"/>
                <w:sz w:val="14"/>
                <w:szCs w:val="14"/>
                <w:color w:val="auto"/>
              </w:rPr>
              <w:t>4/26/2013</w:t>
            </w:r>
          </w:p>
        </w:tc>
        <w:tc>
          <w:tcPr>
            <w:tcW w:w="1260" w:type="dxa"/>
            <w:vAlign w:val="bottom"/>
            <w:shd w:val="clear" w:color="auto" w:fill="CCEEFF"/>
          </w:tcPr>
          <w:p>
            <w:pPr>
              <w:jc w:val="right"/>
              <w:ind w:right="372"/>
              <w:spacing w:after="0" w:line="151"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32"/>
              <w:spacing w:after="0" w:line="151" w:lineRule="exact"/>
              <w:rPr>
                <w:sz w:val="20"/>
                <w:szCs w:val="20"/>
                <w:color w:val="auto"/>
              </w:rPr>
            </w:pPr>
            <w:r>
              <w:rPr>
                <w:rFonts w:ascii="Arial" w:cs="Arial" w:eastAsia="Arial" w:hAnsi="Arial"/>
                <w:sz w:val="14"/>
                <w:szCs w:val="14"/>
                <w:color w:val="auto"/>
              </w:rPr>
              <w:t>8,500</w:t>
            </w:r>
          </w:p>
        </w:tc>
        <w:tc>
          <w:tcPr>
            <w:tcW w:w="760" w:type="dxa"/>
            <w:vAlign w:val="bottom"/>
            <w:shd w:val="clear" w:color="auto" w:fill="CCEEFF"/>
          </w:tcPr>
          <w:p>
            <w:pPr>
              <w:ind w:left="400"/>
              <w:spacing w:after="0" w:line="151"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51" w:lineRule="exact"/>
              <w:rPr>
                <w:sz w:val="20"/>
                <w:szCs w:val="20"/>
                <w:color w:val="auto"/>
              </w:rPr>
            </w:pPr>
            <w:r>
              <w:rPr>
                <w:rFonts w:ascii="Arial" w:cs="Arial" w:eastAsia="Arial" w:hAnsi="Arial"/>
                <w:sz w:val="14"/>
                <w:szCs w:val="14"/>
                <w:color w:val="auto"/>
              </w:rPr>
              <w:t>47.42</w:t>
            </w:r>
          </w:p>
        </w:tc>
        <w:tc>
          <w:tcPr>
            <w:tcW w:w="960" w:type="dxa"/>
            <w:vAlign w:val="bottom"/>
            <w:shd w:val="clear" w:color="auto" w:fill="CCEEFF"/>
          </w:tcPr>
          <w:p>
            <w:pPr>
              <w:jc w:val="right"/>
              <w:ind w:right="132"/>
              <w:spacing w:after="0" w:line="151" w:lineRule="exact"/>
              <w:rPr>
                <w:sz w:val="20"/>
                <w:szCs w:val="20"/>
                <w:color w:val="auto"/>
              </w:rPr>
            </w:pPr>
            <w:r>
              <w:rPr>
                <w:rFonts w:ascii="Arial" w:cs="Arial" w:eastAsia="Arial" w:hAnsi="Arial"/>
                <w:sz w:val="14"/>
                <w:szCs w:val="14"/>
                <w:color w:val="auto"/>
              </w:rPr>
              <w:t>4/26/2019</w:t>
            </w:r>
          </w:p>
        </w:tc>
        <w:tc>
          <w:tcPr>
            <w:tcW w:w="700" w:type="dxa"/>
            <w:vAlign w:val="bottom"/>
            <w:shd w:val="clear" w:color="auto" w:fill="CCEEFF"/>
          </w:tcPr>
          <w:p>
            <w:pPr>
              <w:jc w:val="right"/>
              <w:ind w:right="132"/>
              <w:spacing w:after="0" w:line="151"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2"/>
              <w:spacing w:after="0" w:line="151"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380"/>
              <w:spacing w:after="0" w:line="151"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51" w:lineRule="exact"/>
              <w:rPr>
                <w:sz w:val="20"/>
                <w:szCs w:val="20"/>
                <w:color w:val="auto"/>
              </w:rPr>
            </w:pPr>
            <w:r>
              <w:rPr>
                <w:rFonts w:ascii="Arial" w:cs="Arial" w:eastAsia="Arial" w:hAnsi="Arial"/>
                <w:sz w:val="14"/>
                <w:szCs w:val="14"/>
                <w:color w:val="auto"/>
              </w:rPr>
              <w:t>—</w:t>
            </w:r>
          </w:p>
        </w:tc>
      </w:tr>
      <w:tr>
        <w:trPr>
          <w:trHeight w:val="149"/>
        </w:trPr>
        <w:tc>
          <w:tcPr>
            <w:tcW w:w="26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11/14/2013</w:t>
            </w:r>
          </w:p>
        </w:tc>
        <w:tc>
          <w:tcPr>
            <w:tcW w:w="12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4,376</w:t>
            </w:r>
          </w:p>
        </w:tc>
        <w:tc>
          <w:tcPr>
            <w:tcW w:w="12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4,374</w:t>
            </w:r>
          </w:p>
        </w:tc>
        <w:tc>
          <w:tcPr>
            <w:tcW w:w="7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60.91</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11/14/2019</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r>
      <w:tr>
        <w:trPr>
          <w:trHeight w:val="149"/>
        </w:trPr>
        <w:tc>
          <w:tcPr>
            <w:tcW w:w="26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11/17/2014</w:t>
            </w:r>
          </w:p>
        </w:tc>
        <w:tc>
          <w:tcPr>
            <w:tcW w:w="12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5,000</w:t>
            </w:r>
          </w:p>
        </w:tc>
        <w:tc>
          <w:tcPr>
            <w:tcW w:w="12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15,000</w:t>
            </w:r>
          </w:p>
        </w:tc>
        <w:tc>
          <w:tcPr>
            <w:tcW w:w="7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65.86</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11/17/2020</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r>
      <w:tr>
        <w:trPr>
          <w:trHeight w:val="149"/>
        </w:trPr>
        <w:tc>
          <w:tcPr>
            <w:tcW w:w="26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11/17/2015</w:t>
            </w:r>
          </w:p>
        </w:tc>
        <w:tc>
          <w:tcPr>
            <w:tcW w:w="12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22,500</w:t>
            </w:r>
          </w:p>
        </w:tc>
        <w:tc>
          <w:tcPr>
            <w:tcW w:w="7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61.26</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11/17/2021</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r>
      <w:tr>
        <w:trPr>
          <w:trHeight w:val="149"/>
        </w:trPr>
        <w:tc>
          <w:tcPr>
            <w:tcW w:w="26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4/26/2013</w:t>
            </w:r>
          </w:p>
        </w:tc>
        <w:tc>
          <w:tcPr>
            <w:tcW w:w="12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4,000</w:t>
            </w:r>
          </w:p>
        </w:tc>
        <w:tc>
          <w:tcPr>
            <w:tcW w:w="10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293,920</w:t>
            </w:r>
          </w:p>
        </w:tc>
        <w:tc>
          <w:tcPr>
            <w:tcW w:w="8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r>
      <w:tr>
        <w:trPr>
          <w:trHeight w:val="149"/>
        </w:trPr>
        <w:tc>
          <w:tcPr>
            <w:tcW w:w="26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11/14/2013</w:t>
            </w:r>
          </w:p>
        </w:tc>
        <w:tc>
          <w:tcPr>
            <w:tcW w:w="12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1,458</w:t>
            </w:r>
          </w:p>
        </w:tc>
        <w:tc>
          <w:tcPr>
            <w:tcW w:w="10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107,134</w:t>
            </w:r>
          </w:p>
        </w:tc>
        <w:tc>
          <w:tcPr>
            <w:tcW w:w="8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r>
      <w:tr>
        <w:trPr>
          <w:trHeight w:val="149"/>
        </w:trPr>
        <w:tc>
          <w:tcPr>
            <w:tcW w:w="26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11/17/2014</w:t>
            </w:r>
          </w:p>
        </w:tc>
        <w:tc>
          <w:tcPr>
            <w:tcW w:w="12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5,000</w:t>
            </w:r>
          </w:p>
        </w:tc>
        <w:tc>
          <w:tcPr>
            <w:tcW w:w="10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367,400</w:t>
            </w:r>
          </w:p>
        </w:tc>
        <w:tc>
          <w:tcPr>
            <w:tcW w:w="8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r>
      <w:tr>
        <w:trPr>
          <w:trHeight w:val="149"/>
        </w:trPr>
        <w:tc>
          <w:tcPr>
            <w:tcW w:w="26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11/17/2015</w:t>
            </w:r>
          </w:p>
        </w:tc>
        <w:tc>
          <w:tcPr>
            <w:tcW w:w="12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7,500</w:t>
            </w:r>
          </w:p>
        </w:tc>
        <w:tc>
          <w:tcPr>
            <w:tcW w:w="10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551,100</w:t>
            </w:r>
          </w:p>
        </w:tc>
        <w:tc>
          <w:tcPr>
            <w:tcW w:w="8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5620" w:right="1820" w:hanging="5612"/>
        <w:spacing w:after="0" w:line="440" w:lineRule="auto"/>
        <w:tabs>
          <w:tab w:leader="none" w:pos="4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Options vest and become exercisable in four equal annual installments over the course of four years measured from the grant date. 31</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Restricted stock unit awards vest in four equal annual installments over the course of four years measured from the grant date.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Computed by multiplying the market price of our common stock on March 31, 2016 ($73.48) by the number of shares subject to such stock award.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Fiscal Year 2016</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provides information concerning exercises of stock options by and stock awards vested for each of the Named Executive Officers during fiscal year 2016.</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 Awards</w:t>
            </w:r>
          </w:p>
        </w:tc>
        <w:tc>
          <w:tcPr>
            <w:tcW w:w="64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64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1"/>
              </w:rPr>
              <w:t>Shares</w:t>
            </w: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Acquired</w:t>
            </w:r>
          </w:p>
        </w:tc>
        <w:tc>
          <w:tcPr>
            <w:tcW w:w="800" w:type="dxa"/>
            <w:vAlign w:val="bottom"/>
          </w:tcPr>
          <w:p>
            <w:pPr>
              <w:spacing w:after="0"/>
              <w:rPr>
                <w:sz w:val="12"/>
                <w:szCs w:val="12"/>
                <w:color w:val="auto"/>
              </w:rPr>
            </w:pPr>
          </w:p>
        </w:tc>
        <w:tc>
          <w:tcPr>
            <w:tcW w:w="15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Value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on</w:t>
            </w:r>
          </w:p>
        </w:tc>
        <w:tc>
          <w:tcPr>
            <w:tcW w:w="800" w:type="dxa"/>
            <w:vAlign w:val="bottom"/>
          </w:tcPr>
          <w:p>
            <w:pPr>
              <w:spacing w:after="0"/>
              <w:rPr>
                <w:sz w:val="12"/>
                <w:szCs w:val="12"/>
                <w:color w:val="auto"/>
              </w:rPr>
            </w:pPr>
          </w:p>
        </w:tc>
        <w:tc>
          <w:tcPr>
            <w:tcW w:w="15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Realized 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8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Realized 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820" w:type="dxa"/>
            <w:vAlign w:val="bottom"/>
            <w:vMerge w:val="restart"/>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Exercise</w:t>
            </w:r>
          </w:p>
        </w:tc>
        <w:tc>
          <w:tcPr>
            <w:tcW w:w="800" w:type="dxa"/>
            <w:vAlign w:val="bottom"/>
          </w:tcPr>
          <w:p>
            <w:pPr>
              <w:spacing w:after="0"/>
              <w:rPr>
                <w:sz w:val="12"/>
                <w:szCs w:val="12"/>
                <w:color w:val="auto"/>
              </w:rPr>
            </w:pPr>
          </w:p>
        </w:tc>
        <w:tc>
          <w:tcPr>
            <w:tcW w:w="15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Exercise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8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820" w:type="dxa"/>
            <w:vAlign w:val="bottom"/>
            <w:vMerge w:val="continue"/>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4"/>
                <w:szCs w:val="14"/>
                <w:color w:val="auto"/>
              </w:rPr>
            </w:pPr>
          </w:p>
        </w:tc>
        <w:tc>
          <w:tcPr>
            <w:tcW w:w="1560" w:type="dxa"/>
            <w:vAlign w:val="bottom"/>
            <w:gridSpan w:val="2"/>
          </w:tcPr>
          <w:p>
            <w:pPr>
              <w:jc w:val="center"/>
              <w:ind w:left="720"/>
              <w:spacing w:after="0" w:line="148" w:lineRule="exact"/>
              <w:rPr>
                <w:sz w:val="20"/>
                <w:szCs w:val="20"/>
                <w:color w:val="auto"/>
              </w:rPr>
            </w:pPr>
            <w:r>
              <w:rPr>
                <w:rFonts w:ascii="Arial" w:cs="Arial" w:eastAsia="Arial" w:hAnsi="Arial"/>
                <w:sz w:val="14"/>
                <w:szCs w:val="14"/>
                <w:b w:val="1"/>
                <w:bCs w:val="1"/>
                <w:color w:val="auto"/>
                <w:w w:val="94"/>
              </w:rPr>
              <w:t>($) (1)</w:t>
            </w:r>
          </w:p>
        </w:tc>
        <w:tc>
          <w:tcPr>
            <w:tcW w:w="8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560" w:type="dxa"/>
            <w:vAlign w:val="bottom"/>
            <w:gridSpan w:val="2"/>
          </w:tcPr>
          <w:p>
            <w:pPr>
              <w:jc w:val="center"/>
              <w:ind w:left="719"/>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150,000</w:t>
            </w: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5,049,075</w:t>
            </w:r>
          </w:p>
        </w:tc>
        <w:tc>
          <w:tcPr>
            <w:tcW w:w="8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36,917</w:t>
            </w:r>
          </w:p>
        </w:tc>
        <w:tc>
          <w:tcPr>
            <w:tcW w:w="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2,298,015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2360" w:type="dxa"/>
            <w:vAlign w:val="bottom"/>
            <w:gridSpan w:val="3"/>
          </w:tcPr>
          <w:p>
            <w:pPr>
              <w:jc w:val="right"/>
              <w:ind w:right="800"/>
              <w:spacing w:after="0"/>
              <w:rPr>
                <w:sz w:val="20"/>
                <w:szCs w:val="20"/>
                <w:color w:val="auto"/>
              </w:rPr>
            </w:pPr>
            <w:r>
              <w:rPr>
                <w:rFonts w:ascii="Arial" w:cs="Arial" w:eastAsia="Arial" w:hAnsi="Arial"/>
                <w:sz w:val="18"/>
                <w:szCs w:val="18"/>
                <w:color w:val="auto"/>
              </w:rPr>
              <w:t>2,504,826</w:t>
            </w:r>
          </w:p>
        </w:tc>
        <w:tc>
          <w:tcPr>
            <w:tcW w:w="640" w:type="dxa"/>
            <w:vAlign w:val="bottom"/>
          </w:tcPr>
          <w:p>
            <w:pPr>
              <w:jc w:val="right"/>
              <w:spacing w:after="0"/>
              <w:rPr>
                <w:sz w:val="20"/>
                <w:szCs w:val="20"/>
                <w:color w:val="auto"/>
              </w:rPr>
            </w:pPr>
            <w:r>
              <w:rPr>
                <w:rFonts w:ascii="Arial" w:cs="Arial" w:eastAsia="Arial" w:hAnsi="Arial"/>
                <w:sz w:val="18"/>
                <w:szCs w:val="18"/>
                <w:color w:val="auto"/>
              </w:rPr>
              <w:t>20,079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1,248,436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Duffy</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44,000</w:t>
            </w:r>
          </w:p>
        </w:tc>
        <w:tc>
          <w:tcPr>
            <w:tcW w:w="2360" w:type="dxa"/>
            <w:vAlign w:val="bottom"/>
            <w:gridSpan w:val="3"/>
          </w:tcPr>
          <w:p>
            <w:pPr>
              <w:jc w:val="right"/>
              <w:ind w:right="800"/>
              <w:spacing w:after="0"/>
              <w:rPr>
                <w:sz w:val="20"/>
                <w:szCs w:val="20"/>
                <w:color w:val="auto"/>
              </w:rPr>
            </w:pPr>
            <w:r>
              <w:rPr>
                <w:rFonts w:ascii="Arial" w:cs="Arial" w:eastAsia="Arial" w:hAnsi="Arial"/>
                <w:sz w:val="18"/>
                <w:szCs w:val="18"/>
                <w:color w:val="auto"/>
              </w:rPr>
              <w:t>1,201,882</w:t>
            </w:r>
          </w:p>
        </w:tc>
        <w:tc>
          <w:tcPr>
            <w:tcW w:w="640" w:type="dxa"/>
            <w:vAlign w:val="bottom"/>
          </w:tcPr>
          <w:p>
            <w:pPr>
              <w:jc w:val="right"/>
              <w:spacing w:after="0"/>
              <w:rPr>
                <w:sz w:val="20"/>
                <w:szCs w:val="20"/>
                <w:color w:val="auto"/>
              </w:rPr>
            </w:pPr>
            <w:r>
              <w:rPr>
                <w:rFonts w:ascii="Arial" w:cs="Arial" w:eastAsia="Arial" w:hAnsi="Arial"/>
                <w:sz w:val="18"/>
                <w:szCs w:val="18"/>
                <w:color w:val="auto"/>
              </w:rPr>
              <w:t>7,604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472,679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Peterman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4,250</w:t>
            </w:r>
          </w:p>
        </w:tc>
        <w:tc>
          <w:tcPr>
            <w:tcW w:w="236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64,953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value realized equals the difference between the market price of our common stock on the date of exercise and the option exercise price, multiplied by the number of shares for which the option was exercised.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 of our Named Executive Officers participates in or has account balances in qualified or non-qualified defined benefit plans sponsored by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In accordance with Section 409A of the Internal Revenue Code, ViaSat allows executives to elect to defer the timing of receipt of the shares issuable pursuant to their restricted stock unit awards. None of our Named Executive Officers has made a deferral election with respect to any of their outstanding restricted stock unit awards. We do not currently offer any other non-qualified defined contribution or other deferred compensation plans for our Named Executive Officers.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ViaSat provides for certain severance benefits in the event that an executive’s employment is involuntarily or constructively terminated within two months prior to or within 18 months following a change in control. We believe that reasonable severance benefits provide for a stable work environment by reinforcing and encouraging the continued attention and dedication of our key executives to their duties of employment without personal distraction or conflict of interest in circumstances which could arise from the occurrence of a change in control.</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change in control severance agreements (Change in Control Agreements) with each of the Named Executive Officers. Under each Change in Control Agreement, in the event an executive’s employment is terminated by ViaSat without “cause” or the executive resigns for “good reason,” in either case, within two months prior to or within 18 months following a “change in control” (as each term is defined in the Change in Control Agreement), the executive will be entitled to receive the following in lieu of any severance benefits to which such executive may otherwise be entitled under any severance plan or program:</w:t>
      </w:r>
    </w:p>
    <w:p>
      <w:pPr>
        <w:spacing w:after="0" w:line="62" w:lineRule="exact"/>
        <w:rPr>
          <w:sz w:val="20"/>
          <w:szCs w:val="20"/>
          <w:color w:val="auto"/>
        </w:rPr>
      </w:pPr>
    </w:p>
    <w:p>
      <w:pPr>
        <w:ind w:left="660" w:right="38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executive’s fully earned but unpaid base salary, when due, through the date of termination, plus all other benefits to which the executive may be entitled for such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740" w:hanging="206"/>
        <w:spacing w:after="0" w:line="33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lump sum cash payment based on a multiplier of the sum of the executive’s then current annual base salary and target annual cash bonus (the multiplier used is 3.0 for the positions of Chief Executive Officer and President, and 2.0 for the remaining Named Executive Officers),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continuation of health and other benefits for a period of 18 months following the date of termination,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full vesting of any outstanding equity awards.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 condition to the executive’s receipt of any of the post-termination benefits described above, the executive must (1) execute a written general release of all claims against us, and (2) execute an employee proprietary information and inventions agreement. The severance benefits payable under the Change in Control Agreements will be reduced by any severance benefits payable by us to the executive under any other policy, plan, program, agreement or arrangement. The Change in Control Agreements continue for successive one-year terms unless ViaSat or the executive provides notice of non-renewal.</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table sets forth the intrinsic values that the Named Executive Officers would derive in the event of a hypothetical termination of employment by ViaSat without cause or as a result of the Named Executive Officer’s resignation for good reason within two months prior to or within 18 months following a change in control. The table assumes that the termination hypothetically occurred on March 31, 2016, the last day of fiscal year 2016, and that the Change in Control Agreements were in effect as of such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Intrinsic</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Intrinsic</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Value of</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Value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Earned But</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Accelerated</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Accelerated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Unpaid Base</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Accrued</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Severance</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COBRA</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Stock</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Restricted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720" w:type="dxa"/>
            <w:vAlign w:val="bottom"/>
            <w:vMerge w:val="restart"/>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Salary</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Vacation</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Payment</w:t>
            </w: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Payments</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Options</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32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(2)</w:t>
            </w:r>
          </w:p>
        </w:tc>
        <w:tc>
          <w:tcPr>
            <w:tcW w:w="320" w:type="dxa"/>
            <w:vAlign w:val="bottom"/>
          </w:tcPr>
          <w:p>
            <w:pPr>
              <w:spacing w:after="0"/>
              <w:rPr>
                <w:sz w:val="14"/>
                <w:szCs w:val="14"/>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4"/>
                <w:szCs w:val="14"/>
                <w:b w:val="1"/>
                <w:bCs w:val="1"/>
                <w:color w:val="auto"/>
              </w:rPr>
              <w:t>($) (3)</w:t>
            </w:r>
          </w:p>
        </w:tc>
        <w:tc>
          <w:tcPr>
            <w:tcW w:w="30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(4)</w:t>
            </w:r>
          </w:p>
        </w:tc>
        <w:tc>
          <w:tcPr>
            <w:tcW w:w="32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(5)</w:t>
            </w:r>
          </w:p>
        </w:tc>
        <w:tc>
          <w:tcPr>
            <w:tcW w:w="320" w:type="dxa"/>
            <w:vAlign w:val="bottom"/>
          </w:tcPr>
          <w:p>
            <w:pPr>
              <w:spacing w:after="0"/>
              <w:rPr>
                <w:sz w:val="14"/>
                <w:szCs w:val="14"/>
                <w:color w:val="auto"/>
              </w:rPr>
            </w:pPr>
          </w:p>
        </w:tc>
        <w:tc>
          <w:tcPr>
            <w:tcW w:w="920" w:type="dxa"/>
            <w:vAlign w:val="bottom"/>
          </w:tcPr>
          <w:p>
            <w:pPr>
              <w:jc w:val="right"/>
              <w:ind w:right="298"/>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7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83"/>
              </w:rPr>
              <w:t>35,481</w:t>
            </w: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197,115</w:t>
            </w: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6,150,000</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3"/>
              </w:rPr>
              <w:t>34,268</w:t>
            </w: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3,890,855</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7,035,637</w:t>
            </w: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17,343,356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29,423</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163,462</w:t>
            </w:r>
          </w:p>
        </w:tc>
        <w:tc>
          <w:tcPr>
            <w:tcW w:w="32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5,100,000</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34,268</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2,451,607</w:t>
            </w:r>
          </w:p>
        </w:tc>
        <w:tc>
          <w:tcPr>
            <w:tcW w:w="32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4,572,220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12,350,980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Duffy</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15,577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31,070</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1,800,000</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34,268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574,643</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1,411,404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3,866,962</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17,308</w:t>
            </w:r>
          </w:p>
        </w:tc>
        <w:tc>
          <w:tcPr>
            <w:tcW w:w="660" w:type="dxa"/>
            <w:vAlign w:val="bottom"/>
          </w:tcPr>
          <w:p>
            <w:pPr>
              <w:jc w:val="right"/>
              <w:spacing w:after="0"/>
              <w:rPr>
                <w:sz w:val="20"/>
                <w:szCs w:val="20"/>
                <w:color w:val="auto"/>
              </w:rPr>
            </w:pPr>
            <w:r>
              <w:rPr>
                <w:rFonts w:ascii="Arial" w:cs="Arial" w:eastAsia="Arial" w:hAnsi="Arial"/>
                <w:sz w:val="18"/>
                <w:szCs w:val="18"/>
                <w:color w:val="auto"/>
              </w:rPr>
              <w:t>96,154</w:t>
            </w:r>
          </w:p>
        </w:tc>
        <w:tc>
          <w:tcPr>
            <w:tcW w:w="32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2,000,000</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34,268</w:t>
            </w:r>
          </w:p>
        </w:tc>
        <w:tc>
          <w:tcPr>
            <w:tcW w:w="800" w:type="dxa"/>
            <w:vAlign w:val="bottom"/>
          </w:tcPr>
          <w:p>
            <w:pPr>
              <w:jc w:val="right"/>
              <w:spacing w:after="0"/>
              <w:rPr>
                <w:sz w:val="20"/>
                <w:szCs w:val="20"/>
                <w:color w:val="auto"/>
              </w:rPr>
            </w:pPr>
            <w:r>
              <w:rPr>
                <w:rFonts w:ascii="Arial" w:cs="Arial" w:eastAsia="Arial" w:hAnsi="Arial"/>
                <w:sz w:val="18"/>
                <w:szCs w:val="18"/>
                <w:color w:val="auto"/>
              </w:rPr>
              <w:t>959,220</w:t>
            </w:r>
          </w:p>
        </w:tc>
        <w:tc>
          <w:tcPr>
            <w:tcW w:w="32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1,775,645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4,882,595</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Peterman</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14,712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49,888</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1,530,000</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34,268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665,750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1,319,554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3,614,172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fully earned but unpaid salary as of March 31, 2016.</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accrual for vacation that had not been taken as of March 31,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shown equal an aggregate of 18 months of COBRA payments for the Named Executive Officer.</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intrinsic value of accelerated stock options is based on the difference between the market price of our common stock on March 31, 2016 ($73.48) and the option exercise price, multiplied by the number of shares for which the option was accelerated (taking into consideration only options where the market price of our common stock on March 31, 2016 is higher than the options exercise price).</w:t>
      </w:r>
    </w:p>
    <w:p>
      <w:pPr>
        <w:spacing w:after="0" w:line="1"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intrinsic value of accelerated restricted stock units is computed by multiplying the market price of our common stock on March 31, 2016 ($73.48) by the number of shares that were accelerated.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compensation earned during the fiscal year ended March 31, 2016 by each of our non-employee directors.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Change in</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Fees</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and Non-Qualified</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Earned</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Non-Equity</w:t>
            </w: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or Paid</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Stock</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Option</w:t>
            </w: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4"/>
              </w:rPr>
              <w:t>Incentive Plan</w:t>
            </w: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660" w:type="dxa"/>
            <w:vAlign w:val="bottom"/>
            <w:vMerge w:val="restart"/>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in Cash</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Awards</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Awards</w:t>
            </w: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Earnings</w:t>
            </w: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660" w:type="dxa"/>
            <w:vAlign w:val="bottom"/>
            <w:vMerge w:val="continue"/>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5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5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(2)</w:t>
            </w:r>
          </w:p>
        </w:tc>
        <w:tc>
          <w:tcPr>
            <w:tcW w:w="500" w:type="dxa"/>
            <w:vAlign w:val="bottom"/>
          </w:tcPr>
          <w:p>
            <w:pPr>
              <w:spacing w:after="0"/>
              <w:rPr>
                <w:sz w:val="14"/>
                <w:szCs w:val="14"/>
                <w:color w:val="auto"/>
              </w:rPr>
            </w:pPr>
          </w:p>
        </w:tc>
        <w:tc>
          <w:tcPr>
            <w:tcW w:w="840" w:type="dxa"/>
            <w:vAlign w:val="bottom"/>
          </w:tcPr>
          <w:p>
            <w:pPr>
              <w:jc w:val="right"/>
              <w:ind w:right="260"/>
              <w:spacing w:after="0" w:line="14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840" w:type="dxa"/>
            <w:vAlign w:val="bottom"/>
          </w:tcPr>
          <w:p>
            <w:pPr>
              <w:jc w:val="right"/>
              <w:ind w:right="258"/>
              <w:spacing w:after="0" w:line="14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62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Frank J. Biondi, Jr.</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140,000</w:t>
            </w: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283,312</w:t>
            </w: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283,244</w:t>
            </w:r>
          </w:p>
        </w:tc>
        <w:tc>
          <w:tcPr>
            <w:tcW w:w="5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706,556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Bob Bowman</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57,500</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101,392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104,004</w:t>
            </w:r>
          </w:p>
        </w:tc>
        <w:tc>
          <w:tcPr>
            <w:tcW w:w="5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262,896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Johnson</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84,500</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101,392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104,004</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289,896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B. Allen Lay</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75,000</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101,392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104,004</w:t>
            </w:r>
          </w:p>
        </w:tc>
        <w:tc>
          <w:tcPr>
            <w:tcW w:w="5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280,396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Nash</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93,250</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101,392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104,004</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298,646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John Stenbit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84,000</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101,392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104,004</w:t>
            </w:r>
          </w:p>
        </w:tc>
        <w:tc>
          <w:tcPr>
            <w:tcW w:w="5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289,396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Harvey White</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103,500</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101,392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104,004</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308,896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83"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calculated in accordance with SEC rules, of restricted stock units granted in fiscal year 2016. These amounts generally reflect the amount that the company expects to expense in its financial statements over the award’s vesting schedule, and do not correspond to the actual value that will be realized by the non-employee directors. For additional information on the valuation assumptions used in the calculation of these amounts, refer to note 6 to the financial statements included in our annual report on Form 10-K for the fiscal year ended March 31, 2016, as filed with the SEC. The aggregate number of restricted stock units outstanding at the end of fiscal year 2016 for each director was as follows: Mr. Biondi (4,600); Mr. Bowman (2,600); Mr. Johnson (1,600); Mr. Lay (1,600); Dr. Nash (1,600); Mr. Stenbit (1,600); and Mr. White (1,600).</w:t>
      </w:r>
    </w:p>
    <w:p>
      <w:pPr>
        <w:spacing w:after="0" w:line="1" w:lineRule="exact"/>
        <w:rPr>
          <w:rFonts w:ascii="Arial" w:cs="Arial" w:eastAsia="Arial" w:hAnsi="Arial"/>
          <w:sz w:val="16"/>
          <w:szCs w:val="16"/>
          <w:color w:val="auto"/>
        </w:rPr>
      </w:pPr>
    </w:p>
    <w:p>
      <w:pPr>
        <w:ind w:left="460" w:right="120" w:hanging="452"/>
        <w:spacing w:after="0" w:line="290"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calculated in accordance with SEC rules, of stock options granted in fiscal year 2016. These amounts generally reflect the amount that the company expects to expense in its financial statements over the award’s vesting schedule, and do not correspond to the actual value that will be realized by the non-employee directors. For additional information on the valuation assumptions used in the calculation of these amounts, refer to note 6 to the financial statements included in our annual report on Form 10-K for the fiscal year ended March 31, 2016, as filed with the SEC. The aggregate number of stock options outstanding at the end of fiscal year 2016 for each director was as follows: Mr. Biondi (14,000); Mr. Bowman (24,000); Mr. Johnson (30,000); Mr. Lay (25,000); Dr. Nash (25,000); Mr. Stenbit (29,300); and Mr. White (30,000).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Directors who are employees of the company, such as Mr. Dankberg and, if elected at the 2016 annual meeting, Mr. Baldridge, do not receive 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additional compensation for their services as directors. Non-employee directors are entitled to receive an annual retainer for their service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 as a member of the Board, $12,000 for the chair of the Audit Committee, $8,000 for the chair of the Compensation and Human Resources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 for the chair of the other Board committees, $6,000 as a non-chair member of the Audit Committee, $4,000 as a non-chair member of the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Human Resources Committee, and $2,000 as a non-chair member of the other Board committees. In addition, each non-employee director receives a meeting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fee of $2,000 for each Board meeting attended, $1,500 for each committee meeting attended as the chair of such committee, and $1,000 for each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meeting attended as a non-chair member of such committee. The meeting fee paid to non-employee directors for participation via telephone for each Board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meeting or committee meeting is one-half of the regular meeting fee. At the time of initial election to the Board, each non-employee director is granted 3,000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units and an option to purchase 9,000 shares of our common stock, and at each subsequent annual meeting of stockholders, each non-employee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 is entitled to receive an annual equity grant in the form of 1,600 restricted stock units and an option to purchase 5,000 shares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Board of Directors are reimbursed for expenses incurred in attending Board and committee meetings, and in connection with Board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activities.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enhance our overall corporate governance practices and director compensation program, our Board has adopted stock ownership guidelines for our non-employee directors. These guidelines are designed to align our non-employee directors’ interests with our stockholders’ long-term interests by promoting long-term ownership of ViaSat common stock. These guidelines provide that, within five years of the later of the adoption of the guidelines or his or her first date of election to our Board, our non-employee directors should attain an investment position in ViaSat common stock having a value not less than three times the value of their annual retainer for general Board service.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members of the Compensation and Human Resources Committee for the 2016 fiscal year were Mr. Biondi, Dr. Nash, Mr. Stenbit and Mr. White. None of the members of our Compensation and Human Resources Committee has ever been one of our officers or employees. During fiscal year 2016, none of our executive officers served on the board of directors or compensation committee of any entity whose officers served either on our Board of Directors or on our Compensation and Human Resources Committee.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The following table provides information as of March 31, 2016 with respect to shares of ViaSat common stock that may be issued under existing equity compensation plans. In accordance with the rules promulgated by the SEC, the table does not include information with respect to shares subject to outstanding awards granted under equity compensation arrangements assumed by us in connection with mergers and acquisitions of the companies that originally granted those awards.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120" w:type="dxa"/>
            <w:vAlign w:val="bottom"/>
          </w:tcPr>
          <w:p>
            <w:pPr>
              <w:spacing w:after="0"/>
              <w:rPr>
                <w:sz w:val="14"/>
                <w:szCs w:val="14"/>
                <w:color w:val="auto"/>
              </w:rPr>
            </w:pPr>
          </w:p>
        </w:tc>
        <w:tc>
          <w:tcPr>
            <w:tcW w:w="22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9"/>
              </w:rPr>
              <w:t>(b)</w:t>
            </w: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11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Issued Upon</w:t>
            </w:r>
          </w:p>
        </w:tc>
        <w:tc>
          <w:tcPr>
            <w:tcW w:w="1120" w:type="dxa"/>
            <w:vAlign w:val="bottom"/>
          </w:tcPr>
          <w:p>
            <w:pPr>
              <w:spacing w:after="0"/>
              <w:rPr>
                <w:sz w:val="12"/>
                <w:szCs w:val="12"/>
                <w:color w:val="auto"/>
              </w:rPr>
            </w:pPr>
          </w:p>
        </w:tc>
        <w:tc>
          <w:tcPr>
            <w:tcW w:w="22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120" w:type="dxa"/>
            <w:vAlign w:val="bottom"/>
          </w:tcPr>
          <w:p>
            <w:pPr>
              <w:spacing w:after="0"/>
              <w:rPr>
                <w:sz w:val="12"/>
                <w:szCs w:val="12"/>
                <w:color w:val="auto"/>
              </w:rPr>
            </w:pPr>
          </w:p>
        </w:tc>
        <w:tc>
          <w:tcPr>
            <w:tcW w:w="22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Future Issuance Under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120" w:type="dxa"/>
            <w:vAlign w:val="bottom"/>
          </w:tcPr>
          <w:p>
            <w:pPr>
              <w:spacing w:after="0"/>
              <w:rPr>
                <w:sz w:val="12"/>
                <w:szCs w:val="12"/>
                <w:color w:val="auto"/>
              </w:rPr>
            </w:pPr>
          </w:p>
        </w:tc>
        <w:tc>
          <w:tcPr>
            <w:tcW w:w="22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Equity Compensation Plans</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340" w:type="dxa"/>
            <w:vAlign w:val="bottom"/>
            <w:gridSpan w:val="2"/>
            <w:vMerge w:val="restart"/>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120" w:type="dxa"/>
            <w:vAlign w:val="bottom"/>
          </w:tcPr>
          <w:p>
            <w:pPr>
              <w:spacing w:after="0"/>
              <w:rPr>
                <w:sz w:val="12"/>
                <w:szCs w:val="12"/>
                <w:color w:val="auto"/>
              </w:rPr>
            </w:pPr>
          </w:p>
        </w:tc>
        <w:tc>
          <w:tcPr>
            <w:tcW w:w="22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340" w:type="dxa"/>
            <w:vAlign w:val="bottom"/>
            <w:gridSpan w:val="2"/>
            <w:vMerge w:val="continue"/>
          </w:tcPr>
          <w:p>
            <w:pPr>
              <w:spacing w:after="0"/>
              <w:rPr>
                <w:sz w:val="14"/>
                <w:szCs w:val="14"/>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and Rights (#) (1)</w:t>
            </w:r>
          </w:p>
        </w:tc>
        <w:tc>
          <w:tcPr>
            <w:tcW w:w="1120" w:type="dxa"/>
            <w:vAlign w:val="bottom"/>
          </w:tcPr>
          <w:p>
            <w:pPr>
              <w:spacing w:after="0"/>
              <w:rPr>
                <w:sz w:val="14"/>
                <w:szCs w:val="14"/>
                <w:color w:val="auto"/>
              </w:rPr>
            </w:pPr>
          </w:p>
        </w:tc>
        <w:tc>
          <w:tcPr>
            <w:tcW w:w="2200" w:type="dxa"/>
            <w:vAlign w:val="bottom"/>
            <w:gridSpan w:val="2"/>
          </w:tcPr>
          <w:p>
            <w:pPr>
              <w:jc w:val="center"/>
              <w:ind w:right="1120"/>
              <w:spacing w:after="0" w:line="148" w:lineRule="exact"/>
              <w:rPr>
                <w:sz w:val="20"/>
                <w:szCs w:val="20"/>
                <w:color w:val="auto"/>
              </w:rPr>
            </w:pPr>
            <w:r>
              <w:rPr>
                <w:rFonts w:ascii="Arial" w:cs="Arial" w:eastAsia="Arial" w:hAnsi="Arial"/>
                <w:sz w:val="14"/>
                <w:szCs w:val="14"/>
                <w:b w:val="1"/>
                <w:bCs w:val="1"/>
                <w:color w:val="auto"/>
                <w:w w:val="87"/>
              </w:rPr>
              <w:t>and Rights ($) (2)</w:t>
            </w:r>
          </w:p>
        </w:tc>
        <w:tc>
          <w:tcPr>
            <w:tcW w:w="18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Reflected in Column (a)) (#)</w:t>
            </w: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42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0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security holders (3)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4,202,776</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3,161,167(4)</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20" w:type="dxa"/>
            <w:vAlign w:val="bottom"/>
            <w:gridSpan w:val="3"/>
          </w:tcPr>
          <w:p>
            <w:pPr>
              <w:ind w:left="220"/>
              <w:spacing w:after="0"/>
              <w:rPr>
                <w:sz w:val="20"/>
                <w:szCs w:val="20"/>
                <w:color w:val="auto"/>
              </w:rPr>
            </w:pPr>
            <w:r>
              <w:rPr>
                <w:rFonts w:ascii="Arial" w:cs="Arial" w:eastAsia="Arial" w:hAnsi="Arial"/>
                <w:sz w:val="18"/>
                <w:szCs w:val="18"/>
                <w:color w:val="auto"/>
              </w:rPr>
              <w:t>security 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220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4,202,776</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3,161,167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outstanding restricted stock units. Excludes purchase rights currently accruing under the ViaSat, Inc. Employee Stock Purchase Plan.</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weighted average exercise price does not take into account the shares subject to outstanding restricted stock units, which have no exercise price.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two plans: (a) the 1996 Equity Participation Plan of ViaSat, Inc., and (b) the ViaSat, Inc. Employee Stock Purchase Plan.</w:t>
      </w:r>
    </w:p>
    <w:p>
      <w:pPr>
        <w:spacing w:after="0" w:line="9"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 2,767,566 shares available for future issuance under the 1996 Equity Participation Plan of ViaSat, Inc., and (b) 394,051 shares available for future issuance under the ViaSat, Inc. Employee Stock Purchase Plan.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Audit Committee (or another independent body of the Board of Directors, such as the disinterested members of the Board) reviews transactions that may be related person transactions, which are transactions between ViaSat and related persons where the amount involved exceeds $120,000 in a single fiscal year and in which a related person has a direct or indirect material interest. Under SEC rules, a related person is a director, director nominee, executive officer, beneficial owner of more than 5% of ViaSat common stock and their respective immediate family members. As set forth in the Audit Committee charter, the members of the Audit Committee, all of whom are independent directors, review and approve or ratify any related person transaction that is required to be disclosed in this proxy statement in accordance with SEC rules. In the course of its review and approval or ratification of a disclosable related person transaction, the Audit Committee or the disinterested members of the Board may consider:</w:t>
      </w:r>
    </w:p>
    <w:p>
      <w:pPr>
        <w:spacing w:after="0" w:line="37"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importance of the transaction to the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the best interest of the company,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matters the Audit Committee or the Board deems appropriate.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brother of Mark Dankberg, ViaSat’s Chairman and Chief Executive Officer, was a tax partner with Deloitte LLP until his retirement in March 2016. In the ordinary course of business, we have engaged, and may in the future engage, Deloitte to provide tax consulting and other services. During fiscal year 2016, we paid Deloitte approximately $455,000 for these services. Another brother of Mr. Dankberg is employed as Director of Information Systems at ViaSat. He earned approximately $165,900 in base salary during fiscal year 2016, and participates in our equity award and benefit programs. Mr. Dankberg’s son is a Business Analysis Manager at ViaSat. He earned an aggregate of approximately $271,000 in base salary and bonus during fiscal year 2016, and participates in our equity award and benefit programs.</w:t>
      </w:r>
    </w:p>
    <w:p>
      <w:pPr>
        <w:spacing w:after="0" w:line="14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 brother of Mark Miller, ViaSat’s Chief Technical Officer, is a Systems Design Engineer at ViaSat. He earned an aggregate of approximately $219,900 in base salary and bonus during fiscal year 2016, and participates in our equity award and benefit programs. Mr. Miller’s son is a Software Engineer at ViaSat. He earned an aggregate of approximately $125,600 in base salary and bonus during fiscal year 2016, and participates in our equity award and benefits programs.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the Board of Directors. A copy of the audit committee charter can be found on the Investor Relations section of ViaSat’s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 The composition of the Audit Committee, the attributes of its members and the responsibilities of the Audit Committee, as reflected in its written charter, are intended to be in accordance with applicable requirements for corporate audit committees.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 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w:t>
      </w:r>
    </w:p>
    <w:p>
      <w:pPr>
        <w:spacing w:after="0" w:line="12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Audit Committee has reviewed and discussed the audited consolidated financial statements for fiscal year 2016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The Audit Committee also discussed with PricewaterhouseCoopers LLP the matters required to be discussed pursuant to the rules adopted by the Public Company Accounting Oversight Board.</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Audit Committee has received from PricewaterhouseCoopers LLP the written disclosures and letter required by applicable requirements of the Public Company Accounting Oversight Board regarding PricewaterhouseCoopers LLP’s communications with the Audit Committee concerning independence, and has discussed with PricewaterhouseCoopers LLP its independence from ViaSat.</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reliance on these reviews and discussions, the Audit Committee has recommended to the Board of Directors that ViaSat’s audited financial statements be included in ViaSat’s annual report on Form 10-K for the fiscal year ended March 31, 2016 for filing with the SEC.</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3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 by the Audit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Harvey White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J. Biondi, Jr.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Johnson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 Allen Lay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Nash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Stockholder Proposals for Inclusion in ViaSat’s 2017 Proxy Statement. </w:t>
      </w:r>
      <w:r>
        <w:rPr>
          <w:rFonts w:ascii="Arial" w:cs="Arial" w:eastAsia="Arial" w:hAnsi="Arial"/>
          <w:sz w:val="16"/>
          <w:szCs w:val="16"/>
          <w:color w:val="auto"/>
        </w:rPr>
        <w:t>Stockholders of ViaSat may submit proposals on matters appropriate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action at meetings of our stockholders in accordance with Rule 14a-8 promulgated under the Securities Exchange Act of 1934. To be eligible for inclusion in our proxy statement relating to the 2017 annual meeting of stockholders, proposals must satisfy the conditions established by the SEC for stockholder proposals to be included in the proxy statement, and must otherwise be received by ViaSat no later than March 24, 2017, unless the date of the 2017 annual meeting is changed by more than 30 days from the anniversary of our 2016 annual meeting, in which case the deadline will be as set forth in Rule 14a-8. Such proposals must be delivered to ViaSat, Inc., Attention: Corporate Secretary, 6155 El Camino Real, Carlsbad, California 92009, with a copy to ViaSat, Inc., Attention: General Counsel at the same address.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Stockholder Proposals for Presentation at the 2017 Annual Meeting. </w:t>
      </w:r>
      <w:r>
        <w:rPr>
          <w:rFonts w:ascii="Arial" w:cs="Arial" w:eastAsia="Arial" w:hAnsi="Arial"/>
          <w:sz w:val="16"/>
          <w:szCs w:val="16"/>
          <w:color w:val="auto"/>
        </w:rPr>
        <w:t>If a stockholder wishes to present a proposal at our 2017 annual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 (3) otherwise comply with all applicable requirements of our bylaws and of the Securities Exchange Act of 1934. To be timely, such stockholder’s notice must be received by ViaSat no earlier than the 120</w:t>
      </w:r>
      <w:r>
        <w:rPr>
          <w:rFonts w:ascii="Arial" w:cs="Arial" w:eastAsia="Arial" w:hAnsi="Arial"/>
          <w:sz w:val="10"/>
          <w:szCs w:val="10"/>
          <w:color w:val="auto"/>
        </w:rPr>
        <w:t>th</w:t>
      </w:r>
      <w:r>
        <w:rPr>
          <w:rFonts w:ascii="Arial" w:cs="Arial" w:eastAsia="Arial" w:hAnsi="Arial"/>
          <w:sz w:val="16"/>
          <w:szCs w:val="16"/>
          <w:color w:val="auto"/>
        </w:rPr>
        <w:t xml:space="preserve"> day nor later than the 90</w:t>
      </w:r>
      <w:r>
        <w:rPr>
          <w:rFonts w:ascii="Arial" w:cs="Arial" w:eastAsia="Arial" w:hAnsi="Arial"/>
          <w:sz w:val="10"/>
          <w:szCs w:val="10"/>
          <w:color w:val="auto"/>
        </w:rPr>
        <w:t>th</w:t>
      </w:r>
      <w:r>
        <w:rPr>
          <w:rFonts w:ascii="Arial" w:cs="Arial" w:eastAsia="Arial" w:hAnsi="Arial"/>
          <w:sz w:val="16"/>
          <w:szCs w:val="16"/>
          <w:color w:val="auto"/>
        </w:rPr>
        <w:t xml:space="preserve"> day prior to the anniversary of our 2016 annual meeting. As a result, proposals submitted pursuant to these provisions of our bylaws must be received no earlier than the close of business on May 11, 2017 and no later than the close of business on June 10, 2017. However, if the date of the 2017 annual meeting is advanced by more than 30 days or delayed by more than 60 days from the anniversary of the 2016 annual meeting, notice by the stockholder must be received no later than the later of (1) the 90</w:t>
      </w:r>
      <w:r>
        <w:rPr>
          <w:rFonts w:ascii="Arial" w:cs="Arial" w:eastAsia="Arial" w:hAnsi="Arial"/>
          <w:sz w:val="10"/>
          <w:szCs w:val="10"/>
          <w:color w:val="auto"/>
        </w:rPr>
        <w:t>th</w:t>
      </w:r>
      <w:r>
        <w:rPr>
          <w:rFonts w:ascii="Arial" w:cs="Arial" w:eastAsia="Arial" w:hAnsi="Arial"/>
          <w:sz w:val="16"/>
          <w:szCs w:val="16"/>
          <w:color w:val="auto"/>
        </w:rPr>
        <w:t xml:space="preserve"> day prior to the 2017 annual meeting or (2)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disclosure of the date of the 2017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7"/>
          <w:szCs w:val="7"/>
          <w:color w:val="FFFFFF"/>
        </w:rPr>
        <w:t>ViaSatC123456789IMPORTANT000000000.000000ANNUALMEETINGext000000000.000000INFORMATION ext000004000000000.000000ENDORSEMENText LINE000000000.000000SACKPACKMRextA 000000000.000000SAMPLEDESIGNATIONext000000000.000000(IFANY)ADD1ADDextUsing2ADDa 3blackADDink4 ADDpen, mark5ADDyour6</w:t>
      </w:r>
    </w:p>
    <w:p>
      <w:pPr>
        <w:spacing w:after="0" w:line="41"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DETACHvoteswithANDanXRETURNasshownTHEinthisBOTTOMexample.PORTIONPleasedoINnotTHEwriteENCLOSEDoutsidetheENVELOPE.designated areas.AProposals[x]PROXY-The CARDViaSatFORBoardANNUALofDirectorsMEETINGunanimouslyPLEASErecommendsFOLDALONGthat THEstockholdersPERFORATION,vote“FOR” all the director nominees listed Proposal 1, and “FOR” Proposals 2 and 3. 1. Election of Directors: For Withhold + 01 - Richard Baldridge 02 - B. Allen Lay 03 - Dr. Jeffrey Nash For Against</w:t>
      </w:r>
    </w:p>
    <w:p>
      <w:pPr>
        <w:ind w:right="80"/>
        <w:spacing w:after="0" w:line="181" w:lineRule="auto"/>
        <w:rPr>
          <w:sz w:val="20"/>
          <w:szCs w:val="20"/>
          <w:color w:val="auto"/>
        </w:rPr>
      </w:pPr>
      <w:r>
        <w:rPr>
          <w:rFonts w:ascii="Arial" w:cs="Arial" w:eastAsia="Arial" w:hAnsi="Arial"/>
          <w:sz w:val="7"/>
          <w:szCs w:val="7"/>
          <w:color w:val="FFFFFF"/>
        </w:rPr>
        <w:t>onAbstainExecutive2.RatificationCompensationofAppointmentBAuthorizedofPricewaterhouseCoopersSignatures-DateandSignLLPBelowasViaSat’s-This sectionIndependentmust beRegisteredcompletedPublicforyourAccountingvoteto beFirmcounted.forfiscalPleaseyear 2017sign yourFor Againstname(s)AbstainEXACTLY3.Advisoryasyour Vote name(s) appear(s) this proxy card. If sh are held jointly, each joint holder must sign. When signing as trustee, executor, administrator, guardian, attorney or corporate officer, please</w:t>
      </w:r>
    </w:p>
    <w:p>
      <w:pPr>
        <w:ind w:left="10920"/>
        <w:spacing w:after="0"/>
        <w:rPr>
          <w:sz w:val="20"/>
          <w:szCs w:val="20"/>
          <w:color w:val="auto"/>
        </w:rPr>
      </w:pPr>
      <w:r>
        <w:rPr>
          <w:rFonts w:ascii="Arial" w:cs="Arial" w:eastAsia="Arial" w:hAnsi="Arial"/>
          <w:sz w:val="1"/>
          <w:szCs w:val="1"/>
          <w:color w:val="FFFFFF"/>
        </w:rPr>
        <w:t>VOTINGprintyourBYfullMAIL,title.DateYOU(mm/dd/yyyy)MUSTCOMPLETE-PleaseSECTIONSprintdate below.-CONSignatureBOTH SIDES1-PleaseOF keepTHIS signatureCARD.C within1234567890thebox.J SignatureNT1UP 2X(Joint283 Owner)9181 MR-PleaseA keep signature(THISAREAwithinIStheSETbox.UPIFTO</w:t>
      </w:r>
    </w:p>
    <w:p>
      <w:pPr>
        <w:ind w:right="20"/>
        <w:spacing w:after="0"/>
        <w:rPr>
          <w:sz w:val="20"/>
          <w:szCs w:val="20"/>
          <w:color w:val="auto"/>
        </w:rPr>
      </w:pPr>
      <w:r>
        <w:rPr>
          <w:rFonts w:ascii="Arial" w:cs="Arial" w:eastAsia="Arial" w:hAnsi="Arial"/>
          <w:sz w:val="21"/>
          <w:szCs w:val="21"/>
          <w:color w:val="FFFFFF"/>
          <w:vertAlign w:val="subscript"/>
        </w:rPr>
        <w:t>ACCOMMODA</w:t>
      </w:r>
      <w:r>
        <w:rPr>
          <w:rFonts w:ascii="Arial" w:cs="Arial" w:eastAsia="Arial" w:hAnsi="Arial"/>
          <w:sz w:val="11"/>
          <w:szCs w:val="11"/>
          <w:color w:val="FFFFFF"/>
        </w:rPr>
        <w:t>TE 140 CHARACTERS) MR A SAMPLE AND MR A SAMPLE AND MR A SAMPLE AND MR A SAMPLE AND MR A SAMPLE AND MRSAMPLESAMPLE AND MR A SAMPLE AND MR SAMPLE AND 02DV0E +</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80" w:type="dxa"/>
            <w:vAlign w:val="bottom"/>
            <w:gridSpan w:val="7"/>
          </w:tcPr>
          <w:p>
            <w:pPr>
              <w:spacing w:after="0"/>
              <w:rPr>
                <w:sz w:val="20"/>
                <w:szCs w:val="20"/>
                <w:color w:val="auto"/>
              </w:rPr>
            </w:pPr>
            <w:r>
              <w:rPr>
                <w:rFonts w:ascii="Arial" w:cs="Arial" w:eastAsia="Arial" w:hAnsi="Arial"/>
                <w:sz w:val="14"/>
                <w:szCs w:val="14"/>
                <w:color w:val="FFFFFF"/>
                <w:w w:val="98"/>
              </w:rPr>
              <w:t>Important Notice Regarding the Availability of Proxy Materials for the Annual Meeting The proxy materials for the ViaSat annual meeting of stockholders, including the proxy statement and</w:t>
            </w:r>
          </w:p>
        </w:tc>
        <w:tc>
          <w:tcPr>
            <w:tcW w:w="0" w:type="dxa"/>
            <w:vAlign w:val="bottom"/>
          </w:tcPr>
          <w:p>
            <w:pPr>
              <w:spacing w:after="0"/>
              <w:rPr>
                <w:sz w:val="1"/>
                <w:szCs w:val="1"/>
                <w:color w:val="auto"/>
              </w:rPr>
            </w:pPr>
          </w:p>
        </w:tc>
      </w:tr>
      <w:tr>
        <w:trPr>
          <w:trHeight w:val="41"/>
        </w:trPr>
        <w:tc>
          <w:tcPr>
            <w:tcW w:w="11380" w:type="dxa"/>
            <w:vAlign w:val="bottom"/>
            <w:gridSpan w:val="7"/>
          </w:tcPr>
          <w:p>
            <w:pPr>
              <w:ind w:left="80"/>
              <w:spacing w:after="0"/>
              <w:rPr>
                <w:sz w:val="20"/>
                <w:szCs w:val="20"/>
                <w:color w:val="auto"/>
              </w:rPr>
            </w:pPr>
            <w:r>
              <w:rPr>
                <w:rFonts w:ascii="Arial" w:cs="Arial" w:eastAsia="Arial" w:hAnsi="Arial"/>
                <w:sz w:val="3"/>
                <w:szCs w:val="3"/>
                <w:color w:val="FFFFFF"/>
              </w:rPr>
              <w:t>nnual report to stockholders, are available over the internet on the Investor Relations section of our website at investors.viasat.com. Electronic Access T  Future Documents If you wish to</w:t>
            </w:r>
          </w:p>
        </w:tc>
        <w:tc>
          <w:tcPr>
            <w:tcW w:w="0" w:type="dxa"/>
            <w:vAlign w:val="bottom"/>
          </w:tcPr>
          <w:p>
            <w:pPr>
              <w:spacing w:after="0"/>
              <w:rPr>
                <w:sz w:val="1"/>
                <w:szCs w:val="1"/>
                <w:color w:val="auto"/>
              </w:rPr>
            </w:pPr>
          </w:p>
        </w:tc>
      </w:tr>
      <w:tr>
        <w:trPr>
          <w:trHeight w:val="41"/>
        </w:trPr>
        <w:tc>
          <w:tcPr>
            <w:tcW w:w="9000" w:type="dxa"/>
            <w:vAlign w:val="bottom"/>
            <w:gridSpan w:val="5"/>
          </w:tcPr>
          <w:p>
            <w:pPr>
              <w:spacing w:after="0"/>
              <w:rPr>
                <w:sz w:val="20"/>
                <w:szCs w:val="20"/>
                <w:color w:val="auto"/>
              </w:rPr>
            </w:pPr>
            <w:r>
              <w:rPr>
                <w:rFonts w:ascii="Arial" w:cs="Arial" w:eastAsia="Arial" w:hAnsi="Arial"/>
                <w:sz w:val="3"/>
                <w:szCs w:val="3"/>
                <w:color w:val="FFFFFF"/>
              </w:rPr>
              <w:t>access all future proxy statements and annual reports via the internet as they become available, please consent by marking the appropriate box below.</w:t>
            </w:r>
          </w:p>
        </w:tc>
        <w:tc>
          <w:tcPr>
            <w:tcW w:w="2380" w:type="dxa"/>
            <w:vAlign w:val="bottom"/>
            <w:gridSpan w:val="2"/>
          </w:tcPr>
          <w:p>
            <w:pPr>
              <w:ind w:left="640"/>
              <w:spacing w:after="0"/>
              <w:rPr>
                <w:sz w:val="20"/>
                <w:szCs w:val="20"/>
                <w:color w:val="auto"/>
              </w:rPr>
            </w:pPr>
            <w:r>
              <w:rPr>
                <w:rFonts w:ascii="Arial" w:cs="Arial" w:eastAsia="Arial" w:hAnsi="Arial"/>
                <w:sz w:val="3"/>
                <w:szCs w:val="3"/>
                <w:color w:val="FFFFFF"/>
              </w:rPr>
              <w:t>to receive your future proxy</w:t>
            </w:r>
          </w:p>
        </w:tc>
        <w:tc>
          <w:tcPr>
            <w:tcW w:w="0" w:type="dxa"/>
            <w:vAlign w:val="bottom"/>
          </w:tcPr>
          <w:p>
            <w:pPr>
              <w:spacing w:after="0"/>
              <w:rPr>
                <w:sz w:val="1"/>
                <w:szCs w:val="1"/>
                <w:color w:val="auto"/>
              </w:rPr>
            </w:pPr>
          </w:p>
        </w:tc>
      </w:tr>
      <w:tr>
        <w:trPr>
          <w:trHeight w:val="41"/>
        </w:trPr>
        <w:tc>
          <w:tcPr>
            <w:tcW w:w="11120" w:type="dxa"/>
            <w:vAlign w:val="bottom"/>
            <w:gridSpan w:val="6"/>
          </w:tcPr>
          <w:p>
            <w:pPr>
              <w:spacing w:after="0"/>
              <w:rPr>
                <w:sz w:val="20"/>
                <w:szCs w:val="20"/>
                <w:color w:val="auto"/>
              </w:rPr>
            </w:pPr>
            <w:r>
              <w:rPr>
                <w:rFonts w:ascii="Arial" w:cs="Arial" w:eastAsia="Arial" w:hAnsi="Arial"/>
                <w:sz w:val="3"/>
                <w:szCs w:val="3"/>
                <w:color w:val="FFFFFF"/>
              </w:rPr>
              <w:t>materials electronically will help us conserve natural resources and reduce the costs of printing and distributing our proxy materials. This consent will remainChoosingeffect until you notify our</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000" w:type="dxa"/>
            <w:vAlign w:val="bottom"/>
            <w:gridSpan w:val="5"/>
          </w:tcPr>
          <w:p>
            <w:pPr>
              <w:spacing w:after="0"/>
              <w:rPr>
                <w:sz w:val="20"/>
                <w:szCs w:val="20"/>
                <w:color w:val="auto"/>
              </w:rPr>
            </w:pPr>
            <w:r>
              <w:rPr>
                <w:rFonts w:ascii="Arial" w:cs="Arial" w:eastAsia="Arial" w:hAnsi="Arial"/>
                <w:sz w:val="3"/>
                <w:szCs w:val="3"/>
                <w:color w:val="FFFFFF"/>
              </w:rPr>
              <w:t>transfer agent, Computershare, by mail that you wish to resume mail delivery of the proxy statement and annual report. PLEASE FOLD ALONG THE</w:t>
            </w:r>
          </w:p>
        </w:tc>
        <w:tc>
          <w:tcPr>
            <w:tcW w:w="2120" w:type="dxa"/>
            <w:vAlign w:val="bottom"/>
          </w:tcPr>
          <w:p>
            <w:pPr>
              <w:ind w:left="20"/>
              <w:spacing w:after="0"/>
              <w:rPr>
                <w:sz w:val="20"/>
                <w:szCs w:val="20"/>
                <w:color w:val="auto"/>
              </w:rPr>
            </w:pPr>
            <w:r>
              <w:rPr>
                <w:rFonts w:ascii="Arial" w:cs="Arial" w:eastAsia="Arial" w:hAnsi="Arial"/>
                <w:sz w:val="3"/>
                <w:szCs w:val="3"/>
                <w:color w:val="FFFFFF"/>
              </w:rPr>
              <w:t>ERFORATION, DETACH AND</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80" w:type="dxa"/>
            <w:vAlign w:val="bottom"/>
            <w:gridSpan w:val="3"/>
          </w:tcPr>
          <w:p>
            <w:pPr>
              <w:spacing w:after="0"/>
              <w:rPr>
                <w:sz w:val="20"/>
                <w:szCs w:val="20"/>
                <w:color w:val="auto"/>
              </w:rPr>
            </w:pPr>
            <w:r>
              <w:rPr>
                <w:rFonts w:ascii="Arial" w:cs="Arial" w:eastAsia="Arial" w:hAnsi="Arial"/>
                <w:sz w:val="3"/>
                <w:szCs w:val="3"/>
                <w:color w:val="FFFFFF"/>
              </w:rPr>
              <w:t>RETURN THE BOTTOM PORTION IN</w:t>
            </w:r>
          </w:p>
        </w:tc>
        <w:tc>
          <w:tcPr>
            <w:tcW w:w="8640" w:type="dxa"/>
            <w:vAlign w:val="bottom"/>
            <w:gridSpan w:val="3"/>
          </w:tcPr>
          <w:p>
            <w:pPr>
              <w:ind w:left="180"/>
              <w:spacing w:after="0"/>
              <w:rPr>
                <w:sz w:val="20"/>
                <w:szCs w:val="20"/>
                <w:color w:val="auto"/>
              </w:rPr>
            </w:pPr>
            <w:r>
              <w:rPr>
                <w:rFonts w:ascii="Arial" w:cs="Arial" w:eastAsia="Arial" w:hAnsi="Arial"/>
                <w:sz w:val="3"/>
                <w:szCs w:val="3"/>
                <w:color w:val="FFFFFF"/>
              </w:rPr>
              <w:t>ENCLOSED ENVELOPE. PROXY CARD + VIASAT, INC. ANNUAL MEETING OF STOCKHOLDERS SEPTEMBER 8, 2016 THIS PROXY IS</w:t>
            </w:r>
          </w:p>
        </w:tc>
        <w:tc>
          <w:tcPr>
            <w:tcW w:w="26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and</w:t>
            </w:r>
          </w:p>
        </w:tc>
        <w:tc>
          <w:tcPr>
            <w:tcW w:w="0" w:type="dxa"/>
            <w:vAlign w:val="bottom"/>
          </w:tcPr>
          <w:p>
            <w:pPr>
              <w:spacing w:after="0"/>
              <w:rPr>
                <w:sz w:val="1"/>
                <w:szCs w:val="1"/>
                <w:color w:val="auto"/>
              </w:rPr>
            </w:pPr>
          </w:p>
        </w:tc>
      </w:tr>
      <w:tr>
        <w:trPr>
          <w:trHeight w:val="41"/>
        </w:trPr>
        <w:tc>
          <w:tcPr>
            <w:tcW w:w="6820" w:type="dxa"/>
            <w:vAlign w:val="bottom"/>
            <w:gridSpan w:val="4"/>
          </w:tcPr>
          <w:p>
            <w:pPr>
              <w:spacing w:after="0"/>
              <w:rPr>
                <w:sz w:val="20"/>
                <w:szCs w:val="20"/>
                <w:color w:val="auto"/>
              </w:rPr>
            </w:pPr>
            <w:r>
              <w:rPr>
                <w:rFonts w:ascii="Arial" w:cs="Arial" w:eastAsia="Arial" w:hAnsi="Arial"/>
                <w:sz w:val="3"/>
                <w:szCs w:val="3"/>
                <w:color w:val="FFFFFF"/>
              </w:rPr>
              <w:t>SOLICITED ON BEHALF OF THE VIASATHEBOARD OF DIRECTORS The undersigned revokes all previous</w:t>
            </w:r>
          </w:p>
        </w:tc>
        <w:tc>
          <w:tcPr>
            <w:tcW w:w="4300" w:type="dxa"/>
            <w:vAlign w:val="bottom"/>
            <w:gridSpan w:val="2"/>
          </w:tcPr>
          <w:p>
            <w:pPr>
              <w:ind w:left="140"/>
              <w:spacing w:after="0"/>
              <w:rPr>
                <w:sz w:val="20"/>
                <w:szCs w:val="20"/>
                <w:color w:val="auto"/>
              </w:rPr>
            </w:pPr>
            <w:r>
              <w:rPr>
                <w:rFonts w:ascii="Arial" w:cs="Arial" w:eastAsia="Arial" w:hAnsi="Arial"/>
                <w:sz w:val="3"/>
                <w:szCs w:val="3"/>
                <w:color w:val="FFFFFF"/>
              </w:rPr>
              <w:t>acknowledges receipt of the notice of annual meeting of</w:t>
            </w:r>
          </w:p>
        </w:tc>
        <w:tc>
          <w:tcPr>
            <w:tcW w:w="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20" w:type="dxa"/>
            <w:vAlign w:val="bottom"/>
            <w:gridSpan w:val="6"/>
          </w:tcPr>
          <w:p>
            <w:pPr>
              <w:spacing w:after="0"/>
              <w:rPr>
                <w:sz w:val="20"/>
                <w:szCs w:val="20"/>
                <w:color w:val="auto"/>
              </w:rPr>
            </w:pPr>
            <w:r>
              <w:rPr>
                <w:rFonts w:ascii="Arial" w:cs="Arial" w:eastAsia="Arial" w:hAnsi="Arial"/>
                <w:sz w:val="3"/>
                <w:szCs w:val="3"/>
                <w:color w:val="FFFFFF"/>
              </w:rPr>
              <w:t>the accompanying proxy statement, and hereby appoints Mark Dankberg and Keven Lippert, jointly and severallyproxies,with full power of substitution to each, as proxies of the undersigned,stockholders</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80" w:type="dxa"/>
            <w:vAlign w:val="bottom"/>
          </w:tcPr>
          <w:p>
            <w:pPr>
              <w:spacing w:after="0"/>
              <w:rPr>
                <w:sz w:val="20"/>
                <w:szCs w:val="20"/>
                <w:color w:val="auto"/>
              </w:rPr>
            </w:pPr>
            <w:r>
              <w:rPr>
                <w:rFonts w:ascii="Arial" w:cs="Arial" w:eastAsia="Arial" w:hAnsi="Arial"/>
                <w:sz w:val="3"/>
                <w:szCs w:val="3"/>
                <w:color w:val="FFFFFF"/>
              </w:rPr>
              <w:t>represent the undersigned and</w:t>
            </w:r>
          </w:p>
        </w:tc>
        <w:tc>
          <w:tcPr>
            <w:tcW w:w="9500" w:type="dxa"/>
            <w:vAlign w:val="bottom"/>
            <w:gridSpan w:val="6"/>
          </w:tcPr>
          <w:p>
            <w:pPr>
              <w:ind w:left="160"/>
              <w:spacing w:after="0"/>
              <w:rPr>
                <w:sz w:val="20"/>
                <w:szCs w:val="20"/>
                <w:color w:val="auto"/>
              </w:rPr>
            </w:pPr>
            <w:r>
              <w:rPr>
                <w:rFonts w:ascii="Arial" w:cs="Arial" w:eastAsia="Arial" w:hAnsi="Arial"/>
                <w:sz w:val="3"/>
                <w:szCs w:val="3"/>
                <w:color w:val="FFFFFF"/>
              </w:rPr>
              <w:t>vote all shares of common stock of ViaSat, Inc. that the undersigned is entitled to vote, either on his or her own behalf or on behalf of an entity or entities, at</w:t>
            </w:r>
          </w:p>
        </w:tc>
        <w:tc>
          <w:tcPr>
            <w:tcW w:w="0" w:type="dxa"/>
            <w:vAlign w:val="bottom"/>
          </w:tcPr>
          <w:p>
            <w:pPr>
              <w:spacing w:after="0"/>
              <w:rPr>
                <w:sz w:val="1"/>
                <w:szCs w:val="1"/>
                <w:color w:val="auto"/>
              </w:rPr>
            </w:pPr>
          </w:p>
        </w:tc>
      </w:tr>
      <w:tr>
        <w:trPr>
          <w:trHeight w:val="41"/>
        </w:trPr>
        <w:tc>
          <w:tcPr>
            <w:tcW w:w="2200" w:type="dxa"/>
            <w:vAlign w:val="bottom"/>
            <w:gridSpan w:val="2"/>
          </w:tcPr>
          <w:p>
            <w:pPr>
              <w:spacing w:after="0"/>
              <w:rPr>
                <w:sz w:val="20"/>
                <w:szCs w:val="20"/>
                <w:color w:val="auto"/>
              </w:rPr>
            </w:pPr>
            <w:r>
              <w:rPr>
                <w:rFonts w:ascii="Arial" w:cs="Arial" w:eastAsia="Arial" w:hAnsi="Arial"/>
                <w:sz w:val="3"/>
                <w:szCs w:val="3"/>
                <w:color w:val="FFFFFF"/>
              </w:rPr>
              <w:t>the an ual meeting of stockholders</w:t>
            </w:r>
          </w:p>
        </w:tc>
        <w:tc>
          <w:tcPr>
            <w:tcW w:w="9180" w:type="dxa"/>
            <w:vAlign w:val="bottom"/>
            <w:gridSpan w:val="5"/>
          </w:tcPr>
          <w:p>
            <w:pPr>
              <w:ind w:left="100"/>
              <w:spacing w:after="0"/>
              <w:rPr>
                <w:sz w:val="20"/>
                <w:szCs w:val="20"/>
                <w:color w:val="auto"/>
              </w:rPr>
            </w:pPr>
            <w:r>
              <w:rPr>
                <w:rFonts w:ascii="Arial" w:cs="Arial" w:eastAsia="Arial" w:hAnsi="Arial"/>
                <w:sz w:val="3"/>
                <w:szCs w:val="3"/>
                <w:color w:val="FFFFFF"/>
              </w:rPr>
              <w:t>ViaSat, Inc. to be held on September 8, 2016, at 8:30 a.  . Pacific Time at 6155 El Camino Real, Founders Hall, Carlsbad, California 92009, and at any</w:t>
            </w: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adjournments and postponements thereof, with the same force and effect as the undersigned might or could do if personally present. THE SHARES REPRESENTED BY THIS PROXY CARD</w:t>
            </w:r>
          </w:p>
        </w:tc>
        <w:tc>
          <w:tcPr>
            <w:tcW w:w="0" w:type="dxa"/>
            <w:vAlign w:val="bottom"/>
          </w:tcPr>
          <w:p>
            <w:pPr>
              <w:spacing w:after="0"/>
              <w:rPr>
                <w:sz w:val="1"/>
                <w:szCs w:val="1"/>
                <w:color w:val="auto"/>
              </w:rPr>
            </w:pPr>
          </w:p>
        </w:tc>
      </w:tr>
      <w:tr>
        <w:trPr>
          <w:trHeight w:val="41"/>
        </w:trPr>
        <w:tc>
          <w:tcPr>
            <w:tcW w:w="6820" w:type="dxa"/>
            <w:vAlign w:val="bottom"/>
            <w:gridSpan w:val="4"/>
          </w:tcPr>
          <w:p>
            <w:pPr>
              <w:spacing w:after="0"/>
              <w:rPr>
                <w:sz w:val="20"/>
                <w:szCs w:val="20"/>
                <w:color w:val="auto"/>
              </w:rPr>
            </w:pPr>
            <w:r>
              <w:rPr>
                <w:rFonts w:ascii="Arial" w:cs="Arial" w:eastAsia="Arial" w:hAnsi="Arial"/>
                <w:sz w:val="3"/>
                <w:szCs w:val="3"/>
                <w:color w:val="FFFFFF"/>
              </w:rPr>
              <w:t>WILL BE VOTED AS INSTRUCTED BY THE STOCKHOLDER. IF NO INSTRUCTIONS ARE SPECIFIED, THE</w:t>
            </w:r>
          </w:p>
        </w:tc>
        <w:tc>
          <w:tcPr>
            <w:tcW w:w="4560" w:type="dxa"/>
            <w:vAlign w:val="bottom"/>
            <w:gridSpan w:val="3"/>
          </w:tcPr>
          <w:p>
            <w:pPr>
              <w:ind w:left="460"/>
              <w:spacing w:after="0"/>
              <w:rPr>
                <w:sz w:val="20"/>
                <w:szCs w:val="20"/>
                <w:color w:val="auto"/>
              </w:rPr>
            </w:pPr>
            <w:r>
              <w:rPr>
                <w:rFonts w:ascii="Arial" w:cs="Arial" w:eastAsia="Arial" w:hAnsi="Arial"/>
                <w:sz w:val="3"/>
                <w:szCs w:val="3"/>
                <w:color w:val="FFFFFF"/>
              </w:rPr>
              <w:t>WILL BE VOTED “FOR” ALL THE DIRECTOR NOMINEES LISTED</w:t>
            </w:r>
          </w:p>
        </w:tc>
        <w:tc>
          <w:tcPr>
            <w:tcW w:w="0" w:type="dxa"/>
            <w:vAlign w:val="bottom"/>
          </w:tcPr>
          <w:p>
            <w:pPr>
              <w:spacing w:after="0"/>
              <w:rPr>
                <w:sz w:val="1"/>
                <w:szCs w:val="1"/>
                <w:color w:val="auto"/>
              </w:rPr>
            </w:pPr>
          </w:p>
        </w:tc>
      </w:tr>
      <w:tr>
        <w:trPr>
          <w:trHeight w:val="41"/>
        </w:trPr>
        <w:tc>
          <w:tcPr>
            <w:tcW w:w="11120" w:type="dxa"/>
            <w:vAlign w:val="bottom"/>
            <w:gridSpan w:val="6"/>
          </w:tcPr>
          <w:p>
            <w:pPr>
              <w:spacing w:after="0"/>
              <w:rPr>
                <w:sz w:val="20"/>
                <w:szCs w:val="20"/>
                <w:color w:val="auto"/>
              </w:rPr>
            </w:pPr>
            <w:r>
              <w:rPr>
                <w:rFonts w:ascii="Arial" w:cs="Arial" w:eastAsia="Arial" w:hAnsi="Arial"/>
                <w:sz w:val="3"/>
                <w:szCs w:val="3"/>
                <w:color w:val="FFFFFF"/>
              </w:rPr>
              <w:t>IN PROPOSAL 1 AND “FOR” PROPOSALS 2 AND 3. IF ANY OTHER BUSINESS   PROPERL  PRESENTEDSHARESTTHE ANNUAL MEETING, OR ANY ADJOURNMENTS OR</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880" w:type="dxa"/>
            <w:vAlign w:val="bottom"/>
          </w:tcPr>
          <w:p>
            <w:pPr>
              <w:spacing w:after="0" w:line="82" w:lineRule="exact"/>
              <w:rPr>
                <w:sz w:val="20"/>
                <w:szCs w:val="20"/>
                <w:color w:val="auto"/>
              </w:rPr>
            </w:pPr>
            <w:r>
              <w:rPr>
                <w:rFonts w:ascii="Arial" w:cs="Arial" w:eastAsia="Arial" w:hAnsi="Arial"/>
                <w:sz w:val="9"/>
                <w:szCs w:val="9"/>
                <w:color w:val="FFFFFF"/>
              </w:rPr>
              <w:t>POSTPONEMENTS</w:t>
            </w:r>
          </w:p>
        </w:tc>
        <w:tc>
          <w:tcPr>
            <w:tcW w:w="9240" w:type="dxa"/>
            <w:vAlign w:val="bottom"/>
            <w:gridSpan w:val="5"/>
          </w:tcPr>
          <w:p>
            <w:pPr>
              <w:ind w:left="20"/>
              <w:spacing w:after="0" w:line="82" w:lineRule="exact"/>
              <w:rPr>
                <w:sz w:val="20"/>
                <w:szCs w:val="20"/>
                <w:color w:val="auto"/>
              </w:rPr>
            </w:pPr>
            <w:r>
              <w:rPr>
                <w:rFonts w:ascii="Arial" w:cs="Arial" w:eastAsia="Arial" w:hAnsi="Arial"/>
                <w:sz w:val="9"/>
                <w:szCs w:val="9"/>
                <w:color w:val="FFFFFF"/>
              </w:rPr>
              <w:t>, THIS PROXY CARD WILL CONFER DISCRETIONARY AUTHORITY ON THE INDIVIDUALS NAMED AS PROXIES TO VOTE THE SHARES</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80" w:right="40" w:hanging="79"/>
        <w:spacing w:after="0" w:line="207" w:lineRule="auto"/>
        <w:rPr>
          <w:sz w:val="20"/>
          <w:szCs w:val="20"/>
          <w:color w:val="auto"/>
        </w:rPr>
      </w:pPr>
      <w:r>
        <w:rPr>
          <w:rFonts w:ascii="Arial" w:cs="Arial" w:eastAsia="Arial" w:hAnsi="Arial"/>
          <w:sz w:val="4"/>
          <w:szCs w:val="4"/>
          <w:color w:val="FFFFFF"/>
          <w:vertAlign w:val="subscript"/>
        </w:rPr>
        <w:t>REPRESENTED</w:t>
      </w:r>
      <w:r>
        <w:rPr>
          <w:rFonts w:ascii="Arial" w:cs="Arial" w:eastAsia="Arial" w:hAnsi="Arial"/>
          <w:sz w:val="2"/>
          <w:szCs w:val="2"/>
          <w:color w:val="FFFFFF"/>
        </w:rPr>
        <w:t xml:space="preserve"> BY THEREOFPROXIES IN ACCORDANCE WITH THEIR BEST JUDGMENT. C Non-Voting Items Change of Address - Please print new address below. ELECTRONIC ACCESS O FUTURE DOCUMENTS If you consent to use the internet to access all future notices of stockholder meetings, proxy statements and annual reports issued by</w:t>
      </w:r>
      <w:r>
        <w:rPr>
          <w:rFonts w:ascii="Arial" w:cs="Arial" w:eastAsia="Arial" w:hAnsi="Arial"/>
          <w:sz w:val="4"/>
          <w:szCs w:val="4"/>
          <w:color w:val="FFFFFF"/>
          <w:vertAlign w:val="subscript"/>
        </w:rPr>
        <w:t>REVERSE</w:t>
      </w:r>
      <w:r>
        <w:rPr>
          <w:rFonts w:ascii="Arial" w:cs="Arial" w:eastAsia="Arial" w:hAnsi="Arial"/>
          <w:sz w:val="2"/>
          <w:szCs w:val="2"/>
          <w:color w:val="FFFFFF"/>
        </w:rPr>
        <w:t>iaSat(electronic access),</w:t>
      </w:r>
    </w:p>
    <w:p>
      <w:pPr>
        <w:ind w:right="300"/>
        <w:spacing w:after="0" w:line="192" w:lineRule="auto"/>
        <w:rPr>
          <w:sz w:val="20"/>
          <w:szCs w:val="20"/>
          <w:color w:val="auto"/>
        </w:rPr>
      </w:pPr>
      <w:r>
        <w:rPr>
          <w:rFonts w:ascii="Arial" w:cs="Arial" w:eastAsia="Arial" w:hAnsi="Arial"/>
          <w:sz w:val="11"/>
          <w:szCs w:val="11"/>
          <w:color w:val="FFFFFF"/>
        </w:rPr>
        <w:t>please mark this box. See above for details. I Consent IF VOTING BY MAIL, YOU MUST COMPLETE SECTIONS A - C ON BOTH SIDES OF THIS CARD. SEE SIDE TO BE SIGNED AND DATED ON REVERSE SIDE SEE REVERSE SIDE +</w:t>
      </w:r>
    </w:p>
    <w:sectPr>
      <w:pgSz w:w="11900" w:h="16838" w:orient="portrait"/>
      <w:cols w:equalWidth="0" w:num="1">
        <w:col w:w="11380"/>
      </w:cols>
      <w:pgMar w:left="240" w:top="45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lvl w:ilvl="1">
      <w:lvlJc w:val="left"/>
      <w:lvlText w:val="(%2)"/>
      <w:numFmt w:val="decimal"/>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2"/>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4"/>
    </w:lvl>
  </w:abstractNum>
  <w:abstractNum w:abstractNumId="12">
    <w:nsid w:val="79838CB2"/>
    <w:multiLevelType w:val="hybridMultilevel"/>
    <w:lvl w:ilvl="0">
      <w:lvlJc w:val="left"/>
      <w:lvlText w:val="(%1)"/>
      <w:numFmt w:val="decimal"/>
      <w:start w:val="19"/>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2"/>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2"/>
    </w:lvl>
    <w:lvl w:ilvl="1">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2"/>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2019-12-05T18:53:23Z</dcterms:created>
  <dcterms:modified xsi:type="dcterms:W3CDTF">2019-12-05T18:53:23Z</dcterms:modified>
</cp:coreProperties>
</file>