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27,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2010"/>
              <w:spacing w:after="0"/>
              <w:rPr>
                <w:sz w:val="20"/>
                <w:szCs w:val="20"/>
                <w:color w:val="auto"/>
              </w:rPr>
            </w:pPr>
            <w:r>
              <w:rPr>
                <w:rFonts w:ascii="Arial" w:cs="Arial" w:eastAsia="Arial" w:hAnsi="Arial"/>
                <w:sz w:val="18"/>
                <w:szCs w:val="18"/>
                <w:b w:val="1"/>
                <w:bCs w:val="1"/>
                <w:color w:val="auto"/>
                <w:w w:val="91"/>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24"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00"/>
          </w:cols>
          <w:pgMar w:left="240" w:top="122" w:right="279" w:bottom="1440" w:gutter="0" w:footer="0" w:header="0"/>
          <w:type w:val="continuous"/>
        </w:sect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outstanding of the registrant’s common stock, $0.0001 par value, as of August 1, 2008 was 30,724,103.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9"/>
              </w:rPr>
              <w:t>VIASAT,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380" w:type="dxa"/>
            <w:vAlign w:val="bottom"/>
            <w:gridSpan w:val="7"/>
            <w:vMerge w:val="restart"/>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260" w:type="dxa"/>
            <w:vAlign w:val="bottom"/>
            <w:tcBorders>
              <w:bottom w:val="single" w:sz="8" w:color="0000EE"/>
            </w:tcBorders>
            <w:gridSpan w:val="12"/>
            <w:vMerge w:val="continue"/>
          </w:tcPr>
          <w:p>
            <w:pPr>
              <w:spacing w:after="0"/>
              <w:rPr>
                <w:sz w:val="14"/>
                <w:szCs w:val="14"/>
                <w:color w:val="auto"/>
              </w:rPr>
            </w:pPr>
          </w:p>
        </w:tc>
        <w:tc>
          <w:tcPr>
            <w:tcW w:w="738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6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7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Stockholders’ Equity</w:t>
              </w:r>
            </w:hyperlink>
          </w:p>
        </w:tc>
        <w:tc>
          <w:tcPr>
            <w:tcW w:w="610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7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8"/>
          </w:tcPr>
          <w:p>
            <w:pPr>
              <w:spacing w:after="0"/>
              <w:rPr>
                <w:sz w:val="17"/>
                <w:szCs w:val="17"/>
                <w:color w:val="auto"/>
              </w:rPr>
            </w:pPr>
          </w:p>
        </w:tc>
        <w:tc>
          <w:tcPr>
            <w:tcW w:w="57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9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766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1. Legal Proceedings</w:t>
              </w:r>
            </w:hyperlink>
          </w:p>
        </w:tc>
        <w:tc>
          <w:tcPr>
            <w:tcW w:w="874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1A. Risk Factors</w:t>
              </w:r>
            </w:hyperlink>
          </w:p>
        </w:tc>
        <w:tc>
          <w:tcPr>
            <w:tcW w:w="904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5. Other Information</w:t>
              </w:r>
            </w:hyperlink>
          </w:p>
        </w:tc>
        <w:tc>
          <w:tcPr>
            <w:tcW w:w="8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46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Signatures</w:t>
              </w:r>
            </w:hyperlink>
          </w:p>
        </w:tc>
        <w:tc>
          <w:tcPr>
            <w:tcW w:w="946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18"/>
          </w:tcPr>
          <w:p>
            <w:pPr>
              <w:spacing w:after="0" w:line="196" w:lineRule="exact"/>
              <w:rPr>
                <w:sz w:val="20"/>
                <w:szCs w:val="20"/>
                <w:color w:val="auto"/>
              </w:rPr>
            </w:pPr>
            <w:r>
              <w:rPr>
                <w:rFonts w:ascii="Arial" w:cs="Arial" w:eastAsia="Arial" w:hAnsi="Arial"/>
                <w:sz w:val="18"/>
                <w:szCs w:val="18"/>
                <w:color w:val="0000EE"/>
              </w:rPr>
              <w:t>EXHIBIT 10.1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27,</w:t>
            </w:r>
          </w:p>
        </w:tc>
        <w:tc>
          <w:tcPr>
            <w:tcW w:w="3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28,</w:t>
            </w: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110,865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125,176</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152,422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155,484</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57,822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60,326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18,664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12,816</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352,589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375,626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80,883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64,693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23,137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66,407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66,407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17,862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540,878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50,609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52,317</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52,486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73,957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stockholders of acquired business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104,196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127,375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122,520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144,665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Minority interest in consolidated subsidiary</w:t>
            </w: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3,874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259,689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255,856</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155,431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149,140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414,484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404,140</w:t>
            </w: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540,878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June 27,</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w w:val="96"/>
              </w:rPr>
              <w:t>June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152,961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108,020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earnings of subsidiary, net of tax</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net income per share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31,595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32,214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June 27,</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w w:val="96"/>
              </w:rPr>
              <w:t>June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6,291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4,376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Incremental tax benefits from stock-based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2,524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(9,986)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(16,375)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(12,301)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Payment related to acquisitions of businesses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and other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(13,028)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on secured borrowing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125,176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103,345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110,865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Issuance of stock in satisfaction of a payable to former stockholders of an acquired business (see Note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9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Shares Issued</w:t>
            </w:r>
          </w:p>
        </w:tc>
        <w:tc>
          <w:tcPr>
            <w:tcW w:w="3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March 28,</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30,500,605</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$ 255,856</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$ 149,140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(33,238)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(1,034)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$ 404,140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160,555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options and release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00" w:type="dxa"/>
            <w:vAlign w:val="bottom"/>
            <w:gridSpan w:val="2"/>
          </w:tcPr>
          <w:p>
            <w:pPr>
              <w:spacing w:after="0"/>
              <w:rPr>
                <w:sz w:val="20"/>
                <w:szCs w:val="20"/>
                <w:color w:val="auto"/>
              </w:rPr>
            </w:pPr>
            <w:r>
              <w:rPr>
                <w:rFonts w:ascii="Arial" w:cs="Arial" w:eastAsia="Arial" w:hAnsi="Arial"/>
                <w:sz w:val="18"/>
                <w:szCs w:val="18"/>
                <w:color w:val="auto"/>
              </w:rPr>
              <w:t>Stock-based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expense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6,291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200"/>
              <w:spacing w:after="0"/>
              <w:rPr>
                <w:sz w:val="20"/>
                <w:szCs w:val="20"/>
                <w:color w:val="auto"/>
              </w:rPr>
            </w:pPr>
            <w:r>
              <w:rPr>
                <w:rFonts w:ascii="Arial" w:cs="Arial" w:eastAsia="Arial" w:hAnsi="Arial"/>
                <w:sz w:val="18"/>
                <w:szCs w:val="18"/>
                <w:color w:val="auto"/>
              </w:rPr>
              <w:t>translation, 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8"/>
                <w:szCs w:val="18"/>
                <w:color w:val="auto"/>
              </w:rPr>
              <w:t>Balance at June 27,</w:t>
            </w:r>
          </w:p>
        </w:tc>
        <w:tc>
          <w:tcPr>
            <w:tcW w:w="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30,661,160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$ 259,689</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$ 155,431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(33,238)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(1,034)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$ 414,484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accompanying condensed consolidated balance sheet at June 27, 2008, the condensed consolidated statements of operations for the three months ended June 27, 2008 and June 29, 2007, the condensed consolidated statements of cash flows for the three months ended June 27, 2008 and June 29, 2007, and the condensed consolidated statement of stockholders’ equity for the three months ended June 27, 2008 have been prepared by the management of ViaSat, Inc. (the Company), and have not been audited. These financial statements have been prepared on the same basis as the audited consolidated financial statements for the fiscal year ended March 28, 2008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March 28, 2008 included in the Company’s Annual Report on Form 10-K. Interim operating results are not necessarily indicative of operating results for the full year. The year-end condensed balance sheet data were derived from audited financial statements, but do not include all disclosures required by accounting principles generally accepted in the United States of America.</w:t>
      </w:r>
    </w:p>
    <w:p>
      <w:pPr>
        <w:spacing w:after="0" w:line="7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(TrellisWare), a majority-owned subsidiary of the Company. All significant intercompany amounts have been eliminated.</w:t>
      </w:r>
    </w:p>
    <w:p>
      <w:pPr>
        <w:spacing w:after="0" w:line="62"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Company’s fiscal year is the 52 or 53 weeks ending on the Friday closest to March 31 of the specified year. For example, references to fiscal year 2009 refer to the fiscal year ending on April 3, 2009. The Company’s quarters for fiscal year 2009 end on June 27, 2008, October 3, 2008, January 2, 2009 and April 3, 2009. This results in a 53 week fiscal year approximately every four to five years. Fiscal year 2009 is a 53 week year, compared with a 52 week year in fiscal year 2008. As a result of the shift in the fiscal calendar, the second quarter of fiscal year 2009 includes an additional week. The Company does not believe that the extra week results in any material impact on its financial results.</w:t>
      </w:r>
    </w:p>
    <w:p>
      <w:pPr>
        <w:spacing w:after="0" w:line="6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During the Company’s second quarter of fiscal year 2008, the Company completed the acquisition of JAST, S.A. (JAST), a company based in Switzerland. The acquisition was accounted for as a purchase and accordingly, the operating results of JAST have been included from the date of acquisition in the Company’s condensed consolidated financial statements.</w:t>
      </w:r>
    </w:p>
    <w:p>
      <w:pPr>
        <w:spacing w:after="0" w:line="73"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valuation of derivatives, long-lived assets and valuation allowance on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Equipment, computers and software, furniture and fixtures and the Company’s satellites are recorded at cost, net of accumulated depreciation. The Company generally computes depreciation using the straight-line method over the estimated useful lives of the assets ranging between three to eleven years. Leasehold improvements are capitalized and amortized on the straight-line method over the shorter of the lease term or the life of the improvement. Additions to property and equipment,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Satellite construction costs including launch services are generally procured under long-term contracts that provide for payments over the contract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Satellite construction and launch services costs are capitalized as incurred.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Payables to Former Shareholders of Acquired Businesses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May 23, 2006, in connection with the Company’s Efficient Channel Coding, Inc. (ECC) acquisition, the Company agreed under the terms of the ECC acquisition agreement to pay the maximum additional consideration amount to the former ECC stockholders in the amount of $9.0 million which was accrued as of March 30, 2007. The $9.0 million was payable in cash or stock, at the Company’s option, in May 2007. Accordingly, on May 30, 2007, the Company paid approximately $9.0 million of additional cash consideration to the former stockholders of ECC. The additional purchase price consideration of $9.0 million was recorded as additional goodwill in the commercial networks segment in the first quarter of fiscal year 2007.</w:t>
      </w:r>
    </w:p>
    <w:p>
      <w:pPr>
        <w:spacing w:after="0" w:line="64"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As of March 30, 2007, in connection with the Company’s Enerdyne Technologies, Inc. (Enerdyne) acquisition and under the terms of the Enerdyne acquisition agreement, the Company owed an additional consideration amount to the former Enerdyne stockholders in the amount of $5.9 million which was accrued and recorded as additional goodwill in the government systems segment as of March 30, 2007. The $5.9 million was payable in cash and stock in accordance with certain terms of the agreement in May 2007. Accordingly, on May 3, 2007, the Company paid $5.9 million of additional consideration to the former stockholders of Enerdyne, which was comprised of 170,763 shares of common stock and $0.3 million in cash.</w:t>
      </w:r>
    </w:p>
    <w:p>
      <w:pPr>
        <w:spacing w:after="0" w:line="6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August 2007, in connection with the terms of the Company’s JAST acquisition, the Company recorded an obligation to pay the remaining portion of the initial purchase price of approximately $0.8 million on the first anniversary of the closing date, of which $0.5 million will be paid in cash and $0.3 million will be paid in stock or cash, at the Company’s election.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as of June 27, 2008 and March 28, 2008 of $1.3 million and $1.1 million,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Occasionally, the Company enters into secured borrowing arrangements in connection with customer financing in order to provide additional sources of funding. As of June 27, 2008, the Company had no secured borrowing arrangements. As of March 28, 2008, the Company had one secured borrowing arrangement, under which the Company pledged a note receivable from a customer to serve as collateral for the obligation under the borrowing arrangement. In the first quarter of fiscal year 2009, the Company paid all obligations related to its secured borrowing totaling $4.7 million plus accrued interest. Consequently, as of June 27, 2008 the Company had no secured borrowing.</w:t>
      </w:r>
    </w:p>
    <w:p>
      <w:pPr>
        <w:spacing w:after="0" w:line="64"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During the third quarter of fiscal year 2008, due to a payment default, the Company wrote-down the note receivable by approximately $5.3 million related to the principal and interest accrued to date. Pursuant to a notes receivable insurance arrangement which provides for the recovery of certain principal and interest amounts on the note, the Company has recorded a current asset of approximately $4.5 million as of March 28, 2008 and June 27,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 party intellectual property claims. Historically,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indemnifies, the Company could incur substantial legal costs and damages. A claim would be accrued when a loss is considered probable and the amount can be reasonably estimated. At June 27, 2008 and March 28, 2008, no such amounts were accrued.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Minority interest represents the proportionate share of the equity of the Company’s consolidated majority-owned subsidiary owned by minority shareholders in that subsidiary. This proportionate share of the equity changes when additional shares of common or preferred stock are issued or purchased back by the majority-owned subsidiary. Such changes result in a decrease or increase of the Company’s ownership proportion, which results in the Company recording losses or gains on investment. Minority interest is adjusted for earnings (losses) net of tax attributable to the minority interest shareholders of the consolidated subsidiary. All earnings (losses), net of tax, are allocated to the shareholders of the consolidated subsidiary in proportion to their share of the equity ownership of the consolidated subsidiary. Earnings (losses), net of tax, allocated to such minority interest shareholders are recorded as minority interest in net earnings of subsidiary, net of tax, in the accompanying consolidated statements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During the third quarter of fiscal year 2008, the Company delivered 94,165 shares of common stock based on the vesting terms of certain restricted stock unit agreements. In order for employees to satisfy minimum statutory employee tax withholding requirements related to the delivery of common stock underlying these restricted stock unit agreements, the Company repurchased 33,238 shares of common stock with a total value of $1.0 million during fiscal year 2008, which shares of common stock were held in treasury as of June 27, 2008 and March 28,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During the three months ended June 27, 2008, and June 29, 2007, the Company did not settle any foreign exchange contracts; therefore, there are no realized gains or losses during the three months ended June 27, 2008 and June 29, 2007 related to derivative instruments. The Company had no foreign currency forward contracts outstanding as of June 27, 2008 or March 28, 2008.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right="580" w:firstLine="222"/>
        <w:spacing w:after="0" w:line="257" w:lineRule="auto"/>
        <w:rPr>
          <w:sz w:val="20"/>
          <w:szCs w:val="20"/>
          <w:color w:val="auto"/>
        </w:rPr>
      </w:pPr>
      <w:r>
        <w:rPr>
          <w:rFonts w:ascii="Arial" w:cs="Arial" w:eastAsia="Arial" w:hAnsi="Arial"/>
          <w:sz w:val="18"/>
          <w:szCs w:val="18"/>
          <w:color w:val="auto"/>
        </w:rPr>
        <w:t>The Company records compensation expense associated with stock options, restricted stock unit awards and other equity based compensation in accordance with SFAS No. 123 (revised 2004), “Share-Based Payment” (SFAS 123R), which the Company adopted on April 1, 2006. The Company recognizes these compensation costs on a straight-line basis over the requisite service period of the award. The Company recognized $2.2 million and $1.8 million of stock-based compensation expense related to the adoption of SFAS 123R for the three months ended June 27, 2008 and June 29, 2007, respectively.</w:t>
      </w:r>
    </w:p>
    <w:p>
      <w:pPr>
        <w:spacing w:after="0" w:line="8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recorded incremental tax benefits from stock options exercised and restricted stock unit awards vesting of $0.2 million and $0.3 million for the three months ended June 27, 2008 and June 29, 2007, respectively, which is classified as part of cash flows from financing activities in the condensed consolidated statements of cash flows. At June 27, 2008, the total unrecognized estimated compensation cost, net of estimated forfeitures, related to unvested stock options, restricted stock units, and the employee stock purchase plan was approximately $9.6 million, $17.0 million and $0, respectively. These costs are expected to be recognized over a weighted average period of 2.7 years, 3.4 years and 0 years,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March 31, 2007, the Company adopted the provisions of Financial Accounting Standards Board (FASB) Interpretation No. 48 (FIN 48), “Accounting for Uncertainty in Income Taxes — an interpretation of FASB Statement No. 109.” FIN 48 clarifies the accounting for uncertainty in income taxes recognized in an enterprise’s financial statements in accordance with SFAS No. 109, “Accounting for Income Taxes”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 The Company’s policy is to recognize interest expense and penalties related to income tax matters as a component of income tax expense.</w:t>
      </w:r>
    </w:p>
    <w:p>
      <w:pPr>
        <w:spacing w:after="0" w:line="7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September 2006, the FASB issued Statement No. 157 (SFAS 157), “Fair Value Measurements.” SFAS 157 defines fair value, establishes a framework and gives guidance regarding the methods used for measuring fair value, and expands disclosures about fair value measurements. In February 2008, the FASB issued FASB Staff Position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year 2010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is effective for financial statements issued for fiscal years beginning after November 15, 2007 (fiscal year 2009 for the Company), and interim periods within those fiscal years. Adoption of this statement for non-financial assets and liabilities is required for an entity’s first fiscal year that begins after November 15, 2008 (fiscal year 2010 for the Company). The Company adopted this standard for financial assets and liabilities in the current year without any material impact to its consolidated financial statements. The Company is currently evaluating the impact that SFAS 157 will have on its consolidated financial statements and disclosures when it is applied to non-financial assets and non-financial liabilities that are not measured at fair value on a recurring basis beginning in the first quarter of fiscal year 2010.</w:t>
      </w:r>
    </w:p>
    <w:p>
      <w:pPr>
        <w:spacing w:after="0" w:line="6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February 2007, the FASB issued Statement No. 159 (SFAS 159), “The Fair Value Option for Financial Assets and Financial Liabilities,” which permits entities to choose to measure many financial instruments and certain other items at fair value that are not currently required to be measured at fair value. As the Company did not elect to fair value any of its financial instruments under the provisions of SFAS 159, the adoption of this statement effective March 29, 2008 did not have an impact on the Company’s financial statements.</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In June 2007, the FASB ratified Emerging Issues Task Force (EITF) Issue No. 07-3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The Company adopted this standard in the current year without any material impact to its consolidated financial statements.</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 (SFAS 141R).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SFAS 141R will be effective for the Company in fiscal year 2010. The Company is currently evaluating the impact that SFAS 141R will have on its consolidated financial statements and disclosures.</w:t>
      </w:r>
    </w:p>
    <w:p>
      <w:pPr>
        <w:spacing w:after="0" w:line="74"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December 2007, the FASB issued SFAS No. 160 (SFAS 160), “Noncontrolling Interests in Consolidated Financial Statements — an amendment of ARB No. 51.” SFAS 160, which changes the accounting and reporting for business acquisitions and non-controlling interests in subsidiaries,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the Company in fiscal year 2010. The Company is currently evaluating the impact that SFAS 160 will have on its consolidated financial statements and disclosures.</w:t>
      </w:r>
    </w:p>
    <w:p>
      <w:pPr>
        <w:spacing w:after="0" w:line="85"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March 2008, the FASB issued SFAS No. 161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will be effective for the Company in fiscal year 2010. The Company is currently evaluating the impact that SFAS 161 will have on its consolidated financial statements and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June 27, 2008 and June 29, 2007, the Company recorded losses of approximately $1.3 million and $0.9 million, respectively, related to loss contracts.</w:t>
      </w:r>
    </w:p>
    <w:p>
      <w:pPr>
        <w:spacing w:after="0" w:line="7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85"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14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Effective March 29, 2008, the Company adopted SFAS 157 for financial assets and liabilities measured at fair value on a recurring basis. SFAS 157 defines fair value, establishes a framework for measuring fair value and establishes a hierarchy that categorizes and prioritizes the sources to be used to estimate fair value. SFAS 157 also expands financial statement disclosure about fair value measurements. On February 12, 2008, the FASB issued FASB FSP 157-2, which delays the effective date of SFAS 157 for one year for all non-financial assets and non-financial liabilities, except those that are recognized or disclosed at fair value in the financial statements on a recurring basis. The Company elected a partial deferral of SFAS 157 under the provisions of FSP 157-2 related to the measurements of fair value used when evaluating non-financial assets and liabilities that are recognized and disclosed at fair value in the financial statements on a nonrecurring basis. The impact of partially adopting SFAS 157 effective March 29, 2008 was not material to the Company’s consolidated financial statements for the first quarter of fiscal year 2009 financial statements.</w:t>
      </w:r>
    </w:p>
    <w:p>
      <w:pPr>
        <w:spacing w:after="0" w:line="71"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As a basis for categorizing inputs, SFAS 157 establishes the following hierarchy which prioritizes the inputs used to measure fair value from market based assumptions to entity specific assumptions:</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Inputs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June 27,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89,653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80,876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89,653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80,876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The Company’s cash equivalents consist of money market funds, repurchase agreements with a one day term collateralized by AAA-rated United States government securities and certified deposit investments. The majority of money market funds are valued using quoted prices for identical assets in an active market with sufficient volume and frequency of transactions (level 1). A portion of money market funds, repurchase agreements and certified deposit investments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no foreign currency forward exchange contracts outstanding at June 27,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Potential common stock of 1,079,375 and 2,256,306 shares for the three months ended June 27, 2008 and June 29, 2007, respectively, were included in the calculation of diluted earnings per share. Antidilutive shares excluded from the calculation were 2,704,917 and 875,702 shares for the three months ended June 27, 2008 and June 29, 2007, respectively. Potential common stock includes options granted and restricted stock units awarded under the Company’s equity compensation plan which are included in the earnings per share calculations using the treasury stock method and common shares expected to be issued under the Company’s employee stock purchase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Billed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83,445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69,123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152,422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155,484</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21,533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9,149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27,140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57,822</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8,051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12,816</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Machinery and equipment (estimated useful life 5 years)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50,988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 equipment and software (estimated useful life 3 years)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44,775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Furniture and fixtures (estimated useful life 7 years)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9,782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 (estimated useful life 4-11 years)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Satellites under construction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24,623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3,161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151,904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(71,021)</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80,883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64,693</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44,392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Contracts and relationships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18,898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9,076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9,323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81,689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Less accumulated amortization</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(58,552)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software costs, net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Patents, orbital slots and other licenses, net</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3,214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8,937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5,241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warranty reserve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Secured borrowing and accrued interest</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vacation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Accrued wages and performance compensation</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4,847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in excess of revenues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10,045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52,486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73,957</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warranty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Unrecognized tax position liabilities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5,974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long-term portion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2,282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19" w:right="239" w:bottom="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Company accounts for its goodwill under SFAS No. 142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operations used in the first step, and is compared to its carrying value. The shortfall of the fair value below carrying value represents the amount of goodwill impairment.</w:t>
      </w:r>
    </w:p>
    <w:p>
      <w:pPr>
        <w:spacing w:after="0" w:line="59"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original estimated useful lives of eight months to ten years. The amortization expense was $2.3 million and $2.4 million for the three months ended June 27, 2008 and June 29, 2007, respectively.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current and expected amortization expense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27, 2008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January 31, 2005, the Company entered into a three-year, $60 million revolving credit facility (the Facility) in the form of a Second Amended and Restated Revolving Loan Agreement. On January 25, 2008, the Company amended the Second Amended and Restated Revolving Loan Agreement extending the Facility’s current terms and conditions to April 30, 2008. On April 24, 2008, the Company amended the Second Amended and Restated Revolving Loan Agreement extending the Facility’s current terms and conditions to July 31, 2008. On July 31, 2008, the Company amended the Second Amended and Restated Revolving Loan Agreement extending the Facility’s current terms and conditions to August 29, 2008.</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Borrowings under the Facility are permitted up to a maximum amount of $60 million, including up to $15 million of letters of credit. Borrowings under the Facility bear interest, at the Company’s option, at either the lender’s prime rate or at LIBOR (London Interbank Offered Rate) plus, in each case, an applicable margin based on the ratio of the Company’s total funded debt to EBITDA (income from operations plus depreciation and amortization). The Facility is collateralized by substantially all of the Company’s assets. At June 27, 2008, the Company had $7.0 million outstanding under standby letters of credit leaving borrowing availability under the facility of $53.0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12-month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The Company was in compliance with its financial loan covenants as of June 27,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Company provides limited warranties on most of its products for periods of up to five years. The Company records a liability for its warranty obligations when products are shipped based upon an estimate of expected warranty costs. Amounts expected to be incurred within 12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27, 2008 and June 29, 2007.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2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42"/>
        </w:trPr>
        <w:tc>
          <w:tcPr>
            <w:tcW w:w="9000" w:type="dxa"/>
            <w:vAlign w:val="bottom"/>
            <w:vMerge w:val="continue"/>
          </w:tcPr>
          <w:p>
            <w:pPr>
              <w:spacing w:after="0"/>
              <w:rPr>
                <w:sz w:val="12"/>
                <w:szCs w:val="12"/>
                <w:color w:val="auto"/>
              </w:rPr>
            </w:pPr>
          </w:p>
        </w:tc>
        <w:tc>
          <w:tcPr>
            <w:tcW w:w="11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June 27, 2008</w:t>
            </w:r>
          </w:p>
        </w:tc>
        <w:tc>
          <w:tcPr>
            <w:tcW w:w="11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0"/>
              </w:rPr>
              <w:t>June 29,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is subject to legal proceedings, claims, and litigation arising in the ordinary course of business. While the outcome of such matters is not presently determinable, the Company believes that the resolution of all such matters, net of amounts accrued, will not have a material adverse effect on its financial position, results of operations or liquidity; however, there can be no assurance that the ultimate resolution of these matters will not have a material impact on its results of operations in any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jc w:val="both"/>
        <w:ind w:right="340" w:firstLine="222"/>
        <w:spacing w:after="0" w:line="312" w:lineRule="auto"/>
        <w:rPr>
          <w:sz w:val="20"/>
          <w:szCs w:val="20"/>
          <w:color w:val="auto"/>
        </w:rPr>
      </w:pPr>
      <w:r>
        <w:rPr>
          <w:rFonts w:ascii="Arial" w:cs="Arial" w:eastAsia="Arial" w:hAnsi="Arial"/>
          <w:sz w:val="16"/>
          <w:szCs w:val="16"/>
          <w:color w:val="auto"/>
        </w:rPr>
        <w:t>The effective income tax rate for the three months ended June 27, 2008 was 34.8% compared to the 28.1% annual effective tax rate for the fiscal year ended March 28, 2008, reflecting the December 31, 2007 expiration of the federal research and development tax credit. The estimated effective tax rate is different from the expected statutory rate due primarily to state research and development tax credits and the manufacturing deduction.</w:t>
      </w:r>
    </w:p>
    <w:p>
      <w:pPr>
        <w:spacing w:after="0" w:line="3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Company’s estimated effective tax rate of 34.3% for fiscal year 2009 reflects the expiration of the federal research and development tax credit at December 31, 2007. In the event the federal research and development tax credit is reinstated, the Company will have a lower effective tax rate, but the amount of the reduction in the Company’s tax rate will depend on the effective date and terms of the reinstatement, as well as the amount of eligible research and development expenses in the reinstated period.</w:t>
      </w:r>
    </w:p>
    <w:p>
      <w:pPr>
        <w:spacing w:after="0" w:line="7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For the three months ended June 27, 2008, the Company’s gross unrecognized tax benefits increased by $0.3 million. In the next 12 months it is reasonably possible that the amount of unrecognized tax benefits will decrease by $0.9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During the third and fourth quarters of fiscal year 2008, the Company made management and organizational structure changes due to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shift in product marketing and development strategies and consequently realigned the way management organizes and evaluates financial information internally for making operating decisions and assessing performance. The Company’s satellite services segment is comprised of its expanding maritime and airline broadband and enterprise VSAT services plus its ViaSat-1 satellite. The Company’s commercial networks segment comprises its former satellite networks and antenna systems segments, except for the satellite services segment. The Company’s reporting segments, comprised of the government systems, commercial networks and satellite services segments, are determined consistently with the way management currently organizes and evaluates financial information internally for making operating decisions and assessing performance. The following segment information, including prior periods, recasts this new organizational and reporting structure: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9000" w:type="dxa"/>
            <w:vAlign w:val="bottom"/>
            <w:gridSpan w:val="2"/>
            <w:vMerge w:val="continue"/>
          </w:tcPr>
          <w:p>
            <w:pPr>
              <w:spacing w:after="0"/>
              <w:rPr>
                <w:sz w:val="12"/>
                <w:szCs w:val="12"/>
                <w:color w:val="auto"/>
              </w:rPr>
            </w:pPr>
          </w:p>
        </w:tc>
        <w:tc>
          <w:tcPr>
            <w:tcW w:w="11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June 27, 2008</w:t>
            </w:r>
          </w:p>
        </w:tc>
        <w:tc>
          <w:tcPr>
            <w:tcW w:w="11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0"/>
              </w:rPr>
              <w:t>June 29,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88,645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62,948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152,961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12,097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16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(2,058)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w w:val="98"/>
              </w:rPr>
              <w:t>Amortization of intangibles by segment for the three months ended June 27, 2008 and June 29, 2007 is as follows: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2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9000" w:type="dxa"/>
            <w:vAlign w:val="bottom"/>
            <w:gridSpan w:val="2"/>
            <w:vMerge w:val="continue"/>
          </w:tcPr>
          <w:p>
            <w:pPr>
              <w:spacing w:after="0"/>
              <w:rPr>
                <w:sz w:val="12"/>
                <w:szCs w:val="12"/>
                <w:color w:val="auto"/>
              </w:rPr>
            </w:pPr>
          </w:p>
        </w:tc>
        <w:tc>
          <w:tcPr>
            <w:tcW w:w="11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June 27, 2008</w:t>
            </w:r>
          </w:p>
        </w:tc>
        <w:tc>
          <w:tcPr>
            <w:tcW w:w="11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0"/>
              </w:rPr>
              <w:t>June 29,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Total amortization of intangibles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June 27, 2008 and March 28, 2008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146,905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152,143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Satellite Systems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299,915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240,963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540,878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acquired intangible assets and goodwill included in segment assets as of June 27, 2008 and March 28,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60" w:type="dxa"/>
            <w:vAlign w:val="bottom"/>
            <w:gridSpan w:val="6"/>
          </w:tcPr>
          <w:p>
            <w:pPr>
              <w:ind w:left="320"/>
              <w:spacing w:after="0"/>
              <w:rPr>
                <w:sz w:val="20"/>
                <w:szCs w:val="20"/>
                <w:color w:val="auto"/>
              </w:rPr>
            </w:pPr>
            <w:r>
              <w:rPr>
                <w:rFonts w:ascii="Arial" w:cs="Arial" w:eastAsia="Arial" w:hAnsi="Arial"/>
                <w:sz w:val="14"/>
                <w:szCs w:val="14"/>
                <w:b w:val="1"/>
                <w:bCs w:val="1"/>
                <w:color w:val="auto"/>
              </w:rPr>
              <w:t>Net intangible assets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4"/>
              </w:rPr>
              <w:t>Goodwill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27,</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660" w:type="dxa"/>
            <w:vAlign w:val="bottom"/>
          </w:tcPr>
          <w:p>
            <w:pPr>
              <w:spacing w:after="0"/>
              <w:rPr>
                <w:sz w:val="10"/>
                <w:szCs w:val="10"/>
                <w:color w:val="auto"/>
              </w:rPr>
            </w:pPr>
          </w:p>
        </w:tc>
        <w:tc>
          <w:tcPr>
            <w:tcW w:w="72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June 27,</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100" w:type="dxa"/>
            <w:vAlign w:val="bottom"/>
          </w:tcPr>
          <w:p>
            <w:pPr>
              <w:spacing w:after="0"/>
              <w:rPr>
                <w:sz w:val="10"/>
                <w:szCs w:val="10"/>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22,191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22,191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19,529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21,597</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44,216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44,216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25,477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66,407</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Revenue information by geographic area for the three month periods ended June 27, 2008 and June 29, 2007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60" w:type="dxa"/>
            <w:vAlign w:val="bottom"/>
            <w:gridSpan w:val="7"/>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9000" w:type="dxa"/>
            <w:vAlign w:val="bottom"/>
            <w:vMerge w:val="continue"/>
          </w:tcPr>
          <w:p>
            <w:pPr>
              <w:spacing w:after="0"/>
              <w:rPr>
                <w:sz w:val="12"/>
                <w:szCs w:val="12"/>
                <w:color w:val="auto"/>
              </w:rPr>
            </w:pPr>
          </w:p>
        </w:tc>
        <w:tc>
          <w:tcPr>
            <w:tcW w:w="116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June 27, 2008</w:t>
            </w:r>
          </w:p>
        </w:tc>
        <w:tc>
          <w:tcPr>
            <w:tcW w:w="116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0"/>
              </w:rPr>
              <w:t>June 29,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128,424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8,857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152,961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book value of long-lived assets located outside the United States was $0.4 million at June 27, 2008 and March 28,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Certain Relationships and Related-Party Transactions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as of October 31, 2007, is also a director of Telesat Holdings Inc., a new entity formed in connection with Loral’s acquisition of Telesat Canada described below. John Stenbit, a director of ViaSat since August 2004, also currently serves on the board of directors of Loral.</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October 31, 2007, Loral and its Canadian partner, Public Sector Pension Investment Board (PSP), through Telesat Holdings Inc., a joint venture formed by Loral and PSP, completed the acquisition of 100% of the stock of Telesat Canada from BCE Inc. Loral holds equity interests in Telesat Holdings Inc. representing 64% of the economic interests and 33 1/3% of the voting interests. PSP holds 36% of the economic interests and 66 2/3% of the voting interests in Telesat Holdings Inc. (except with respect to the election of directors as to which it holds a 30% voting interest). In connection with this transaction, Michael Targoff became a director on the board of the newly formed entity, Telesat Holdings Inc.</w:t>
      </w:r>
    </w:p>
    <w:p>
      <w:pPr>
        <w:spacing w:after="0" w:line="64"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In January 2008, the Company entered into several agreements with SS/L, Loral and Telesat Canada related to the Company’s anticipated high capacity satellite system. Under the satellite construction contract with SS/L, the Company will purchase a new broadband satellite (ViaSat-1) designed by the Company and to be constructed by SS/L for approximately $209.1 million, subject to purchase price adjustments based on satellite performance. In addition, the Company entered into a beam sharing agreement with Loral, whereby Loral is responsible for contributing 15% of the total costs (estimated at approximately $60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three months ended June 27, 2008, related to the construction of the Company’s anticipated high capacity satellite system, the Company paid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$13.9 million to SS/L and had an outstanding payable as of June 27, 2008 of $6.3 million. As of March 28, 2008, the Company had a $3.8 million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related to SS/L. In the normal course of business, the Company recognized $0.9 million and $2.5 million of revenue related to Telesat Canada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June 27, 2008 and June 29, 2007, respectively. Accounts receivable to Telesat Canada as of June 27, 2008 and March 28, 2008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$3.4 million and $3.1 million, respectively.</w:t>
      </w:r>
    </w:p>
    <w:p>
      <w:pPr>
        <w:spacing w:after="0" w:line="207"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80" w:firstLine="222"/>
        <w:spacing w:after="0" w:line="259" w:lineRule="auto"/>
        <w:rPr>
          <w:sz w:val="20"/>
          <w:szCs w:val="20"/>
          <w:color w:val="auto"/>
        </w:rPr>
      </w:pPr>
      <w:r>
        <w:rPr>
          <w:rFonts w:ascii="Arial" w:cs="Arial" w:eastAsia="Arial" w:hAnsi="Arial"/>
          <w:sz w:val="18"/>
          <w:szCs w:val="18"/>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Therefore, actual results may differ materially and adversely from those expressed in any forward-looking statements. Factors that might cause such a difference include, but are not limited to, product design flaws or defects; our ability to successfully integrate acquired companies; our ability to perform under existing contracts and obtain additional contracts; our ability to develop new products that gain market acceptance; changes in product supply, pricing and customer or end user demand; changes in relationships with, or the financial condition of, key customers or suppliers; changes in government regulations; changes in economic conditions globally and in the communications markets in particular; increased competition; potential product liability, infringement and other claims; risks associated with owning and operating satellites (including ViaSat-1, our first broadband satellite); factors affecting the communications industry generally; and other factors identified elsewhere in this Quarterly Report and in our most recent reports on Forms 10-K, 10-Q and 8-K. We undertake no obligation to revise or update any forward-looking statements for any reason.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segment for both government and commercial customers.</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fiscal year 2008, we announced a change in the composition of our segments to reflect the realignment of the organization with our recent strategic initiatives. We conduct our business through three segments: government systems, commercial networks and satellite services. Prior fiscal year information has been recast to facilitate comparisons to the newly established reportable segments.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Government Systems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systems business encompasses specialized products principally serving defense customers and includes:</w:t>
      </w:r>
    </w:p>
    <w:p>
      <w:pPr>
        <w:spacing w:after="0" w:line="117" w:lineRule="exact"/>
        <w:rPr>
          <w:sz w:val="20"/>
          <w:szCs w:val="20"/>
          <w:color w:val="auto"/>
        </w:rPr>
      </w:pPr>
    </w:p>
    <w:p>
      <w:pPr>
        <w:ind w:left="660" w:right="6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Data links, including Multifunctional Information Distribution System (MIDS) terminals, MIDS Joint Tactical Radio System (MIDS JTRS) development and Unmanned Aerial Vehicle (UAV) technologies,</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Serving government customers with cost-effective products and solutions continues to be a critical and core element of our overall business strategy.</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 Networks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commercial networks segment offers an end-to-end capability to provide customers with a broad range of satellite communication and other wireless communications equipment solutions, including: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w:t>
      </w:r>
      <w:r>
        <w:rPr>
          <w:rFonts w:ascii="Arial" w:cs="Arial" w:eastAsia="Arial" w:hAnsi="Arial"/>
          <w:sz w:val="15"/>
          <w:szCs w:val="15"/>
          <w:color w:val="auto"/>
        </w:rPr>
        <w:t>®</w:t>
      </w:r>
      <w:r>
        <w:rPr>
          <w:rFonts w:ascii="Arial" w:cs="Arial" w:eastAsia="Arial" w:hAnsi="Arial"/>
          <w:sz w:val="18"/>
          <w:szCs w:val="18"/>
          <w:color w:val="auto"/>
        </w:rPr>
        <w:t xml:space="preserve"> or DVB-RCS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Satellite Services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satellite services segment encompasses three primary areas: managed broadband services, mobile broadband services and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 through our network management center. In 2008, we began construction of a high speed Ka band satellite system in order to provide wholesale broadband and other services over North America. We currently plan to launch this satellite in early 2011 and introduce service later in 2011.</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Sources of Revenues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Our products are provided primarily through three types of contracts: fixed-price, time-and-materials and cost-reimbursement contracts. Historically, fixed-price contracts, which require us to provide products and services under a contract at a specified price, comprised approximately 86.2% and 82.3% of our revenues for the three months ended June 27, 2008 and June 29, 2007, respectively. The remainder of our annual revenue was derived from cost-reimbursement contracts — under which we are reimbursed for all actual costs incurred in performing the contract to the extent such costs are within the contract ceiling and allowable under the terms of the contract, plus a fee or profit — and from time-and-materials contracts which reimburse us for the number of labor hours expended at an established hourly rate negotiated in the contract, plus the cost of materials utilized in providing such products or services.</w:t>
      </w:r>
    </w:p>
    <w:p>
      <w:pPr>
        <w:spacing w:after="0" w:line="8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Historically, a significant portion of our revenues has been derived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$28.9 million or 18.9% of our revenues in the three months ended June 27, 2008 and $31.5 million or 24.5% of our revenues in the three months ended June 29, 2007.</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6.4% of revenues during the three months ended June 27, 2008 and 5.7% of revenues during the three months ended June 29, 2007. As a government contractor, we are able to recover a portion of our independent research and development expenses pursuant to our government contracts.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us to make judgments, assumptions, and estimates that affect the amounts reported in our condensed consolidated financial statements and accompanying notes.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the best estimates routinely require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firstLine="215"/>
        <w:spacing w:after="0" w:line="276" w:lineRule="auto"/>
        <w:rPr>
          <w:sz w:val="20"/>
          <w:szCs w:val="20"/>
          <w:color w:val="auto"/>
        </w:rPr>
      </w:pPr>
      <w:r>
        <w:rPr>
          <w:rFonts w:ascii="Arial" w:cs="Arial" w:eastAsia="Arial" w:hAnsi="Arial"/>
          <w:sz w:val="17"/>
          <w:szCs w:val="17"/>
          <w:color w:val="auto"/>
        </w:rPr>
        <w:t>A substantial portion of our revenues are derived from long-term contracts requiring development and delivery of complex equipment built to customer specifications. Certain of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Anticipated losses on contracts are recognized in full in the period in which losses become probable and estimable. During the three months ended June 27, 2008 and June 29, 2007, we recorded charges of approximately $1.3 million and $0.9 million, respectively, related to loss contracts.</w:t>
      </w:r>
    </w:p>
    <w:p>
      <w:pPr>
        <w:spacing w:after="0" w:line="74"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a significant change in future cost estimates on one or more programs could have a material effect on our results of operations. For example, a one percent variance in our future cost estimates on open fixed-price contracts as of June 27, 2008 would change our income before income taxes by approximately $0.4 million.</w:t>
      </w:r>
    </w:p>
    <w:p>
      <w:pPr>
        <w:spacing w:after="0" w:line="57"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SAB 104, “Staff Accounting Bulletin No.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collectibility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EITF 00-21, “Accounting for Multiple Element Revenue Arrangements,” and recognized when the applicable revenue recognition criteria for each element are met. The amount of product and service revenue recognized is impacted by our judgments as to whether an arrangement includes multiple elements and, if so, what sufficient objective and reliable evidence of fair value exists for those elements. Changes to the elements in an arrangement and our ability to establish evidence for those elements could affect the timing of revenue recognition.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SFAS 123R, “Share-Based Payment.” Effective April 1, 2006, we use the fair value method to apply the provisions of SFAS 123R with a modified prospective application which provides for certain changes to the method for estimating the value of stock-based compensation. The valuation provisions of SFAS 123R apply to new awards and to awards that are outstanding on the effective date, which are subsequently modified or cancelled. Under the modified prospective application method, prior periods are not revised for comparative purposes. Stock-based compensation expense recognized under SFAS 123R for the three months ended June 27, 2008 and June 29, 2007 was $2.2 million and $1.8 million, respectively. At June 27, 2008, total unrecognized estimated compensation cost including estimated forfeitures related to non-vested stock options and restricted stock units granted prior to that date, and the employee stock purchase plan was $9.6 million, $17.0 million and $0, respectively, which are expected to be recognized over a weighted average period of 2.7 years, 3.4 years and 0 years,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make estimates of the collectibility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United States government. More recently, commercial customers have comprised a larger part of our revenues. Our accounts receivable balance was $152.4 million, net of allowance for doubtful accounts of $0.1 million as of June 27, 2008, and our accounts receivable balance was $155.5 million, net of allowance for doubtful accounts of $0.3 million as of March 28,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provide limited warranties on a majority of our products for periods of up to five years. We record a liability for our warranty obligations when we ship the products based upon an estimate of expected warranty costs. We classify the amounts we expect to incur within 12 months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 that may occur. It is possible that our underlying assumptions will not reflect the actual experience, and in that case, we will make future adjustments to the recorded warranty obligation.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account for our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the Company’s government systems and commercial network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We test goodwill for impairment during the fourth quarter every fiscal year, and when an event occurs or circumstances change such that it is reasonably possible that an impairment may exist.</w:t>
      </w:r>
    </w:p>
    <w:p>
      <w:pPr>
        <w:spacing w:after="0" w:line="70"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 discount rate derived from our market capitalization plus a suitable control premium at the date of evaluation.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and other property and equipment</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Satellite and other property and equipment are stated at cost, net of accumulated depreciation. Costs are capitalized as incurred and include construction, launch and insurance. Satellite construction and launch services are generally procured under long-term contracts that provide for payments by us over the contract periods.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(Property and equipment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No. 144 (SFAS 144) “Accounting for the Impairment or Disposal of Long-Lived Assets,” we assess potential impairments to our long-lived assets, including property and equipment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On March 31, 2007, we adopted the provisions of FIN 48, “Accounting for Uncertainty in Income Taxes-an interpretation of FASB Statement No. 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more-likely-than-not to be sustained upon examination by taxing authorities. The amount recognized is measured as the largest amount of benefit that is greater than fifty percent likely of being realized upon ultimate settlement.</w:t>
      </w:r>
    </w:p>
    <w:p>
      <w:pPr>
        <w:spacing w:after="0" w:line="57"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June 27, 2008</w:t>
            </w:r>
          </w:p>
        </w:tc>
        <w:tc>
          <w:tcPr>
            <w:tcW w:w="54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June 29,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5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70.6</w:t>
            </w:r>
          </w:p>
        </w:tc>
        <w:tc>
          <w:tcPr>
            <w:tcW w:w="1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460" w:type="dxa"/>
            <w:vAlign w:val="bottom"/>
            <w:gridSpan w:val="4"/>
          </w:tcPr>
          <w:p>
            <w:pPr>
              <w:jc w:val="right"/>
              <w:ind w:right="360"/>
              <w:spacing w:after="0"/>
              <w:rPr>
                <w:sz w:val="20"/>
                <w:szCs w:val="20"/>
                <w:color w:val="auto"/>
              </w:rPr>
            </w:pPr>
            <w:r>
              <w:rPr>
                <w:rFonts w:ascii="Arial" w:cs="Arial" w:eastAsia="Arial" w:hAnsi="Arial"/>
                <w:sz w:val="18"/>
                <w:szCs w:val="18"/>
                <w:color w:val="auto"/>
              </w:rPr>
              <w:t>15.5</w:t>
            </w: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5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4700" w:type="dxa"/>
            <w:vAlign w:val="bottom"/>
            <w:gridSpan w:val="2"/>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70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60" w:type="dxa"/>
            <w:vAlign w:val="bottom"/>
            <w:gridSpan w:val="4"/>
          </w:tcPr>
          <w:p>
            <w:pPr>
              <w:jc w:val="right"/>
              <w:ind w:right="360"/>
              <w:spacing w:after="0"/>
              <w:rPr>
                <w:sz w:val="20"/>
                <w:szCs w:val="20"/>
                <w:color w:val="auto"/>
              </w:rPr>
            </w:pPr>
            <w:r>
              <w:rPr>
                <w:rFonts w:ascii="Arial" w:cs="Arial" w:eastAsia="Arial" w:hAnsi="Arial"/>
                <w:sz w:val="18"/>
                <w:szCs w:val="18"/>
                <w:color w:val="auto"/>
              </w:rPr>
              <w:t>6.4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40" w:type="dxa"/>
            <w:vAlign w:val="bottom"/>
          </w:tcPr>
          <w:p>
            <w:pPr>
              <w:jc w:val="right"/>
              <w:ind w:right="277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660"/>
        <w:spacing w:after="0" w:line="407" w:lineRule="auto"/>
        <w:rPr>
          <w:sz w:val="20"/>
          <w:szCs w:val="20"/>
          <w:color w:val="auto"/>
        </w:rPr>
      </w:pPr>
      <w:r>
        <w:rPr>
          <w:rFonts w:ascii="Arial" w:cs="Arial" w:eastAsia="Arial" w:hAnsi="Arial"/>
          <w:sz w:val="18"/>
          <w:szCs w:val="18"/>
          <w:b w:val="1"/>
          <w:bCs w:val="1"/>
          <w:color w:val="auto"/>
        </w:rPr>
        <w:t xml:space="preserve">Three Months Ended June 27, 2008 vs. Three Months Ended June 29, 2007 </w:t>
      </w:r>
      <w:r>
        <w:rPr>
          <w:rFonts w:ascii="Arial" w:cs="Arial" w:eastAsia="Arial" w:hAnsi="Arial"/>
          <w:sz w:val="18"/>
          <w:szCs w:val="18"/>
          <w:i w:val="1"/>
          <w:iCs w:val="1"/>
          <w:color w:val="auto"/>
        </w:rPr>
        <w:t>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4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June 27,</w:t>
            </w:r>
          </w:p>
        </w:tc>
        <w:tc>
          <w:tcPr>
            <w:tcW w:w="5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June 29,</w:t>
            </w:r>
          </w:p>
        </w:tc>
        <w:tc>
          <w:tcPr>
            <w:tcW w:w="4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4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285"/>
              <w:spacing w:after="0"/>
              <w:rPr>
                <w:sz w:val="20"/>
                <w:szCs w:val="20"/>
                <w:color w:val="auto"/>
              </w:rPr>
            </w:pPr>
            <w:r>
              <w:rPr>
                <w:rFonts w:ascii="Arial" w:cs="Arial" w:eastAsia="Arial" w:hAnsi="Arial"/>
                <w:sz w:val="14"/>
                <w:szCs w:val="14"/>
                <w:b w:val="1"/>
                <w:bCs w:val="1"/>
                <w:color w:val="auto"/>
              </w:rPr>
              <w:t>2008</w:t>
            </w:r>
          </w:p>
        </w:tc>
        <w:tc>
          <w:tcPr>
            <w:tcW w:w="15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$153.0</w:t>
            </w:r>
          </w:p>
        </w:tc>
        <w:tc>
          <w:tcPr>
            <w:tcW w:w="520" w:type="dxa"/>
            <w:vAlign w:val="bottom"/>
          </w:tcPr>
          <w:p>
            <w:pPr>
              <w:spacing w:after="0"/>
              <w:rPr>
                <w:sz w:val="19"/>
                <w:szCs w:val="19"/>
                <w:color w:val="auto"/>
              </w:rPr>
            </w:pPr>
          </w:p>
        </w:tc>
        <w:tc>
          <w:tcPr>
            <w:tcW w:w="102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color w:val="auto"/>
              </w:rPr>
              <w:t>$128.6</w:t>
            </w:r>
          </w:p>
        </w:tc>
        <w:tc>
          <w:tcPr>
            <w:tcW w:w="440" w:type="dxa"/>
            <w:vAlign w:val="bottom"/>
          </w:tcPr>
          <w:p>
            <w:pPr>
              <w:spacing w:after="0"/>
              <w:rPr>
                <w:sz w:val="19"/>
                <w:szCs w:val="19"/>
                <w:color w:val="auto"/>
              </w:rPr>
            </w:pPr>
          </w:p>
        </w:tc>
        <w:tc>
          <w:tcPr>
            <w:tcW w:w="9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19.0%</w:t>
            </w:r>
          </w:p>
        </w:tc>
      </w:tr>
    </w:tbl>
    <w:p>
      <w:pPr>
        <w:spacing w:after="0" w:line="79" w:lineRule="exact"/>
        <w:rPr>
          <w:sz w:val="20"/>
          <w:szCs w:val="20"/>
          <w:color w:val="auto"/>
        </w:rPr>
      </w:pPr>
    </w:p>
    <w:p>
      <w:pPr>
        <w:ind w:right="140" w:firstLine="222"/>
        <w:spacing w:after="0" w:line="271" w:lineRule="auto"/>
        <w:rPr>
          <w:sz w:val="20"/>
          <w:szCs w:val="20"/>
          <w:color w:val="auto"/>
        </w:rPr>
      </w:pPr>
      <w:r>
        <w:rPr>
          <w:rFonts w:ascii="Arial" w:cs="Arial" w:eastAsia="Arial" w:hAnsi="Arial"/>
          <w:sz w:val="17"/>
          <w:szCs w:val="17"/>
          <w:color w:val="auto"/>
        </w:rPr>
        <w:t>The increase in revenues from $128.6 million to $153.0 million during the first quarter of fiscal year 2009 was due to higher customer awards received during the first quarter of fiscal year 2009 of $205.9 million compared to $136.0 million in the first quarter of fiscal year 2008, and the conversion of a portion of those awards into revenues. Revenue increases were experienced in two of our segments: our government systems segment, which increased by $18.0 million, and commercial networks segment, which increased by $6.8 million. The revenue increase in our government systems segment was primarily derived from higher sales of approximately $11.5 million in certain information assurance products and $6.3 million in next generation military satellite communication systems. Our commercial networks segment revenue increase was primarily derived from higher sales of approximately $5.9 million related to mobile satellite systems, $2.7 million in higher sales from our antenna systems product group and $2.3 million increase in enterprise VSAT product sales, offset by a $3.6 million reduction in sales of consumer broadband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80" w:type="dxa"/>
            <w:vAlign w:val="bottom"/>
          </w:tcPr>
          <w:p>
            <w:pPr>
              <w:spacing w:after="0"/>
              <w:rPr>
                <w:sz w:val="10"/>
                <w:szCs w:val="10"/>
                <w:color w:val="auto"/>
              </w:rPr>
            </w:pPr>
          </w:p>
        </w:tc>
        <w:tc>
          <w:tcPr>
            <w:tcW w:w="1000" w:type="dxa"/>
            <w:vAlign w:val="bottom"/>
          </w:tcPr>
          <w:p>
            <w:pPr>
              <w:jc w:val="right"/>
              <w:ind w:right="182"/>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92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June 29,</w:t>
            </w:r>
          </w:p>
        </w:tc>
        <w:tc>
          <w:tcPr>
            <w:tcW w:w="4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5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2008</w:t>
            </w:r>
          </w:p>
        </w:tc>
        <w:tc>
          <w:tcPr>
            <w:tcW w:w="138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6580" w:type="dxa"/>
            <w:vAlign w:val="bottom"/>
          </w:tcPr>
          <w:p>
            <w:pPr>
              <w:spacing w:after="0" w:line="195" w:lineRule="exact"/>
              <w:rPr>
                <w:sz w:val="20"/>
                <w:szCs w:val="20"/>
                <w:color w:val="auto"/>
              </w:rPr>
            </w:pPr>
            <w:r>
              <w:rPr>
                <w:rFonts w:ascii="Arial" w:cs="Arial" w:eastAsia="Arial" w:hAnsi="Arial"/>
                <w:sz w:val="18"/>
                <w:szCs w:val="18"/>
                <w:color w:val="auto"/>
              </w:rPr>
              <w:t>Cost of revenues</w:t>
            </w: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$108.0</w:t>
            </w:r>
          </w:p>
        </w:tc>
        <w:tc>
          <w:tcPr>
            <w:tcW w:w="460" w:type="dxa"/>
            <w:vAlign w:val="bottom"/>
          </w:tcPr>
          <w:p>
            <w:pPr>
              <w:spacing w:after="0"/>
              <w:rPr>
                <w:sz w:val="16"/>
                <w:szCs w:val="16"/>
                <w:color w:val="auto"/>
              </w:rPr>
            </w:pPr>
          </w:p>
        </w:tc>
        <w:tc>
          <w:tcPr>
            <w:tcW w:w="9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$96.4</w:t>
            </w:r>
          </w:p>
        </w:tc>
        <w:tc>
          <w:tcPr>
            <w:tcW w:w="460" w:type="dxa"/>
            <w:vAlign w:val="bottom"/>
          </w:tcPr>
          <w:p>
            <w:pPr>
              <w:spacing w:after="0"/>
              <w:rPr>
                <w:sz w:val="16"/>
                <w:szCs w:val="16"/>
                <w:color w:val="auto"/>
              </w:rPr>
            </w:pPr>
          </w:p>
        </w:tc>
        <w:tc>
          <w:tcPr>
            <w:tcW w:w="96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$11.6</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12.1%</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82"/>
              <w:spacing w:after="0"/>
              <w:rPr>
                <w:sz w:val="20"/>
                <w:szCs w:val="20"/>
                <w:color w:val="auto"/>
              </w:rPr>
            </w:pPr>
            <w:r>
              <w:rPr>
                <w:rFonts w:ascii="Arial" w:cs="Arial" w:eastAsia="Arial" w:hAnsi="Arial"/>
                <w:sz w:val="18"/>
                <w:szCs w:val="18"/>
                <w:color w:val="auto"/>
              </w:rPr>
              <w:t>70.6%</w:t>
            </w:r>
          </w:p>
        </w:tc>
        <w:tc>
          <w:tcPr>
            <w:tcW w:w="1380" w:type="dxa"/>
            <w:vAlign w:val="bottom"/>
            <w:gridSpan w:val="2"/>
          </w:tcPr>
          <w:p>
            <w:pPr>
              <w:jc w:val="right"/>
              <w:ind w:right="82"/>
              <w:spacing w:after="0"/>
              <w:rPr>
                <w:sz w:val="20"/>
                <w:szCs w:val="20"/>
                <w:color w:val="auto"/>
              </w:rPr>
            </w:pPr>
            <w:r>
              <w:rPr>
                <w:rFonts w:ascii="Arial" w:cs="Arial" w:eastAsia="Arial" w:hAnsi="Arial"/>
                <w:sz w:val="18"/>
                <w:szCs w:val="18"/>
                <w:color w:val="auto"/>
              </w:rPr>
              <w:t>75.0%</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94" w:lineRule="exact"/>
        <w:rPr>
          <w:sz w:val="20"/>
          <w:szCs w:val="20"/>
          <w:color w:val="auto"/>
        </w:rPr>
      </w:pPr>
    </w:p>
    <w:p>
      <w:pPr>
        <w:ind w:right="120" w:firstLine="222"/>
        <w:spacing w:after="0" w:line="272" w:lineRule="auto"/>
        <w:rPr>
          <w:sz w:val="20"/>
          <w:szCs w:val="20"/>
          <w:color w:val="auto"/>
        </w:rPr>
      </w:pPr>
      <w:r>
        <w:rPr>
          <w:rFonts w:ascii="Arial" w:cs="Arial" w:eastAsia="Arial" w:hAnsi="Arial"/>
          <w:sz w:val="17"/>
          <w:szCs w:val="17"/>
          <w:color w:val="auto"/>
        </w:rPr>
        <w:t>The increase in quarterly cost of revenues from $96.4 million to $108.0 million was primarily due to our increased revenues. However, we did experience a decrease in cost of revenues as a percentage of revenues from 75.0% to 70.6%. This improvement was primarily due to product cost reductions of approximately $4.2 million related to better program performance in our government systems segment spread across various product groups, and better program performance in our antenna systems product group totaling approximately $1.5 million for the three months ended June 27, 2008 compared to the same period last year. Cost of revenues for the three months ended June 27, 2008 and June 29, 2007 included approximately $0.6 million and $0.5 million, respectively, in stock-based compensation expense. Cost of revenues may fluctuate in future quarters depending on the mix of products sold and services provided, competition, new product introduction costs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20" w:type="dxa"/>
            <w:vAlign w:val="bottom"/>
          </w:tcPr>
          <w:p>
            <w:pPr>
              <w:spacing w:after="0"/>
              <w:rPr>
                <w:sz w:val="10"/>
                <w:szCs w:val="10"/>
                <w:color w:val="auto"/>
              </w:rPr>
            </w:pPr>
          </w:p>
        </w:tc>
        <w:tc>
          <w:tcPr>
            <w:tcW w:w="9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June 27,</w:t>
            </w:r>
          </w:p>
        </w:tc>
        <w:tc>
          <w:tcPr>
            <w:tcW w:w="520" w:type="dxa"/>
            <w:vAlign w:val="bottom"/>
          </w:tcPr>
          <w:p>
            <w:pPr>
              <w:spacing w:after="0"/>
              <w:rPr>
                <w:sz w:val="10"/>
                <w:szCs w:val="10"/>
                <w:color w:val="auto"/>
              </w:rPr>
            </w:pPr>
          </w:p>
        </w:tc>
        <w:tc>
          <w:tcPr>
            <w:tcW w:w="9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June 29,</w:t>
            </w:r>
          </w:p>
        </w:tc>
        <w:tc>
          <w:tcPr>
            <w:tcW w:w="4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ind w:right="262"/>
              <w:spacing w:after="0"/>
              <w:rPr>
                <w:sz w:val="20"/>
                <w:szCs w:val="20"/>
                <w:color w:val="auto"/>
              </w:rPr>
            </w:pPr>
            <w:r>
              <w:rPr>
                <w:rFonts w:ascii="Arial" w:cs="Arial" w:eastAsia="Arial" w:hAnsi="Arial"/>
                <w:sz w:val="14"/>
                <w:szCs w:val="14"/>
                <w:b w:val="1"/>
                <w:bCs w:val="1"/>
                <w:color w:val="auto"/>
              </w:rPr>
              <w:t>2008</w:t>
            </w:r>
          </w:p>
        </w:tc>
        <w:tc>
          <w:tcPr>
            <w:tcW w:w="146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6620" w:type="dxa"/>
            <w:vAlign w:val="bottom"/>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9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$23.6</w:t>
            </w:r>
          </w:p>
        </w:tc>
        <w:tc>
          <w:tcPr>
            <w:tcW w:w="520" w:type="dxa"/>
            <w:vAlign w:val="bottom"/>
          </w:tcPr>
          <w:p>
            <w:pPr>
              <w:spacing w:after="0"/>
              <w:rPr>
                <w:sz w:val="16"/>
                <w:szCs w:val="16"/>
                <w:color w:val="auto"/>
              </w:rPr>
            </w:pPr>
          </w:p>
        </w:tc>
        <w:tc>
          <w:tcPr>
            <w:tcW w:w="9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$17.7</w:t>
            </w:r>
          </w:p>
        </w:tc>
        <w:tc>
          <w:tcPr>
            <w:tcW w:w="480" w:type="dxa"/>
            <w:vAlign w:val="bottom"/>
          </w:tcPr>
          <w:p>
            <w:pPr>
              <w:spacing w:after="0"/>
              <w:rPr>
                <w:sz w:val="16"/>
                <w:szCs w:val="16"/>
                <w:color w:val="auto"/>
              </w:rPr>
            </w:pPr>
          </w:p>
        </w:tc>
        <w:tc>
          <w:tcPr>
            <w:tcW w:w="88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33.1%</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940" w:type="dxa"/>
            <w:vAlign w:val="bottom"/>
          </w:tcPr>
          <w:p>
            <w:pPr>
              <w:jc w:val="right"/>
              <w:ind w:right="82"/>
              <w:spacing w:after="0"/>
              <w:rPr>
                <w:sz w:val="20"/>
                <w:szCs w:val="20"/>
                <w:color w:val="auto"/>
              </w:rPr>
            </w:pPr>
            <w:r>
              <w:rPr>
                <w:rFonts w:ascii="Arial" w:cs="Arial" w:eastAsia="Arial" w:hAnsi="Arial"/>
                <w:sz w:val="18"/>
                <w:szCs w:val="18"/>
                <w:color w:val="auto"/>
              </w:rPr>
              <w:t>15.5%</w:t>
            </w:r>
          </w:p>
        </w:tc>
        <w:tc>
          <w:tcPr>
            <w:tcW w:w="1460" w:type="dxa"/>
            <w:vAlign w:val="bottom"/>
            <w:gridSpan w:val="2"/>
          </w:tcPr>
          <w:p>
            <w:pPr>
              <w:jc w:val="right"/>
              <w:ind w:right="82"/>
              <w:spacing w:after="0"/>
              <w:rPr>
                <w:sz w:val="20"/>
                <w:szCs w:val="20"/>
                <w:color w:val="auto"/>
              </w:rPr>
            </w:pPr>
            <w:r>
              <w:rPr>
                <w:rFonts w:ascii="Arial" w:cs="Arial" w:eastAsia="Arial" w:hAnsi="Arial"/>
                <w:sz w:val="18"/>
                <w:szCs w:val="18"/>
                <w:color w:val="auto"/>
              </w:rPr>
              <w:t>13.8%</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94"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increase in selling, general and administrative (SG&amp;A) expenses in the first quarter of fiscal year 2009 compared to the first quarter of fiscal year 2008 was primarily attributable to higher support costs of approximately $5.5 million, slightly higher selling and proposal costs of approximately $0.2 million to support our anticipated future revenue growth, and approximately $1.4 million in stock-based compensation expense recorded for the three months ended June 27, 2008 versus $1.2 million for the same period in the prior fiscal year. SG&amp;A expenses consist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74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27,</w:t>
            </w:r>
          </w:p>
        </w:tc>
        <w:tc>
          <w:tcPr>
            <w:tcW w:w="48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29,</w:t>
            </w:r>
          </w:p>
        </w:tc>
        <w:tc>
          <w:tcPr>
            <w:tcW w:w="4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7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13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$9.8</w:t>
            </w:r>
          </w:p>
        </w:tc>
        <w:tc>
          <w:tcPr>
            <w:tcW w:w="480" w:type="dxa"/>
            <w:vAlign w:val="bottom"/>
          </w:tcPr>
          <w:p>
            <w:pPr>
              <w:spacing w:after="0"/>
              <w:rPr>
                <w:sz w:val="16"/>
                <w:szCs w:val="16"/>
                <w:color w:val="auto"/>
              </w:rPr>
            </w:pP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$7.4</w:t>
            </w:r>
          </w:p>
        </w:tc>
        <w:tc>
          <w:tcPr>
            <w:tcW w:w="48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33.4%</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94"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increase in independent research and development (IR&amp;D) expenses reflects year over year increase from the government systems segment of approximately $1.4 million and the commercial networks segment of approximately $1.1 million. The higher IR&amp;D expenses were principally for the development of next generation information assurance, data link and unmanned aerial vehicle (UAV) technologies, next generation broadband equipment, and our recognition of certain opportunities in these markets and the desire to invest in the development of new technologies to meet these opportunities.</w:t>
      </w:r>
    </w:p>
    <w:p>
      <w:pPr>
        <w:spacing w:after="0" w:line="4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The intangible assets from prior acquisitions are being amortized over estimated useful lives ranging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eight months to ten years. The amortization of intangible assets will decrease each year as the intangible assets with shorter lives become fully amortized. The current and expected amortization expense for each of the following periods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27, 2008</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r>
      <w:tr>
        <w:trPr>
          <w:trHeight w:val="432"/>
        </w:trPr>
        <w:tc>
          <w:tcPr>
            <w:tcW w:w="10500" w:type="dxa"/>
            <w:vAlign w:val="bottom"/>
          </w:tcPr>
          <w:p>
            <w:pPr>
              <w:spacing w:after="0"/>
              <w:rPr>
                <w:sz w:val="20"/>
                <w:szCs w:val="20"/>
                <w:color w:val="auto"/>
              </w:rPr>
            </w:pPr>
            <w:r>
              <w:rPr>
                <w:rFonts w:ascii="Arial" w:cs="Arial" w:eastAsia="Arial" w:hAnsi="Arial"/>
                <w:sz w:val="18"/>
                <w:szCs w:val="18"/>
                <w:color w:val="auto"/>
              </w:rPr>
              <w:t>Expected for the remainder of fiscal year 2009</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4"/>
                <w:szCs w:val="24"/>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r>
      <w:tr>
        <w:trPr>
          <w:trHeight w:val="223"/>
        </w:trPr>
        <w:tc>
          <w:tcPr>
            <w:tcW w:w="10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5"/>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decreased to $0.7 million for the three months ended June 27, 2008 from $1.4 million for the three months ended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2007 due to lower interest rates on our investments year over year. The average invested cash balances remained fairly constant during the respective periods.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to $0.1 million for the three months ended June 27, 2008 from $0.2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29, 2007. The decrease in interest expense for the first quarter of fiscal year 2009 compared to first quarter of fiscal year 2008 was mainly due to the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 of the secured borrowing at the beginning of the first quarter of fiscal year 2009 resulting in less interest accretion during the quarter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last year when the secured borrowing was outstanding the entire period. Commitment fees on our line of credit availability remained the same for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We had no outstanding borrowings under our line of credit at June 27, 2008 or June 29, 2007.</w:t>
      </w:r>
    </w:p>
    <w:p>
      <w:pPr>
        <w:spacing w:after="0" w:line="103"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for the three months ended June 27, 2008 was approximately 34.8%, which is approximately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34.3% estimated annual effective tax rate for the fiscal year 2009, compared to a tax rate of 26.9% for the three months ended June 29, 2007, reflecting the December 31, 2007 expiration of the federal research and development tax credit. Our estimated annual effective tax rate of approximately 34.3% for fiscal year 2009 reflects the expiration of the federal research and development tax credit at December 31, 2007. If the federal research and development tax credit is reinstated, we will have a lower annual effective tax rate and the amount of the tax rate reduction will depend on the effective date, the terms of the reinstatement as well as the amount of eligible research and development expenses in the reinstated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for the Three Months Ended June 27, 2008 vs. Three Months Ended June 29,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580" w:type="dxa"/>
            <w:vAlign w:val="bottom"/>
          </w:tcPr>
          <w:p>
            <w:pPr>
              <w:spacing w:after="0"/>
              <w:rPr>
                <w:sz w:val="10"/>
                <w:szCs w:val="10"/>
                <w:color w:val="auto"/>
              </w:rPr>
            </w:pPr>
          </w:p>
        </w:tc>
        <w:tc>
          <w:tcPr>
            <w:tcW w:w="94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9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June 29,</w:t>
            </w:r>
          </w:p>
        </w:tc>
        <w:tc>
          <w:tcPr>
            <w:tcW w:w="46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58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ind w:right="265"/>
              <w:spacing w:after="0"/>
              <w:rPr>
                <w:sz w:val="20"/>
                <w:szCs w:val="20"/>
                <w:color w:val="auto"/>
              </w:rPr>
            </w:pPr>
            <w:r>
              <w:rPr>
                <w:rFonts w:ascii="Arial" w:cs="Arial" w:eastAsia="Arial" w:hAnsi="Arial"/>
                <w:sz w:val="14"/>
                <w:szCs w:val="14"/>
                <w:b w:val="1"/>
                <w:bCs w:val="1"/>
                <w:color w:val="auto"/>
              </w:rPr>
              <w:t>2008</w:t>
            </w:r>
          </w:p>
        </w:tc>
        <w:tc>
          <w:tcPr>
            <w:tcW w:w="14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24"/>
        </w:trPr>
        <w:tc>
          <w:tcPr>
            <w:tcW w:w="658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$88.6</w:t>
            </w:r>
          </w:p>
        </w:tc>
        <w:tc>
          <w:tcPr>
            <w:tcW w:w="460" w:type="dxa"/>
            <w:vAlign w:val="bottom"/>
          </w:tcPr>
          <w:p>
            <w:pPr>
              <w:spacing w:after="0"/>
              <w:rPr>
                <w:sz w:val="19"/>
                <w:szCs w:val="19"/>
                <w:color w:val="auto"/>
              </w:rPr>
            </w:pPr>
          </w:p>
        </w:tc>
        <w:tc>
          <w:tcPr>
            <w:tcW w:w="9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$70.6</w:t>
            </w:r>
          </w:p>
        </w:tc>
        <w:tc>
          <w:tcPr>
            <w:tcW w:w="460" w:type="dxa"/>
            <w:vAlign w:val="bottom"/>
          </w:tcPr>
          <w:p>
            <w:pPr>
              <w:spacing w:after="0"/>
              <w:rPr>
                <w:sz w:val="19"/>
                <w:szCs w:val="19"/>
                <w:color w:val="auto"/>
              </w:rPr>
            </w:pPr>
          </w:p>
        </w:tc>
        <w:tc>
          <w:tcPr>
            <w:tcW w:w="9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25.5%</w:t>
            </w:r>
          </w:p>
        </w:tc>
      </w:tr>
    </w:tbl>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government systems segment revenues increased primarily due to higher customer awards of $149.9 million in first quarter of fiscal year 2009 compared to $71.8 million in first quarter of fiscal year 2008, and the conversion of a portion of those awards into revenues. The $18.0 million revenue increase was comprised of higher sales of approximately $11.5 million in certain information assurance products and $6.3 million in next generation military satellite communication systems.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720" w:type="dxa"/>
            <w:vAlign w:val="bottom"/>
          </w:tcPr>
          <w:p>
            <w:pPr>
              <w:spacing w:after="0"/>
              <w:rPr>
                <w:sz w:val="10"/>
                <w:szCs w:val="10"/>
                <w:color w:val="auto"/>
              </w:rPr>
            </w:pPr>
          </w:p>
        </w:tc>
        <w:tc>
          <w:tcPr>
            <w:tcW w:w="9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29,</w:t>
            </w:r>
          </w:p>
        </w:tc>
        <w:tc>
          <w:tcPr>
            <w:tcW w:w="4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40" w:type="dxa"/>
            <w:vAlign w:val="bottom"/>
          </w:tcPr>
          <w:p>
            <w:pPr>
              <w:jc w:val="right"/>
              <w:ind w:right="242"/>
              <w:spacing w:after="0"/>
              <w:rPr>
                <w:sz w:val="20"/>
                <w:szCs w:val="20"/>
                <w:color w:val="auto"/>
              </w:rPr>
            </w:pPr>
            <w:r>
              <w:rPr>
                <w:rFonts w:ascii="Arial" w:cs="Arial" w:eastAsia="Arial" w:hAnsi="Arial"/>
                <w:sz w:val="14"/>
                <w:szCs w:val="14"/>
                <w:b w:val="1"/>
                <w:bCs w:val="1"/>
                <w:color w:val="auto"/>
              </w:rPr>
              <w:t>2008</w:t>
            </w:r>
          </w:p>
        </w:tc>
        <w:tc>
          <w:tcPr>
            <w:tcW w:w="13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672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9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$12.1</w:t>
            </w:r>
          </w:p>
        </w:tc>
        <w:tc>
          <w:tcPr>
            <w:tcW w:w="460" w:type="dxa"/>
            <w:vAlign w:val="bottom"/>
          </w:tcPr>
          <w:p>
            <w:pPr>
              <w:spacing w:after="0"/>
              <w:rPr>
                <w:sz w:val="16"/>
                <w:szCs w:val="16"/>
                <w:color w:val="auto"/>
              </w:rPr>
            </w:pP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$6.2</w:t>
            </w:r>
          </w:p>
        </w:tc>
        <w:tc>
          <w:tcPr>
            <w:tcW w:w="48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95.7%</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940" w:type="dxa"/>
            <w:vAlign w:val="bottom"/>
          </w:tcPr>
          <w:p>
            <w:pPr>
              <w:jc w:val="right"/>
              <w:ind w:right="82"/>
              <w:spacing w:after="0"/>
              <w:rPr>
                <w:sz w:val="20"/>
                <w:szCs w:val="20"/>
                <w:color w:val="auto"/>
              </w:rPr>
            </w:pPr>
            <w:r>
              <w:rPr>
                <w:rFonts w:ascii="Arial" w:cs="Arial" w:eastAsia="Arial" w:hAnsi="Arial"/>
                <w:sz w:val="18"/>
                <w:szCs w:val="18"/>
                <w:color w:val="auto"/>
              </w:rPr>
              <w:t>13.6%</w:t>
            </w:r>
          </w:p>
        </w:tc>
        <w:tc>
          <w:tcPr>
            <w:tcW w:w="1340" w:type="dxa"/>
            <w:vAlign w:val="bottom"/>
            <w:gridSpan w:val="2"/>
          </w:tcPr>
          <w:p>
            <w:pPr>
              <w:jc w:val="right"/>
              <w:ind w:right="102"/>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9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Government systems segment operating profits increased primarily due to increased revenues of $18.0 million and the associated margin from these revenues offset by additional IR&amp;D spending of approximately $1.4 million, growth in SG&amp;A expenses of approximately $1.7 million from higher selling and support costs, and additional non-cash stock based compensation charges of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4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20" w:type="dxa"/>
            <w:vAlign w:val="bottom"/>
          </w:tcPr>
          <w:p>
            <w:pPr>
              <w:spacing w:after="0"/>
              <w:rPr>
                <w:sz w:val="10"/>
                <w:szCs w:val="10"/>
                <w:color w:val="auto"/>
              </w:rPr>
            </w:pPr>
          </w:p>
        </w:tc>
        <w:tc>
          <w:tcPr>
            <w:tcW w:w="9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June 27,</w:t>
            </w:r>
          </w:p>
        </w:tc>
        <w:tc>
          <w:tcPr>
            <w:tcW w:w="480" w:type="dxa"/>
            <w:vAlign w:val="bottom"/>
          </w:tcPr>
          <w:p>
            <w:pPr>
              <w:spacing w:after="0"/>
              <w:rPr>
                <w:sz w:val="10"/>
                <w:szCs w:val="10"/>
                <w:color w:val="auto"/>
              </w:rPr>
            </w:pPr>
          </w:p>
        </w:tc>
        <w:tc>
          <w:tcPr>
            <w:tcW w:w="9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June 29,</w:t>
            </w:r>
          </w:p>
        </w:tc>
        <w:tc>
          <w:tcPr>
            <w:tcW w:w="4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2008</w:t>
            </w:r>
          </w:p>
        </w:tc>
        <w:tc>
          <w:tcPr>
            <w:tcW w:w="14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24"/>
        </w:trPr>
        <w:tc>
          <w:tcPr>
            <w:tcW w:w="662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$62.9</w:t>
            </w:r>
          </w:p>
        </w:tc>
        <w:tc>
          <w:tcPr>
            <w:tcW w:w="480" w:type="dxa"/>
            <w:vAlign w:val="bottom"/>
          </w:tcPr>
          <w:p>
            <w:pPr>
              <w:spacing w:after="0"/>
              <w:rPr>
                <w:sz w:val="19"/>
                <w:szCs w:val="19"/>
                <w:color w:val="auto"/>
              </w:rPr>
            </w:pPr>
          </w:p>
        </w:tc>
        <w:tc>
          <w:tcPr>
            <w:tcW w:w="9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$56.2</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12.0%</w:t>
            </w: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commercial networks segment revenues growth was primarily derived from $5.9 million in higher sales related to mobile satellite systems,</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$2.7 million higher sales from our antenna systems product group and $2.3 million higher sales from our enterprise VSAT products, offset by a $3.6 million reduction in sales of consumer broadband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74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27,</w:t>
            </w:r>
          </w:p>
        </w:tc>
        <w:tc>
          <w:tcPr>
            <w:tcW w:w="480" w:type="dxa"/>
            <w:vAlign w:val="bottom"/>
          </w:tcPr>
          <w:p>
            <w:pPr>
              <w:spacing w:after="0"/>
              <w:rPr>
                <w:sz w:val="10"/>
                <w:szCs w:val="10"/>
                <w:color w:val="auto"/>
              </w:rPr>
            </w:pPr>
          </w:p>
        </w:tc>
        <w:tc>
          <w:tcPr>
            <w:tcW w:w="8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June 29,</w:t>
            </w:r>
          </w:p>
        </w:tc>
        <w:tc>
          <w:tcPr>
            <w:tcW w:w="46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74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80" w:type="dxa"/>
            <w:vAlign w:val="bottom"/>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13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195"/>
        </w:trPr>
        <w:tc>
          <w:tcPr>
            <w:tcW w:w="674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$1.5</w:t>
            </w:r>
          </w:p>
        </w:tc>
        <w:tc>
          <w:tcPr>
            <w:tcW w:w="480" w:type="dxa"/>
            <w:vAlign w:val="bottom"/>
          </w:tcPr>
          <w:p>
            <w:pPr>
              <w:spacing w:after="0"/>
              <w:rPr>
                <w:sz w:val="16"/>
                <w:szCs w:val="16"/>
                <w:color w:val="auto"/>
              </w:rPr>
            </w:pPr>
          </w:p>
        </w:tc>
        <w:tc>
          <w:tcPr>
            <w:tcW w:w="88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$1.5</w:t>
            </w:r>
          </w:p>
        </w:tc>
        <w:tc>
          <w:tcPr>
            <w:tcW w:w="4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$(0.0)</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ind w:right="102"/>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9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Our commercial networks segment overall operating profits were essentially flat for the first quarter of fiscal year 2009 over the first quarter of fiscal year 2008. However, we did experience a decrease in our commercial networks operating profit as a percentage of segment revenues, from 2.7% in the first quarter of fiscal year 2008 to 2.3% for the same period of fiscal year 2009 primarily due to higher IR&amp;D costs associated with next generation consumer broadband equipment. Our commercial networks segment recorded additional non-cash stock based compensation charges of approximately $0.2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19"/>
        </w:trPr>
        <w:tc>
          <w:tcPr>
            <w:tcW w:w="66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June 27,</w:t>
            </w:r>
          </w:p>
        </w:tc>
        <w:tc>
          <w:tcPr>
            <w:tcW w:w="4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June 29,</w:t>
            </w:r>
          </w:p>
        </w:tc>
        <w:tc>
          <w:tcPr>
            <w:tcW w:w="4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r>
      <w:tr>
        <w:trPr>
          <w:trHeight w:val="171"/>
        </w:trPr>
        <w:tc>
          <w:tcPr>
            <w:tcW w:w="662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860" w:type="dxa"/>
            <w:vAlign w:val="bottom"/>
          </w:tcPr>
          <w:p>
            <w:pPr>
              <w:jc w:val="right"/>
              <w:ind w:right="205"/>
              <w:spacing w:after="0"/>
              <w:rPr>
                <w:sz w:val="20"/>
                <w:szCs w:val="20"/>
                <w:color w:val="auto"/>
              </w:rPr>
            </w:pPr>
            <w:r>
              <w:rPr>
                <w:rFonts w:ascii="Arial" w:cs="Arial" w:eastAsia="Arial" w:hAnsi="Arial"/>
                <w:sz w:val="14"/>
                <w:szCs w:val="14"/>
                <w:b w:val="1"/>
                <w:bCs w:val="1"/>
                <w:color w:val="auto"/>
              </w:rPr>
              <w:t>2008</w:t>
            </w:r>
          </w:p>
        </w:tc>
        <w:tc>
          <w:tcPr>
            <w:tcW w:w="13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24"/>
        </w:trPr>
        <w:tc>
          <w:tcPr>
            <w:tcW w:w="6620" w:type="dxa"/>
            <w:vAlign w:val="bottom"/>
          </w:tcPr>
          <w:p>
            <w:pPr>
              <w:spacing w:after="0"/>
              <w:rPr>
                <w:sz w:val="20"/>
                <w:szCs w:val="20"/>
                <w:color w:val="auto"/>
              </w:rPr>
            </w:pPr>
            <w:r>
              <w:rPr>
                <w:rFonts w:ascii="Arial" w:cs="Arial" w:eastAsia="Arial" w:hAnsi="Arial"/>
                <w:sz w:val="18"/>
                <w:szCs w:val="18"/>
                <w:color w:val="auto"/>
              </w:rPr>
              <w:t>Revenues</w:t>
            </w:r>
          </w:p>
        </w:tc>
        <w:tc>
          <w:tcPr>
            <w:tcW w:w="86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9"/>
                <w:szCs w:val="19"/>
                <w:color w:val="auto"/>
              </w:rPr>
            </w:pPr>
          </w:p>
        </w:tc>
        <w:tc>
          <w:tcPr>
            <w:tcW w:w="88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$(0.4)</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ind w:right="5"/>
              <w:spacing w:after="0"/>
              <w:rPr>
                <w:sz w:val="20"/>
                <w:szCs w:val="20"/>
                <w:color w:val="auto"/>
              </w:rPr>
            </w:pPr>
            <w:r>
              <w:rPr>
                <w:rFonts w:ascii="Arial" w:cs="Arial" w:eastAsia="Arial" w:hAnsi="Arial"/>
                <w:sz w:val="18"/>
                <w:szCs w:val="18"/>
                <w:color w:val="auto"/>
              </w:rPr>
              <w:t>(21.1)%</w:t>
            </w:r>
          </w:p>
        </w:tc>
      </w:tr>
    </w:tbl>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Our satellite services segment revenues were relatively flat year over year. These revenues were primarily derived from service arrangements supporting both the mobile broadband and enterprise managed networks services markets.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19"/>
        </w:trPr>
        <w:tc>
          <w:tcPr>
            <w:tcW w:w="6500" w:type="dxa"/>
            <w:vAlign w:val="bottom"/>
          </w:tcPr>
          <w:p>
            <w:pPr>
              <w:spacing w:after="0"/>
              <w:rPr>
                <w:sz w:val="10"/>
                <w:szCs w:val="10"/>
                <w:color w:val="auto"/>
              </w:rPr>
            </w:pPr>
          </w:p>
        </w:tc>
        <w:tc>
          <w:tcPr>
            <w:tcW w:w="10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June 27,</w:t>
            </w:r>
          </w:p>
        </w:tc>
        <w:tc>
          <w:tcPr>
            <w:tcW w:w="460" w:type="dxa"/>
            <w:vAlign w:val="bottom"/>
          </w:tcPr>
          <w:p>
            <w:pPr>
              <w:spacing w:after="0"/>
              <w:rPr>
                <w:sz w:val="10"/>
                <w:szCs w:val="10"/>
                <w:color w:val="auto"/>
              </w:rPr>
            </w:pPr>
          </w:p>
        </w:tc>
        <w:tc>
          <w:tcPr>
            <w:tcW w:w="96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June 29,</w:t>
            </w:r>
          </w:p>
        </w:tc>
        <w:tc>
          <w:tcPr>
            <w:tcW w:w="4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60" w:type="dxa"/>
            <w:vAlign w:val="bottom"/>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14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195"/>
        </w:trPr>
        <w:tc>
          <w:tcPr>
            <w:tcW w:w="6500" w:type="dxa"/>
            <w:vAlign w:val="bottom"/>
          </w:tcPr>
          <w:p>
            <w:pPr>
              <w:spacing w:after="0" w:line="195" w:lineRule="exact"/>
              <w:rPr>
                <w:sz w:val="20"/>
                <w:szCs w:val="20"/>
                <w:color w:val="auto"/>
              </w:rPr>
            </w:pPr>
            <w:r>
              <w:rPr>
                <w:rFonts w:ascii="Arial" w:cs="Arial" w:eastAsia="Arial" w:hAnsi="Arial"/>
                <w:sz w:val="18"/>
                <w:szCs w:val="18"/>
                <w:color w:val="auto"/>
              </w:rPr>
              <w:t>Operating profit</w:t>
            </w:r>
          </w:p>
        </w:tc>
        <w:tc>
          <w:tcPr>
            <w:tcW w:w="106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(2.1)</w:t>
            </w:r>
          </w:p>
        </w:tc>
        <w:tc>
          <w:tcPr>
            <w:tcW w:w="460" w:type="dxa"/>
            <w:vAlign w:val="bottom"/>
          </w:tcPr>
          <w:p>
            <w:pPr>
              <w:spacing w:after="0"/>
              <w:rPr>
                <w:sz w:val="16"/>
                <w:szCs w:val="16"/>
                <w:color w:val="auto"/>
              </w:rPr>
            </w:pPr>
          </w:p>
        </w:tc>
        <w:tc>
          <w:tcPr>
            <w:tcW w:w="960" w:type="dxa"/>
            <w:vAlign w:val="bottom"/>
            <w:tcBorders>
              <w:top w:val="single" w:sz="8" w:color="auto"/>
            </w:tcBorders>
          </w:tcPr>
          <w:p>
            <w:pPr>
              <w:jc w:val="right"/>
              <w:ind w:right="162"/>
              <w:spacing w:after="0" w:line="195" w:lineRule="exact"/>
              <w:rPr>
                <w:sz w:val="20"/>
                <w:szCs w:val="20"/>
                <w:color w:val="auto"/>
              </w:rPr>
            </w:pPr>
            <w:r>
              <w:rPr>
                <w:rFonts w:ascii="Arial" w:cs="Arial" w:eastAsia="Arial" w:hAnsi="Arial"/>
                <w:sz w:val="18"/>
                <w:szCs w:val="18"/>
                <w:color w:val="auto"/>
              </w:rPr>
              <w:t>$ (0.5)</w:t>
            </w:r>
          </w:p>
        </w:tc>
        <w:tc>
          <w:tcPr>
            <w:tcW w:w="46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$(1.6)</w:t>
            </w: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(338.8)%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(150.4)%</w:t>
            </w:r>
          </w:p>
        </w:tc>
        <w:tc>
          <w:tcPr>
            <w:tcW w:w="1420" w:type="dxa"/>
            <w:vAlign w:val="bottom"/>
            <w:gridSpan w:val="2"/>
          </w:tcPr>
          <w:p>
            <w:pPr>
              <w:jc w:val="right"/>
              <w:ind w:right="22"/>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increase in satellite services segment operating losses of $1.6 million was primarily driven by a slight decrease in revenue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$0.4 million, an increase in cost of revenues of approximately $0.3 million, and a $1.0 million increase in SG&amp;A expense from higher selling and support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reflected in the table below, both funded and firm backlog increased during the first three months of fiscal year 2009 with the increase mainly coming from our government systems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June 27,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268.1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w:t>
            </w:r>
            <w:r>
              <w:rPr>
                <w:rFonts w:ascii="Arial" w:cs="Arial" w:eastAsia="Arial" w:hAnsi="Arial"/>
                <w:sz w:val="18"/>
                <w:szCs w:val="18"/>
                <w:u w:val="single" w:color="auto"/>
                <w:color w:val="auto"/>
              </w:rPr>
              <w:t>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230.9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6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149.6</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390.1</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firm backlog does not include contract options. Of the $427.4 million in firm backlog, approximately $254.6 million is expected to be delivered during the remaining nine months of fiscal year 2009, and the balance is expected to be delivered in fiscal year 2010 and thereafter. We include in our backlog only those orders for which we have accepted purchase orders. Compared to the last fiscal year, as more of our products have been placed into market, we have seen a greater percentage of awards from book and ship-type orders, resulting in backlog growth rate that is relatively lower than the previous three fiscal years.</w:t>
      </w:r>
    </w:p>
    <w:p>
      <w:pPr>
        <w:spacing w:after="0" w:line="80"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Total new awards for commercial, government and satellite services products were $205.9 million for the first quarter of fiscal year 2009 compared to $136.0 million for the first quarter of fiscal year 2008.</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since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purchase order.</w:t>
      </w:r>
    </w:p>
    <w:p>
      <w:pPr>
        <w:spacing w:after="0" w:line="79"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United States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cash needs of the government systems segment tend to be more a function of the type of contract rather than customer quality. Also, United States government procurement regulations tend to restrict the timing of cash payments on the contract. In the commercial networks and satellite services segments, our cash needs are driven primarily by the quality of the customer and the type of contract. The quality of the customer will typically affect the specific contract cash flow and whether financing instruments are required by the customer. In addition, the commercial networks and satellite services environment tends to provide for more flexible payment terms with customers, including advance payments. The satellite services segment is currently funding construction of a satellite and the related costs will require significant capital investment.</w:t>
      </w:r>
    </w:p>
    <w:p>
      <w:pPr>
        <w:spacing w:after="0" w:line="7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Cash provided by operating activities for the first three months of fiscal year 2009 was $0.4 million as compared to $15.8 million for the first three months of fiscal year 2008. The $15.4 million decrease in cash provided by operating activities for the first three months of fiscal year 2009 as compared to the first three months of fiscal year 2008 was primarily attributable to a year-over-year net increase of operating assets and liabilities of $19.9 million, offset by higher year-over-year net income of $2.1 million and an increase in adjustments to net income for non-cash add-backs of $2.3 million. Billed and unbilled accounts receivable decreased by $3.1 million due to collections made in our commercial networks segment spread across various consumer satellite networks customers, offset by new sales and increased unbilled accounts receivable in our government systems segment spread across various customers. Collections in excess of revenue included in accrued liabilities decreased approximately $16.6 million as we progress towards completion of certain larger development projects and as we record the related revenues, as well as the timing of any additional milestones billings.</w:t>
      </w:r>
    </w:p>
    <w:p>
      <w:pPr>
        <w:spacing w:after="0" w:line="58"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Cash used in investing activities for the first three months of fiscal year 2009 was $13.0 million as compared to $10.1 million for the first three months of fiscal year 2008. The increase in cash used in investing activities primarily relates to capital expenditures related to the construction of our ViaSat-1 satellite of approximately $10.2 million and other additional capital expenditures of approximately $2.1 million for the first three months of fiscal year 2009 compared to approximately $1.1 million of capital expenditures for the same period last year. Cash used in investing activities for the first three months of fiscal year 2008 includes $8.7 million paid in cash to certain former Efficient Channel Coding, Inc. (ECC) stockholders under the terms of the acquisition agreement for ECC and $0.3 million paid in cash to former stockholders of Enerdyne Technologies, Inc. (Enerdyne) under the terms of the Enerdyne acquisition agreement.</w:t>
      </w:r>
    </w:p>
    <w:p>
      <w:pPr>
        <w:spacing w:after="0" w:line="5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Cash used in financing activities for the first three months of fiscal year 2009 was $1.7 million as compared to cash provided by financing activities for the first three months of fiscal year 2008 of $4.1 million. The approximate $5.8 million increase in cash outflows for the first three months of fiscal year 2009 compared to the same period last year mainly relates to a $4.7 million payment on secured borrowing, offset by $1.5 million cash receipts related to the sale of stock in a majority-owned subsidiary. During April 2008, our majority-owned subsidiary, TrellisWare, issued additional shares of preferred stock and received $1.5 million in cash proceeds from other principal shareholders. We also invested $1.8 million in order to retain a constant ownership interest. In addition, cash provided by financing activities for the first three months of fiscal year 2008 includes cash proceeds of $1.3 million related to stock purchased through our employee stock purchase plan compared to no cash receipts related to stock purchases through our employee stock purchase plan for the same period this year due to the end of the purchase period falling into our second quarter of fiscal year 2009. The activity for both quarters also includes cash received from the exercise of employee stock options and cash inflows related to the incremental tax benefit from stock option exercises.</w:t>
      </w:r>
    </w:p>
    <w:p>
      <w:pPr>
        <w:spacing w:after="0" w:line="5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May 23, 2006, in connection with our ECC acquisition, we agreed under the terms of the ECC acquisition agreement to pay the maximum additional consideration amount to the former ECC stockholders in the amount of $9.0 million, which was accrued as of March 30, 2007. The $9.0 million was payable in cash or stock, at our option, in May 2007. Accordingly, on May 30, 2007, we paid approximately $9.0 million of additional cash consideration to the former stockholders of ECC. The additional purchase price consideration of $9.0 million was recorded as additional goodwill in commercial networks segment in the first quarter of fiscal year 2007.</w:t>
      </w:r>
    </w:p>
    <w:p>
      <w:pPr>
        <w:spacing w:after="0" w:line="80" w:lineRule="exact"/>
        <w:rPr>
          <w:sz w:val="20"/>
          <w:szCs w:val="20"/>
          <w:color w:val="auto"/>
        </w:rPr>
      </w:pPr>
    </w:p>
    <w:p>
      <w:pPr>
        <w:ind w:right="200" w:firstLine="215"/>
        <w:spacing w:after="0" w:line="257" w:lineRule="auto"/>
        <w:rPr>
          <w:sz w:val="20"/>
          <w:szCs w:val="20"/>
          <w:color w:val="auto"/>
        </w:rPr>
      </w:pPr>
      <w:r>
        <w:rPr>
          <w:rFonts w:ascii="Arial" w:cs="Arial" w:eastAsia="Arial" w:hAnsi="Arial"/>
          <w:sz w:val="18"/>
          <w:szCs w:val="18"/>
          <w:color w:val="auto"/>
        </w:rPr>
        <w:t>As of March 30, 2007, in connection with our Enerdyne acquisition and under the terms of the Enerdyne acquisition agreement, we owed an additional consideration amount to the former Enerdyne stockholders in the amount of $5.9 million, which was accrued and recorded as additional goodwill in the government systems segment as of March 30, 2007. The $5.9 million was payable in cash and stock in accordance with certain terms of the arrangement, in May 2007. Accordingly, on May 3, 2007, we paid $5.9 million of additional consideration to the former stockholders of Enerdyne, which was comprised of 170,763 shares of common stock and $0.3 million in cash.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(Telesat) related to our high capacity satellite system. Under the satellite construction contract with SS/L, we will purchase a new broadband satellite (ViaSat-1) designed by us and to be constructed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In addition, we entered into a beam sharing agreement with Loral, whereby Loral has agreed to reimburse us for 15% of the total costs associated with launch and launch insurance estimated to be approximately $23.1 million, and for in-orbit insurance and satellite operating costs post launch.</w:t>
      </w:r>
    </w:p>
    <w:p>
      <w:pPr>
        <w:spacing w:after="0" w:line="5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projected total cost of the ViaSat-1 project, including the satellite, launch, insurance and related gateway infrastructure, through satellite launch is estimated to be approximately $400.0 million, and will depend on the timing of the gateway infrastructure roll-out. We have a current strategy that would limit our total required investment. Our equity participation would be similar to our current cash and cash equivalents and the remaining amount may be funded by equity contributions from outside parties and/or debt collateralized by the satellite. Alternatively, we believe we have adequate sources of funding for the project, which includes our cash on hand, available borrowing capacity and the cash we expect to generate over the next few years. We believe this provides us flexibility to execute this project in an appropriate manner and obtain outside equity in the range indicated under terms that we consider reasonable.</w:t>
      </w:r>
    </w:p>
    <w:p>
      <w:pPr>
        <w:spacing w:after="0" w:line="81" w:lineRule="exact"/>
        <w:rPr>
          <w:sz w:val="20"/>
          <w:szCs w:val="20"/>
          <w:color w:val="auto"/>
        </w:rPr>
      </w:pPr>
    </w:p>
    <w:p>
      <w:pPr>
        <w:ind w:right="200" w:firstLine="215"/>
        <w:spacing w:after="0" w:line="264" w:lineRule="auto"/>
        <w:rPr>
          <w:sz w:val="20"/>
          <w:szCs w:val="20"/>
          <w:color w:val="auto"/>
        </w:rPr>
      </w:pPr>
      <w:r>
        <w:rPr>
          <w:rFonts w:ascii="Arial" w:cs="Arial" w:eastAsia="Arial" w:hAnsi="Arial"/>
          <w:sz w:val="18"/>
          <w:szCs w:val="18"/>
          <w:color w:val="auto"/>
        </w:rPr>
        <w:t>At June 27, 2008, we had $110.9 million in cash, cash equivalents and short-term investments, $248.4 million in working capital and no outstanding borrowings under our line of credit. At March 28, 2008, we had $125.2 million in cash and cash equivalents and short-term investments, $248.3 million in working capital and no outstanding borrowings under our line of credit.</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January 31, 2005, we entered into a three-year, $60 million revolving credit facility (the Facility), which was amended more recently on July 31, 2008 to extend the term of the Facility to August 29, 2008. Borrowings under the Facility are permitted up to a maximum amount of $60 million, including up to $15 million of letters of credit. Borrowings under the Facility bear interest, at our option, at either the lender’s prime rate or at LIBOR plus, in each case, an applicable margin based on the ratio of our total funded debt to EBITDA (income from operations plus depreciation and amortization). The Facility is collateralized by substantially all of our assets.</w:t>
      </w:r>
    </w:p>
    <w:p>
      <w:pPr>
        <w:spacing w:after="0" w:line="80"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Facility contains financial covenants that set a minimum EBITDA limit for the 12 month period ending on the last day of any fiscal quarter at $30 million, a minimum tangible net worth as of the last day of any fiscal quarter at $135 million, and a minimum quick ratio (sum of cash and cash equivalents, accounts receivable and marketable securities, divided by current liabilities) as of the last day of any fiscal quarter at 1.50 to 1.00. We were in compliance with our loan covenants at June 27, 2008.</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April 2007, we filed a new universal shelf registration statement with the Securities and Exchange Commission, or SEC, for the future sale of up to an additional $200 million of debt securities, common stock, preferred stock, depositary shares and warrants. Additionally, we had available $200 million of these securities, which were previously registered under shelf registration statements we filed in June 2004 and September 2001. Up to an aggregate of $400 million of the securities may now be offered from time to time, separately or together, directly by us or through underwriters at amounts, prices, interest rates and other terms to be determined at the time of the offering.</w:t>
      </w:r>
    </w:p>
    <w:p>
      <w:pPr>
        <w:spacing w:after="0" w:line="8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future capital requirements will depend upon many factors, including the timing of cash required for the ViaSat-1 satellite project and any future broadband satellite project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will be sufficient to meet our anticipated operating requirements for at least the next 12 months. However, we may sell additional equity or debt securities or obtain credit facilities to further enhance our liquidity position. The sale of additional securities could result in additional dilution of our stockholders. We invest our cash in excess of current operating requirements in short-term, interest-bearing, investment-grade securities.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For the Remainder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4"/>
              </w:rPr>
              <w:t>For the Fiscal Years Ending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2010-2011</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2012-2013</w:t>
            </w:r>
          </w:p>
        </w:tc>
        <w:tc>
          <w:tcPr>
            <w:tcW w:w="640" w:type="dxa"/>
            <w:vAlign w:val="bottom"/>
          </w:tcPr>
          <w:p>
            <w:pPr>
              <w:spacing w:after="0"/>
              <w:rPr>
                <w:sz w:val="12"/>
                <w:szCs w:val="12"/>
                <w:color w:val="auto"/>
              </w:rPr>
            </w:pPr>
          </w:p>
        </w:tc>
        <w:tc>
          <w:tcPr>
            <w:tcW w:w="7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$ 136,297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28,884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68,662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6,962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2,493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commitments including satellite procurement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350,913</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150,153</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151,880</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42,016</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$ 494,172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163,867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183,879</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35,748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and operation of our ViaSat-1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condensed consolidated balance sheets as of June 27, 2008 and March 28, 2008 include $18.3 million and $17.3 million, respectively, classified as “Other liabilities.” This caption primarily consists of our long-term warranty obligations, deferred lease credits, long-term portion of our secured borrowing, and long-term unrecognized tax position liabilities. These remaining liabilities have been excluded from the above table as the timing and/or the amount of any cash payment is uncertain. See Note 10 of the notes to consolidated financial statements for additional information regarding our income taxes and related tax positions and Note 8 for a discussion of our product warranties.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September 2006, the FASB issued SFAS 157, “Fair Value Measurements.” SFAS 157 defines fair value, establishes guidelines for measuring fair value, and expands disclosures about fair value measurements. In February 2008, the FASB issued FSP 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FAS 157-2, “Effective Date of FASB Statement No. 157,” which delays the effective date of SFAS 157 until the first quarter of fiscal 2010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is effective for financial statements issued for fiscal years beginning after November 15, 2007 (our fiscal year 2009), and interim periods within those fiscal years. Adoption of this statement for non-financial assets and liabilities is required for an entity’s first fiscal year that begins after November 15, 2008 (our fiscal year 2010). We adopted this standard for financial assets and liabilities in the current year without any material impact to our consolidated financial statements. We are currently evaluating the impact that SFAS 157 will have on our consolidated financial statements when it is applied to non-financial assets and non-financial liabilities that are not measured at fair value on a recurring basis beginning in first quarter of fiscal year 2010.</w:t>
      </w:r>
    </w:p>
    <w:p>
      <w:pPr>
        <w:spacing w:after="0" w:line="6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 which permits entities to choose to measure many financial instruments and certain other items at fair value that are not currently required to be measured at fair value. As we did not elect to fair value any of our financial instruments under the provisions of SFAS 159, the adoption of this statement effective March 29, 2008 did not have an impact on our financial statements.</w:t>
      </w:r>
    </w:p>
    <w:p>
      <w:pPr>
        <w:spacing w:after="0" w:line="7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to Be Used in Future Research and Development Activities.” This issue provides that nonrefundable advance payments for goods or services that will be used or rendered for future research and development activities should be deferred and capitalized. Such amounts should be recognized as an expense as the related goods are delivered or the related services are performed. EITF 07-3 is effective for us in fiscal year 2009. We adopted this standard in the current year without any material impact to the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SFAS 141R will be effective for us in fiscal year 2010. We are currently evaluating the impact of SFAS 141R.</w:t>
      </w:r>
    </w:p>
    <w:p>
      <w:pPr>
        <w:spacing w:after="0" w:line="6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 — an amendment of ARB No. 51.” SFAS 160, which changes the accounting and reporting for business acquisitions and non-controlling interests in subsidiaries,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us in fiscal year 2010. We are currently evaluating the impact that SFAS 160 will have on our financial statements and disclosures.</w:t>
      </w:r>
    </w:p>
    <w:p>
      <w:pPr>
        <w:spacing w:after="0" w:line="50"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In March 2008, the FASB issued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No. 133 and its related interpretations, and a tabular disclosure of the effects of such instruments and related hedged items on our financial position, financial performance, and cash flows. SFAS 161 will be effective for us in fiscal year 2010. We are currently assessing the potential impact that adoption of SFAS 161 may have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had no material off-balance sheet arrangements at June 27, 2008 as defined in Regulation S-K Item 303(a)(4) other than as discussed under Contractual Obligations above or disclosed in the notes to our financial statements included in this Quarterly Report or in our Annual Report on Form 10-K for the year ended March 28,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Our financial instruments consist of cash and cash equivalents, short-term investments, trade accounts receivable, accounts payable, and short-term obligations including the revolving line of credit. We consider investments in highly liquid instruments purchased with a remaining maturity of 90 days or less at the date of purchase to be cash equivalents. Our exposure to market risk for changes in interest rates relates primarily to short-term investments and short-term obligations. As a result, we do not expect fluctuations in interest rates to have a material impact on the fair value of these securities.</w:t>
      </w:r>
    </w:p>
    <w:p>
      <w:pPr>
        <w:spacing w:after="0" w:line="46"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As of June 27, 2008, there were no foreign currency exchange contracts outstanding. From time to time, we enter into foreign currency exchange contracts to reduce the foreign currency risk for amounts payable to vendors in Euros.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Securities and Exchange Commission’s rules and forms. We carried out an evaluation, with the participation of our management, including our Chief Executive Officer and Chief Financial Officer, of the effectiveness of our disclosure controls and procedures as of June 27, 2008, the end of the period covered by this Quarterly Report. Based on that evaluation, our Chief Executive Officer and Chief Financial Officer concluded that our disclosure controls and procedures were effective at the reasonable assurance level as of June 27, 2008.</w:t>
      </w:r>
    </w:p>
    <w:p>
      <w:pPr>
        <w:spacing w:after="0" w:line="85"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not determinable, we do not expect that the ultimate costs to resolve these matters will have a material adverse effect on our consolidated financial position, results of operations or liquidity. For additional information regarding our current litigation, see “Note 9 — Commitments and Contingencies” in the “Notes to Condensed Consolidated Financial Statements” of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in Part I, Item 1A, “Risk Factors” in our Annual Report on Form 10-K for the fiscal year ended March 28, 2008, which could materially affect our business, financial condition or future results. The risks described in this Quarterly Report and in our Annual Report on Form 10-K are not the only risks facing the Company. Additional risks and uncertainties not currently known to us or that we currently deem to be immaterial also may materially adversely affect our business, financial condition or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July 31, 2008, we amended the Second Amended and Restated Revolving Loan Agreement dated January 31, 2005 among ViaSat, Union Bank of California, N.A. and Comerica Bank to extend the agreement’s current terms and conditions to August 29, 2008. The foregoing discussion does not purport to be complete and is qualified in its entirety by reference to the Fourth Amendment to Second Amended and Restated Revolving Loan Agreement, a copy of which is attached to this Quarterly Report as Exhibit 10.1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33 is incorporated herein by reference as the list of exhibits required as part of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2008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3"/>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1"/>
              </w:rPr>
              <w:t>Fourth Amendment to Second Amended and Restated Revolving Loan Agreement dated July 31, 2008 between ViaSat,Inc. and Union Bank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California, N.A. and Comerica Bank.</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Certifications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SECOND AMENDED AND RESTATED REVOLVING LOAN AGREEMENT</w:t>
      </w:r>
    </w:p>
    <w:p>
      <w:pPr>
        <w:spacing w:after="0" w:line="103"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This Fourth Amendment to Second Amended and Restated Revolving Loan Agreement (this “Amendment”) is entered into as of July 31, 2008, by and between ViaSat, Inc., a Delaware corporation (“Borrower”), each lender from time to time party to the Credit Agreement (as defined below) (collectively, the “Lenders” and individually, a “Lender”), UNION BANK OF CALIFORNIA, N.A., as Administrative Agent (in such capacity, “Administrative Agent”) and COMERICA BANK, as Collateral Agent (in such capacity, “Collateral Agent;” collectively with Administrative Agent, the “Agents”).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Borrower, Agents and the Lenders are parties to that certain Second Amended and Restated Revolving Loan Agreement dated as of January 31, 2005, as amended from time to time, including by that certain First Amendment to Second Amended and Restated Revolving Loan Agreement dated as of December 22, 2006, that certain Second Amendment to Second Amended and Restated Revolving Loan Agreement dated as of January 25, 2008 and that certain Third Amendment to Second Amended and Restated Revolving Loan Agreement dated as of April 24, 2008 (collectively, the “Credit Agreement”). The parties desire to amend the Credit Agreement in accordance with the terms of this Amendment. Unless otherwise defined, all initially capitalized terms in this Amendment shall be as defined in the Credit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parties agree as follows:</w:t>
      </w:r>
    </w:p>
    <w:p>
      <w:pPr>
        <w:spacing w:after="0" w:line="117" w:lineRule="exact"/>
        <w:rPr>
          <w:sz w:val="20"/>
          <w:szCs w:val="20"/>
          <w:color w:val="auto"/>
        </w:rPr>
      </w:pPr>
    </w:p>
    <w:p>
      <w:pPr>
        <w:ind w:left="460" w:right="3420" w:hanging="227"/>
        <w:spacing w:after="0" w:line="375" w:lineRule="auto"/>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defined term in Section 1.1 of the Credit Agreement hereby is amended to read as follows: “</w:t>
      </w:r>
      <w:r>
        <w:rPr>
          <w:rFonts w:ascii="Arial" w:cs="Arial" w:eastAsia="Arial" w:hAnsi="Arial"/>
          <w:sz w:val="18"/>
          <w:szCs w:val="18"/>
          <w:u w:val="single" w:color="auto"/>
          <w:color w:val="auto"/>
        </w:rPr>
        <w:t>Revolving Loan Maturity Date</w:t>
      </w:r>
      <w:r>
        <w:rPr>
          <w:rFonts w:ascii="Arial" w:cs="Arial" w:eastAsia="Arial" w:hAnsi="Arial"/>
          <w:sz w:val="18"/>
          <w:szCs w:val="18"/>
          <w:color w:val="auto"/>
        </w:rPr>
        <w:t>” means August 29, 2008.</w:t>
      </w:r>
    </w:p>
    <w:p>
      <w:pPr>
        <w:spacing w:after="0" w:line="1" w:lineRule="exact"/>
        <w:rPr>
          <w:rFonts w:ascii="Arial" w:cs="Arial" w:eastAsia="Arial" w:hAnsi="Arial"/>
          <w:sz w:val="18"/>
          <w:szCs w:val="18"/>
          <w:color w:val="auto"/>
        </w:rPr>
      </w:pPr>
    </w:p>
    <w:p>
      <w:pPr>
        <w:ind w:right="20" w:firstLine="233"/>
        <w:spacing w:after="0" w:line="257"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course of dealing on the part of Lenders, Agents or their officers, nor any failure or delay in the exercise of any right by any Agent or any Lender, shall operate as a waiver thereof, and any single or partial exercise of any such right shall not preclude any later exercise of any such right. Agents’ or Lenders’ failure at any time to require strict performance by Borrower of any provision of any Loan Document shall not affect any right of Lenders or Agents thereafter to demand strict compliance and performance. Any suspension or waiver of a right must be in writing signed by an officer of Administrative Agent, in accordance with the terms of the Credit Agreement.</w:t>
      </w:r>
    </w:p>
    <w:p>
      <w:pPr>
        <w:spacing w:after="0" w:line="80" w:lineRule="exact"/>
        <w:rPr>
          <w:rFonts w:ascii="Arial" w:cs="Arial" w:eastAsia="Arial" w:hAnsi="Arial"/>
          <w:sz w:val="18"/>
          <w:szCs w:val="18"/>
          <w:color w:val="auto"/>
        </w:rPr>
      </w:pPr>
    </w:p>
    <w:p>
      <w:pPr>
        <w:ind w:firstLine="233"/>
        <w:spacing w:after="0" w:line="312" w:lineRule="auto"/>
        <w:tabs>
          <w:tab w:leader="none" w:pos="40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Credit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Agents or Lenders under the Credit Agreement, as in effect prior to the date hereof.</w:t>
      </w:r>
    </w:p>
    <w:p>
      <w:pPr>
        <w:spacing w:after="0" w:line="38" w:lineRule="exact"/>
        <w:rPr>
          <w:rFonts w:ascii="Arial" w:cs="Arial" w:eastAsia="Arial" w:hAnsi="Arial"/>
          <w:sz w:val="16"/>
          <w:szCs w:val="16"/>
          <w:color w:val="auto"/>
        </w:rPr>
      </w:pPr>
    </w:p>
    <w:p>
      <w:pPr>
        <w:ind w:firstLine="233"/>
        <w:spacing w:after="0" w:line="264"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Representations and Warranties contained in the Credit Agreement or in any other document or documents relating thereto shall survive the execution and delivery of this Amendment. The Borrower is not aware of any events which now constitute, or with the passage of time or the giving of notice, or both, would constitute, an Event of Default under the Credit Agreement.</w:t>
      </w:r>
    </w:p>
    <w:p>
      <w:pPr>
        <w:spacing w:after="0" w:line="73" w:lineRule="exact"/>
        <w:rPr>
          <w:rFonts w:ascii="Arial" w:cs="Arial" w:eastAsia="Arial" w:hAnsi="Arial"/>
          <w:sz w:val="18"/>
          <w:szCs w:val="18"/>
          <w:color w:val="auto"/>
        </w:rPr>
      </w:pPr>
    </w:p>
    <w:p>
      <w:pPr>
        <w:ind w:right="160" w:firstLine="233"/>
        <w:spacing w:after="0" w:line="277"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condition to the effectiveness of this Amendment, Administrative Agent shall have received, in form and substance satisfactory to Administrative Agent, the following:</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Amendment, duly executed by Borrower, Collateral Agent and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left="920" w:hanging="237"/>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Affirmation of Subsidiary Guaranty and Security Agreement, duly executed by Guarantor;</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reasonable attorneys’ fees and costs incurred through the date of this Amendment, which may be debited from any of Borrower’s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940" w:hanging="257"/>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such other documents, and completion of such other matters, as Agent may reasonably deem necessary or appropriate.</w:t>
      </w:r>
    </w:p>
    <w:p>
      <w:pPr>
        <w:spacing w:after="0" w:line="117" w:lineRule="exact"/>
        <w:rPr>
          <w:rFonts w:ascii="Arial" w:cs="Arial" w:eastAsia="Arial" w:hAnsi="Arial"/>
          <w:sz w:val="18"/>
          <w:szCs w:val="18"/>
          <w:color w:val="auto"/>
        </w:rPr>
      </w:pPr>
    </w:p>
    <w:p>
      <w:pPr>
        <w:ind w:firstLine="233"/>
        <w:spacing w:after="0" w:line="277"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WITNESS WHEREOF, the undersigned have executed this Amendment as of the first date above written.</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Ronald G. Wangerin</w:t>
      </w:r>
    </w:p>
    <w:p>
      <w:pPr>
        <w:spacing w:after="0" w:line="23"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18"/>
          <w:szCs w:val="18"/>
          <w:color w:val="auto"/>
        </w:rPr>
        <w:t>By:</w:t>
        <w:tab/>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-130810</wp:posOffset>
            </wp:positionV>
            <wp:extent cx="2838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UNION BANK OF CALIFORNIA, N.A.</w:t>
      </w:r>
      <w:r>
        <w:rPr>
          <w:rFonts w:ascii="Arial" w:cs="Arial" w:eastAsia="Arial" w:hAnsi="Arial"/>
          <w:sz w:val="17"/>
          <w:szCs w:val="17"/>
          <w:color w:val="auto"/>
        </w:rPr>
        <w:t>, as Administrative</w:t>
      </w:r>
    </w:p>
    <w:p>
      <w:pPr>
        <w:spacing w:after="0" w:line="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Mark Adelman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Collateral Agent</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Tomas J. Schmidt</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Tomas J.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Fourth Amendment</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i w:val="1"/>
          <w:iCs w:val="1"/>
          <w:color w:val="auto"/>
        </w:rPr>
        <w:t>to Second Amended and Restated Revolving Loan Agreement</w:t>
      </w:r>
      <w:r>
        <w:rPr>
          <w:rFonts w:ascii="Arial" w:cs="Arial" w:eastAsia="Arial" w:hAnsi="Arial"/>
          <w:sz w:val="18"/>
          <w:szCs w:val="18"/>
          <w:b w:val="1"/>
          <w:bCs w:val="1"/>
          <w:color w:val="auto"/>
        </w:rPr>
        <w:t>]</w:t>
      </w:r>
    </w:p>
    <w:p>
      <w:pPr>
        <w:spacing w:after="0" w:line="9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Signatures Continued Next Page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409575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38" w:name="page39"/>
    <w:bookmarkEnd w:id="38"/>
    <w:p>
      <w:pPr>
        <w:ind w:left="3920"/>
        <w:spacing w:after="0"/>
        <w:rPr>
          <w:sz w:val="20"/>
          <w:szCs w:val="20"/>
          <w:color w:val="auto"/>
        </w:rPr>
      </w:pPr>
      <w:r>
        <w:rPr>
          <w:rFonts w:ascii="Arial" w:cs="Arial" w:eastAsia="Arial" w:hAnsi="Arial"/>
          <w:sz w:val="17"/>
          <w:szCs w:val="17"/>
          <w:b w:val="1"/>
          <w:bCs w:val="1"/>
          <w:color w:val="auto"/>
        </w:rPr>
        <w:t>UNION BANK OF CALIFORNIA, N.A.</w:t>
      </w:r>
      <w:r>
        <w:rPr>
          <w:rFonts w:ascii="Arial" w:cs="Arial" w:eastAsia="Arial" w:hAnsi="Arial"/>
          <w:sz w:val="17"/>
          <w:szCs w:val="17"/>
          <w:color w:val="auto"/>
        </w:rPr>
        <w:t>, as a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Mark Adelman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Lender</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Tomas J. Schmidt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Tomas J.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WACHOVIA BANK, N.A.</w:t>
      </w:r>
      <w:r>
        <w:rPr>
          <w:rFonts w:ascii="Arial" w:cs="Arial" w:eastAsia="Arial" w:hAnsi="Arial"/>
          <w:sz w:val="18"/>
          <w:szCs w:val="18"/>
          <w:color w:val="auto"/>
        </w:rPr>
        <w:t>, as a Lender</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Robert G. McGill Jr.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G. McGill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to Second Amended and Restated Revolving Loan Agreement</w:t>
      </w:r>
      <w:r>
        <w:rPr>
          <w:rFonts w:ascii="Arial" w:cs="Arial" w:eastAsia="Arial" w:hAnsi="Arial"/>
          <w:sz w:val="15"/>
          <w:szCs w:val="15"/>
          <w:b w:val="1"/>
          <w:bCs w:val="1"/>
          <w:color w:val="auto"/>
        </w:rPr>
        <w:t>]</w:t>
      </w:r>
    </w:p>
    <w:p>
      <w:pPr>
        <w:sectPr>
          <w:pgSz w:w="11900" w:h="16838" w:orient="portrait"/>
          <w:cols w:equalWidth="0" w:num="1">
            <w:col w:w="9019"/>
          </w:cols>
          <w:pgMar w:left="1440" w:top="1148"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180" w:firstLine="221"/>
        <w:spacing w:after="0" w:line="277" w:lineRule="auto"/>
        <w:tabs>
          <w:tab w:leader="none" w:pos="7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27, 2008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180" w:firstLine="221"/>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27, 2008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decimal"/>
      <w:start w:val="1"/>
    </w:lvl>
    <w:lvl w:ilvl="1">
      <w:lvlJc w:val="left"/>
      <w:lvlText w:val="(%2)"/>
      <w:numFmt w:val="lowerLetter"/>
      <w:start w:val="4"/>
    </w:lvl>
  </w:abstractNum>
  <w:abstractNum w:abstractNumId="8">
    <w:nsid w:val="1F16E9E8"/>
    <w:multiLevelType w:val="hybridMultilevel"/>
    <w:lvl w:ilvl="0">
      <w:lvlJc w:val="left"/>
      <w:lvlText w:val="%1."/>
      <w:numFmt w:val="decimal"/>
      <w:start w:val="6"/>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2019-12-13T17:14:32Z</dcterms:created>
  <dcterms:modified xsi:type="dcterms:W3CDTF">2019-12-13T17:14:32Z</dcterms:modified>
</cp:coreProperties>
</file>