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2, 2010.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440" w:type="dxa"/>
            <w:vAlign w:val="bottom"/>
            <w:gridSpan w:val="4"/>
          </w:tcPr>
          <w:p>
            <w:pPr>
              <w:ind w:left="520"/>
              <w:spacing w:after="0"/>
              <w:rPr>
                <w:sz w:val="20"/>
                <w:szCs w:val="20"/>
                <w:color w:val="auto"/>
              </w:rPr>
            </w:pPr>
            <w:r>
              <w:rPr>
                <w:rFonts w:ascii="Arial" w:cs="Arial" w:eastAsia="Arial" w:hAnsi="Arial"/>
                <w:sz w:val="18"/>
                <w:szCs w:val="18"/>
                <w:b w:val="1"/>
                <w:bCs w:val="1"/>
                <w:color w:val="auto"/>
                <w:w w:val="90"/>
              </w:rPr>
              <w:t>Commission File Number (000-21767)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0"/>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91" w:lineRule="exact"/>
        <w:rPr>
          <w:sz w:val="20"/>
          <w:szCs w:val="20"/>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80" w:space="720"/>
            <w:col w:w="1460" w:space="720"/>
            <w:col w:w="3340" w:space="460"/>
            <w:col w:w="2220"/>
          </w:cols>
          <w:pgMar w:left="240" w:top="122" w:right="259" w:bottom="1440" w:gutter="0" w:footer="0" w:header="0"/>
          <w:type w:val="continuous"/>
        </w:sectPr>
      </w:pPr>
    </w:p>
    <w:p>
      <w:pPr>
        <w:ind w:left="220" w:right="2080" w:firstLine="3"/>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July 30, 2010 was 40,585,949.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20" w:type="dxa"/>
            <w:vAlign w:val="bottom"/>
            <w:gridSpan w:val="3"/>
          </w:tcPr>
          <w:p>
            <w:pPr>
              <w:jc w:val="center"/>
              <w:ind w:right="4120"/>
              <w:spacing w:after="0"/>
              <w:rPr>
                <w:sz w:val="20"/>
                <w:szCs w:val="20"/>
                <w:color w:val="auto"/>
              </w:rPr>
            </w:pPr>
            <w:r>
              <w:rPr>
                <w:rFonts w:ascii="Arial" w:cs="Arial" w:eastAsia="Arial" w:hAnsi="Arial"/>
                <w:sz w:val="18"/>
                <w:szCs w:val="18"/>
                <w:b w:val="1"/>
                <w:bCs w:val="1"/>
                <w:color w:val="auto"/>
                <w:w w:val="99"/>
              </w:rPr>
              <w:t>VIASAT, INC.</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4"/>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60" w:type="dxa"/>
            <w:vAlign w:val="bottom"/>
            <w:gridSpan w:val="8"/>
            <w:vMerge w:val="restart"/>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1"/>
            <w:vMerge w:val="continue"/>
          </w:tcPr>
          <w:p>
            <w:pPr>
              <w:spacing w:after="0"/>
              <w:rPr>
                <w:sz w:val="14"/>
                <w:szCs w:val="14"/>
                <w:color w:val="auto"/>
              </w:rPr>
            </w:pPr>
          </w:p>
        </w:tc>
        <w:tc>
          <w:tcPr>
            <w:tcW w:w="7560" w:type="dxa"/>
            <w:vAlign w:val="bottom"/>
            <w:gridSpan w:val="8"/>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76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Equity and Comprehensive Income</w:t>
              </w:r>
            </w:hyperlink>
          </w:p>
        </w:tc>
        <w:tc>
          <w:tcPr>
            <w:tcW w:w="508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36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8"/>
          </w:tcPr>
          <w:p>
            <w:pPr>
              <w:spacing w:after="0"/>
              <w:rPr>
                <w:sz w:val="17"/>
                <w:szCs w:val="17"/>
                <w:color w:val="auto"/>
              </w:rPr>
            </w:pPr>
          </w:p>
        </w:tc>
        <w:tc>
          <w:tcPr>
            <w:tcW w:w="572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786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1. Legal Proceedings</w:t>
              </w:r>
            </w:hyperlink>
          </w:p>
        </w:tc>
        <w:tc>
          <w:tcPr>
            <w:tcW w:w="87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1A. Risk Factors</w:t>
              </w:r>
            </w:hyperlink>
          </w:p>
        </w:tc>
        <w:tc>
          <w:tcPr>
            <w:tcW w:w="90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0">
              <w:r>
                <w:rPr>
                  <w:rFonts w:ascii="Arial" w:cs="Arial" w:eastAsia="Arial" w:hAnsi="Arial"/>
                  <w:sz w:val="18"/>
                  <w:szCs w:val="18"/>
                  <w:color w:val="0000EE"/>
                  <w:w w:val="85"/>
                </w:rPr>
                <w:t>Signatures</w:t>
              </w:r>
            </w:hyperlink>
          </w:p>
        </w:tc>
        <w:tc>
          <w:tcPr>
            <w:tcW w:w="180" w:type="dxa"/>
            <w:vAlign w:val="bottom"/>
            <w:tcBorders>
              <w:top w:val="single" w:sz="8" w:color="0000EE"/>
            </w:tcBorders>
          </w:tcPr>
          <w:p>
            <w:pPr>
              <w:spacing w:after="0"/>
              <w:rPr>
                <w:sz w:val="17"/>
                <w:szCs w:val="17"/>
                <w:color w:val="auto"/>
              </w:rPr>
            </w:pPr>
          </w:p>
        </w:tc>
        <w:tc>
          <w:tcPr>
            <w:tcW w:w="948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EX-32.1</w:t>
            </w:r>
          </w:p>
        </w:tc>
        <w:tc>
          <w:tcPr>
            <w:tcW w:w="9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July 2, 2010</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April 2,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8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57,331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161,808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88,466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17,346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22,165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347,116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516,202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163,853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84,779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75,012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84,825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1,271,787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0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73,226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170,994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180,606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271,924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498,356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536,802</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561,423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221,868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Common stock held in treasury</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(13,843)</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769,547</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773,431</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1,271,787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 2010</w:t>
            </w: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except per share data)</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w w:val="92"/>
              </w:rPr>
              <w:t>125,002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67,002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192,004</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158,408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94,714</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39,062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38,921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7,314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7,383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360" w:type="dxa"/>
            <w:vAlign w:val="bottom"/>
            <w:gridSpan w:val="2"/>
          </w:tcPr>
          <w:p>
            <w:pPr>
              <w:jc w:val="right"/>
              <w:ind w:right="608"/>
              <w:spacing w:after="0"/>
              <w:rPr>
                <w:sz w:val="20"/>
                <w:szCs w:val="20"/>
                <w:color w:val="auto"/>
              </w:rPr>
            </w:pPr>
            <w:r>
              <w:rPr>
                <w:rFonts w:ascii="Arial" w:cs="Arial" w:eastAsia="Arial" w:hAnsi="Arial"/>
                <w:sz w:val="18"/>
                <w:szCs w:val="18"/>
                <w:color w:val="auto"/>
              </w:rPr>
              <w:t>(2,141)</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5,381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Less: Net income attributable to the noncontrolling interest, net of tax</w:t>
            </w:r>
          </w:p>
        </w:tc>
        <w:tc>
          <w:tcPr>
            <w:tcW w:w="120" w:type="dxa"/>
            <w:vAlign w:val="bottom"/>
          </w:tcPr>
          <w:p>
            <w:pPr>
              <w:spacing w:after="0"/>
              <w:rPr>
                <w:sz w:val="18"/>
                <w:szCs w:val="18"/>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3,261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80" w:type="dxa"/>
            <w:vAlign w:val="bottom"/>
            <w:gridSpan w:val="2"/>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908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20" w:type="dxa"/>
            <w:vAlign w:val="bottom"/>
          </w:tcPr>
          <w:p>
            <w:pPr>
              <w:spacing w:after="0"/>
              <w:rPr>
                <w:sz w:val="24"/>
                <w:szCs w:val="24"/>
                <w:color w:val="auto"/>
              </w:rPr>
            </w:pPr>
          </w:p>
        </w:tc>
        <w:tc>
          <w:tcPr>
            <w:tcW w:w="1360" w:type="dxa"/>
            <w:vAlign w:val="bottom"/>
            <w:gridSpan w:val="2"/>
          </w:tcPr>
          <w:p>
            <w:pPr>
              <w:jc w:val="right"/>
              <w:ind w:right="668"/>
              <w:spacing w:after="0"/>
              <w:rPr>
                <w:sz w:val="20"/>
                <w:szCs w:val="20"/>
                <w:color w:val="auto"/>
              </w:rPr>
            </w:pPr>
            <w:r>
              <w:rPr>
                <w:rFonts w:ascii="Arial" w:cs="Arial" w:eastAsia="Arial" w:hAnsi="Arial"/>
                <w:sz w:val="18"/>
                <w:szCs w:val="18"/>
                <w:color w:val="auto"/>
              </w:rPr>
              <w:t>39,968</w:t>
            </w: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42,125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8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July 2, 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2"/>
                <w:szCs w:val="12"/>
                <w:color w:val="auto"/>
              </w:rPr>
            </w:pPr>
          </w:p>
        </w:tc>
      </w:tr>
      <w:tr>
        <w:trPr>
          <w:trHeight w:val="142"/>
        </w:trPr>
        <w:tc>
          <w:tcPr>
            <w:tcW w:w="8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center"/>
              <w:ind w:left="39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3,400</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8,292</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(used in)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20,409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w:t>
            </w: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Other non-cash adjustments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14,271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(19,545)</w:t>
            </w:r>
          </w:p>
        </w:tc>
      </w:tr>
      <w:tr>
        <w:trPr>
          <w:trHeight w:val="216"/>
        </w:trPr>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w:t>
            </w:r>
          </w:p>
        </w:tc>
      </w:tr>
      <w:tr>
        <w:trPr>
          <w:trHeight w:val="216"/>
        </w:trPr>
        <w:tc>
          <w:tcPr>
            <w:tcW w:w="80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4,345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r>
      <w:tr>
        <w:trPr>
          <w:trHeight w:val="216"/>
        </w:trPr>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(1,569)</w:t>
            </w:r>
          </w:p>
        </w:tc>
      </w:tr>
      <w:tr>
        <w:trPr>
          <w:trHeight w:val="216"/>
        </w:trPr>
        <w:tc>
          <w:tcPr>
            <w:tcW w:w="80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(4,795)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(1,658)</w:t>
            </w:r>
          </w:p>
        </w:tc>
      </w:tr>
      <w:tr>
        <w:trPr>
          <w:trHeight w:val="216"/>
        </w:trPr>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8040" w:type="dxa"/>
            <w:vAlign w:val="bottom"/>
          </w:tcPr>
          <w:p>
            <w:pPr>
              <w:ind w:left="620"/>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Purchase of property, equipment and satellites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(41,306)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(31,734)</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patents, licenses and other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(3,007)</w:t>
            </w:r>
          </w:p>
        </w:tc>
      </w:tr>
      <w:tr>
        <w:trPr>
          <w:trHeight w:val="223"/>
        </w:trPr>
        <w:tc>
          <w:tcPr>
            <w:tcW w:w="8040" w:type="dxa"/>
            <w:vAlign w:val="bottom"/>
          </w:tcPr>
          <w:p>
            <w:pPr>
              <w:ind w:left="62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(45,157)</w:t>
            </w:r>
          </w:p>
        </w:tc>
        <w:tc>
          <w:tcPr>
            <w:tcW w:w="3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(34,741)</w:t>
            </w:r>
          </w:p>
        </w:tc>
        <w:tc>
          <w:tcPr>
            <w:tcW w:w="100" w:type="dxa"/>
            <w:vAlign w:val="bottom"/>
          </w:tcPr>
          <w:p>
            <w:pPr>
              <w:spacing w:after="0"/>
              <w:rPr>
                <w:sz w:val="19"/>
                <w:szCs w:val="19"/>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Payments on line of credit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(30,000)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line of credit borrowings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(2,339)</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equity plans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Purchase of common stock in treasury</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(1,816)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(1,272)</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Incremental tax benefits from stock-based compensation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23"/>
        </w:trPr>
        <w:tc>
          <w:tcPr>
            <w:tcW w:w="8040" w:type="dxa"/>
            <w:vAlign w:val="bottom"/>
          </w:tcPr>
          <w:p>
            <w:pPr>
              <w:ind w:left="62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(25,618)</w:t>
            </w:r>
          </w:p>
        </w:tc>
        <w:tc>
          <w:tcPr>
            <w:tcW w:w="3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80,440</w:t>
            </w:r>
          </w:p>
        </w:tc>
        <w:tc>
          <w:tcPr>
            <w:tcW w:w="100" w:type="dxa"/>
            <w:vAlign w:val="bottom"/>
          </w:tcPr>
          <w:p>
            <w:pPr>
              <w:spacing w:after="0"/>
              <w:rPr>
                <w:sz w:val="19"/>
                <w:szCs w:val="19"/>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(32,300)</w:t>
            </w:r>
          </w:p>
        </w:tc>
        <w:tc>
          <w:tcPr>
            <w:tcW w:w="3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40,781</w:t>
            </w:r>
          </w:p>
        </w:tc>
        <w:tc>
          <w:tcPr>
            <w:tcW w:w="100" w:type="dxa"/>
            <w:vAlign w:val="bottom"/>
          </w:tcPr>
          <w:p>
            <w:pPr>
              <w:spacing w:after="0"/>
              <w:rPr>
                <w:sz w:val="19"/>
                <w:szCs w:val="19"/>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89,631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63,491</w:t>
            </w: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57,331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104,272</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Issuance of stock in satisfaction of certain accrued employee compensation liabilities</w:t>
            </w:r>
          </w:p>
        </w:tc>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5,096</w:t>
            </w:r>
          </w:p>
        </w:tc>
        <w:tc>
          <w:tcPr>
            <w:tcW w:w="36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ViaSat, Inc. Stockholders</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4"/>
          </w:tcPr>
          <w:p>
            <w:pPr>
              <w:jc w:val="right"/>
              <w:ind w:right="560"/>
              <w:spacing w:after="0" w:line="119" w:lineRule="exact"/>
              <w:rPr>
                <w:sz w:val="20"/>
                <w:szCs w:val="20"/>
                <w:color w:val="auto"/>
              </w:rPr>
            </w:pPr>
            <w:r>
              <w:rPr>
                <w:rFonts w:ascii="Arial" w:cs="Arial" w:eastAsia="Arial" w:hAnsi="Arial"/>
                <w:sz w:val="13"/>
                <w:szCs w:val="13"/>
                <w:b w:val="1"/>
                <w:bCs w:val="1"/>
                <w:color w:val="auto"/>
              </w:rPr>
              <w:t>Common Stock</w:t>
            </w: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in Treasury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Number of</w:t>
            </w:r>
          </w:p>
        </w:tc>
        <w:tc>
          <w:tcPr>
            <w:tcW w:w="8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9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2, 2010</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40,199,770</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4</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9"/>
              </w:rPr>
              <w:t>$ 545,962</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w w:val="94"/>
              </w:rPr>
              <w:t>218,607</w:t>
            </w: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(407,137)</w:t>
            </w:r>
          </w:p>
        </w:tc>
        <w:tc>
          <w:tcPr>
            <w:tcW w:w="8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90"/>
              </w:rPr>
              <w:t>$ (12,027)</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3,745</w:t>
            </w:r>
          </w:p>
        </w:tc>
        <w:tc>
          <w:tcPr>
            <w:tcW w:w="98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$ 756,750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193,218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4,256</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stock under</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Employee Stock</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Plan</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73,503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1,942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tcPr>
          <w:p>
            <w:pPr>
              <w:ind w:left="200"/>
              <w:spacing w:after="0"/>
              <w:rPr>
                <w:sz w:val="20"/>
                <w:szCs w:val="20"/>
                <w:color w:val="auto"/>
              </w:rPr>
            </w:pPr>
            <w:r>
              <w:rPr>
                <w:rFonts w:ascii="Arial" w:cs="Arial" w:eastAsia="Arial" w:hAnsi="Arial"/>
                <w:sz w:val="14"/>
                <w:szCs w:val="14"/>
                <w:color w:val="auto"/>
              </w:rPr>
              <w:t>expense</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4,167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color w:val="auto"/>
              </w:rPr>
              <w:t>4,167</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in settlement</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certain accrued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employee compensation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liabilities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162,870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5,096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RSU awards vesting</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143,860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treasury shares</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pursuant to vesting of</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certain RSU agreements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(56,368)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(1,816)</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(1,816)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3,400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Hedging transactions, net</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tax</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ind w:left="200"/>
              <w:spacing w:after="0"/>
              <w:rPr>
                <w:sz w:val="20"/>
                <w:szCs w:val="20"/>
                <w:color w:val="auto"/>
              </w:rPr>
            </w:pPr>
            <w:r>
              <w:rPr>
                <w:rFonts w:ascii="Arial" w:cs="Arial" w:eastAsia="Arial" w:hAnsi="Arial"/>
                <w:sz w:val="14"/>
                <w:szCs w:val="14"/>
                <w:color w:val="auto"/>
              </w:rPr>
              <w:t>translation, net of tax</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8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spacing w:after="0"/>
              <w:rPr>
                <w:sz w:val="20"/>
                <w:szCs w:val="20"/>
                <w:color w:val="auto"/>
              </w:rPr>
            </w:pPr>
            <w:r>
              <w:rPr>
                <w:rFonts w:ascii="Arial" w:cs="Arial" w:eastAsia="Arial" w:hAnsi="Arial"/>
                <w:sz w:val="14"/>
                <w:szCs w:val="14"/>
                <w:color w:val="auto"/>
              </w:rPr>
              <w:t>Balance at July 2, 2010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40,773,221</w:t>
            </w:r>
          </w:p>
        </w:tc>
        <w:tc>
          <w:tcPr>
            <w:tcW w:w="120" w:type="dxa"/>
            <w:vAlign w:val="bottom"/>
          </w:tcPr>
          <w:p>
            <w:pPr>
              <w:spacing w:after="0" w:line="20" w:lineRule="exact"/>
              <w:rPr>
                <w:sz w:val="1"/>
                <w:szCs w:val="1"/>
                <w:color w:val="auto"/>
              </w:rPr>
            </w:pPr>
          </w:p>
        </w:tc>
        <w:tc>
          <w:tcPr>
            <w:tcW w:w="40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4</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89"/>
              </w:rPr>
              <w:t>$ 561,423</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4"/>
              </w:rPr>
              <w:t>221,868</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(463,505)</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0"/>
              </w:rPr>
              <w:t>$ (13,843)</w:t>
            </w:r>
          </w:p>
        </w:tc>
        <w:tc>
          <w:tcPr>
            <w:tcW w:w="180" w:type="dxa"/>
            <w:vAlign w:val="bottom"/>
            <w:vMerge w:val="restart"/>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26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3,884</w:t>
            </w: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$ 773,431</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accompanying condensed consolidated balance sheet at July 2, 2010, the condensed consolidated statements of operations for the three months ended July 2, 2010 and July 3, 2009, the condensed consolidated statements of cash flows for the three months ended July 2, 2010 and July 3, 2009, and the condensed consolidated statement of equity and comprehensive income for the three months ended July 2, 2010 have been prepared by the management of ViaSat, Inc. (the Company), and have not been audited. These financial statements have been prepared on the same basis as the audited consolidated financial statements for the fiscal year ended April 2, 2010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April 2, 2010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70"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and its wholly owned subsidiaries and of TrellisWare Technologies, Inc. (TrellisWare), a majority-owned subsidiary. All significant intercompany amounts have been eliminated.</w:t>
      </w:r>
    </w:p>
    <w:p>
      <w:pPr>
        <w:spacing w:after="0" w:line="16"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2011 refer to the fiscal year ending on April 1, 2011. The Company’s quarters for fiscal year 2011 end on July 2, 2010, October 1, 2010, December 31, 2010 and April 1, 2011. This results in a 53 week fiscal year approximately every four to five years. Fiscal years 2011 and 2010 are both 52 week years.</w:t>
      </w:r>
    </w:p>
    <w:p>
      <w:pPr>
        <w:spacing w:after="0" w:line="39"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During the Company’s third quarter of fiscal year 2010, the Company completed the acquisition of WildBlue Holding, Inc., a privately held Delaware corporation (WildBlue) (see Note 11). The acquisition was accounted for as a purchase and accordingly, the condensed consolidated financial statements include the operating results of WildBlue from the date of acquisition.</w:t>
      </w:r>
    </w:p>
    <w:p>
      <w:pPr>
        <w:spacing w:after="0" w:line="73"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satellites, long-lived assets, derivatives, income taxes and valuation allowance on deferred tax assets.</w:t>
      </w:r>
    </w:p>
    <w:p>
      <w:pPr>
        <w:spacing w:after="0" w:line="70"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The Financial Accounting Standards Board (FASB) has issued authoritative guidance on the Codification (Statements of Financial Accounting Standards (SFAS) No. 168 (SFAS 168), “FASB Accounting Standards Codification™ and the Hierarchy of Generally Accepted Accounting Principles” / ASC 105). The authoritative guidance on the Codification (SFAS 168 / ASC 105) establishes the FASB Accounting Standards Codification™ (Codification or ASC) as the single source of GAAP recognized by the FASB to be applied by nongovernmental entities. Rules and interpretive releases of the Securities and Exchange Commission (SEC) under authority of federal securities laws are also sources of authoritative GAAP for SEC registrants. The Codification superseded all existing non-SEC accounting and reporting standards. All other non-grandfathered, non-SEC accounting literature not included in the Codification has become non-authoritative. Following the Codification, the FASB will not issue new standards in the form of Statements, FASB Staff Positions or Emerging Issues Task Force Abstracts. Instead, it issues Accounting Standards Updates, which serve to update the Codification, provide background information about the authoritative guidance and provide the basis for conclusions on the changes to the Codification. GAAP is not intended to be changed as a result of the FASB’s Codification project, but it has changed the way the authoritative guidance is organized and presented. As a result, these changes have had a significant impact on how companies reference GAAP in their financial statements and in their accounting policies for financial statements issued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interim and annual periods ending after September 15, 2009. The Company has implemented the Codification in this quarterly report, and has provided references to the Codification topics alongside references to the previously existing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under construction are recorded at cost, net of accumulated depreciation.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Additions to property, equipment and satellites,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Satellite construction costs, including launch services and insurance, are generally procured under long-term contracts that provide for payments over the contract periods and are capitalized as incurred. In addition, interest expense is capitalized on the carrying value of the satellite during the construction period. With respect to ViaSat-1, the Company’s high-capacity satellite currently under construction, and other assets, the Company capitalized $6.0 million of interest expense during the three months ended July 2, 2010. No interest expense was capitalized during the same period last fiscal year.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a result of the acquisition of WildBlue on December 15, 2009 (see Note 11), the Company acquired the WildBlue-1 satellite (which was placed into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 in March 2007) and an exclusive prepaid lifetime capital lease of Ka-band capacity over the continental United States on Telesat Canada’s Anik F2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satellite (which was placed into service in April 2005). The acquired assets also included the indoor and outdoor customer premise equipment (CPE)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leased to subscribers under WildBlue’s retail leasing program. The Company depreciates the satellites and CPE units and associated installation costs over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their estimated useful lives. The total cost and accumulated depreciation of CPE units included in property and equipment, net, as of July 2, 2010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$45.9 million and $8.0 million, respectively. The total cost and accumulated depreciation of CPE units included in property, equipment and satellites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2, 2010 was $41.5 million and $4.2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right="300" w:firstLine="222"/>
        <w:spacing w:after="0" w:line="291" w:lineRule="auto"/>
        <w:rPr>
          <w:sz w:val="20"/>
          <w:szCs w:val="20"/>
          <w:color w:val="auto"/>
        </w:rPr>
      </w:pPr>
      <w:r>
        <w:rPr>
          <w:rFonts w:ascii="Arial" w:cs="Arial" w:eastAsia="Arial" w:hAnsi="Arial"/>
          <w:sz w:val="16"/>
          <w:szCs w:val="16"/>
          <w:color w:val="auto"/>
        </w:rPr>
        <w:t>The Company capitalizes the costs of obtaining or acquiring patents, orbital slots and orbital licenses. Amortization of intangible assets that have finite lives is provided for by the straight-line method over the shorter of the legal or estimated economic life. Total capitalized costs of $3.1 million and</w:t>
      </w:r>
    </w:p>
    <w:p>
      <w:pPr>
        <w:ind w:right="180"/>
        <w:spacing w:after="0" w:line="292" w:lineRule="auto"/>
        <w:rPr>
          <w:sz w:val="20"/>
          <w:szCs w:val="20"/>
          <w:color w:val="auto"/>
        </w:rPr>
      </w:pPr>
      <w:r>
        <w:rPr>
          <w:rFonts w:ascii="Arial" w:cs="Arial" w:eastAsia="Arial" w:hAnsi="Arial"/>
          <w:sz w:val="16"/>
          <w:szCs w:val="16"/>
          <w:color w:val="auto"/>
        </w:rPr>
        <w:t>$3.0 million related to patents were included in other assets as of July 2, 2010 and April 2, 2010, respectively. Accumulated amortization related to these patents was $0.3 million as of July 2, 2010 and April 2, 2010. Amortization expense related to these patents was less than $0.1 million for the three months ended July 2, 2010 and July 3, 2009. The Company also capitalized $5.3 million and $5.2 million of costs related to acquiring and obtaining licenses that were included in other assets as of July 2, 2010 and April 2, 2010, respectively, related to orbital slots and orbital licenses that have not yet been placed into service. If a patent, orbital slot or orbital license is rejected, abandoned or otherwise invalidated, the unamortized cost is expensed in that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Debt issuance costs are amortized and recognized as interest expense on a straight-line basis over the expected term of the related debt, which is not materially different from the effective interest rate basis. During the three months ended July 2, 2010, the Company did not pay or capitalize any debt issuance costs. During the three months ended July 3, 2009, the Company paid and capitalized approximately $2.3 million in debt issuance costs related to the Company’s revolving credit facility (the Credit Facility). Unamortized debt issuance costs are recorded in prepaid expenses and other current assets and in other long-term assets in the condensed consolidated balance sheets, depending on the amounts expected to be amortized to interest expense in the next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future revenue for each product with an annual minimum equal to straight-line amortization over the remaining estimated economic life of the product not to exceed five years. The Company capitalized $4.0 million and $0.4 million of costs related to software developed for resale for the three months ended July 2, 2010 and July 3, 2009, respectively. There was no amortization expense of software development costs for the three months ended July 2, 2010 and July 3,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Company’s self-insurance liability for the plans was $1.7 million and $1.4 million as of July 2, 2010 and April 2, 2010,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secured borrowing arrangements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Occasionally, the Company enters into secured borrowing arrangements in connection with customer financing in order to provide additional sources of funding. As of July 2, 2010 and April 2, 2010, the Company had no secured borrowing arrangements with customers.</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the first quarter of fiscal year 2009, the Company paid all obligations related to its secured borrowing, under which the Company pledged a note receivable from a customer to serve as collateral for the obligation under the borrowing arrangement, totaling $4.7 million plus accrued interest. During fiscal year 2008, due to the customer’s payment default under the note receivable, the Company wrote down the note receivable by approximately $5.3 million related to the principal and interest accrued to date. During the fourth quarter of fiscal year 2009, the Company entered into certain agreements with the note receivable insurance carrier providing the Company approximately $1.7 million in cash payments and recorded a current asset of approximately $1.7 million and a long-term asset of approximately $1.5 million as of April 3, 2009. The Company received no additional cash payments pursuant to these agreements, during the three months ended July 2, 2010 and July 3, 2009. As of July 2, 2010, the Company recorded a current asset of approximately $1.1 million and a long-term asset of approximately $0.5 million. As of April 2, 2010, the Company recorded a current asset of approximately $1.0 million and a long-term asset of approximately $0.5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July 2, 2010 and April 2, 2010, no such amounts were accrued.</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Simultaneously with the execution of the merger agreement relating to the acquisition of WildBlue, the Company entered into an indemnification agreement dated September 30, 2009 with several of the former stockholders of WildBlue pursuant to which such former stockholders agreed to indemnify the Company for costs which result from, relate to or arise out of potential claims and liabilities under various WildBlue contracts, an existing appraisal action regarding WildBlue’s 2008 recapitalization, certain rights to acquire securities of WildBlue and a severance agreement. Under the indemnification agreement, the Company is required to pay up to $0.5 million and has recorded a liability of $0.5 million in the condensed consolidated balance sheets as of July 2, 2010 and April 2, 2010 as an element of accrued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 noncontrolling interest, previously referred to as minority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condensed consolidated financial statements at the consolidated amounts, which include the amounts attributable to both the controlling and noncontrolling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During the first three months of fiscal year 2011 and during fiscal year 2010, the Company delivered 143,860 and 234,039 shares of common stock, respectively, based on the vesting terms of certain restricted stock unit agreements. In order for employees to satisfy minimum statutory employee tax withholding requirements related to the delivery of common stock underlying these restricted stock unit agreements, the Company repurchased 56,368 and 88,438 shares of common stock with a total value of $1.8 million and $2.3 million during the first three months of fiscal year 2011 and during fiscal year 2010, respectively.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January 4, 2010, the Company repurchased 251,731 shares of the Company’s common stock from Intelsat USA Sales Corp for $8.0 million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common stock of 463,505 and 407,137 were held in treasury as of July 2, 2010 and April 2, 2010,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values of the Company’s outstanding foreign currency forward contracts as of July 2,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gridSpan w:val="3"/>
          </w:tcPr>
          <w:p>
            <w:pPr>
              <w:ind w:left="520"/>
              <w:spacing w:after="0"/>
              <w:rPr>
                <w:sz w:val="20"/>
                <w:szCs w:val="20"/>
                <w:color w:val="auto"/>
              </w:rPr>
            </w:pPr>
            <w:r>
              <w:rPr>
                <w:rFonts w:ascii="Arial" w:cs="Arial" w:eastAsia="Arial" w:hAnsi="Arial"/>
                <w:sz w:val="14"/>
                <w:szCs w:val="14"/>
                <w:b w:val="1"/>
                <w:bCs w:val="1"/>
                <w:color w:val="auto"/>
                <w:w w:val="89"/>
              </w:rPr>
              <w:t>Asset Derivatives</w:t>
            </w: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640" w:type="dxa"/>
            <w:vAlign w:val="bottom"/>
          </w:tcPr>
          <w:p>
            <w:pPr>
              <w:spacing w:after="0"/>
              <w:rPr>
                <w:sz w:val="14"/>
                <w:szCs w:val="14"/>
                <w:color w:val="auto"/>
              </w:rPr>
            </w:pPr>
          </w:p>
        </w:tc>
        <w:tc>
          <w:tcPr>
            <w:tcW w:w="2000" w:type="dxa"/>
            <w:vAlign w:val="bottom"/>
            <w:gridSpan w:val="3"/>
          </w:tcPr>
          <w:p>
            <w:pPr>
              <w:ind w:left="560"/>
              <w:spacing w:after="0"/>
              <w:rPr>
                <w:sz w:val="20"/>
                <w:szCs w:val="20"/>
                <w:color w:val="auto"/>
              </w:rPr>
            </w:pPr>
            <w:r>
              <w:rPr>
                <w:rFonts w:ascii="Arial" w:cs="Arial" w:eastAsia="Arial" w:hAnsi="Arial"/>
                <w:sz w:val="14"/>
                <w:szCs w:val="14"/>
                <w:b w:val="1"/>
                <w:bCs w:val="1"/>
                <w:color w:val="auto"/>
              </w:rPr>
              <w:t>Liability Derivatives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Balance Sheet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56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Classification</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5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880" w:type="dxa"/>
            <w:vAlign w:val="bottom"/>
          </w:tcPr>
          <w:p>
            <w:pPr>
              <w:spacing w:after="0"/>
              <w:rPr>
                <w:sz w:val="20"/>
                <w:szCs w:val="20"/>
                <w:color w:val="auto"/>
              </w:rPr>
            </w:pPr>
            <w:r>
              <w:rPr>
                <w:rFonts w:ascii="Arial" w:cs="Arial" w:eastAsia="Arial" w:hAnsi="Arial"/>
                <w:sz w:val="18"/>
                <w:szCs w:val="18"/>
                <w:color w:val="auto"/>
                <w:w w:val="84"/>
              </w:rPr>
              <w:t>Other assets</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Other liabilities</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hedging instruments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firstLine="222"/>
        <w:spacing w:after="0" w:line="264" w:lineRule="auto"/>
        <w:rPr>
          <w:sz w:val="20"/>
          <w:szCs w:val="20"/>
          <w:color w:val="auto"/>
        </w:rPr>
      </w:pPr>
      <w:r>
        <w:rPr>
          <w:rFonts w:ascii="Arial" w:cs="Arial" w:eastAsia="Arial" w:hAnsi="Arial"/>
          <w:sz w:val="18"/>
          <w:szCs w:val="18"/>
          <w:color w:val="auto"/>
        </w:rPr>
        <w:t>The Company had no foreign currency forward contracts outstanding as of April 2, 2010 and therefore there was no balance in the Company’s accumulated other comprehensive income related to hedging transactions as of April 2, 2010. The notional value of foreign currency forward contracts outstanding as of July 2, 2010 was $12.4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effects of foreign currency forward contracts in cash flow hedging relationships during the three months ended July 2, 2010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440" w:type="dxa"/>
            <w:vAlign w:val="bottom"/>
          </w:tcPr>
          <w:p>
            <w:pPr>
              <w:spacing w:after="0"/>
              <w:rPr>
                <w:sz w:val="12"/>
                <w:szCs w:val="12"/>
                <w:color w:val="auto"/>
              </w:rPr>
            </w:pPr>
          </w:p>
        </w:tc>
        <w:tc>
          <w:tcPr>
            <w:tcW w:w="13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4"/>
              </w:rPr>
              <w:t>Amount of</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14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or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Gain or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(Loss)</w:t>
            </w: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of Gain or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(Loss)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(Loss)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(Loss)</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w:t>
            </w:r>
          </w:p>
        </w:tc>
        <w:tc>
          <w:tcPr>
            <w:tcW w:w="440" w:type="dxa"/>
            <w:vAlign w:val="bottom"/>
          </w:tcPr>
          <w:p>
            <w:pPr>
              <w:spacing w:after="0"/>
              <w:rPr>
                <w:sz w:val="12"/>
                <w:szCs w:val="12"/>
                <w:color w:val="auto"/>
              </w:rPr>
            </w:pP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from</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in OCI</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40" w:type="dxa"/>
            <w:vAlign w:val="bottom"/>
          </w:tcPr>
          <w:p>
            <w:pPr>
              <w:spacing w:after="0"/>
              <w:rPr>
                <w:sz w:val="12"/>
                <w:szCs w:val="12"/>
                <w:color w:val="auto"/>
              </w:rPr>
            </w:pP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2"/>
              </w:rPr>
              <w:t>Derivatives in Cash</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on</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OCI into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OCI into</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Portion and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Excluded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Income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jc w:val="center"/>
              <w:ind w:right="384"/>
              <w:spacing w:after="0" w:line="149" w:lineRule="exact"/>
              <w:rPr>
                <w:sz w:val="20"/>
                <w:szCs w:val="20"/>
                <w:color w:val="auto"/>
              </w:rPr>
            </w:pPr>
            <w:r>
              <w:rPr>
                <w:rFonts w:ascii="Arial" w:cs="Arial" w:eastAsia="Arial" w:hAnsi="Arial"/>
                <w:sz w:val="14"/>
                <w:szCs w:val="14"/>
                <w:b w:val="1"/>
                <w:bCs w:val="1"/>
                <w:color w:val="auto"/>
                <w:w w:val="93"/>
              </w:rPr>
              <w:t>Flow Hedging</w:t>
            </w:r>
          </w:p>
        </w:tc>
        <w:tc>
          <w:tcPr>
            <w:tcW w:w="2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(Effective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(Effective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(Effective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jc w:val="center"/>
              <w:ind w:right="364"/>
              <w:spacing w:after="0"/>
              <w:rPr>
                <w:sz w:val="20"/>
                <w:szCs w:val="20"/>
                <w:color w:val="auto"/>
              </w:rPr>
            </w:pPr>
            <w:r>
              <w:rPr>
                <w:rFonts w:ascii="Arial" w:cs="Arial" w:eastAsia="Arial" w:hAnsi="Arial"/>
                <w:sz w:val="14"/>
                <w:szCs w:val="14"/>
                <w:b w:val="1"/>
                <w:bCs w:val="1"/>
                <w:color w:val="auto"/>
                <w:w w:val="91"/>
              </w:rPr>
              <w:t>Relationships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Portion)</w:t>
            </w:r>
          </w:p>
        </w:tc>
        <w:tc>
          <w:tcPr>
            <w:tcW w:w="5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6"/>
              </w:rPr>
              <w:t>Portion)</w:t>
            </w:r>
          </w:p>
        </w:tc>
        <w:tc>
          <w:tcPr>
            <w:tcW w:w="5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Testing)</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Testing)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(In thousands)</w:t>
            </w:r>
          </w:p>
        </w:tc>
        <w:tc>
          <w:tcPr>
            <w:tcW w:w="1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 of Goods Sold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Other income/expense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ind w:left="360"/>
              <w:spacing w:after="0"/>
              <w:rPr>
                <w:sz w:val="20"/>
                <w:szCs w:val="20"/>
                <w:color w:val="auto"/>
              </w:rPr>
            </w:pPr>
            <w:r>
              <w:rPr>
                <w:rFonts w:ascii="Arial" w:cs="Arial" w:eastAsia="Arial" w:hAnsi="Arial"/>
                <w:sz w:val="17"/>
                <w:szCs w:val="17"/>
                <w:color w:val="auto"/>
                <w:w w:val="72"/>
              </w:rPr>
              <w:t>(89)</w:t>
            </w:r>
          </w:p>
        </w:tc>
        <w:tc>
          <w:tcPr>
            <w:tcW w:w="5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16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During the three months ended July 3, 2009, the Company did not settle any foreign exchange contracts; therefore, there were no realized gains or losses during the three months ended July 3, 2009 related to derivative instruments.</w:t>
      </w:r>
    </w:p>
    <w:p>
      <w:pPr>
        <w:spacing w:after="0" w:line="62" w:lineRule="exact"/>
        <w:rPr>
          <w:sz w:val="20"/>
          <w:szCs w:val="20"/>
          <w:color w:val="auto"/>
        </w:rPr>
      </w:pPr>
    </w:p>
    <w:p>
      <w:pPr>
        <w:ind w:right="480" w:firstLine="215"/>
        <w:spacing w:after="0" w:line="264" w:lineRule="auto"/>
        <w:rPr>
          <w:sz w:val="20"/>
          <w:szCs w:val="20"/>
          <w:color w:val="auto"/>
        </w:rPr>
      </w:pPr>
      <w:r>
        <w:rPr>
          <w:rFonts w:ascii="Arial" w:cs="Arial" w:eastAsia="Arial" w:hAnsi="Arial"/>
          <w:sz w:val="18"/>
          <w:szCs w:val="18"/>
          <w:color w:val="auto"/>
        </w:rPr>
        <w:t>At July 2, 2010, the estimated net existing loss that is expected to be reclassified into income within the next twelve months is less than $0.1 million. Foreign currency forward contracts usually mature within approximately twelve months from their inception. There were no gains or losses from ineffectiveness of these financial instruments recorded for the three months ended July 2, 2010 and July 3,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Company records compensation expense associated with stock options, restricted stock unit awards and other stock-based compensation in accordance with the authoritative guidance for share-based payments (SFAS 123R, “Share-Based Payment” / ASC 718). The Company recognizes these compensation costs on a straight-line basis over the requisite service period of the award. The Company recognized $4.2 million and $2.6 million of stock-based compensation expense for the three months ended July 2, 2010 and July 3, 2009, respectively.</w:t>
      </w:r>
    </w:p>
    <w:p>
      <w:pPr>
        <w:spacing w:after="0" w:line="63"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For the three months ended July 2, 2010 the Company recorded no incremental tax benefits from stock options exercised and restricted stock unit award vesting as the excess tax benefit from stock options exercised and restricted stock unit award vesting increased the Company’s net operating loss carryforward. The Company recorded incremental tax benefits from stock options exercised and restricted stock unit awards vesting of $0.4 million for the three months ended July 3, 2009 which were classified as part of cash flows from financing activities in the condensed consolidated statements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(FASB Interpretation No. 48 (FIN 48), “Accounting for Uncertainty in Income Taxes — an interpretation of FASB Statement No. 109” /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will not be realized. Deferred income tax expense (benefit) is the net change during the year in the deferred income tax asset or liability.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jc w:val="both"/>
        <w:ind w:right="460" w:firstLine="225"/>
        <w:spacing w:after="0" w:line="259" w:lineRule="auto"/>
        <w:rPr>
          <w:sz w:val="20"/>
          <w:szCs w:val="20"/>
          <w:color w:val="auto"/>
        </w:rPr>
      </w:pPr>
      <w:r>
        <w:rPr>
          <w:rFonts w:ascii="Arial" w:cs="Arial" w:eastAsia="Arial" w:hAnsi="Arial"/>
          <w:sz w:val="18"/>
          <w:szCs w:val="18"/>
          <w:color w:val="auto"/>
        </w:rPr>
        <w:t>In June 2009, the FASB issued authoritative guidance which amended the consolidation guidance applicable to variable interest entities (SFAS 167, “Amendments to FASB Interpretation No. 46R”). The authoritative guidance affects the overall consolidation analysis under the previous authoritative guidance for consolidation of variable interest entities (FIN 46R / ASC 810). The Company adopted this guidance in the first quarter of fiscal year 2011 without a material impact on its consolidated financial statements and disclosures.</w:t>
      </w:r>
    </w:p>
    <w:p>
      <w:pPr>
        <w:spacing w:after="0" w:line="79"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the Company beginning in the first quarter of fiscal year 2012; however, early adoption is permitted. The Company is currently evaluating the impact that the authoritative guidance may have on its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88"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authoritative guidance for the percentage-of-completion method of accounting (the AICPA’s Statement of Position 81-1 (SOP 81-1), “Accounting for Performance of Construction-Type and Certain Production-Type Contracts”</w:t>
      </w:r>
    </w:p>
    <w:p>
      <w:pPr>
        <w:ind w:firstLine="8"/>
        <w:spacing w:after="0" w:line="254" w:lineRule="auto"/>
        <w:tabs>
          <w:tab w:leader="none" w:pos="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82" w:lineRule="exact"/>
        <w:rPr>
          <w:sz w:val="20"/>
          <w:szCs w:val="20"/>
          <w:color w:val="auto"/>
        </w:rPr>
      </w:pPr>
    </w:p>
    <w:p>
      <w:pPr>
        <w:ind w:right="180" w:firstLine="225"/>
        <w:spacing w:after="0" w:line="288" w:lineRule="auto"/>
        <w:rPr>
          <w:sz w:val="20"/>
          <w:szCs w:val="20"/>
          <w:color w:val="auto"/>
        </w:rPr>
      </w:pPr>
      <w:r>
        <w:rPr>
          <w:rFonts w:ascii="Arial" w:cs="Arial" w:eastAsia="Arial" w:hAnsi="Arial"/>
          <w:sz w:val="16"/>
          <w:szCs w:val="16"/>
          <w:color w:val="auto"/>
        </w:rPr>
        <w:t>In June 2010, the Company performed extensive integration testing of numerous system components that had been separately developed as part of a government satellite communication program. As a result of this testing and subsequent internal reviews and analyses, the Company determined that significant additional rework was required in order to complete the program requirements and specifications and to prepare for a scheduled customer test in the Company’s fiscal second quarter. This additional rework and engineering effort resulted in a substantial increase in estimated labor and material costs to complete the program. Accordingly, the Company recorded an additional forward loss of $8.5 million in the three months ended July 2, 2010 related to this estimate of program costs. While the Company believes the additional forward loss is adequate to cover known risks to date and that steps taken to improve the program performance will be effective, the program is on going and the Company’s efforts and the end results must be satisfactory to the customer. The Company believes that its estimate of costs to complete the program is appropriate based on known information, but cannot provide absolute assurance that additional costs will not be incurred. Including this program, during the three months ended July 2, 2010 and July 3, 2009, the Company recorded losses of approximately $8.7 million and $1.4 million, respectively, related to loss contracts.</w:t>
      </w:r>
    </w:p>
    <w:p>
      <w:pPr>
        <w:spacing w:after="0" w:line="61"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Related to the additional forward loss recorded for the government satellite communications program, the Company also evaluated whether the loss indicated a significant change in the business climate of the respective reporting unit and determined there were no significant changes as of July 2, 2010.</w:t>
      </w:r>
    </w:p>
    <w:p>
      <w:pPr>
        <w:spacing w:after="0" w:line="16"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also has contracts and purchase orders where revenue is recorded on delivery of products or performance of services in accordance with authoritative guidance for revenue recognition (Staff Accounting Bulletin No. 104 (SAB 104), “Revenue Recognition” / ASC 605). Under this standard, the Company recognizes revenue when an arrangement exists, prices are determinable, collectability is reasonably assured and the goods or services have been delivered.</w:t>
      </w:r>
    </w:p>
    <w:p>
      <w:pPr>
        <w:spacing w:after="0" w:line="7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also enters into certain leasing arrangements with customers and evaluates the contracts in accordance with the authoritative guidance for leases (SFAS 13, “Leases” / ASC 840). The Company’s accounting for equipment leases involves specific determinations under the authoritative guidance for leases, which often involve complex provisions and significant judgments.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accordance with the authoritative guidance for leases, the Company classifies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58"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authoritative guidance for accounting for multiple element revenue arrangements, (EITF 00-21, “Accounting for Multiple Element Revenue Arrangements” / ASC 605-25),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accordance with authoritative guidance for shipping and handling fees and costs (EITF 00-10, “Accounting for Shipping and Handling Fees and Costs”</w:t>
      </w:r>
    </w:p>
    <w:p>
      <w:pPr>
        <w:spacing w:after="0" w:line="46" w:lineRule="exact"/>
        <w:rPr>
          <w:sz w:val="20"/>
          <w:szCs w:val="20"/>
          <w:color w:val="auto"/>
        </w:rPr>
      </w:pPr>
    </w:p>
    <w:p>
      <w:pPr>
        <w:ind w:right="120" w:firstLine="8"/>
        <w:spacing w:after="0" w:line="261" w:lineRule="auto"/>
        <w:tabs>
          <w:tab w:leader="none" w:pos="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76"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Contract costs on U.S. government contracts, including indirect costs, are subject to audit and negotiations with U.S.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In accordance with the authoritative guidance for financial assets and liabilities measured at fair value on a recurring basis (SFAS 157, “Fair Value Measurements” / ASC 820), the Company prioritizes the inputs used to measure fair value from market based assumptions to entity specific assumptions:</w:t>
      </w:r>
    </w:p>
    <w:p>
      <w:pPr>
        <w:spacing w:after="0" w:line="1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17" w:lineRule="exact"/>
        <w:rPr>
          <w:rFonts w:ascii="Arial" w:cs="Arial" w:eastAsia="Arial" w:hAnsi="Arial"/>
          <w:sz w:val="18"/>
          <w:szCs w:val="18"/>
          <w:b w:val="1"/>
          <w:bCs w:val="1"/>
          <w:color w:val="auto"/>
        </w:rPr>
      </w:pPr>
    </w:p>
    <w:p>
      <w:pPr>
        <w:ind w:left="220" w:right="40" w:hanging="212"/>
        <w:spacing w:after="0" w:line="264"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rFonts w:ascii="Arial" w:cs="Arial" w:eastAsia="Arial" w:hAnsi="Arial"/>
          <w:sz w:val="18"/>
          <w:szCs w:val="18"/>
          <w:b w:val="1"/>
          <w:bCs w:val="1"/>
          <w:color w:val="auto"/>
        </w:rPr>
      </w:pPr>
    </w:p>
    <w:p>
      <w:pPr>
        <w:ind w:left="22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Effective April 4, 2009, the Company adopted the authoritative guidance for non-financial assets and liabilities that are remeasured at fair value on a non-recurring basis without material impact on its consolidated financial statements and disclosures.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present the Company’s hierarchy for its assets and liabilities measured at fair value on a recurring basis as of July 2, 2010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2, 2010: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July 2, 2010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4,523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forward contracts</w:t>
            </w:r>
          </w:p>
        </w:tc>
        <w:tc>
          <w:tcPr>
            <w:tcW w:w="1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Fair Value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April 2, 2010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16,250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14,810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14,810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Company’s cash equivalents consist of money market funds and certified deposit investments. Certain money market funds are</w:t>
      </w:r>
      <w:r>
        <w:rPr>
          <w:rFonts w:ascii="Arial" w:cs="Arial" w:eastAsia="Arial" w:hAnsi="Arial"/>
          <w:sz w:val="17"/>
          <w:szCs w:val="17"/>
          <w:i w:val="1"/>
          <w:iCs w:val="1"/>
          <w:color w:val="auto"/>
        </w:rPr>
        <w:t xml:space="preserve"> </w:t>
      </w:r>
      <w:r>
        <w:rPr>
          <w:rFonts w:ascii="Arial" w:cs="Arial" w:eastAsia="Arial" w:hAnsi="Arial"/>
          <w:sz w:val="17"/>
          <w:szCs w:val="17"/>
          <w:color w:val="auto"/>
        </w:rPr>
        <w:t>valued using quoted prices for identical assets in an active market with sufficient volume and frequency of transactions (Level 1). The remaining portion of money market funds and certified deposit investments are valued based on quoted prices for similar assets,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64" w:lineRule="exact"/>
        <w:rPr>
          <w:sz w:val="20"/>
          <w:szCs w:val="20"/>
          <w:color w:val="auto"/>
        </w:rPr>
      </w:pPr>
    </w:p>
    <w:p>
      <w:pPr>
        <w:ind w:right="180" w:firstLine="225"/>
        <w:spacing w:after="0" w:line="272" w:lineRule="auto"/>
        <w:rPr>
          <w:sz w:val="20"/>
          <w:szCs w:val="20"/>
          <w:color w:val="auto"/>
        </w:rPr>
      </w:pPr>
      <w:r>
        <w:rPr>
          <w:rFonts w:ascii="Arial" w:cs="Arial" w:eastAsia="Arial" w:hAnsi="Arial"/>
          <w:sz w:val="17"/>
          <w:szCs w:val="17"/>
          <w:i w:val="1"/>
          <w:iCs w:val="1"/>
          <w:color w:val="auto"/>
        </w:rPr>
        <w:t xml:space="preserve">Foreign currency forward exchange contracts </w:t>
      </w:r>
      <w:r>
        <w:rPr>
          <w:rFonts w:ascii="Arial" w:cs="Arial" w:eastAsia="Arial" w:hAnsi="Arial"/>
          <w:sz w:val="17"/>
          <w:szCs w:val="17"/>
          <w:color w:val="auto"/>
        </w:rPr>
        <w:t>— The Company uses derivative financial instruments to manage foreign currency risk relating to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quoted prices for similar assets and liabilities in active markets or other inputs that are observable or can be corroborated by observable market data.</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As of July 2, 2010 and April 2, 2010, the Company’s long-term debt consisted of borrowings under the Credit Facility, reported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outstanding amount with current accrued interest, and the Company’s 8.875% Senior Notes due 2016 (the Notes) reported at amortized cost. However, for disclosure purposes, the Company is required to measure the fair value of outstanding debt on a recurring basis. The fair value of the Company’s long-term debt related to the Notes is determined using quoted prices in active markets and was approximately $279.5 million and $281.2 million as of July 2, 2010 and April 2, 2010, respectively. The fair value of the Company’s long-term debt related to the Credit Facility approximates its carrying amount due to its variable interest rate on the revolving line of credit.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July 2, 2010</w:t>
            </w:r>
          </w:p>
        </w:tc>
        <w:tc>
          <w:tcPr>
            <w:tcW w:w="2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July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1900" w:type="dxa"/>
            <w:vAlign w:val="bottom"/>
            <w:gridSpan w:val="4"/>
          </w:tcPr>
          <w:p>
            <w:pPr>
              <w:jc w:val="right"/>
              <w:ind w:right="1200"/>
              <w:spacing w:after="0" w:line="142" w:lineRule="exact"/>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9"/>
              </w:rPr>
              <w:t>Common shares outstanding used in calculating basic net income per share attributable to ViaSat, Inc.</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39,968,357</w:t>
            </w:r>
          </w:p>
        </w:tc>
        <w:tc>
          <w:tcPr>
            <w:tcW w:w="2160" w:type="dxa"/>
            <w:vAlign w:val="bottom"/>
            <w:gridSpan w:val="5"/>
          </w:tcPr>
          <w:p>
            <w:pPr>
              <w:jc w:val="right"/>
              <w:ind w:right="300"/>
              <w:spacing w:after="0"/>
              <w:rPr>
                <w:sz w:val="20"/>
                <w:szCs w:val="20"/>
                <w:color w:val="auto"/>
              </w:rPr>
            </w:pPr>
            <w:r>
              <w:rPr>
                <w:rFonts w:ascii="Arial" w:cs="Arial" w:eastAsia="Arial" w:hAnsi="Arial"/>
                <w:sz w:val="18"/>
                <w:szCs w:val="18"/>
                <w:color w:val="auto"/>
              </w:rPr>
              <w:t>31,197,817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1,614,534</w:t>
            </w:r>
          </w:p>
        </w:tc>
        <w:tc>
          <w:tcPr>
            <w:tcW w:w="4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1,098,593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rPr>
              <w:t>Restricted stock units to acquire common stock as determined by application of the treasury stock</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method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381,347</w:t>
            </w:r>
          </w:p>
        </w:tc>
        <w:tc>
          <w:tcPr>
            <w:tcW w:w="40" w:type="dxa"/>
            <w:vAlign w:val="bottom"/>
          </w:tcPr>
          <w:p>
            <w:pPr>
              <w:spacing w:after="0"/>
              <w:rPr>
                <w:sz w:val="20"/>
                <w:szCs w:val="20"/>
                <w:color w:val="auto"/>
              </w:rPr>
            </w:pPr>
          </w:p>
        </w:tc>
        <w:tc>
          <w:tcPr>
            <w:tcW w:w="2160" w:type="dxa"/>
            <w:vAlign w:val="bottom"/>
            <w:gridSpan w:val="5"/>
          </w:tcPr>
          <w:p>
            <w:pPr>
              <w:jc w:val="right"/>
              <w:ind w:right="300"/>
              <w:spacing w:after="0"/>
              <w:rPr>
                <w:sz w:val="20"/>
                <w:szCs w:val="20"/>
                <w:color w:val="auto"/>
              </w:rPr>
            </w:pPr>
            <w:r>
              <w:rPr>
                <w:rFonts w:ascii="Arial" w:cs="Arial" w:eastAsia="Arial" w:hAnsi="Arial"/>
                <w:sz w:val="18"/>
                <w:szCs w:val="18"/>
                <w:color w:val="auto"/>
              </w:rPr>
              <w:t>215,262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Potentially issuable shares in connection with certain terms of the amended ViaSat 401(k) Profit Sharing</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149,013</w:t>
            </w:r>
          </w:p>
        </w:tc>
        <w:tc>
          <w:tcPr>
            <w:tcW w:w="40" w:type="dxa"/>
            <w:vAlign w:val="bottom"/>
            <w:shd w:val="clear" w:color="auto" w:fill="CCEEFF"/>
          </w:tcPr>
          <w:p>
            <w:pPr>
              <w:spacing w:after="0"/>
              <w:rPr>
                <w:sz w:val="20"/>
                <w:szCs w:val="20"/>
                <w:color w:val="auto"/>
              </w:rPr>
            </w:pPr>
          </w:p>
        </w:tc>
        <w:tc>
          <w:tcPr>
            <w:tcW w:w="21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165,513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Employee Stock Purchase Plan equivalents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12,013</w:t>
            </w:r>
          </w:p>
        </w:tc>
        <w:tc>
          <w:tcPr>
            <w:tcW w:w="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diluted net income per share attributable to ViaSat, Inc. common stockholders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42,125,264</w:t>
            </w:r>
          </w:p>
        </w:tc>
        <w:tc>
          <w:tcPr>
            <w:tcW w:w="40" w:type="dxa"/>
            <w:vAlign w:val="bottom"/>
            <w:shd w:val="clear" w:color="auto" w:fill="CCEEFF"/>
          </w:tcPr>
          <w:p>
            <w:pPr>
              <w:spacing w:after="0"/>
              <w:rPr>
                <w:sz w:val="18"/>
                <w:szCs w:val="18"/>
                <w:color w:val="auto"/>
              </w:rPr>
            </w:pPr>
          </w:p>
        </w:tc>
        <w:tc>
          <w:tcPr>
            <w:tcW w:w="21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32,683,359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Antidilutive shares relating to stock options excluded from the calculation were 345,700 and 1,555,114 shares for the three months ended July 2, 2010 and July 3, 2009, respectively. There were no antidilutive shares relating to restricted stock units excluded from the calculation for the three months ended July 2, 2010 and July 3, 2009.</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4"/>
              </w:rPr>
              <w:t>July 2, 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ind w:left="5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Billed</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82,608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93,737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83,153</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161,808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176,351</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42,596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36,255</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19,359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21,345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14,410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23"/>
        </w:trPr>
        <w:tc>
          <w:tcPr>
            <w:tcW w:w="7460" w:type="dxa"/>
            <w:vAlign w:val="bottom"/>
          </w:tcPr>
          <w:p>
            <w:pPr>
              <w:ind w:left="22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22,165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Satellites, net:</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Satellite — WildBlue-1 (estimated useful life of 10 years)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195,890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195,890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99,090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Satellite under construction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237,319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209,432</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532,299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504,412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516,202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495,689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of 2-5 years)</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103,187</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96,484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 (estimated useful life of 3-5 years)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55,384</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CPE leased equipment (estimated useful life of 3 years)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45,868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41,469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fixtures (estimated useful life of 7 years)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Leasehold improvements (estimated useful life of 2-11 years)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20,133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 (estimated useful life of 24 years)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Land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in progress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276,844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(112,991)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(100,297)</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163,853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Technology (estimated useful life of 3-9 years)</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44,552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44,552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and customer relationships (estimated useful life of 3-10 years)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86,707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86,707</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Non-compete agreement (estimated useful life of 3-5 years)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9,098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co-location rights (estimated useful life of 10 years)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Arial" w:cs="Arial" w:eastAsia="Arial" w:hAnsi="Arial"/>
                <w:sz w:val="18"/>
                <w:szCs w:val="18"/>
                <w:color w:val="auto"/>
              </w:rPr>
              <w:t>Trade name (estimated useful life of 3 years)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(estimated useful life of 8 months to 10 years)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163,963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163,963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(74,574)</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4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1"/>
              </w:rPr>
              <w:t>July 2, 2010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Capitalized software costs, net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12,649</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orbital slots and other licenses,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43,147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44,910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20,952</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84,825</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Current portion of warranty reserve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6,850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Accrued employee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17,268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 and deferred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28,758</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102,251</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Unrecognized tax position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long-term portion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Deferred revenue, long-term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5,583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6,242</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25,438</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Acquired Intangible Assets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During the first quarter of fiscal year 2011, the Company decreased goodwill by less than $0.1 million related to foreign currency translation which was recorded within the Company’s commercial networks segment.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other acquired intangible assets are amortized using the straight-line method over their estimated useful lives of eight months to ten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$4.6 million and $1.5 million for the three months ended July 2, 2010 and July 3, 2009, respectively.</w:t>
      </w:r>
    </w:p>
    <w:p>
      <w:pPr>
        <w:spacing w:after="0" w:line="103"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the international business acquired. Current and expected amortization expense for acquired intangibles for each of the following periods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2, 2010</w:t>
            </w:r>
          </w:p>
        </w:tc>
        <w:tc>
          <w:tcPr>
            <w:tcW w:w="6180" w:type="dxa"/>
            <w:vAlign w:val="bottom"/>
            <w:gridSpan w:val="2"/>
            <w:shd w:val="clear" w:color="auto" w:fill="CCEEFF"/>
          </w:tcPr>
          <w:p>
            <w:pPr>
              <w:ind w:left="59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Expected for the remainder of fiscal year 2011</w:t>
            </w:r>
          </w:p>
        </w:tc>
        <w:tc>
          <w:tcPr>
            <w:tcW w:w="6180" w:type="dxa"/>
            <w:vAlign w:val="bottom"/>
            <w:gridSpan w:val="2"/>
          </w:tcPr>
          <w:p>
            <w:pPr>
              <w:ind w:left="59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11,628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940" w:type="dxa"/>
            <w:vAlign w:val="bottom"/>
            <w:vMerge w:val="restart"/>
          </w:tcPr>
          <w:p>
            <w:pPr>
              <w:jc w:val="right"/>
              <w:ind w:right="453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59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 and Line of Credit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consisted of the following as of July 2, 2010 and April 2,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r>
      <w:tr>
        <w:trPr>
          <w:trHeight w:val="171"/>
        </w:trPr>
        <w:tc>
          <w:tcPr>
            <w:tcW w:w="91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July 2, 2010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2, 2010</w:t>
            </w: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9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r>
      <w:tr>
        <w:trPr>
          <w:trHeight w:val="432"/>
        </w:trPr>
        <w:tc>
          <w:tcPr>
            <w:tcW w:w="9120" w:type="dxa"/>
            <w:vAlign w:val="bottom"/>
          </w:tcPr>
          <w:p>
            <w:pPr>
              <w:spacing w:after="0"/>
              <w:rPr>
                <w:sz w:val="20"/>
                <w:szCs w:val="20"/>
                <w:color w:val="auto"/>
              </w:rPr>
            </w:pPr>
            <w:r>
              <w:rPr>
                <w:rFonts w:ascii="Arial" w:cs="Arial" w:eastAsia="Arial" w:hAnsi="Arial"/>
                <w:sz w:val="18"/>
                <w:szCs w:val="18"/>
                <w:color w:val="auto"/>
              </w:rPr>
              <w:t>Senior notes due 2016 (the Notes)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275,000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275,000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Notes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271,924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271,801</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301,924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331,801</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aggregate maturities of the Company’s long-term debt obligations, excluding the effects of discount accretion on its $275.0 million of Notes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5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20" w:type="dxa"/>
            <w:vAlign w:val="bottom"/>
          </w:tcPr>
          <w:p>
            <w:pPr>
              <w:spacing w:after="0"/>
              <w:rPr>
                <w:sz w:val="18"/>
                <w:szCs w:val="18"/>
                <w:color w:val="auto"/>
              </w:rPr>
            </w:pPr>
          </w:p>
        </w:tc>
        <w:tc>
          <w:tcPr>
            <w:tcW w:w="9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remainder of fiscal year 2011</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305,000</w:t>
            </w: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260" w:firstLine="225"/>
        <w:spacing w:after="0" w:line="288" w:lineRule="auto"/>
        <w:rPr>
          <w:sz w:val="20"/>
          <w:szCs w:val="20"/>
          <w:color w:val="auto"/>
        </w:rPr>
      </w:pPr>
      <w:r>
        <w:rPr>
          <w:rFonts w:ascii="Arial" w:cs="Arial" w:eastAsia="Arial" w:hAnsi="Arial"/>
          <w:sz w:val="16"/>
          <w:szCs w:val="16"/>
          <w:color w:val="auto"/>
        </w:rPr>
        <w:t>On October 22, 2009, the Company issued $275.0 million in principal amount of Notes in a private placement to institutional buyers, which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w:t>
      </w:r>
    </w:p>
    <w:p>
      <w:pPr>
        <w:ind w:right="180"/>
        <w:spacing w:after="0" w:line="255" w:lineRule="auto"/>
        <w:rPr>
          <w:sz w:val="20"/>
          <w:szCs w:val="20"/>
          <w:color w:val="auto"/>
        </w:rPr>
      </w:pPr>
      <w:r>
        <w:rPr>
          <w:rFonts w:ascii="Arial" w:cs="Arial" w:eastAsia="Arial" w:hAnsi="Arial"/>
          <w:sz w:val="18"/>
          <w:szCs w:val="18"/>
          <w:color w:val="auto"/>
        </w:rPr>
        <w:t>1.24%, or $3.4 million. The Notes are recorded as long-term debt, net of original issue discount, in the Company’s consolidated financial statements. The original issue discount and deferred financing cost associated with the issuance of the Notes is amortized to interest expense on a straight-line basis over the term of the Notes.</w:t>
      </w:r>
    </w:p>
    <w:p>
      <w:pPr>
        <w:spacing w:after="0" w:line="8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the Company’s existing and future subsidiaries that guarantees the Credit Facility. The Notes and the guarantees are the Company’s and the guarantors’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The indenture agreement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80" w:lineRule="exact"/>
        <w:rPr>
          <w:sz w:val="20"/>
          <w:szCs w:val="20"/>
          <w:color w:val="auto"/>
        </w:rPr>
      </w:pPr>
    </w:p>
    <w:p>
      <w:pPr>
        <w:jc w:val="both"/>
        <w:ind w:right="160" w:firstLine="225"/>
        <w:spacing w:after="0" w:line="257" w:lineRule="auto"/>
        <w:rPr>
          <w:sz w:val="20"/>
          <w:szCs w:val="20"/>
          <w:color w:val="auto"/>
        </w:rPr>
      </w:pPr>
      <w:r>
        <w:rPr>
          <w:rFonts w:ascii="Arial" w:cs="Arial" w:eastAsia="Arial" w:hAnsi="Arial"/>
          <w:sz w:val="18"/>
          <w:szCs w:val="18"/>
          <w:color w:val="auto"/>
        </w:rPr>
        <w:t>Prior to September 15, 2012, the Company may redeem up to 35% of the Notes at a redemption price of 108.875% of the principal amount thereof, plus accrued and unpaid interest, if any, thereon to the redemption date, from the net cash proceeds of specified equity offerings. The Company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8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the Company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79"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In connection with the private placement of the Notes, the Company and the guarantors entered into a registration rights agreement with the initial purchasers in which the Company agreed to file a registration statement with the SEC to permit the holders to exchange or resell the Notes. The Company agreed to use commercially reasonable efforts to consummate an exchange offer within 365 days after the issuance of the Notes or, under certain circumstances, to prepare and file a shelf registration statement to cover the resale of the Notes. If the Company and the guarantors did not comply with certain of their obligations under the registration rights agreement, the registration rights agreement provided that additional interest would accrue on the principal amount of the Notes at a rate of 0.25% per annum during the 90-day period immediately following such default and would increase by 0.25% per annum at the end of each subsequent 90-day period, but in no event would the penalty rate exceed 1.00% per annum. The Company consummated the exchange offer on May 24, 2010. Accordingly, the Company has no obligation to pay additional interest on the Notes under the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200" w:firstLine="222"/>
        <w:spacing w:after="0" w:line="291" w:lineRule="auto"/>
        <w:rPr>
          <w:sz w:val="20"/>
          <w:szCs w:val="20"/>
          <w:color w:val="auto"/>
        </w:rPr>
      </w:pPr>
      <w:r>
        <w:rPr>
          <w:rFonts w:ascii="Arial" w:cs="Arial" w:eastAsia="Arial" w:hAnsi="Arial"/>
          <w:sz w:val="16"/>
          <w:szCs w:val="16"/>
          <w:color w:val="auto"/>
        </w:rPr>
        <w:t>The Credit Facility, as amended, provides a revolving line of credit of $275.0 million (including up to $35.0 million of letters of credit), which facility matures on July 1, 2012. Borrowings under the Credit Facility bear interest, at the Company’s option, at either (1) the highest of the Federal Funds rate plus</w:t>
      </w:r>
    </w:p>
    <w:p>
      <w:pPr>
        <w:spacing w:after="0" w:line="292" w:lineRule="auto"/>
        <w:rPr>
          <w:sz w:val="20"/>
          <w:szCs w:val="20"/>
          <w:color w:val="auto"/>
        </w:rPr>
      </w:pPr>
      <w:r>
        <w:rPr>
          <w:rFonts w:ascii="Arial" w:cs="Arial" w:eastAsia="Arial" w:hAnsi="Arial"/>
          <w:sz w:val="16"/>
          <w:szCs w:val="16"/>
          <w:color w:val="auto"/>
        </w:rPr>
        <w:t>0.50%, the Eurodollar rate plus 1.00% or the administrative agent’s prime rate as announced from time to time, or (2) at the Eurodollar rate plus, in the case of each of (1) and (2), an applicable margin that is based on the ratio of the Company’s debt to earnings before interest, taxes, depreciation and amortization (EBITDA). At July 2, 2010, the effective interest rate on the Company’s outstanding borrowings under the Credit Facility was 4.35%. The Company has capitalized certain amounts of interest expense on the Credit Facility in connection with the construction of ViaSat-1 and other assets. The Credit Facility is guaranteed by certain of the Company’s domestic subsidiaries and collateralized by substantially all of the Company’s and the guarantors’ assets.</w:t>
      </w:r>
    </w:p>
    <w:p>
      <w:pPr>
        <w:spacing w:after="0" w:line="55"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5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was in compliance with its financial covenants under the Credit Facility as of July 2, 2010. At July 2, 2010, the Company had $30.0 million in principal amount of outstanding borrowings under the Credit Facility and $13.6 million outstanding under standby letters of credit, leaving borrowing availability under the Credit Facility of $231.4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July 2, 2010 and July 3, 2009.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8"/>
              </w:rPr>
              <w:t>July 2, 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2"/>
                <w:szCs w:val="12"/>
                <w:color w:val="auto"/>
              </w:rPr>
            </w:pP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5"/>
          </w:tcPr>
          <w:p>
            <w:pPr>
              <w:jc w:val="center"/>
              <w:ind w:left="31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11,194</w:t>
            </w:r>
          </w:p>
        </w:tc>
      </w:tr>
      <w:tr>
        <w:trPr>
          <w:trHeight w:val="216"/>
        </w:trPr>
        <w:tc>
          <w:tcPr>
            <w:tcW w:w="918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r>
      <w:tr>
        <w:trPr>
          <w:trHeight w:val="216"/>
        </w:trPr>
        <w:tc>
          <w:tcPr>
            <w:tcW w:w="9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12,244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11,202</w:t>
            </w:r>
          </w:p>
        </w:tc>
        <w:tc>
          <w:tcPr>
            <w:tcW w:w="10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effective income tax rate for the three months ended July 2, 2010 was 36.8% compared to the 15.0% annual effective tax rate for the fiscal year ended April 2, 2010. The higher rate for the three months ended July 2, 2010 reflects the December 31, 2009 expiration of the federal research and development tax credit. If the federal research and development tax credit is reinstated, the Company may have a lower annual effective tax rate for fiscal year 2011, and the amount of any such tax rate reduction will depend on the effective date of any such reinstatement, the terms of the reinstatement as well as the amount of eligible research and development expenses in the reinstated period. The estimated effective tax rate is different from the expected statutory rate primarily due to state research and development tax credits.</w:t>
      </w:r>
    </w:p>
    <w:p>
      <w:pPr>
        <w:spacing w:after="0" w:line="85"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For the three months ended July 2, 2010, the Company’s gross unrecognized tax benefits increased by $0.2 million. In the next twelve months, it is reasonably possible that the amount of unrecognized tax benefits will decrease by $2.6 million as a result of the expiration of the statute of limitations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15, 2009, the Company completed the acquisition of all outstanding shares of WildBlue, a privately held provider of broadband internet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 delivering two-way broadband internet access via satellite in the contiguous United States. The purchase price of approximately $574.6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comprised primarily of $131.9 million related to the fair value of 4,286,250 shares of the Company’s common stock issued at the closing date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$442.7 million in cash consideration. The $442.7 million in cash consideration paid to the former WildBlue stockholders less cash and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of $64.7 million resulted in a net cash outlay of approximately $378.0 million. As of April 2, 2010, all of the acquired restricted cash had become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unrestricted. The acquisition was accounted for as a purchase and accordingly, the condensed consolidated financial statements include the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WildBlue from the date of acquisition. The purchase price allocation continues to be preliminary due to pending resolution of certain WildBlue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attributes.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for the Company and WildBlue on a pro forma basis, as though the companies had been combined as of the beginning of fiscal year 2010. The pro forma financial information is presented for informational purposes only and may not be indicative of the results of operations that would have been achieved if the acquisition had taken place at the beginning of fiscal year 2010. The pro forma financial information for the three month period ended July 3, 2009 includes the business combination accounting effect on historical WildBlue revenue, elimination of the historical ViaSat revenues and related costs of revenues derived from sales of CPE units to WildBlue, amortization and depreciation charges from acquired intangible and tangible assets, the difference between WildBlue’s and ViaSat’s historical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interest expense/interest income due to ViaSat’s new capitalization structure as a result of the acquisition, related tax effects and adjustment to shares outstanding for shares issued for the acquisition.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(in thousands, except per share data)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696"/>
              <w:spacing w:after="0" w:line="142" w:lineRule="exact"/>
              <w:rPr>
                <w:sz w:val="20"/>
                <w:szCs w:val="20"/>
                <w:color w:val="auto"/>
              </w:rPr>
            </w:pPr>
            <w:r>
              <w:rPr>
                <w:rFonts w:ascii="Arial" w:cs="Arial" w:eastAsia="Arial" w:hAnsi="Arial"/>
                <w:sz w:val="14"/>
                <w:szCs w:val="14"/>
                <w:b w:val="1"/>
                <w:bCs w:val="1"/>
                <w:color w:val="auto"/>
              </w:rPr>
              <w:t>July 3, 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Net income attributable to ViaSat, Inc.</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Restructuring</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the third quarter of fiscal year 2010, the Company initiated a post-acquisition restructuring plan related to the termination of certain duplicative employee positions upon the acquisition of WildBlue. Under the terms of the plan, the Company recorded restructuring charges of approximately $0.5 million as part of selling, general and administrative expenses within the satellite services segment during the first quarter of fiscal year 2011. As of July 2, 2010 and April 2, 2010, $0.7 million and $0.3 million, respectively, of restructuring charges remained unpaid and were recorded in accrued liabilities. During the first quarter of fiscal year 2011, the Company paid approximately $0.1 million of the outstanding restructuring liabilities. There was no restructuring plan or charges recorded during the first quarter of fiscal year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right="140" w:firstLine="222"/>
        <w:spacing w:after="0" w:line="288" w:lineRule="auto"/>
        <w:rPr>
          <w:sz w:val="20"/>
          <w:szCs w:val="20"/>
          <w:color w:val="auto"/>
        </w:rPr>
      </w:pPr>
      <w:r>
        <w:rPr>
          <w:rFonts w:ascii="Arial" w:cs="Arial" w:eastAsia="Arial" w:hAnsi="Arial"/>
          <w:sz w:val="16"/>
          <w:szCs w:val="16"/>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includes both the Company’s recently acquired WildBlue business (which provides wholesale and retail satellite-based broadband internet services in the United States) and the Company’s managed network services which complement the commercial networks segment by supporting the satellite communication systems of the Company’s enterprise and mobile broadband customers. The Company’s satellite services segment also includes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As discussed further in Note 2, included in the government systems segment operating profit for the three months ended July 2, 2010 is an $8.5 million forward loss recorded on a government satellite communications program.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July 2, 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center"/>
              <w:ind w:left="41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560" w:type="dxa"/>
            <w:vAlign w:val="bottom"/>
            <w:gridSpan w:val="2"/>
          </w:tcPr>
          <w:p>
            <w:pPr>
              <w:ind w:left="24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88,845</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57,540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192,004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11,461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2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Amortization of acquired intangibles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6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7,383</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acquired intangibles by segment for the three months ended July 2, 2010 and July 3,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8"/>
              </w:rPr>
              <w:t>July 2, 2010</w:t>
            </w:r>
          </w:p>
        </w:tc>
        <w:tc>
          <w:tcPr>
            <w:tcW w:w="6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2"/>
                <w:szCs w:val="12"/>
                <w:color w:val="auto"/>
              </w:rPr>
            </w:pP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4"/>
          </w:tcPr>
          <w:p>
            <w:pPr>
              <w:jc w:val="center"/>
              <w:ind w:left="13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1,233</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1,505</w:t>
            </w:r>
          </w:p>
        </w:tc>
        <w:tc>
          <w:tcPr>
            <w:tcW w:w="10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July 2, 2010 and April 2, 2010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July 2, 2010</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April 2, 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174,565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168,703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131,329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146,990</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103,992</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409,886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423,612</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Corporate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861,901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1,271,787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1,293,552</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July 2, 2010 and April 2,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ind w:left="180"/>
              <w:spacing w:after="0"/>
              <w:rPr>
                <w:sz w:val="20"/>
                <w:szCs w:val="20"/>
                <w:color w:val="auto"/>
              </w:rPr>
            </w:pPr>
            <w:r>
              <w:rPr>
                <w:rFonts w:ascii="Arial" w:cs="Arial" w:eastAsia="Arial" w:hAnsi="Arial"/>
                <w:sz w:val="14"/>
                <w:szCs w:val="14"/>
                <w:b w:val="1"/>
                <w:bCs w:val="1"/>
                <w:color w:val="auto"/>
              </w:rPr>
              <w:t>Net Acquired Intangible</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b w:val="1"/>
                <w:bCs w:val="1"/>
                <w:color w:val="auto"/>
                <w:w w:val="95"/>
              </w:rPr>
              <w:t>Assets</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2, 2010</w:t>
            </w: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April 2, 2010</w:t>
            </w:r>
          </w:p>
        </w:tc>
        <w:tc>
          <w:tcPr>
            <w:tcW w:w="66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July 2, 2010</w:t>
            </w:r>
          </w:p>
        </w:tc>
        <w:tc>
          <w:tcPr>
            <w:tcW w:w="60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April 2, 20010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74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7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22,161</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Networks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8,286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9,389</w:t>
            </w: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43,449</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43,461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75,054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78,292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84,779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75,012</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580" w:type="dxa"/>
            <w:vAlign w:val="bottom"/>
            <w:vMerge w:val="restart"/>
          </w:tcPr>
          <w:p>
            <w:pPr>
              <w:jc w:val="right"/>
              <w:ind w:right="3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three months ended July 2, 2010 and July 3,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July 2, 2010</w:t>
            </w:r>
          </w:p>
        </w:tc>
        <w:tc>
          <w:tcPr>
            <w:tcW w:w="6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2"/>
                <w:szCs w:val="12"/>
                <w:color w:val="auto"/>
              </w:rPr>
            </w:pPr>
          </w:p>
        </w:tc>
      </w:tr>
      <w:tr>
        <w:trPr>
          <w:trHeight w:val="142"/>
        </w:trPr>
        <w:tc>
          <w:tcPr>
            <w:tcW w:w="9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$ 161,165</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$ 126,042</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20,614</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23,387</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6,402</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1,211</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r>
      <w:tr>
        <w:trPr>
          <w:trHeight w:val="223"/>
        </w:trPr>
        <w:tc>
          <w:tcPr>
            <w:tcW w:w="9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$ 192,004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$ 158,408</w:t>
            </w:r>
          </w:p>
        </w:tc>
        <w:tc>
          <w:tcPr>
            <w:tcW w:w="10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net book value of long-lived assets located outside the United States was $4.7 million and $4.4 million at July 2, 2010 and April 2, 2010,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January 2008, the Company entered into a satellite construction contract with SS/L under which the Company purchased a new high-capacity Ka-band spot-beam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w:t>
      </w:r>
    </w:p>
    <w:p>
      <w:pPr>
        <w:spacing w:after="0" w:line="5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During the three months ended July 2, 2010 and July 3, 2009, under the satellite construction contract, the Company paid $10.6 million and $23.3 million, respectively, to SS/L and had $3.8 million payable to SS/L as of each of July 2, 2010 and April 2, 2010. During the three months ended July 2, 2010, the Company also received $3.8 million from SS/L under the beam sharing agreement with Loral. There was no cash received from SS/L for the three months ended July 3, 2009. Accounts receivable due from SS/L under the beam sharing agreement with Loral were $2.1 million and $3.8 million as of July 2, 2010 and April 2, 2010, respectively.</w:t>
      </w:r>
    </w:p>
    <w:p>
      <w:pPr>
        <w:spacing w:after="0" w:line="80"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From time to time the Company enters into various contracts in the ordinary course of business with SS/L and Telesat Canada. The Company recognized approximately $0.1 million of revenue related to Telesat Canada during the three months ended July 2, 2010 and July 3, 2009. Accounts receivable due from Telesat Canada as of July 2, 2010 and April 2, 2010 were $0.3 million and $0.9 million, respectively. The Company also recognized $2.8 million of expense related to Telesat Canada during the three months ended July 2, 2010 and no material amounts during the three months ended July 3, 2009. Collections in excess of revenues and deferred revenues related to a contract with SS/L was $3.8 million and $0.8 million as of July 2, 2010 and April 2, 2010, respectively. All other amounts related to SS/L, excluding activities under the ViaSat-1 related satellite contracts, were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Financial Statements of Parent and Subsidiary Guarantors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October 22, 2009, the Company issued $275.0 million in principal amount of Notes in a private placement to institutional buyers. The Notes are jointly and severally guaranteed on a full and unconditional basis by each of the Company’s existing and future subsidiaries (the Guarantor Subsidiaries) that guarantee the Credit Facility. 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otherwise dispose of assets; enter into transactions with affiliates; reduce the Company’s satellite insurance; and consolidate or merge with, or sell substantially all of their assets to, another person.</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following supplemental financial information sets forth, on a condensed consolidating basis, the balance sheets, statements of operations and statements of cash flows for the Company (as “Issuing Parent Company”), the Guarantor Subsidiaries, the non-guarantor subsidiaries and total consolidated Company and subsidiaries as of July 2, 2010 and April 2, 2010 and for the three months ended July 2, 2010 and July 3, 2009.</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 as of July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Company</w:t>
            </w:r>
          </w:p>
        </w:tc>
        <w:tc>
          <w:tcPr>
            <w:tcW w:w="1740" w:type="dxa"/>
            <w:vAlign w:val="bottom"/>
            <w:gridSpan w:val="4"/>
          </w:tcPr>
          <w:p>
            <w:pPr>
              <w:ind w:left="4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42,306</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7,545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148,498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9,377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305,671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27,886</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237,319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278,883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74,948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82,420</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7,469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75,054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516,494</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(526,202)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65,143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19,071</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1,273,131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494,728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31,114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(527,186)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66,980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5,684</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562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23,405</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271,924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payables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(54,354)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17,138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31,660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(54,354)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498,356</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770,055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463,068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13,140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(476,716)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770,055</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463,068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(472,832)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1,273,131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494,728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31,114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(527,186)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 as of April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Company</w:t>
            </w:r>
          </w:p>
        </w:tc>
        <w:tc>
          <w:tcPr>
            <w:tcW w:w="1740" w:type="dxa"/>
            <w:vAlign w:val="bottom"/>
            <w:gridSpan w:val="4"/>
          </w:tcPr>
          <w:p>
            <w:pPr>
              <w:ind w:left="4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66,258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16,216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160,807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344,224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286,258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66,928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82,679</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78,292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596,313</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7,654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(606,291)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60,812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21,070</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1,352,520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517,784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71,765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5,920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670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271,801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payables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(107,973)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599,350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(107,973)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536,802</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753,170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489,272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13,570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(503,007)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753,170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489,272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(499,262)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1,352,520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517,784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for the Three Months Ended July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gridSpan w:val="4"/>
          </w:tcPr>
          <w:p>
            <w:pPr>
              <w:ind w:lef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125,141</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1,342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(2,032)</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53,543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67,002</w:t>
            </w:r>
          </w:p>
        </w:tc>
        <w:tc>
          <w:tcPr>
            <w:tcW w:w="0" w:type="dxa"/>
            <w:vAlign w:val="bottom"/>
          </w:tcPr>
          <w:p>
            <w:pPr>
              <w:spacing w:after="0"/>
              <w:rPr>
                <w:sz w:val="1"/>
                <w:szCs w:val="1"/>
                <w:color w:val="auto"/>
              </w:rPr>
            </w:pPr>
          </w:p>
        </w:tc>
      </w:tr>
      <w:tr>
        <w:trPr>
          <w:trHeight w:val="224"/>
        </w:trPr>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136,363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54,094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95,288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25,561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12,478</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1,260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(2,141)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(1,544)</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consolidated subsidiaries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for the Three Months Ended July 3,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Issuing</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Consolidation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3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148,380</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1,257</w:t>
            </w: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155,529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158,408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104,542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1,541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26,348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6,896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2,854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 of consolidated subsidiaries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 interest,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 for the Three Months Ended July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Consolidation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Issuing Parent</w:t>
            </w:r>
          </w:p>
        </w:tc>
        <w:tc>
          <w:tcPr>
            <w:tcW w:w="520" w:type="dxa"/>
            <w:vAlign w:val="bottom"/>
          </w:tcPr>
          <w:p>
            <w:pPr>
              <w:spacing w:after="0"/>
              <w:rPr>
                <w:sz w:val="12"/>
                <w:szCs w:val="12"/>
                <w:color w:val="auto"/>
              </w:rPr>
            </w:pPr>
          </w:p>
        </w:tc>
        <w:tc>
          <w:tcPr>
            <w:tcW w:w="13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Company</w:t>
            </w:r>
          </w:p>
        </w:tc>
        <w:tc>
          <w:tcPr>
            <w:tcW w:w="1860" w:type="dxa"/>
            <w:vAlign w:val="bottom"/>
            <w:gridSpan w:val="4"/>
          </w:tcPr>
          <w:p>
            <w:pPr>
              <w:ind w:left="5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Subsidiaries</w:t>
            </w:r>
          </w:p>
        </w:tc>
        <w:tc>
          <w:tcPr>
            <w:tcW w:w="2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7,153</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31,192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416</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(32,065)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(8,601)</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(8,501)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6,198</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31,475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(31,427)</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(31,427)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(23,952)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(8,736)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66,258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42,306</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7,545</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ind w:right="234"/>
              <w:spacing w:after="0"/>
              <w:rPr>
                <w:sz w:val="20"/>
                <w:szCs w:val="20"/>
                <w:color w:val="auto"/>
              </w:rPr>
            </w:pPr>
            <w:r>
              <w:rPr>
                <w:rFonts w:ascii="Arial" w:cs="Arial" w:eastAsia="Arial" w:hAnsi="Arial"/>
                <w:sz w:val="18"/>
                <w:szCs w:val="18"/>
                <w:color w:val="auto"/>
                <w:w w:val="89"/>
              </w:rPr>
              <w:t>28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 for the Three Months Ended July 3,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Consolidation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Issuing Parent</w:t>
            </w:r>
          </w:p>
        </w:tc>
        <w:tc>
          <w:tcPr>
            <w:tcW w:w="52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Company</w:t>
            </w:r>
          </w:p>
        </w:tc>
        <w:tc>
          <w:tcPr>
            <w:tcW w:w="1860" w:type="dxa"/>
            <w:vAlign w:val="bottom"/>
            <w:gridSpan w:val="4"/>
          </w:tcPr>
          <w:p>
            <w:pPr>
              <w:ind w:left="5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Subsidiaries</w:t>
            </w:r>
          </w:p>
        </w:tc>
        <w:tc>
          <w:tcPr>
            <w:tcW w:w="2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(4,258)</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(911)</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(31,646)</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(35,113)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(2,339)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(1,272)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Incremental tax benefits from stock-based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80,237</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40,866</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57,830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98,696</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5,576</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ind w:right="234"/>
              <w:spacing w:after="0"/>
              <w:rPr>
                <w:sz w:val="20"/>
                <w:szCs w:val="20"/>
                <w:color w:val="auto"/>
              </w:rPr>
            </w:pPr>
            <w:r>
              <w:rPr>
                <w:rFonts w:ascii="Arial" w:cs="Arial" w:eastAsia="Arial" w:hAnsi="Arial"/>
                <w:sz w:val="18"/>
                <w:szCs w:val="18"/>
                <w:color w:val="auto"/>
                <w:w w:val="89"/>
              </w:rPr>
              <w:t>29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On July 8, 2010, the Company completed the acquisition of all outstanding shares of the parent company of Stonewood Group Limited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which will enhance the Company’s current encryption security offerings within the Company’s information assurance products. The preliminary purchase price of approximately $19.5 million was comprised of $4.6 million related to the fair value of 144,962 shares of the Company’s common stock issued at the closing date and $14.9 million in cash consideration. The preliminary allocation of the purchase price will be based on the fair value of assets acquired and liabilities assumed as of July 8, 2010, the date the acquisition was completed. Due to the limited time since the acquisition date, the initial accounting for the business combination, which is dependent upon valuations and other studies, has not been completed.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8"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Part I, Item 1A of our Annual Report on Form 10-K for the fiscal year ended April 2, 2010,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following our recent acquisition of WildBlue Holding, Inc. (WildBlue), we are a leading provider of satellite broadband internet services in the United States. ViaSat was incorporated in California in 1986, and reincorporated as a Delaware corporation in 1996.</w:t>
      </w:r>
    </w:p>
    <w:p>
      <w:pPr>
        <w:spacing w:after="0" w:line="8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December 15, 2009, we consummated our acquisition of WildBlue, a leading Ka-band satellite broadband internet service provider. In connection with the acquisition, we paid approximately $442.7 million in cash and issued approximately 4.29 million shares of ViaSat common stock to WildBlue equity and debt holders (the WildBlue Investors). ViaSat retained approximately $64.7 million of WildBlue’s cash on hand. To finance in part the cash payment made to the WildBlue Investors, in October 2009 we issued $275.0 million in aggregate principal amount of 8.875% Senior Notes due 2016 (the Notes) and, in December 2009, we borrowed $140.0 million under our revolving credit facility (the Credit Facility), which was subsequently paid down to $30.0 million as of July 2, 2010. During fiscal year 2010, we increased the amount of our revolving line of credit under the Credit Facility from $85.0 million to $275.0 million.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ViaSat operates in three segments: government systems, commercial networks and satellite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59"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Tactical data links, including Multifunctional Information Distribution System (MIDS) terminals for military fighter jets, and their successor, MIDS Joint Tactical Radio System (MIDS JTRS) terminals (which were approved for low-rate initial production in 2010), “disposable” weapon data links, portable small tactical terminals and digital video data links for intelligence, surveillance and reconnaissance from Unmanned Aerial Vehicles (UAVs) and ground systems.</w:t>
      </w:r>
    </w:p>
    <w:p>
      <w:pPr>
        <w:spacing w:after="0" w:line="92" w:lineRule="exact"/>
        <w:rPr>
          <w:rFonts w:ascii="Arial" w:cs="Arial" w:eastAsia="Arial" w:hAnsi="Arial"/>
          <w:sz w:val="18"/>
          <w:szCs w:val="18"/>
          <w:b w:val="1"/>
          <w:bCs w:val="1"/>
          <w:color w:val="auto"/>
        </w:rPr>
      </w:pPr>
    </w:p>
    <w:p>
      <w:pPr>
        <w:ind w:left="460" w:right="300" w:hanging="452"/>
        <w:spacing w:after="0" w:line="277"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Information assurance products that enable military and government users to communicate information securely over networks, and that secure data stored on computers and storage devices.</w:t>
      </w:r>
    </w:p>
    <w:p>
      <w:pPr>
        <w:spacing w:after="0" w:line="75" w:lineRule="exact"/>
        <w:rPr>
          <w:rFonts w:ascii="Arial" w:cs="Arial" w:eastAsia="Arial" w:hAnsi="Arial"/>
          <w:sz w:val="18"/>
          <w:szCs w:val="18"/>
          <w:b w:val="1"/>
          <w:bCs w:val="1"/>
          <w:color w:val="auto"/>
        </w:rPr>
      </w:pPr>
    </w:p>
    <w:p>
      <w:pPr>
        <w:ind w:left="460" w:right="160" w:hanging="452"/>
        <w:spacing w:after="0" w:line="277"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including an array of portable and fixed broadband modems, terminals, network access control systems and antenna systems using a range of satellite frequency bands.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7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satellite communication systems and ground networking equipment and products cater to a wide range of domestic and international commercial customers and include:</w:t>
      </w:r>
    </w:p>
    <w:p>
      <w:pPr>
        <w:spacing w:after="0" w:line="6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Consumer broadband, including next-generation satellite network infrastructure and ground terminals to access high capacity satellites.</w:t>
      </w:r>
    </w:p>
    <w:p>
      <w:pPr>
        <w:spacing w:after="0" w:line="130" w:lineRule="exact"/>
        <w:rPr>
          <w:rFonts w:ascii="Arial" w:cs="Arial" w:eastAsia="Arial" w:hAnsi="Arial"/>
          <w:sz w:val="18"/>
          <w:szCs w:val="18"/>
          <w:b w:val="1"/>
          <w:bCs w:val="1"/>
          <w:color w:val="auto"/>
        </w:rPr>
      </w:pPr>
    </w:p>
    <w:p>
      <w:pPr>
        <w:ind w:left="460" w:right="26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75" w:lineRule="exact"/>
        <w:rPr>
          <w:rFonts w:ascii="Arial" w:cs="Arial" w:eastAsia="Arial" w:hAnsi="Arial"/>
          <w:sz w:val="18"/>
          <w:szCs w:val="18"/>
          <w:b w:val="1"/>
          <w:bCs w:val="1"/>
          <w:color w:val="auto"/>
        </w:rPr>
      </w:pPr>
    </w:p>
    <w:p>
      <w:pPr>
        <w:ind w:left="460" w:right="46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Mobile broadband satellite communication systems, designed for use in aircraft, seagoing vessels and high-speed trains.</w:t>
      </w:r>
    </w:p>
    <w:p>
      <w:pPr>
        <w:spacing w:after="0" w:line="130" w:lineRule="exact"/>
        <w:rPr>
          <w:rFonts w:ascii="Arial" w:cs="Arial" w:eastAsia="Arial" w:hAnsi="Arial"/>
          <w:sz w:val="18"/>
          <w:szCs w:val="18"/>
          <w:b w:val="1"/>
          <w:bCs w:val="1"/>
          <w:color w:val="auto"/>
        </w:rPr>
      </w:pPr>
    </w:p>
    <w:p>
      <w:pPr>
        <w:ind w:left="460" w:right="94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including design and technology services covering all aspects of satellite communication system architecture and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Our satellite services segment complements our commercial networks segment by providing wholesale and retail satellite-based broadband internet services in the United States via our satellite and capacity agreements, as well as managed network services for the satellite communication systems of our consumer, enterprise and mobile broadband customers.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117" w:lineRule="exact"/>
        <w:rPr>
          <w:sz w:val="20"/>
          <w:szCs w:val="20"/>
          <w:color w:val="auto"/>
        </w:rPr>
      </w:pPr>
    </w:p>
    <w:p>
      <w:pPr>
        <w:ind w:left="460" w:hanging="452"/>
        <w:spacing w:after="0" w:line="255"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Wholesale and retail broadband services, comprised of WildBlue</w:t>
      </w:r>
      <w:r>
        <w:rPr>
          <w:rFonts w:ascii="Arial" w:cs="Arial" w:eastAsia="Arial" w:hAnsi="Arial"/>
          <w:sz w:val="15"/>
          <w:szCs w:val="15"/>
          <w:color w:val="auto"/>
        </w:rPr>
        <w:t>®</w:t>
      </w:r>
      <w:r>
        <w:rPr>
          <w:rFonts w:ascii="Arial" w:cs="Arial" w:eastAsia="Arial" w:hAnsi="Arial"/>
          <w:sz w:val="18"/>
          <w:szCs w:val="18"/>
          <w:color w:val="auto"/>
        </w:rPr>
        <w:t xml:space="preserve"> service, which provides two-way satellite-based broadband internet access to consumers and small businesses in the United States. As of July 2, 2010, we provided WildBlue service to approximately 415,000 subscribers. In addition, following the launch of ViaSat-1, we expect to provide wholesale and retail broadband service via ViaSat-1 in the United States at speeds and volumes that provide a broadband experience that is comparable to or better than terrestrial broadband alternatives such as cable modems and DSL connections. We expect this service to become available in mid 2011. We plan to offer wholesale broadband services via ViaSat-1 to national and regional distribution partners, including retail service providers and communications companies. We plan to offer our retail service via ViaSat-1 through WildBlue.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Mobile broadband services, comprised of global network management services for customers who use our ArcLight</w:t>
      </w:r>
      <w:r>
        <w:rPr>
          <w:rFonts w:ascii="Arial" w:cs="Arial" w:eastAsia="Arial" w:hAnsi="Arial"/>
          <w:sz w:val="13"/>
          <w:szCs w:val="13"/>
          <w:color w:val="auto"/>
        </w:rPr>
        <w:t>®</w:t>
      </w:r>
      <w:r>
        <w:rPr>
          <w:rFonts w:ascii="Arial" w:cs="Arial" w:eastAsia="Arial" w:hAnsi="Arial"/>
          <w:sz w:val="16"/>
          <w:szCs w:val="16"/>
          <w:color w:val="auto"/>
        </w:rPr>
        <w:t>-based mobile satellite systems.</w:t>
      </w:r>
    </w:p>
    <w:p>
      <w:pPr>
        <w:spacing w:after="0" w:line="153" w:lineRule="exact"/>
        <w:rPr>
          <w:rFonts w:ascii="Arial" w:cs="Arial" w:eastAsia="Arial" w:hAnsi="Arial"/>
          <w:sz w:val="16"/>
          <w:szCs w:val="16"/>
          <w:b w:val="1"/>
          <w:bCs w:val="1"/>
          <w:color w:val="auto"/>
        </w:rPr>
      </w:pPr>
    </w:p>
    <w:p>
      <w:pPr>
        <w:ind w:left="460" w:right="360" w:hanging="452"/>
        <w:spacing w:after="0" w:line="277"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Managed broadband services, comprised of a full-service managed broadband service for everyday enterprise networking or backup protection for primary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With respect to our government systems and commercial networks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5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94% and 89% of our total revenues for the three months ended July 2, 2010 and July 3, 2009, respectively. The remainder of our revenue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$14.8 million or 8% and $30.2 million or 19% of our total revenues in the three months ended July 2, 2010 and July 3, 2009, respectively.</w:t>
      </w:r>
    </w:p>
    <w:p>
      <w:pPr>
        <w:spacing w:after="0" w:line="80"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 of total revenues during the three months ended July 2, 2010 and July 3, 2009. As a government contractor, we are able to recover a portion of our independent research and development expenses pursuant to our government contracts.</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satellite services segment revenues are primarily derived from our recently acquired WildBlue business (which provides wholesale and retail satellite-based broadband internet services in the United States) and our managed network services which complement the commercial networks segment by supporting the satellite communication systems of our enterprise and mobile broadband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substantial portion of our revenues is derived from long-term contracts requiring development and delivery of complex equipment built to customer specifications. Sales related to these contracts are accounted for under authoritative guidance for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percentage-of-completion method of accounting (the American Institute of Certified Public Accountants’ (AICPA) Statement of Position 81-1 (SOP 81-1), “Accounting for Performance of Construction-Type and Certain Production-Type Contracts” /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w:t>
      </w:r>
    </w:p>
    <w:p>
      <w:pPr>
        <w:spacing w:after="0" w:line="5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as discussed below with respect to a government satellite communication program,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July 2, 2010 would change our income before income taxes by approximately $0.4 million.</w:t>
      </w:r>
    </w:p>
    <w:p>
      <w:pPr>
        <w:spacing w:after="0" w:line="59"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we recorded an additional forward loss of $8.5 million in the three months ended July 2, 2010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 Including this program, during the three months ended July 2, 2010 and July 3, 2009, we recorded losses of approximately $8.7 million and $1.4 million, respectively, related to loss contracts.</w:t>
      </w:r>
    </w:p>
    <w:p>
      <w:pPr>
        <w:spacing w:after="0" w:line="59"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also have contracts and purchase orders where revenue is recorded on delivery of products or performance of services in accordance with the authoritative guidance for revenue recognition (Staff Accounting Bulletin No. 104 (SAB 104), “Revenue Recognition” / ASC 605). Under this standard, we recognize revenue when an arrangement exists, prices are fixed and determinable, collectability is reasonably assured and the goods or services have been delivered.</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also enter into certain leasing arrangements with customers and evaluate the contracts in accordance with the authoritative guidance for leases (SFAS 13, “Leases” /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85"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the authoritative guidance for accounting for multiple element revenue arrangements (Emerging Issues Task Force 00-21 (EITF 00-21), “Accounting for Multiple Element Revenue Arrangements” / ASC 605-25),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Deferred revenues extending beyond the twelve months are recorded within other liabilities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Under the authoritative guidance for share-based payments (SFAS 123, “Share-Based Payments” / ASC 718), stock-based compensation cost is measured at the grant date based on the estimated fair value of the award and is recognized as expense ratably over the employees’ requisite service period. We use the Black-Scholes model to estimate the fair value of stock-based awards at the grant date. The Black-Scholes model requires using judgment to estimate stock price volatility, the expected option life, the risk-free interest rate, and the dividend yield, which are used to calculate fair value. Compensation expense is recognized only for those options expected to vest, with forfeitures estimated at the date of grant based on our historical experience and future expectations. To the extent actual forfeitures differ significantly from our estimates, adjustments to compensation cost may be required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a contributing factor to this is that a significant portion of our sales has been to the U.S. government. Our accounts receivable balance was $161.8 million, net of allowance for doubtful accounts of $0.5 million, as of July 2, 2010, and our accounts receivable balance was $176.4 million, net of allowance for doubtful accounts of $0.5 million, as of April 2,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account for our goodwill under authoritative guidance for goodwill and other intangible assets (SFAS 142, “Goodwill and Other Intangible Assets” / ASC 350). The authoritative guidance for the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84"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estimate the fair values of the reporting units using discounted cash flows and other indicators of fair value such as market comparable transactions, etc.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authoritative guidance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Equipment, computers and software, furniture and fixtures, and our ViaSat-1 satellite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In addition, interest expense is capitalized on the carrying value of the satellite during the construction period. Satellite construction and launch services costs are capitalized to reflect progress toward completion, which typically coincides with contract milestone payment schedules. Insurance premiums 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70" w:lineRule="exact"/>
        <w:rPr>
          <w:sz w:val="20"/>
          <w:szCs w:val="20"/>
          <w:color w:val="auto"/>
        </w:rPr>
      </w:pPr>
    </w:p>
    <w:p>
      <w:pPr>
        <w:ind w:right="60" w:firstLine="215"/>
        <w:spacing w:after="0" w:line="312" w:lineRule="auto"/>
        <w:rPr>
          <w:sz w:val="20"/>
          <w:szCs w:val="20"/>
          <w:color w:val="auto"/>
        </w:rPr>
      </w:pPr>
      <w:r>
        <w:rPr>
          <w:rFonts w:ascii="Arial" w:cs="Arial" w:eastAsia="Arial" w:hAnsi="Arial"/>
          <w:sz w:val="16"/>
          <w:szCs w:val="16"/>
          <w:color w:val="auto"/>
        </w:rPr>
        <w:t>As a result of the acquisition of WildBlue on December 15, 2009, we acquired the WildBlue-1 satellite (which was placed into service in March 2007) and an exclusive prepaid lifetime capital lease of Ka-band capacity on Telesat Canada’s Anik F2 satellite (which was placed into service in April 2005). The acquired assets also included the indoor and outdoor customer premise equipment (CPE) units leased to subscribers under WildBlue’s retail leasing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satellites, and other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the authoritative guidance for impairment or disposal of long-lived assets (SFAS 144, “Accounting for the Impairment or Disposal of Long-Lived Assets” /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the authoritative guidance for income taxes (SFAS 109, “Accounting for Income Taxes” / ASC 740), net deferred tax assets are reduced by a valuation allowance if, based on all the available evidence, it is more likely than not that some or all of the deferred tax assets will not be realized. Our valuation allowance against deferred tax assets increased from $13.1 million at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April 2, 2010 to $13.2 million at July 2, 2010. The valuation allowance primarily relates to state net operating loss carryforwards and research credit carryforwards available to reduce state income taxes.</w:t>
      </w:r>
    </w:p>
    <w:p>
      <w:pPr>
        <w:spacing w:after="0" w:line="62" w:lineRule="exact"/>
        <w:rPr>
          <w:sz w:val="20"/>
          <w:szCs w:val="20"/>
          <w:color w:val="auto"/>
        </w:rPr>
      </w:pPr>
    </w:p>
    <w:p>
      <w:pPr>
        <w:ind w:right="200" w:firstLine="215"/>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59"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product, service or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720" w:type="dxa"/>
            <w:vAlign w:val="bottom"/>
          </w:tcPr>
          <w:p>
            <w:pPr>
              <w:spacing w:after="0"/>
              <w:rPr>
                <w:sz w:val="12"/>
                <w:szCs w:val="12"/>
                <w:color w:val="auto"/>
              </w:rPr>
            </w:pPr>
          </w:p>
        </w:tc>
        <w:tc>
          <w:tcPr>
            <w:tcW w:w="10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July 2, 2010</w:t>
            </w:r>
          </w:p>
        </w:tc>
        <w:tc>
          <w:tcPr>
            <w:tcW w:w="540" w:type="dxa"/>
            <w:vAlign w:val="bottom"/>
          </w:tcPr>
          <w:p>
            <w:pPr>
              <w:spacing w:after="0"/>
              <w:rPr>
                <w:sz w:val="12"/>
                <w:szCs w:val="12"/>
                <w:color w:val="auto"/>
              </w:rPr>
            </w:pPr>
          </w:p>
        </w:tc>
        <w:tc>
          <w:tcPr>
            <w:tcW w:w="10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July 3, 2009</w:t>
            </w: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Product revenues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65.1</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94.3</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34.9</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5.7</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75.8</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70.7</w:t>
            </w: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Cost of service revenues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58.3</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68.2</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20.3</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17.0</w:t>
            </w: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Independent research and development</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3.8</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4.4</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2.4</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3.9</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7.1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2.8</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5.2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w:t>
            </w:r>
          </w:p>
        </w:tc>
        <w:tc>
          <w:tcPr>
            <w:tcW w:w="16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2, 2010 vs. Three Months Ended July 3,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22"/>
              <w:spacing w:after="0" w:line="119" w:lineRule="exact"/>
              <w:rPr>
                <w:sz w:val="20"/>
                <w:szCs w:val="20"/>
                <w:color w:val="auto"/>
              </w:rPr>
            </w:pPr>
            <w:r>
              <w:rPr>
                <w:rFonts w:ascii="Arial" w:cs="Arial" w:eastAsia="Arial" w:hAnsi="Arial"/>
                <w:sz w:val="13"/>
                <w:szCs w:val="13"/>
                <w:b w:val="1"/>
                <w:bCs w:val="1"/>
                <w:color w:val="auto"/>
              </w:rPr>
              <w:t>July 2,</w:t>
            </w:r>
          </w:p>
        </w:tc>
        <w:tc>
          <w:tcPr>
            <w:tcW w:w="480" w:type="dxa"/>
            <w:vAlign w:val="bottom"/>
          </w:tcPr>
          <w:p>
            <w:pPr>
              <w:spacing w:after="0"/>
              <w:rPr>
                <w:sz w:val="10"/>
                <w:szCs w:val="10"/>
                <w:color w:val="auto"/>
              </w:rPr>
            </w:pPr>
          </w:p>
        </w:tc>
        <w:tc>
          <w:tcPr>
            <w:tcW w:w="1040" w:type="dxa"/>
            <w:vAlign w:val="bottom"/>
          </w:tcPr>
          <w:p>
            <w:pPr>
              <w:jc w:val="right"/>
              <w:ind w:right="24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500" w:type="dxa"/>
            <w:vAlign w:val="bottom"/>
          </w:tcPr>
          <w:p>
            <w:pPr>
              <w:spacing w:after="0"/>
              <w:rPr>
                <w:sz w:val="16"/>
                <w:szCs w:val="16"/>
                <w:color w:val="auto"/>
              </w:rPr>
            </w:pP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$125.0</w:t>
            </w:r>
          </w:p>
        </w:tc>
        <w:tc>
          <w:tcPr>
            <w:tcW w:w="48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$149.4</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$(24.4)</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65.1%</w:t>
            </w:r>
          </w:p>
        </w:tc>
        <w:tc>
          <w:tcPr>
            <w:tcW w:w="1520" w:type="dxa"/>
            <w:vAlign w:val="bottom"/>
            <w:gridSpan w:val="2"/>
          </w:tcPr>
          <w:p>
            <w:pPr>
              <w:jc w:val="right"/>
              <w:ind w:right="82"/>
              <w:spacing w:after="0"/>
              <w:rPr>
                <w:sz w:val="20"/>
                <w:szCs w:val="20"/>
                <w:color w:val="auto"/>
              </w:rPr>
            </w:pPr>
            <w:r>
              <w:rPr>
                <w:rFonts w:ascii="Arial" w:cs="Arial" w:eastAsia="Arial" w:hAnsi="Arial"/>
                <w:sz w:val="18"/>
                <w:szCs w:val="18"/>
                <w:color w:val="auto"/>
              </w:rPr>
              <w:t>94.3%</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Product revenues decreased from $149.4 million to $125.0 million during the first quarter of fiscal year 2011 when compared to the same period last year. The decrease in product revenues was primarily due to lower product sales of $14.3 million in enterprise VSAT networks and products, $6.9 million in consumer broadband products, $5.3 million in satellite networking technology development programs, $5.4 million in information assurance products and $4.0 million in tactical data link products, offset by higher product sales of $8.8 million in antenna systems products and $2.7 million spread across various other defense and commercial products.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88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$67.0</w:t>
            </w:r>
          </w:p>
        </w:tc>
        <w:tc>
          <w:tcPr>
            <w:tcW w:w="540" w:type="dxa"/>
            <w:vAlign w:val="bottom"/>
          </w:tcPr>
          <w:p>
            <w:pPr>
              <w:spacing w:after="0"/>
              <w:rPr>
                <w:sz w:val="16"/>
                <w:szCs w:val="16"/>
                <w:color w:val="auto"/>
              </w:rPr>
            </w:pPr>
          </w:p>
        </w:tc>
        <w:tc>
          <w:tcPr>
            <w:tcW w:w="88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$9.0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$58.0</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34.9%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Service revenues increased from $9.0 million to $67.0 million during the first quarter of fiscal year 2011 when compared to the first quarter of fiscal year 2010 primarily due to the acquisition of WildBlue in December 2009, which contributed $53.5 million of service revenues in the first quarter of fiscal year 2011. The remainder of the service revenue increase was primarily driven by growth of approximately $3.5 million from our government satellite communication systems service sales and growth in our mobile broadband service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1060" w:type="dxa"/>
            <w:vAlign w:val="bottom"/>
          </w:tcPr>
          <w:p>
            <w:pPr>
              <w:jc w:val="right"/>
              <w:ind w:right="24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60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480" w:type="dxa"/>
            <w:vAlign w:val="bottom"/>
          </w:tcPr>
          <w:p>
            <w:pPr>
              <w:spacing w:after="0"/>
              <w:rPr>
                <w:sz w:val="16"/>
                <w:szCs w:val="16"/>
                <w:color w:val="auto"/>
              </w:rPr>
            </w:pPr>
          </w:p>
        </w:tc>
        <w:tc>
          <w:tcPr>
            <w:tcW w:w="9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$94.7</w:t>
            </w:r>
          </w:p>
        </w:tc>
        <w:tc>
          <w:tcPr>
            <w:tcW w:w="540" w:type="dxa"/>
            <w:vAlign w:val="bottom"/>
          </w:tcPr>
          <w:p>
            <w:pPr>
              <w:spacing w:after="0"/>
              <w:rPr>
                <w:sz w:val="16"/>
                <w:szCs w:val="16"/>
                <w:color w:val="auto"/>
              </w:rPr>
            </w:pPr>
          </w:p>
        </w:tc>
        <w:tc>
          <w:tcPr>
            <w:tcW w:w="106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$105.6</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$(10.9)</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75.8%</w:t>
            </w:r>
          </w:p>
        </w:tc>
        <w:tc>
          <w:tcPr>
            <w:tcW w:w="1600" w:type="dxa"/>
            <w:vAlign w:val="bottom"/>
            <w:gridSpan w:val="2"/>
          </w:tcPr>
          <w:p>
            <w:pPr>
              <w:jc w:val="right"/>
              <w:ind w:right="102"/>
              <w:spacing w:after="0"/>
              <w:rPr>
                <w:sz w:val="20"/>
                <w:szCs w:val="20"/>
                <w:color w:val="auto"/>
              </w:rPr>
            </w:pPr>
            <w:r>
              <w:rPr>
                <w:rFonts w:ascii="Arial" w:cs="Arial" w:eastAsia="Arial" w:hAnsi="Arial"/>
                <w:sz w:val="18"/>
                <w:szCs w:val="18"/>
                <w:color w:val="auto"/>
              </w:rPr>
              <w:t>70.7%</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Cost of product revenues decreased from $105.6 million to $94.7 million during the first quarter of fiscal year 2011 when compared to the first quarter of fiscal year 2010 primarily due to decreased product revenues, which caused a decrease of approximately $17.2 million in cost of product revenues (on a constant margin basis), offset by an increase in cost of product revenues of $8.5 million due to an additional program forward loss in our government systems segment recorded on a government satellite communication program, as discussed below.</w:t>
      </w:r>
    </w:p>
    <w:p>
      <w:pPr>
        <w:spacing w:after="0" w:line="79"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we recorded an additional forward loss of $8.5 million in the three months ended July 2, 2010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w:t>
      </w:r>
    </w:p>
    <w:p>
      <w:pPr>
        <w:spacing w:after="0" w:line="5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Cost of product revenues may fluctuate in future periods depending on the mix of products sold, competition, new product introduction costs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6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$39.1</w:t>
            </w:r>
          </w:p>
        </w:tc>
        <w:tc>
          <w:tcPr>
            <w:tcW w:w="540" w:type="dxa"/>
            <w:vAlign w:val="bottom"/>
          </w:tcPr>
          <w:p>
            <w:pPr>
              <w:spacing w:after="0"/>
              <w:rPr>
                <w:sz w:val="16"/>
                <w:szCs w:val="16"/>
                <w:color w:val="auto"/>
              </w:rPr>
            </w:pPr>
          </w:p>
        </w:tc>
        <w:tc>
          <w:tcPr>
            <w:tcW w:w="9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$ 6.1</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$32.9</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960" w:type="dxa"/>
            <w:vAlign w:val="bottom"/>
          </w:tcPr>
          <w:p>
            <w:pPr>
              <w:jc w:val="right"/>
              <w:ind w:right="82"/>
              <w:spacing w:after="0"/>
              <w:rPr>
                <w:sz w:val="20"/>
                <w:szCs w:val="20"/>
                <w:color w:val="auto"/>
              </w:rPr>
            </w:pPr>
            <w:r>
              <w:rPr>
                <w:rFonts w:ascii="Arial" w:cs="Arial" w:eastAsia="Arial" w:hAnsi="Arial"/>
                <w:sz w:val="18"/>
                <w:szCs w:val="18"/>
                <w:color w:val="auto"/>
              </w:rPr>
              <w:t>58.3%</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68.2%</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Cost of service revenues increased from $6.1 million to $39.1 million during the first quarter of fiscal year 2011 when compared to the first quarter of fiscal year 2010 primarily due to the service revenue increase resulting from the acquisition of WildBlue in December 2009. The remainder of the increase in cost of service revenues was primarily driven by service revenue increases from our government satellite communication systems services and our mobile broadband services. Cost of service revenues may fluctuate in future periods depending on the mix of services provided, competition, new service introduction costs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6"/>
                <w:szCs w:val="16"/>
                <w:color w:val="auto"/>
              </w:rPr>
            </w:pPr>
          </w:p>
        </w:tc>
        <w:tc>
          <w:tcPr>
            <w:tcW w:w="9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$38.9</w:t>
            </w:r>
          </w:p>
        </w:tc>
        <w:tc>
          <w:tcPr>
            <w:tcW w:w="540" w:type="dxa"/>
            <w:vAlign w:val="bottom"/>
          </w:tcPr>
          <w:p>
            <w:pPr>
              <w:spacing w:after="0"/>
              <w:rPr>
                <w:sz w:val="16"/>
                <w:szCs w:val="16"/>
                <w:color w:val="auto"/>
              </w:rPr>
            </w:pPr>
          </w:p>
        </w:tc>
        <w:tc>
          <w:tcPr>
            <w:tcW w:w="9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$26.9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$12.0</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20.3%</w:t>
            </w:r>
          </w:p>
        </w:tc>
        <w:tc>
          <w:tcPr>
            <w:tcW w:w="1520" w:type="dxa"/>
            <w:vAlign w:val="bottom"/>
            <w:gridSpan w:val="2"/>
          </w:tcPr>
          <w:p>
            <w:pPr>
              <w:jc w:val="right"/>
              <w:ind w:right="102"/>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increase in selling, general and administrative (SG&amp;A) expenses of $12.0 million in the first quarter of fiscal year 2011 compared to the first quarter of fiscal year 2010 was primarily attributable to $12.1 million in SG&amp;A attributable to WildBlue in the first quarter of fiscal year 2011 of which $0.5 million related to additional post-acquisition charges recorded for restructuring costs</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related to terminated employees.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2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90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July 3,</w:t>
            </w:r>
          </w:p>
        </w:tc>
        <w:tc>
          <w:tcPr>
            <w:tcW w:w="5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9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4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40" w:type="dxa"/>
            <w:vAlign w:val="bottom"/>
          </w:tcPr>
          <w:p>
            <w:pPr>
              <w:spacing w:after="0"/>
              <w:rPr>
                <w:sz w:val="16"/>
                <w:szCs w:val="16"/>
                <w:color w:val="auto"/>
              </w:rPr>
            </w:pPr>
          </w:p>
        </w:tc>
        <w:tc>
          <w:tcPr>
            <w:tcW w:w="92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$7.3</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$7.0</w:t>
            </w:r>
          </w:p>
        </w:tc>
        <w:tc>
          <w:tcPr>
            <w:tcW w:w="56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$0.3</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920" w:type="dxa"/>
            <w:vAlign w:val="bottom"/>
          </w:tcPr>
          <w:p>
            <w:pPr>
              <w:jc w:val="right"/>
              <w:ind w:right="122"/>
              <w:spacing w:after="0"/>
              <w:rPr>
                <w:sz w:val="20"/>
                <w:szCs w:val="20"/>
                <w:color w:val="auto"/>
              </w:rPr>
            </w:pPr>
            <w:r>
              <w:rPr>
                <w:rFonts w:ascii="Arial" w:cs="Arial" w:eastAsia="Arial" w:hAnsi="Arial"/>
                <w:sz w:val="18"/>
                <w:szCs w:val="18"/>
                <w:color w:val="auto"/>
              </w:rPr>
              <w:t>3.8%</w:t>
            </w:r>
          </w:p>
        </w:tc>
        <w:tc>
          <w:tcPr>
            <w:tcW w:w="1440" w:type="dxa"/>
            <w:vAlign w:val="bottom"/>
            <w:gridSpan w:val="2"/>
          </w:tcPr>
          <w:p>
            <w:pPr>
              <w:jc w:val="right"/>
              <w:ind w:right="102"/>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slight increase in independent, research and development (IR&amp;D) expenses of approximately $0.3 million in the first quarter of fiscal year 2011 compared to the first quarter of fiscal year 2010 reflected an increase in the commercial networks segment of $1.2 million, principally related to development of next-generation consumer broadband products, offset by a decrease in the government systems segment of approximately $1.0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eight months to ten years. The increase in amortization was primarily due to the amortization of approximately $3.2 million related to the new intangibles acquired as a result of the WildBlue acquisition in December 2009, offset partially by a decrease in amortization due to the fact that certain acquired technology intangibles in our commercial networks segment became fully amortized over the preceding twelve-months. Current and expected amortization expense for each of the following periods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July 2,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4,610</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13,197</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16,551</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13,446</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11,705</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11,628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18,252</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Interest income in the three months ended July 2, 2010 compared to the three months ended July 3, 2009 remained relatively flat as we experienced similar average interest rates on our investments and slightly higher average invested cash balances during the first quarter of fiscal year 2011 when compared to the same period last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increase in interest expense from the first quarter of fiscal year 2010 to the first quarter of fiscal year 2011 of $2.0 million was primarily due to the interest expense incurred during the three months ended July 2, 2010 on the Notes, which were issued during the third quarter of fiscal year 2010, and to interest expense incurred under the Credit Facility which had higher average outstanding balances during the first quarter of fiscal year 2011 when compared to first quarter of fiscal year 2010. Interest expense is net of capitalized interest of $6.0 million for the three months ended July 2, 2010. No interest was capitalized for the three months ended July 3, 2009.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effective tax rate for the three months ended July 2, 2010 was approximately 36.8%, which approximates the 37.4% estimated annual effective tax rate for fiscal year 2011, compared to an effective tax rate of 25.9% for the three months ended July 3, 2009, which reflected the December 31, 2009 expiration of the federal research and development tax credit. With the expiration of the federal research and development tax credit at December 31, 2009, our estimated annual effective tax rate of approximately 37.4% for fiscal year 2011 does not include the benefit of the federal research and development tax credit. If the federal research and development tax credit is reinstated, we may have a lower annual effective tax rate for fiscal year 2011 and the amount of any such tax rate reduction will depend on the effective date of any such reinstatement, the terms of the reinstatement as well as the amount of eligible research and development expenses in the reinstated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July 2, 2010 vs. Three Months Ended July 3,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05"/>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96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3,</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$88.8</w:t>
            </w:r>
          </w:p>
        </w:tc>
        <w:tc>
          <w:tcPr>
            <w:tcW w:w="540" w:type="dxa"/>
            <w:vAlign w:val="bottom"/>
          </w:tcPr>
          <w:p>
            <w:pPr>
              <w:spacing w:after="0"/>
              <w:rPr>
                <w:sz w:val="19"/>
                <w:szCs w:val="19"/>
                <w:color w:val="auto"/>
              </w:rPr>
            </w:pPr>
          </w:p>
        </w:tc>
        <w:tc>
          <w:tcPr>
            <w:tcW w:w="96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$92.6</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$(3.7)</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revenue decrease in our government systems segment in the first quarter of fiscal year 2011 compared to the first quarter of fiscal year 2010 was primarily attributable to lower revenues of $5.4 million in information assurance products and $3.6 million in tactical data link products and services, offset by higher sales of $4.4 million in our government satellite communication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880" w:type="dxa"/>
            <w:vAlign w:val="bottom"/>
          </w:tcPr>
          <w:p>
            <w:pPr>
              <w:jc w:val="right"/>
              <w:ind w:right="16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96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3,</w:t>
            </w:r>
          </w:p>
        </w:tc>
        <w:tc>
          <w:tcPr>
            <w:tcW w:w="5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16"/>
                <w:szCs w:val="16"/>
                <w:color w:val="auto"/>
              </w:rPr>
            </w:pP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$1.7</w:t>
            </w:r>
          </w:p>
        </w:tc>
        <w:tc>
          <w:tcPr>
            <w:tcW w:w="540" w:type="dxa"/>
            <w:vAlign w:val="bottom"/>
          </w:tcPr>
          <w:p>
            <w:pPr>
              <w:spacing w:after="0"/>
              <w:rPr>
                <w:sz w:val="16"/>
                <w:szCs w:val="16"/>
                <w:color w:val="auto"/>
              </w:rPr>
            </w:pPr>
          </w:p>
        </w:tc>
        <w:tc>
          <w:tcPr>
            <w:tcW w:w="96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$12.1</w:t>
            </w:r>
          </w:p>
        </w:tc>
        <w:tc>
          <w:tcPr>
            <w:tcW w:w="52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$(10.5)</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segment revenue</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82"/>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decrease in our government systems segment operating profit of $10.5 million during the first quarter of fiscal year 2011 when compared to the first quarter of fiscal year 2010 was primarily due to decreased revenues coupled with lower product contributions, resulting in higher cost of revenues, mainly related to the $8.5 million forward loss recorded on a government satellite communication program in the first quarter of fiscal year 2011 as discussed below, as well as an increase in selling, support and new business proposal costs of approximately $2.3 million.</w:t>
      </w:r>
    </w:p>
    <w:p>
      <w:pPr>
        <w:spacing w:after="0" w:line="63"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we recorded an additional forward loss of $8.5 million in the three months ended July 2, 2010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205"/>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3,</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$45.6</w:t>
            </w:r>
          </w:p>
        </w:tc>
        <w:tc>
          <w:tcPr>
            <w:tcW w:w="540" w:type="dxa"/>
            <w:vAlign w:val="bottom"/>
          </w:tcPr>
          <w:p>
            <w:pPr>
              <w:spacing w:after="0"/>
              <w:rPr>
                <w:sz w:val="19"/>
                <w:szCs w:val="19"/>
                <w:color w:val="auto"/>
              </w:rPr>
            </w:pPr>
          </w:p>
        </w:tc>
        <w:tc>
          <w:tcPr>
            <w:tcW w:w="9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$(17.7)</w:t>
            </w:r>
          </w:p>
        </w:tc>
        <w:tc>
          <w:tcPr>
            <w:tcW w:w="500" w:type="dxa"/>
            <w:vAlign w:val="bottom"/>
          </w:tcPr>
          <w:p>
            <w:pPr>
              <w:spacing w:after="0"/>
              <w:rPr>
                <w:sz w:val="19"/>
                <w:szCs w:val="19"/>
                <w:color w:val="auto"/>
              </w:rPr>
            </w:pP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decrease in commercial networks segment revenue in the first quarter of fiscal year 2011 compared to the first quarter of fiscal year 2010 of approximately $17.7 million was primarily attributable to decreases in revenues of $14.6 million from our enterprise VSAT networks products and services, $7.5 million from our consumer broadband products and services and $5.0 million from our satellite networking technology development programs, offset by an increase in revenues of $8.8 million from our antenna systems products and services.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19"/>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2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8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July 3,</w:t>
            </w:r>
          </w:p>
        </w:tc>
        <w:tc>
          <w:tcPr>
            <w:tcW w:w="4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9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3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5"/>
        </w:trPr>
        <w:tc>
          <w:tcPr>
            <w:tcW w:w="6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 profit</w:t>
            </w:r>
          </w:p>
        </w:tc>
        <w:tc>
          <w:tcPr>
            <w:tcW w:w="480" w:type="dxa"/>
            <w:vAlign w:val="bottom"/>
          </w:tcPr>
          <w:p>
            <w:pPr>
              <w:spacing w:after="0"/>
              <w:rPr>
                <w:sz w:val="16"/>
                <w:szCs w:val="16"/>
                <w:color w:val="auto"/>
              </w:rPr>
            </w:pPr>
          </w:p>
        </w:tc>
        <w:tc>
          <w:tcPr>
            <w:tcW w:w="9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$(1.2)</w:t>
            </w:r>
          </w:p>
        </w:tc>
        <w:tc>
          <w:tcPr>
            <w:tcW w:w="540" w:type="dxa"/>
            <w:vAlign w:val="bottom"/>
          </w:tcPr>
          <w:p>
            <w:pPr>
              <w:spacing w:after="0"/>
              <w:rPr>
                <w:sz w:val="16"/>
                <w:szCs w:val="16"/>
                <w:color w:val="auto"/>
              </w:rPr>
            </w:pPr>
          </w:p>
        </w:tc>
        <w:tc>
          <w:tcPr>
            <w:tcW w:w="84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$1.3</w:t>
            </w:r>
          </w:p>
        </w:tc>
        <w:tc>
          <w:tcPr>
            <w:tcW w:w="48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$(2.5)</w:t>
            </w:r>
          </w:p>
        </w:tc>
        <w:tc>
          <w:tcPr>
            <w:tcW w:w="30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(187.6)%</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ind w:right="82"/>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commercial networks segment results yielded an operating loss in the first quarter of fiscal year 2011 compared to an operating profit in the same period last fiscal year. This change was primarily due to lower earnings contributions of approximately $3.6 million from lower revenues and an increase in IR&amp;D costs of approximately $1.2 million, which was partly offset by a decrease in selling, support and new business proposal costs of approximately $2.3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3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19"/>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Pr>
          <w:p>
            <w:pPr>
              <w:jc w:val="right"/>
              <w:ind w:right="185"/>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84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July 3,</w:t>
            </w:r>
          </w:p>
        </w:tc>
        <w:tc>
          <w:tcPr>
            <w:tcW w:w="46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Arial" w:cs="Arial" w:eastAsia="Arial" w:hAnsi="Arial"/>
                <w:sz w:val="14"/>
                <w:szCs w:val="14"/>
                <w:b w:val="1"/>
                <w:bCs w:val="1"/>
                <w:color w:val="auto"/>
              </w:rPr>
              <w:t>2010</w:t>
            </w:r>
          </w:p>
        </w:tc>
        <w:tc>
          <w:tcPr>
            <w:tcW w:w="13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24"/>
        </w:trPr>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$57.5</w:t>
            </w:r>
          </w:p>
        </w:tc>
        <w:tc>
          <w:tcPr>
            <w:tcW w:w="540" w:type="dxa"/>
            <w:vAlign w:val="bottom"/>
          </w:tcPr>
          <w:p>
            <w:pPr>
              <w:spacing w:after="0"/>
              <w:rPr>
                <w:sz w:val="19"/>
                <w:szCs w:val="19"/>
                <w:color w:val="auto"/>
              </w:rPr>
            </w:pPr>
          </w:p>
        </w:tc>
        <w:tc>
          <w:tcPr>
            <w:tcW w:w="8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9"/>
                <w:szCs w:val="19"/>
                <w:color w:val="auto"/>
              </w:rPr>
            </w:pPr>
          </w:p>
        </w:tc>
        <w:tc>
          <w:tcPr>
            <w:tcW w:w="9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9"/>
                <w:szCs w:val="19"/>
                <w:color w:val="auto"/>
              </w:rPr>
            </w:pPr>
          </w:p>
        </w:tc>
        <w:tc>
          <w:tcPr>
            <w:tcW w:w="7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9"/>
              </w:rPr>
              <w:t>2,200.7%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increase in satellite services segment revenue in the first quarter of fiscal year 2011 compared to the first quarter of fiscal year 2010 of approximately $55.0 million was primarily attributable to the acquisition of WildBlue in December 2009, which contributed $53.5 million of revenues in our satellite services segment in the first quarter of fiscal year 2011. The remainder of the revenue increase in our satellite services segment was primarily driven by growth in our mobile broadband services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3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1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2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July 2,</w:t>
            </w:r>
          </w:p>
        </w:tc>
        <w:tc>
          <w:tcPr>
            <w:tcW w:w="460" w:type="dxa"/>
            <w:vAlign w:val="bottom"/>
          </w:tcPr>
          <w:p>
            <w:pPr>
              <w:spacing w:after="0"/>
              <w:rPr>
                <w:sz w:val="10"/>
                <w:szCs w:val="10"/>
                <w:color w:val="auto"/>
              </w:rPr>
            </w:pPr>
          </w:p>
        </w:tc>
        <w:tc>
          <w:tcPr>
            <w:tcW w:w="98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July 3,</w:t>
            </w:r>
          </w:p>
        </w:tc>
        <w:tc>
          <w:tcPr>
            <w:tcW w:w="4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9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4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95"/>
        </w:trPr>
        <w:tc>
          <w:tcPr>
            <w:tcW w:w="6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 (loss)</w:t>
            </w:r>
          </w:p>
        </w:tc>
        <w:tc>
          <w:tcPr>
            <w:tcW w:w="460" w:type="dxa"/>
            <w:vAlign w:val="bottom"/>
          </w:tcPr>
          <w:p>
            <w:pPr>
              <w:spacing w:after="0"/>
              <w:rPr>
                <w:sz w:val="16"/>
                <w:szCs w:val="16"/>
                <w:color w:val="auto"/>
              </w:rPr>
            </w:pPr>
          </w:p>
        </w:tc>
        <w:tc>
          <w:tcPr>
            <w:tcW w:w="9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$11.5</w:t>
            </w:r>
          </w:p>
        </w:tc>
        <w:tc>
          <w:tcPr>
            <w:tcW w:w="460" w:type="dxa"/>
            <w:vAlign w:val="bottom"/>
          </w:tcPr>
          <w:p>
            <w:pPr>
              <w:spacing w:after="0"/>
              <w:rPr>
                <w:sz w:val="16"/>
                <w:szCs w:val="16"/>
                <w:color w:val="auto"/>
              </w:rPr>
            </w:pPr>
          </w:p>
        </w:tc>
        <w:tc>
          <w:tcPr>
            <w:tcW w:w="98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(0.7)</w:t>
            </w:r>
          </w:p>
        </w:tc>
        <w:tc>
          <w:tcPr>
            <w:tcW w:w="460" w:type="dxa"/>
            <w:vAlign w:val="bottom"/>
          </w:tcPr>
          <w:p>
            <w:pPr>
              <w:spacing w:after="0"/>
              <w:rPr>
                <w:sz w:val="16"/>
                <w:szCs w:val="16"/>
                <w:color w:val="auto"/>
              </w:rPr>
            </w:pPr>
          </w:p>
        </w:tc>
        <w:tc>
          <w:tcPr>
            <w:tcW w:w="96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$12.2</w:t>
            </w:r>
          </w:p>
        </w:tc>
        <w:tc>
          <w:tcPr>
            <w:tcW w:w="340" w:type="dxa"/>
            <w:vAlign w:val="bottom"/>
          </w:tcPr>
          <w:p>
            <w:pPr>
              <w:spacing w:after="0"/>
              <w:rPr>
                <w:sz w:val="16"/>
                <w:szCs w:val="16"/>
                <w:color w:val="auto"/>
              </w:rPr>
            </w:pPr>
          </w:p>
        </w:tc>
        <w:tc>
          <w:tcPr>
            <w:tcW w:w="7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9"/>
              </w:rPr>
              <w:t>1,721.1%</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20" w:type="dxa"/>
            <w:vAlign w:val="bottom"/>
          </w:tcPr>
          <w:p>
            <w:pPr>
              <w:jc w:val="right"/>
              <w:ind w:right="82"/>
              <w:spacing w:after="0"/>
              <w:rPr>
                <w:sz w:val="20"/>
                <w:szCs w:val="20"/>
                <w:color w:val="auto"/>
              </w:rPr>
            </w:pPr>
            <w:r>
              <w:rPr>
                <w:rFonts w:ascii="Arial" w:cs="Arial" w:eastAsia="Arial" w:hAnsi="Arial"/>
                <w:sz w:val="18"/>
                <w:szCs w:val="18"/>
                <w:color w:val="auto"/>
              </w:rPr>
              <w:t>19.9%</w:t>
            </w:r>
          </w:p>
        </w:tc>
        <w:tc>
          <w:tcPr>
            <w:tcW w:w="1440" w:type="dxa"/>
            <w:vAlign w:val="bottom"/>
            <w:gridSpan w:val="2"/>
          </w:tcPr>
          <w:p>
            <w:pPr>
              <w:jc w:val="right"/>
              <w:ind w:right="22"/>
              <w:spacing w:after="0"/>
              <w:rPr>
                <w:sz w:val="20"/>
                <w:szCs w:val="20"/>
                <w:color w:val="auto"/>
              </w:rPr>
            </w:pPr>
            <w:r>
              <w:rPr>
                <w:rFonts w:ascii="Arial" w:cs="Arial" w:eastAsia="Arial" w:hAnsi="Arial"/>
                <w:sz w:val="18"/>
                <w:szCs w:val="18"/>
                <w:color w:val="auto"/>
              </w:rPr>
              <w:t>(28.3)%</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satellite services segment generated an operating profit in the first quarter of fiscal year 2011 compared an operating loss in the same period last fiscal year. This change was primarily attributable to the acquisition of WildBlue in December 2009. We also experienced a slight improvement in margins in mobile broadband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As reflected in the table below, both firm and funded backlog decreased during the first three months of fiscal year 2011. The decrease in firm and funded backlog was primarily due to the delay in expected contract awards shifting to the latter part of fiscal year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180" w:type="dxa"/>
            <w:vAlign w:val="bottom"/>
            <w:gridSpan w:val="4"/>
          </w:tcPr>
          <w:p>
            <w:pPr>
              <w:ind w:left="3420"/>
              <w:spacing w:after="0"/>
              <w:rPr>
                <w:sz w:val="20"/>
                <w:szCs w:val="20"/>
                <w:color w:val="auto"/>
              </w:rPr>
            </w:pPr>
            <w:r>
              <w:rPr>
                <w:rFonts w:ascii="Arial" w:cs="Arial" w:eastAsia="Arial" w:hAnsi="Arial"/>
                <w:sz w:val="14"/>
                <w:szCs w:val="14"/>
                <w:b w:val="1"/>
                <w:bCs w:val="1"/>
                <w:color w:val="auto"/>
                <w:w w:val="94"/>
              </w:rPr>
              <w:t>July 2, 2010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78"/>
              </w:rPr>
              <w:t>(In millions)</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64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201.7</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489.8</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64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262.4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64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$489.8 million in firm backlog, approximately $257.5 million is expected to be delivered during the remaining nine months of fiscal year 2011, and the balance is expected to be delivered in fiscal year 2012 and thereafter. We include in our backlog only those orders for which we have accepted purchase orders.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total new awards were $152.9 million in the three months ended July 2, 2010 compared to $120.6 million for the three months ended July 3, 2009.</w:t>
      </w:r>
    </w:p>
    <w:p>
      <w:pPr>
        <w:spacing w:after="0" w:line="14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debt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the duration of the contract and the timing of payment of capital expenditures (e.g., milestones under our satellite construction and launch contracts). In addition, primarily within our government systems and commercial networks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U.S. government procurement regulations tend to restrict the timing of cash payments on the contract. In the commercial networks and satellite services segments, our cash needs are driven primarily by the quality of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73" w:lineRule="exact"/>
        <w:rPr>
          <w:sz w:val="20"/>
          <w:szCs w:val="20"/>
          <w:color w:val="auto"/>
        </w:rPr>
      </w:pPr>
    </w:p>
    <w:p>
      <w:pPr>
        <w:jc w:val="both"/>
        <w:ind w:right="80" w:firstLine="225"/>
        <w:spacing w:after="0" w:line="255" w:lineRule="auto"/>
        <w:rPr>
          <w:sz w:val="20"/>
          <w:szCs w:val="20"/>
          <w:color w:val="auto"/>
        </w:rPr>
      </w:pPr>
      <w:r>
        <w:rPr>
          <w:rFonts w:ascii="Arial" w:cs="Arial" w:eastAsia="Arial" w:hAnsi="Arial"/>
          <w:sz w:val="18"/>
          <w:szCs w:val="18"/>
          <w:color w:val="auto"/>
        </w:rPr>
        <w:t>Cash provided by operating activities for the first three months of fiscal year 2011 was $38.7 million as compared to cash used by operating activities of $5.2 million for the first three months of fiscal year 2010. This $43.8 million increase in cash provided by operating activities was primarily attributable to a year-over-year net decrease in cash used for net operating assets of $25.1 million and $18.7 million generated from operating results (net income adjusted for depreciation and amortization) and other non-cash charges. The net operating asset decrease was predominantly due to a decrease in our combined billed and unbilled accounts receivable, net, which decreased by approximately $14.5 million from April 2, 2010, primarily in our commercial networks segment due to collection and timing of certain milestones.</w:t>
      </w:r>
    </w:p>
    <w:p>
      <w:pPr>
        <w:spacing w:after="0" w:line="85"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Cash used in investing activities in the first three months of fiscal year 2011 was $45.2 million as compared to $34.7 million for the first three months of fiscal year 2010. This $10.4 million increase in cash used in investing activities was primarily related to an increase of approximately $14.6 million in capital expenditures for new CPE units and other general purpose equipment, offset by a decrease of approximately $5.0 million in payments for the construction of ViaSat-1.</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used in financing activities for the first three months of fiscal year 2011 was $25.6 million as compared to cash provided by financing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$80.4 million for the first three months of fiscal year 2010. This $106.1 million increase in cash outflow was primarily related to the $30.0 million repayment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Credit Facility during the first quarter of fiscal year 2011 compared to $77.7 million in proceeds, net of issuance costs, received from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Credit facility during the same period last fiscal year. In addition, cash provided by financing activities for both periods included cash received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exercises and employee stock purchase plan purchases, offset by the repurchase of common stock related to net share settlement of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tax liabilities in connection with the vesting of restricted stock unit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$22.5 million, and in-orbit insurance and satellite operating costs post launch.</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November 2008, we entered into a launch services agreement with Arianespace to procure launch services for ViaSat-1 at a cost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$107.8 million, depending on the mass of the satellite at launch. In March 2009, we substituted ILS International Launch Services, Inc. (ILS) for Arianespace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primary provider of launch services for ViaSat-1 and, accordingly, we entered into a contract for launch services with ILS to procure launch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ViaSat-1 at an estimated cost of approximately $80.0 million, subject to certain adjustments, resulting in a net savings of approximately $20.0 million.</w:t>
      </w:r>
    </w:p>
    <w:p>
      <w:pPr>
        <w:spacing w:after="0" w:line="11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May 7, 2009, we entered into an Amended and Restated Launch Services Agreement with Arianespace whereby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79"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other assets. We continually evaluate alternative strategies that would limit our total required investment. We believe we have adequate sources of funding for the project, which includes our cash on hand, the cash we expect to generate from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over the next few years,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60" w:firstLine="225"/>
        <w:spacing w:after="0" w:line="288" w:lineRule="auto"/>
        <w:rPr>
          <w:sz w:val="20"/>
          <w:szCs w:val="20"/>
          <w:color w:val="auto"/>
        </w:rPr>
      </w:pPr>
      <w:r>
        <w:rPr>
          <w:rFonts w:ascii="Arial" w:cs="Arial" w:eastAsia="Arial" w:hAnsi="Arial"/>
          <w:sz w:val="16"/>
          <w:szCs w:val="16"/>
          <w:color w:val="auto"/>
        </w:rPr>
        <w:t>On October 22, 2009, we issued $275.0 million in principal amount of Notes in a private placement to institutional buyers. The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 1.24%, or</w:t>
      </w:r>
    </w:p>
    <w:p>
      <w:pPr>
        <w:ind w:right="300"/>
        <w:spacing w:after="0" w:line="290" w:lineRule="auto"/>
        <w:rPr>
          <w:sz w:val="20"/>
          <w:szCs w:val="20"/>
          <w:color w:val="auto"/>
        </w:rPr>
      </w:pPr>
      <w:r>
        <w:rPr>
          <w:rFonts w:ascii="Arial" w:cs="Arial" w:eastAsia="Arial" w:hAnsi="Arial"/>
          <w:sz w:val="17"/>
          <w:szCs w:val="17"/>
          <w:color w:val="auto"/>
        </w:rPr>
        <w:t>$3.4 million. The Notes are recorded as long-term debt, net of original issue discount, in our consolidated financial statements. The original issue discount and deferred financing cost associated with the issuance of the Notes are amortized to interest expense over the term of the Notes.</w:t>
      </w:r>
    </w:p>
    <w:p>
      <w:pPr>
        <w:spacing w:after="0" w:line="53" w:lineRule="exact"/>
        <w:rPr>
          <w:sz w:val="20"/>
          <w:szCs w:val="20"/>
          <w:color w:val="auto"/>
        </w:rPr>
      </w:pPr>
    </w:p>
    <w:p>
      <w:pPr>
        <w:ind w:right="260"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Notes and the guarantees are our and the guarantors’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80" w:lineRule="exact"/>
        <w:rPr>
          <w:sz w:val="20"/>
          <w:szCs w:val="20"/>
          <w:color w:val="auto"/>
        </w:rPr>
      </w:pPr>
    </w:p>
    <w:p>
      <w:pPr>
        <w:ind w:right="80" w:firstLine="225"/>
        <w:spacing w:after="0" w:line="285" w:lineRule="auto"/>
        <w:rPr>
          <w:sz w:val="20"/>
          <w:szCs w:val="20"/>
          <w:color w:val="auto"/>
        </w:rPr>
      </w:pPr>
      <w:r>
        <w:rPr>
          <w:rFonts w:ascii="Arial" w:cs="Arial" w:eastAsia="Arial" w:hAnsi="Arial"/>
          <w:sz w:val="16"/>
          <w:szCs w:val="16"/>
          <w:color w:val="auto"/>
        </w:rPr>
        <w:t>Prior to September 15, 2012, we may redeem up to 35% of the Notes at a redemption price of 108.875% of the principal amount thereof, plus accrued and unpaid interest, if any, thereon to the redemption date, from the net cash proceeds of specified equity offerings. We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w:t>
      </w:r>
    </w:p>
    <w:p>
      <w:pPr>
        <w:spacing w:after="0" w:line="2" w:lineRule="exact"/>
        <w:rPr>
          <w:sz w:val="20"/>
          <w:szCs w:val="20"/>
          <w:color w:val="auto"/>
        </w:rPr>
      </w:pPr>
    </w:p>
    <w:p>
      <w:pPr>
        <w:ind w:right="40" w:firstLine="8"/>
        <w:spacing w:after="0" w:line="252"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86"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us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7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connection with the private placement of the Notes, we entered into a registration rights agreement with the initial purchasers in which we agreed to file a registration statement with the SEC to permit the holders to exchange or resell the Notes. We agreed to use commercially reasonable efforts to consummate an exchange offer within 365 days after the issuance of the Notes or, under certain circumstances, to prepare and file a shelf registration statement to cover the resale of the Notes. If we did not comply with certain of our obligations under the registration rights agreement, the registration rights agreement provided that additional interest would accrue on the principal amount of the Notes at a rate of 0.25% per annum during the 90-day period immediately following such default and would increase by 0.25% per annum at the end of each subsequent 90-day period, but in no event would the penalty rate exceed 1.00% per annum. In accordance with the registration rights agreement, we consummated the exchange offer on May 24, 2010. Accordingly, we have no obligation to pay additional interest on the Notes under the registration rights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liquidity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invest our cash in excess of current operating requirements in short-term, interest-bearing, investment-grade securities. At July 2, 2010, we had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$57.3 million in cash and cash equivalents, $176.1 million in working capital and $30.0 million in principal amount of outstanding borrowings under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At April 2, 2010, we had $89.6 million in cash and cash equivalents, $214.5 million in working capital and $60.0 million in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outstanding borrowings under our Credit Facility. Our cash and cash equivalents are held in accounts managed by third party financial institutions. To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experienced no loss of access to our cash equivalents; however, there can be no assurance that access to our cash and cash equivalents will not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impacted by adverse conditions in the financial markets.</w:t>
      </w:r>
    </w:p>
    <w:p>
      <w:pPr>
        <w:spacing w:after="0" w:line="103"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Credit Facility, as amended, provides a revolving line of credit of $275.0 million (including up to $35.0 million of letters of credit), which matures on July 1, 2012. Borrowings under the Credit Facility bear interest, at our option, at either (1) the highest of the Federal Funds rate plus 0.50%, Eurodollar rate plus 1.00% or the administrative agent’s prime rate as announced from time to time, or (2) at the Eurodollar rate plus, in the case of each of (1) and (2), an applicable margin that is based on the ratio of our debt to earnings before interest, taxes, depreciation and amortization (EBITDA). At July 2, 2010, the effective interest rate on our outstanding borrowings under the Credit Facility was 4.35%. We have capitalized certain amounts of interest expense on our Credit Facility in connection with the construction of ViaSat-1 and other assets. The Credit Facility is guaranteed by certain of our domestic subsidiaries and collateralized by substantially all of our respective assets.</w:t>
      </w:r>
    </w:p>
    <w:p>
      <w:pPr>
        <w:spacing w:after="0" w:line="70"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At July 2, 2010 we had $30.0 million in principal amount of outstanding borrowings under the Credit Facility and $13.6 million outstanding under standby letters of credit, leaving borrowing availability under the Credit Facility of $231.4 million. At April 2, 2010, we had $60.0 million in principal amount of outstanding borrowings under the Credit Facility and $12.9 million outstanding under standby letter of credit.</w:t>
      </w:r>
    </w:p>
    <w:p>
      <w:pPr>
        <w:spacing w:after="0" w:line="73"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5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On March 31, 2010, we and certain WildBlue Investors completed the sale of an aggregate of 6,900,000 shares of ViaSat common stock in an underwritten public offering, 3,173,962 of which were sold by us and 3,726,038 of which were sold by such WildBlue Investors. Our net proceeds from the offering were approximately $100.5 million. The shares sold by WildBlue Investors in the offering constituted shares of our common stock issued to such WildBlue Investors in connection with our acquisition of WildBlue. On April 1, 2010, we used $80.0 million of the net proceeds to repay outstanding borrowings under the Credit Facility. We expect to use the remaining net proceeds from the offering for general corporate purposes, which may include working capital, capital expenditures, financing costs related to the purchase, launch and operation of ViaSat-1 or any future satellite, or other potential acquisitions.</w:t>
      </w:r>
    </w:p>
    <w:p>
      <w:pPr>
        <w:spacing w:after="0" w:line="5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On July 8, 2010, we completed the acquisition of Stonewood Group Limited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The preliminary purchase price of approximately $19.5 million was comprised of $4.6 million related to the fair value of 144,962 shares of ViaSat’s common stock issued at the closing date and $14.9 million in cash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July 2,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 the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Remainder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For the Fiscal Years Ending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2012-2013</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2014-2015</w:t>
            </w: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143,457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46,087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 Notes (1)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426,522</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18,304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48,813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48,813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13,641</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12,058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commitments including satellite-related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465,786</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175,969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67,288</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138,408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84,121</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1,079,406</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193,771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229,285</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429,670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total interest payments on the Notes of $18.3 million for the remainder of fiscal year 2011, $48.8 million in fiscal 2012-2013, $48.8 million in fiscal 2014-2015 and $35.6 million thereafter.</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w:t>
      </w:r>
    </w:p>
    <w:p>
      <w:pPr>
        <w:spacing w:after="0" w:line="79"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39"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Our condensed consolidated balance sheets included $25.4 million and $24.4 million of “other liabilities” as of July 2, 2010 and April 2, 2010, respectively, which primarily consisted of our long-term warranty obligations, deferred lease credits, long-term portion of deferred revenue and long-term unrecognized tax position liabilities. These remaining liabilities have been excluded from the above table as the timing and/or the amount of any cash payment is uncertain. See Note 10 of the notes to condensed consolidated financial statements for additional information regarding our income taxes and related tax positions and Note 8 for a discussion of our product warranties.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In June 2009, the FASB issued authoritative guidance which amended the consolidation guidance applicable to variable interest entities SFAS 167, “Amendments to FASB Interpretation No. 46R” (SFAS 167). The authoritative guidance affects the overall consolidation analysis under the previous authoritative guidance for consolidation of variable interest entities (FIN 46R / ASC 810). We adopted this guidance in the first quarter of fiscal year 2011 without a material impact on our consolidated financial statements and disclosures.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are currently evaluating the impact that the authoritative guidance may have on our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We had no material off-balance sheet arrangements at July 2, 2010 as defined in Regulation S-K Item 303(a)(4) other than as discussed under Contractual Obligations above or disclosed in the notes to our financial statements included in this Quarterly Report or in our Annual Report on Form 10-K for the year ended April 2,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90 days or less at the date of purchase to be cash equivalents. As of July 2, 2010, we had $30.0 million and $275.0 million in principal amount of outstanding borrowings under our Credit Facility and Notes, respectively, and we held no short-term investments. Our exposure to market risk for changes in interest rates relates primarily to borrowings under our Credit Facility, cash equivalents, short-term investments and short-term obligations, as our Notes bear interest at a fixed rate.</w:t>
      </w:r>
    </w:p>
    <w:p>
      <w:pPr>
        <w:spacing w:after="0" w:line="50" w:lineRule="exact"/>
        <w:rPr>
          <w:sz w:val="20"/>
          <w:szCs w:val="20"/>
          <w:color w:val="auto"/>
        </w:rPr>
      </w:pPr>
    </w:p>
    <w:p>
      <w:pPr>
        <w:ind w:right="60" w:firstLine="222"/>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9" w:lineRule="exact"/>
        <w:rPr>
          <w:sz w:val="20"/>
          <w:szCs w:val="20"/>
          <w:color w:val="auto"/>
        </w:rPr>
      </w:pPr>
    </w:p>
    <w:p>
      <w:pPr>
        <w:ind w:right="100" w:firstLine="215"/>
        <w:spacing w:after="0" w:line="279" w:lineRule="auto"/>
        <w:rPr>
          <w:sz w:val="20"/>
          <w:szCs w:val="20"/>
          <w:color w:val="auto"/>
        </w:rPr>
      </w:pPr>
      <w:r>
        <w:rPr>
          <w:rFonts w:ascii="Arial" w:cs="Arial" w:eastAsia="Arial" w:hAnsi="Arial"/>
          <w:sz w:val="17"/>
          <w:szCs w:val="17"/>
          <w:color w:val="auto"/>
        </w:rPr>
        <w:t>As of July 2, 2010, we had $30.0 million in principal amount of outstanding borrowings under our Credit Facility. Our primary interest rate under the Credit Facility is the Eurodollar rate plus an applicable margin that is based on the ratio of our debt to EBITDA. As of July 2, 2010, the effective interest rate on our outstanding borrowings under the Credit Facility was 4.35%. Assuming the outstanding balance remained constant over a year, a 50 basis point increase in the interest rate would increase interest incurred prior to effects of capitalized interest and cash flow by approximately $0.2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exchange contracts to mitigate risks associated with foreign currency denominated assets, liabilities, commitments and anticipated foreign currency transactions.</w:t>
      </w:r>
    </w:p>
    <w:p>
      <w:pPr>
        <w:spacing w:after="0" w:line="80"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of July 2, 2010, we had a number of foreign currency forward contracts outstanding which are intended to reduce the foreign currency risk for amounts payable to vendors in Euros. The foreign currency forward contracts with a notional amount of $12.4 million had a fair value of less than $0.1 million and were recorded as a liability as of July 2, 2010. The fair value of these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foreign currency forward contracts as of July 2, 2010 would have changed by approximately $1.2 million if the foreign currency forward rate for the Euro to the U.S. dollar on these foreign currency forward contracts had changed by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26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July 2, 2010, the end of the period covered by this Quarterly Report. Based upon the foregoing, our Chief Executive Officer and Chief Financial Officer concluded that our disclosure controls and procedures were effective at a reasonable assurance level as of July 2, 2010.</w:t>
      </w:r>
    </w:p>
    <w:p>
      <w:pPr>
        <w:spacing w:after="0" w:line="7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Part I, Item 1A, “Risk Factors” in our Annual Report on Form 10-K for the fiscal year ended April 2, 2010, which could materially affect our business, financial condition, liquidity or future results. There have been no material changes to these risk factors.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50 is incorporated herein by reference as the list of exhibits required as part of this Quarterly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August 11, 2010</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14"/>
                <w:szCs w:val="14"/>
                <w:color w:val="auto"/>
              </w:rPr>
            </w:pPr>
          </w:p>
        </w:tc>
        <w:tc>
          <w:tcPr>
            <w:tcW w:w="90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100" w:type="dxa"/>
            <w:vAlign w:val="bottom"/>
            <w:vMerge w:val="continue"/>
          </w:tcPr>
          <w:p>
            <w:pPr>
              <w:spacing w:after="0"/>
              <w:rPr>
                <w:sz w:val="10"/>
                <w:szCs w:val="10"/>
                <w:color w:val="auto"/>
              </w:rPr>
            </w:pPr>
          </w:p>
        </w:tc>
        <w:tc>
          <w:tcPr>
            <w:tcW w:w="49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Exhibit Description</w:t>
            </w:r>
          </w:p>
        </w:tc>
        <w:tc>
          <w:tcPr>
            <w:tcW w:w="11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6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Exhibit</w:t>
            </w: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Filing Date</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9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25"/>
        </w:trPr>
        <w:tc>
          <w:tcPr>
            <w:tcW w:w="1100" w:type="dxa"/>
            <w:vAlign w:val="bottom"/>
          </w:tcPr>
          <w:p>
            <w:pPr>
              <w:spacing w:after="0"/>
              <w:rPr>
                <w:sz w:val="24"/>
                <w:szCs w:val="24"/>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w w:val="98"/>
              </w:rPr>
              <w:t>Form of Change in Control Severance Agreement between</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4900" w:type="dxa"/>
            <w:vAlign w:val="bottom"/>
          </w:tcPr>
          <w:p>
            <w:pPr>
              <w:ind w:left="240"/>
              <w:spacing w:after="0"/>
              <w:rPr>
                <w:sz w:val="20"/>
                <w:szCs w:val="20"/>
                <w:color w:val="auto"/>
              </w:rPr>
            </w:pPr>
            <w:r>
              <w:rPr>
                <w:rFonts w:ascii="Arial" w:cs="Arial" w:eastAsia="Arial" w:hAnsi="Arial"/>
                <w:sz w:val="18"/>
                <w:szCs w:val="18"/>
                <w:color w:val="auto"/>
              </w:rPr>
              <w:t>ViaSat, Inc. and each of its executive officers</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860" w:type="dxa"/>
            <w:vAlign w:val="bottom"/>
          </w:tcPr>
          <w:p>
            <w:pPr>
              <w:jc w:val="right"/>
              <w:spacing w:after="0"/>
              <w:rPr>
                <w:sz w:val="20"/>
                <w:szCs w:val="20"/>
                <w:color w:val="auto"/>
              </w:rPr>
            </w:pPr>
            <w:r>
              <w:rPr>
                <w:rFonts w:ascii="Arial" w:cs="Arial" w:eastAsia="Arial" w:hAnsi="Arial"/>
                <w:sz w:val="18"/>
                <w:szCs w:val="18"/>
                <w:color w:val="auto"/>
                <w:w w:val="95"/>
              </w:rPr>
              <w:t>000-21767</w:t>
            </w:r>
          </w:p>
        </w:tc>
        <w:tc>
          <w:tcPr>
            <w:tcW w:w="1680" w:type="dxa"/>
            <w:vAlign w:val="bottom"/>
          </w:tcPr>
          <w:p>
            <w:pPr>
              <w:ind w:left="620"/>
              <w:spacing w:after="0"/>
              <w:rPr>
                <w:sz w:val="20"/>
                <w:szCs w:val="20"/>
                <w:color w:val="auto"/>
              </w:rPr>
            </w:pPr>
            <w:r>
              <w:rPr>
                <w:rFonts w:ascii="Arial" w:cs="Arial" w:eastAsia="Arial" w:hAnsi="Arial"/>
                <w:sz w:val="18"/>
                <w:szCs w:val="18"/>
                <w:color w:val="auto"/>
              </w:rPr>
              <w:t>10.1</w:t>
            </w:r>
          </w:p>
        </w:tc>
        <w:tc>
          <w:tcPr>
            <w:tcW w:w="820" w:type="dxa"/>
            <w:vAlign w:val="bottom"/>
          </w:tcPr>
          <w:p>
            <w:pPr>
              <w:ind w:left="40"/>
              <w:spacing w:after="0"/>
              <w:rPr>
                <w:sz w:val="20"/>
                <w:szCs w:val="20"/>
                <w:color w:val="auto"/>
              </w:rPr>
            </w:pPr>
            <w:r>
              <w:rPr>
                <w:rFonts w:ascii="Arial" w:cs="Arial" w:eastAsia="Arial" w:hAnsi="Arial"/>
                <w:sz w:val="18"/>
                <w:szCs w:val="18"/>
                <w:color w:val="auto"/>
              </w:rPr>
              <w:t>8/4/2010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49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490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Certifications Pursuant to 18 U.S.C. Section 1350, as</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w w:val="96"/>
              </w:rPr>
              <w:t>Adopted Pursuant to Section 906 of the Sarbanes-Oxley Act</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4900" w:type="dxa"/>
            <w:vAlign w:val="bottom"/>
          </w:tcPr>
          <w:p>
            <w:pPr>
              <w:ind w:left="240"/>
              <w:spacing w:after="0"/>
              <w:rPr>
                <w:sz w:val="20"/>
                <w:szCs w:val="20"/>
                <w:color w:val="auto"/>
              </w:rPr>
            </w:pPr>
            <w:r>
              <w:rPr>
                <w:rFonts w:ascii="Arial" w:cs="Arial" w:eastAsia="Arial" w:hAnsi="Arial"/>
                <w:sz w:val="18"/>
                <w:szCs w:val="18"/>
                <w:color w:val="auto"/>
              </w:rPr>
              <w:t>of 2002</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490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490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49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490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49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49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13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management contact, compensatory plan or arrangement.</w:t>
      </w:r>
    </w:p>
    <w:p>
      <w:pPr>
        <w:spacing w:after="0" w:line="77" w:lineRule="exact"/>
        <w:rPr>
          <w:sz w:val="20"/>
          <w:szCs w:val="20"/>
          <w:color w:val="auto"/>
        </w:rPr>
      </w:pPr>
    </w:p>
    <w:p>
      <w:pPr>
        <w:ind w:left="460" w:right="12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Attached as Exhibit 101 to this report are documents formatted in XBRL (Extensible Business Reporting Language). 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of Regulation S-T, these interactive data files are deemed not filed for purposes of Section 18 of the Securities Exchange Act of 1934, as amended, are deemed not filed or part of any registration statement or prospectus for purposes of Sections 11 or 12 of the Securities Act of 1933, as amended, and are otherwise not subject to liability under these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1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Mark D. Dankberg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Ronald G. Wangerin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2, 2010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2010</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Mark D. Dankberg</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July 2, 2010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2010</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Ronald G. Wangerin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2019-12-10T06:56:27Z</dcterms:created>
  <dcterms:modified xsi:type="dcterms:W3CDTF">2019-12-10T06:56:27Z</dcterms:modified>
</cp:coreProperties>
</file>