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vsat-20230331.htm"/>
      <w:bookmarkStart w:id="1" w:name="ksvsat20230331"/>
      <w:bookmarkEnd w:id="0"/>
      <w:bookmarkEnd w:id="1"/>
      <w:r>
        <w:rPr/>
        <w:t> </w:t>
      </w:r>
    </w:p>
    <w:p>
      <w:pPr>
        <w:pStyle w:val="TextBody"/>
        <w:bidi w:val="0"/>
        <w:spacing w:before="0" w:after="0"/>
        <w:jc w:val="left"/>
        <w:rPr/>
      </w:pPr>
      <w:r>
        <w:rPr/>
        <w:t> </w:t>
      </w:r>
    </w:p>
    <w:p>
      <w:pPr>
        <w:pStyle w:val="TextBody"/>
        <w:pBdr>
          <w:bottom w:val="double" w:sz="6" w:space="1" w:color="000000"/>
        </w:pBdr>
        <w:bidi w:val="0"/>
        <w:spacing w:before="0" w:after="0"/>
        <w:jc w:val="left"/>
        <w:rPr/>
      </w:pPr>
      <w:r>
        <w:rPr/>
        <w:t> </w:t>
      </w:r>
    </w:p>
    <w:p>
      <w:pPr>
        <w:pStyle w:val="TextBody"/>
        <w:bidi w:val="0"/>
        <w:spacing w:before="40" w:after="0"/>
        <w:jc w:val="center"/>
        <w:rPr>
          <w:rFonts w:ascii="Arial;sans-serif" w:hAnsi="Arial;sans-serif"/>
          <w:b/>
          <w:sz w:val="30"/>
        </w:rPr>
      </w:pPr>
      <w:r>
        <w:rPr>
          <w:rFonts w:ascii="Arial;sans-serif" w:hAnsi="Arial;sans-serif"/>
          <w:b/>
          <w:sz w:val="30"/>
        </w:rPr>
        <w:t>UNITED STATES</w:t>
      </w:r>
    </w:p>
    <w:p>
      <w:pPr>
        <w:pStyle w:val="TextBody"/>
        <w:bidi w:val="0"/>
        <w:spacing w:before="0" w:after="0"/>
        <w:jc w:val="center"/>
        <w:rPr>
          <w:rFonts w:ascii="Times New Roman" w:hAnsi="Times New Roman"/>
          <w:sz w:val="20"/>
        </w:rPr>
      </w:pPr>
      <w:r>
        <w:rPr>
          <w:rFonts w:ascii="Arial;sans-serif" w:hAnsi="Arial;sans-serif"/>
          <w:b/>
          <w:sz w:val="30"/>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17"/>
        </w:rPr>
        <w:t>Washington, D.C. 20549</w:t>
      </w:r>
      <w:r>
        <w:rPr>
          <w:rFonts w:ascii="Times New Roman" w:hAnsi="Times New Roman"/>
          <w:sz w:val="20"/>
        </w:rPr>
        <w:t xml:space="preserve"> </w:t>
      </w:r>
    </w:p>
    <w:p>
      <w:pPr>
        <w:pStyle w:val="TextBody"/>
        <w:bidi w:val="0"/>
        <w:spacing w:before="45" w:after="0"/>
        <w:jc w:val="center"/>
        <w:rPr>
          <w:rFonts w:ascii="Times New Roman" w:hAnsi="Times New Roman"/>
          <w:sz w:val="20"/>
        </w:rPr>
      </w:pPr>
      <w:r>
        <w:rPr>
          <w:rFonts w:ascii="Arial;sans-serif" w:hAnsi="Arial;sans-serif"/>
          <w:b/>
          <w:sz w:val="30"/>
        </w:rPr>
        <w:t>Form 10-K</w:t>
      </w:r>
      <w:r>
        <w:rPr>
          <w:rFonts w:ascii="Times New Roman" w:hAnsi="Times New Roman"/>
          <w:sz w:val="20"/>
        </w:rPr>
        <w:t xml:space="preserve"> </w:t>
      </w:r>
    </w:p>
    <w:p>
      <w:pPr>
        <w:pStyle w:val="TextBody"/>
        <w:bidi w:val="0"/>
        <w:spacing w:before="45" w:after="0"/>
        <w:jc w:val="left"/>
        <w:rPr>
          <w:rFonts w:ascii="Times New Roman" w:hAnsi="Times New Roman"/>
          <w:sz w:val="20"/>
        </w:rPr>
      </w:pPr>
      <w:r>
        <w:rPr>
          <w:rFonts w:ascii="Arial;sans-serif" w:hAnsi="Arial;sans-serif"/>
          <w:b/>
          <w:sz w:val="17"/>
        </w:rPr>
        <w:t>(Mark One)</w:t>
      </w:r>
      <w:r>
        <w:rPr>
          <w:rFonts w:ascii="Times New Roman" w:hAnsi="Times New Roman"/>
          <w:sz w:val="20"/>
        </w:rPr>
        <w:t xml:space="preserve"> </w:t>
      </w:r>
    </w:p>
    <w:p>
      <w:pPr>
        <w:pStyle w:val="TextBody"/>
        <w:bidi w:val="0"/>
        <w:spacing w:before="0" w:after="0"/>
        <w:jc w:val="left"/>
        <w:rPr/>
      </w:pPr>
      <w:r>
        <w:rPr/>
        <w:t xml:space="preserve">☒ </w:t>
      </w:r>
      <w:r>
        <w:rPr>
          <w:rFonts w:ascii="Arial;sans-serif" w:hAnsi="Arial;sans-serif"/>
          <w:b/>
          <w:sz w:val="17"/>
        </w:rPr>
        <w:t>ANNUAL REPORT PURSUANT TO SECTION 13 OR 15(d) OF THE SECURITIES EXCHANGE ACT OF 1934</w:t>
      </w:r>
      <w:r>
        <w:rPr>
          <w:rFonts w:ascii="Times New Roman" w:hAnsi="Times New Roman"/>
          <w:sz w:val="20"/>
        </w:rPr>
        <w:t xml:space="preserve"> </w:t>
      </w:r>
    </w:p>
    <w:p>
      <w:pPr>
        <w:pStyle w:val="TextBody"/>
        <w:bidi w:val="0"/>
        <w:spacing w:before="45" w:after="0"/>
        <w:jc w:val="center"/>
        <w:rPr>
          <w:rFonts w:ascii="Times New Roman" w:hAnsi="Times New Roman"/>
          <w:sz w:val="20"/>
        </w:rPr>
      </w:pPr>
      <w:r>
        <w:rPr>
          <w:rFonts w:ascii="Arial;sans-serif" w:hAnsi="Arial;sans-serif"/>
          <w:b/>
          <w:sz w:val="17"/>
        </w:rPr>
        <w:t>For the fiscal year ended March 31, 2023</w:t>
      </w:r>
      <w:r>
        <w:rPr>
          <w:rFonts w:ascii="Times New Roman" w:hAnsi="Times New Roman"/>
          <w:sz w:val="20"/>
        </w:rPr>
        <w:t xml:space="preserve"> </w:t>
      </w:r>
    </w:p>
    <w:p>
      <w:pPr>
        <w:pStyle w:val="TextBody"/>
        <w:bidi w:val="0"/>
        <w:spacing w:before="45" w:after="0"/>
        <w:jc w:val="center"/>
        <w:rPr>
          <w:rFonts w:ascii="Times New Roman" w:hAnsi="Times New Roman"/>
          <w:sz w:val="20"/>
        </w:rPr>
      </w:pPr>
      <w:r>
        <w:rPr>
          <w:rFonts w:ascii="Arial;sans-serif" w:hAnsi="Arial;sans-serif"/>
          <w:b/>
          <w:sz w:val="17"/>
        </w:rPr>
        <w:t>or</w:t>
      </w:r>
      <w:r>
        <w:rPr>
          <w:rFonts w:ascii="Times New Roman" w:hAnsi="Times New Roman"/>
          <w:sz w:val="20"/>
        </w:rPr>
        <w:t xml:space="preserve"> </w:t>
      </w:r>
    </w:p>
    <w:p>
      <w:pPr>
        <w:pStyle w:val="TextBody"/>
        <w:bidi w:val="0"/>
        <w:spacing w:before="45" w:after="0"/>
        <w:jc w:val="left"/>
        <w:rPr/>
      </w:pPr>
      <w:r>
        <w:rPr/>
        <w:t xml:space="preserve">☐ </w:t>
      </w:r>
      <w:r>
        <w:rPr>
          <w:rFonts w:ascii="Arial;sans-serif" w:hAnsi="Arial;sans-serif"/>
          <w:b/>
          <w:sz w:val="17"/>
        </w:rPr>
        <w:t>TRANSITION REPORT PURSUANT TO SECTION 13 OR 15(d) OF THE SECURITIES EXCHANGE ACT OF 1934</w:t>
      </w:r>
      <w:r>
        <w:rPr>
          <w:rFonts w:ascii="Times New Roman" w:hAnsi="Times New Roman"/>
          <w:sz w:val="20"/>
        </w:rPr>
        <w:t xml:space="preserve"> </w:t>
      </w:r>
    </w:p>
    <w:p>
      <w:pPr>
        <w:pStyle w:val="TextBody"/>
        <w:bidi w:val="0"/>
        <w:spacing w:before="45" w:after="0"/>
        <w:jc w:val="center"/>
        <w:rPr>
          <w:rFonts w:ascii="Times New Roman" w:hAnsi="Times New Roman"/>
          <w:sz w:val="20"/>
        </w:rPr>
      </w:pPr>
      <w:r>
        <w:rPr>
          <w:rFonts w:ascii="Arial;sans-serif" w:hAnsi="Arial;sans-serif"/>
          <w:b/>
          <w:sz w:val="17"/>
        </w:rPr>
        <w:t>For the transition period from to .</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17"/>
        </w:rPr>
        <w:t>Commission file number (000-21767)</w:t>
      </w:r>
      <w:r>
        <w:rPr>
          <w:rFonts w:ascii="Times New Roman" w:hAnsi="Times New Roman"/>
          <w:sz w:val="20"/>
        </w:rPr>
        <w:t xml:space="preserve"> </w:t>
      </w:r>
    </w:p>
    <w:p>
      <w:pPr>
        <w:pStyle w:val="TextBody"/>
        <w:bidi w:val="0"/>
        <w:spacing w:before="45" w:after="0"/>
        <w:jc w:val="center"/>
        <w:rPr/>
      </w:pPr>
      <w:r>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609600"/>
                    </a:xfrm>
                    <a:prstGeom prst="rect">
                      <a:avLst/>
                    </a:prstGeom>
                  </pic:spPr>
                </pic:pic>
              </a:graphicData>
            </a:graphic>
          </wp:inline>
        </w:drawing>
      </w:r>
      <w:r>
        <w:rPr/>
        <w:t> </w:t>
      </w:r>
    </w:p>
    <w:p>
      <w:pPr>
        <w:pStyle w:val="TextBody"/>
        <w:bidi w:val="0"/>
        <w:spacing w:before="45" w:after="0"/>
        <w:jc w:val="center"/>
        <w:rPr>
          <w:rFonts w:ascii="Times New Roman" w:hAnsi="Times New Roman"/>
          <w:sz w:val="20"/>
        </w:rPr>
      </w:pPr>
      <w:r>
        <w:rPr>
          <w:rFonts w:ascii="Arial;sans-serif" w:hAnsi="Arial;sans-serif"/>
          <w:b/>
          <w:sz w:val="4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17"/>
        </w:rPr>
        <w:t>(Exact name of registrant as specified in its charter)</w:t>
      </w:r>
      <w:r>
        <w:rPr>
          <w:rFonts w:ascii="Times New Roman" w:hAnsi="Times New Roman"/>
          <w:sz w:val="20"/>
        </w:rPr>
        <w:t xml:space="preserve"> </w:t>
      </w:r>
    </w:p>
    <w:tbl>
      <w:tblPr>
        <w:tblW w:w="3853" w:type="dxa"/>
        <w:jc w:val="left"/>
        <w:tblInd w:w="0" w:type="dxa"/>
        <w:tblLayout w:type="fixed"/>
        <w:tblCellMar>
          <w:top w:w="28" w:type="dxa"/>
          <w:left w:w="28" w:type="dxa"/>
          <w:bottom w:w="28" w:type="dxa"/>
          <w:right w:w="28" w:type="dxa"/>
        </w:tblCellMar>
      </w:tblPr>
      <w:tblGrid>
        <w:gridCol w:w="2281"/>
        <w:gridCol w:w="146"/>
        <w:gridCol w:w="142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center"/>
              <w:rPr>
                <w:rFonts w:ascii="Arial;sans-serif" w:hAnsi="Arial;sans-serif"/>
                <w:b/>
                <w:sz w:val="17"/>
              </w:rPr>
            </w:pPr>
            <w:r>
              <w:rPr>
                <w:rFonts w:ascii="Arial;sans-serif" w:hAnsi="Arial;sans-serif"/>
                <w:b/>
                <w:sz w:val="17"/>
              </w:rPr>
              <w:t>Delaware</w:t>
            </w:r>
          </w:p>
        </w:tc>
        <w:tc>
          <w:tcPr>
            <w:tcW w:w="146" w:type="dxa"/>
            <w:tcBorders/>
            <w:vAlign w:val="center"/>
          </w:tcPr>
          <w:p>
            <w:pPr>
              <w:pStyle w:val="TableContents"/>
              <w:bidi w:val="0"/>
              <w:spacing w:before="0" w:after="0"/>
              <w:ind w:left="0" w:right="0" w:hanging="0"/>
              <w:jc w:val="center"/>
              <w:rPr/>
            </w:pPr>
            <w:r>
              <w:rPr/>
              <w:t> </w:t>
            </w:r>
          </w:p>
        </w:tc>
        <w:tc>
          <w:tcPr>
            <w:tcW w:w="1426" w:type="dxa"/>
            <w:tcBorders/>
            <w:vAlign w:val="center"/>
          </w:tcPr>
          <w:p>
            <w:pPr>
              <w:pStyle w:val="TableContents"/>
              <w:bidi w:val="0"/>
              <w:spacing w:before="0" w:after="0"/>
              <w:ind w:left="0" w:right="0" w:hanging="0"/>
              <w:jc w:val="center"/>
              <w:rPr>
                <w:rFonts w:ascii="Arial;sans-serif" w:hAnsi="Arial;sans-serif"/>
                <w:b/>
                <w:sz w:val="17"/>
              </w:rPr>
            </w:pPr>
            <w:r>
              <w:rPr>
                <w:rFonts w:ascii="Arial;sans-serif" w:hAnsi="Arial;sans-serif"/>
                <w:b/>
                <w:sz w:val="17"/>
              </w:rPr>
              <w:t>33-0174996</w:t>
            </w:r>
          </w:p>
        </w:tc>
      </w:tr>
      <w:tr>
        <w:trPr/>
        <w:tc>
          <w:tcPr>
            <w:tcW w:w="2281" w:type="dxa"/>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(State or other jurisdiction of</w:t>
            </w:r>
          </w:p>
          <w:p>
            <w:pPr>
              <w:pStyle w:val="TableContents"/>
              <w:bidi w:val="0"/>
              <w:spacing w:before="0" w:after="0"/>
              <w:ind w:left="0" w:right="0" w:hanging="0"/>
              <w:jc w:val="center"/>
              <w:rPr>
                <w:rFonts w:ascii="Arial;sans-serif" w:hAnsi="Arial;sans-serif"/>
                <w:b/>
                <w:sz w:val="15"/>
              </w:rPr>
            </w:pPr>
            <w:r>
              <w:rPr>
                <w:rFonts w:ascii="Arial;sans-serif" w:hAnsi="Arial;sans-serif"/>
                <w:b/>
                <w:sz w:val="15"/>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426" w:type="dxa"/>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(I.R.S. Employer</w:t>
            </w:r>
          </w:p>
          <w:p>
            <w:pPr>
              <w:pStyle w:val="TableContents"/>
              <w:bidi w:val="0"/>
              <w:spacing w:before="0" w:after="0"/>
              <w:ind w:left="0" w:right="0" w:hanging="0"/>
              <w:jc w:val="center"/>
              <w:rPr>
                <w:rFonts w:ascii="Arial;sans-serif" w:hAnsi="Arial;sans-serif"/>
                <w:b/>
                <w:sz w:val="15"/>
              </w:rPr>
            </w:pPr>
            <w:r>
              <w:rPr>
                <w:rFonts w:ascii="Arial;sans-serif" w:hAnsi="Arial;sans-serif"/>
                <w:b/>
                <w:sz w:val="15"/>
              </w:rPr>
              <w:t>Identification No.)</w:t>
            </w:r>
          </w:p>
        </w:tc>
      </w:tr>
    </w:tbl>
    <w:p>
      <w:pPr>
        <w:pStyle w:val="TextBody"/>
        <w:bidi w:val="0"/>
        <w:spacing w:before="45" w:after="0"/>
        <w:jc w:val="center"/>
        <w:rPr>
          <w:rFonts w:ascii="Times New Roman" w:hAnsi="Times New Roman"/>
          <w:sz w:val="20"/>
        </w:rPr>
      </w:pPr>
      <w:r>
        <w:rPr>
          <w:rFonts w:ascii="Arial;sans-serif" w:hAnsi="Arial;sans-serif"/>
          <w:b/>
          <w:sz w:val="17"/>
        </w:rPr>
        <w:t>6155 El Camino Real</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17"/>
        </w:rPr>
        <w:t>Carlsbad, California</w:t>
      </w:r>
      <w:r>
        <w:rPr>
          <w:rFonts w:ascii="Times New Roman" w:hAnsi="Times New Roman"/>
          <w:sz w:val="20"/>
        </w:rPr>
        <w:t xml:space="preserve"> </w:t>
      </w:r>
      <w:r>
        <w:rPr>
          <w:rFonts w:ascii="Arial;sans-serif" w:hAnsi="Arial;sans-serif"/>
          <w:b/>
          <w:sz w:val="17"/>
        </w:rPr>
        <w:t>92009</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17"/>
        </w:rPr>
        <w:t>(760) 476-2200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15"/>
        </w:rPr>
        <w:t>(Address of principal executive offices and telephone number)</w:t>
      </w:r>
      <w:r>
        <w:rPr>
          <w:rFonts w:ascii="Times New Roman" w:hAnsi="Times New Roman"/>
          <w:sz w:val="20"/>
        </w:rPr>
        <w:t xml:space="preserve"> </w:t>
      </w:r>
    </w:p>
    <w:p>
      <w:pPr>
        <w:pStyle w:val="TextBody"/>
        <w:bidi w:val="0"/>
        <w:spacing w:before="45" w:after="0"/>
        <w:jc w:val="center"/>
        <w:rPr>
          <w:rFonts w:ascii="Times New Roman" w:hAnsi="Times New Roman"/>
          <w:sz w:val="20"/>
        </w:rPr>
      </w:pPr>
      <w:r>
        <w:rPr>
          <w:rFonts w:ascii="Arial;sans-serif" w:hAnsi="Arial;sans-serif"/>
          <w:b/>
          <w:sz w:val="17"/>
        </w:rPr>
        <w:t>Securities registered pursuant to Section 12(b) of the Act:</w:t>
      </w:r>
      <w:r>
        <w:rPr>
          <w:rFonts w:ascii="Times New Roman" w:hAnsi="Times New Roman"/>
          <w:sz w:val="20"/>
        </w:rPr>
        <w:t xml:space="preserve"> </w:t>
      </w:r>
    </w:p>
    <w:p>
      <w:pPr>
        <w:pStyle w:val="TextBody"/>
        <w:bidi w:val="0"/>
        <w:spacing w:before="0" w:after="0"/>
        <w:jc w:val="center"/>
        <w:rPr/>
      </w:pPr>
      <w:r>
        <w:rPr/>
        <w:t> </w:t>
      </w:r>
    </w:p>
    <w:tbl>
      <w:tblPr>
        <w:tblW w:w="8800" w:type="dxa"/>
        <w:jc w:val="left"/>
        <w:tblInd w:w="0" w:type="dxa"/>
        <w:tblLayout w:type="fixed"/>
        <w:tblCellMar>
          <w:top w:w="28" w:type="dxa"/>
          <w:left w:w="28" w:type="dxa"/>
          <w:bottom w:w="28" w:type="dxa"/>
          <w:right w:w="28" w:type="dxa"/>
        </w:tblCellMar>
      </w:tblPr>
      <w:tblGrid>
        <w:gridCol w:w="3571"/>
        <w:gridCol w:w="146"/>
        <w:gridCol w:w="1351"/>
        <w:gridCol w:w="146"/>
        <w:gridCol w:w="358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(Name of Each Exchange on which Registered)</w:t>
            </w:r>
          </w:p>
        </w:tc>
      </w:tr>
      <w:tr>
        <w:trPr/>
        <w:tc>
          <w:tcPr>
            <w:tcW w:w="3571" w:type="dxa"/>
            <w:tcBorders/>
            <w:vAlign w:val="center"/>
          </w:tcPr>
          <w:p>
            <w:pPr>
              <w:pStyle w:val="TableContents"/>
              <w:bidi w:val="0"/>
              <w:spacing w:before="0" w:after="0"/>
              <w:ind w:left="0" w:right="0" w:hanging="0"/>
              <w:jc w:val="center"/>
              <w:rPr>
                <w:rFonts w:ascii="Arial;sans-serif" w:hAnsi="Arial;sans-serif"/>
                <w:b/>
                <w:sz w:val="17"/>
              </w:rPr>
            </w:pPr>
            <w:r>
              <w:rPr>
                <w:rFonts w:ascii="Arial;sans-serif" w:hAnsi="Arial;sans-serif"/>
                <w:b/>
                <w:sz w:val="17"/>
              </w:rPr>
              <w:t>Common Stock, par value $0.0001 per share</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Arial;sans-serif" w:hAnsi="Arial;sans-serif"/>
                <w:b/>
                <w:sz w:val="17"/>
              </w:rPr>
            </w:pPr>
            <w:r>
              <w:rPr>
                <w:rFonts w:ascii="Arial;sans-serif" w:hAnsi="Arial;sans-serif"/>
                <w:b/>
                <w:sz w:val="17"/>
              </w:rPr>
              <w:t>VSAT</w:t>
            </w:r>
          </w:p>
        </w:tc>
        <w:tc>
          <w:tcPr>
            <w:tcW w:w="146" w:type="dxa"/>
            <w:tcBorders/>
            <w:vAlign w:val="center"/>
          </w:tcPr>
          <w:p>
            <w:pPr>
              <w:pStyle w:val="TableContents"/>
              <w:bidi w:val="0"/>
              <w:spacing w:before="0" w:after="0"/>
              <w:ind w:left="0" w:right="0" w:hanging="0"/>
              <w:jc w:val="center"/>
              <w:rPr/>
            </w:pPr>
            <w:r>
              <w:rPr/>
              <w:t> </w:t>
            </w:r>
          </w:p>
        </w:tc>
        <w:tc>
          <w:tcPr>
            <w:tcW w:w="3586" w:type="dxa"/>
            <w:tcBorders/>
            <w:vAlign w:val="center"/>
          </w:tcPr>
          <w:p>
            <w:pPr>
              <w:pStyle w:val="TableContents"/>
              <w:bidi w:val="0"/>
              <w:spacing w:before="0" w:after="0"/>
              <w:ind w:left="0" w:right="0" w:hanging="0"/>
              <w:jc w:val="center"/>
              <w:rPr>
                <w:rFonts w:ascii="Arial;sans-serif" w:hAnsi="Arial;sans-serif"/>
                <w:b/>
                <w:sz w:val="17"/>
              </w:rPr>
            </w:pPr>
            <w:r>
              <w:rPr>
                <w:rFonts w:ascii="Arial;sans-serif" w:hAnsi="Arial;sans-serif"/>
                <w:b/>
                <w:sz w:val="17"/>
              </w:rPr>
              <w:t>The Nasdaq Stock Market LLC</w:t>
            </w:r>
          </w:p>
        </w:tc>
      </w:tr>
    </w:tbl>
    <w:p>
      <w:pPr>
        <w:pStyle w:val="TextBody"/>
        <w:bidi w:val="0"/>
        <w:spacing w:before="45" w:after="0"/>
        <w:jc w:val="left"/>
        <w:rPr/>
      </w:pPr>
      <w:r>
        <w:rPr/>
        <w:t> </w:t>
      </w:r>
    </w:p>
    <w:p>
      <w:pPr>
        <w:pStyle w:val="TextBody"/>
        <w:bidi w:val="0"/>
        <w:spacing w:before="45" w:after="0"/>
        <w:jc w:val="center"/>
        <w:rPr>
          <w:rFonts w:ascii="Times New Roman" w:hAnsi="Times New Roman"/>
          <w:sz w:val="20"/>
        </w:rPr>
      </w:pPr>
      <w:r>
        <w:rPr>
          <w:rFonts w:ascii="Arial;sans-serif" w:hAnsi="Arial;sans-serif"/>
          <w:b/>
          <w:sz w:val="17"/>
        </w:rPr>
        <w:t>Securities registered pursuant to Section 12(g) of the Act: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17"/>
        </w:rPr>
        <w:t>None</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Arial;sans-serif" w:hAnsi="Arial;sans-serif"/>
          <w:b w:val="false"/>
          <w:sz w:val="17"/>
        </w:rPr>
        <w:t xml:space="preserve">Indicate by check mark if the registrant is a well-known seasoned issuer, as defined in Rule 405 of the Securities Act of 1933. </w:t>
      </w:r>
      <w:r>
        <w:rPr>
          <w:rFonts w:ascii="Times New Roman" w:hAnsi="Times New Roman"/>
          <w:sz w:val="20"/>
        </w:rPr>
        <w:t xml:space="preserve">☒ </w:t>
      </w:r>
      <w:r>
        <w:rPr>
          <w:rFonts w:ascii="Arial;sans-serif" w:hAnsi="Arial;sans-serif"/>
          <w:b w:val="false"/>
          <w:sz w:val="17"/>
        </w:rPr>
        <w:t>Yes</w:t>
      </w:r>
      <w:r>
        <w:rPr>
          <w:rFonts w:ascii="Times New Roman" w:hAnsi="Times New Roman"/>
          <w:sz w:val="20"/>
        </w:rPr>
        <w:t xml:space="preserve"> ☐ </w:t>
      </w:r>
      <w:r>
        <w:rPr>
          <w:rFonts w:ascii="Arial;sans-serif" w:hAnsi="Arial;sans-serif"/>
          <w:b w:val="false"/>
          <w:sz w:val="17"/>
        </w:rPr>
        <w:t>No</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Arial;sans-serif" w:hAnsi="Arial;sans-serif"/>
          <w:b w:val="false"/>
          <w:sz w:val="17"/>
        </w:rPr>
        <w:t xml:space="preserve">Indicate by check mark if the registrant is not required to file reports pursuant to Section 13 or 15(d) of the Securities Exchange Act of 1934. </w:t>
      </w:r>
      <w:r>
        <w:rPr>
          <w:rFonts w:ascii="Times New Roman" w:hAnsi="Times New Roman"/>
          <w:sz w:val="20"/>
        </w:rPr>
        <w:t xml:space="preserve">☐ </w:t>
      </w:r>
      <w:r>
        <w:rPr>
          <w:rFonts w:ascii="Arial;sans-serif" w:hAnsi="Arial;sans-serif"/>
          <w:b w:val="false"/>
          <w:sz w:val="17"/>
        </w:rPr>
        <w:t xml:space="preserve">Yes </w:t>
      </w:r>
      <w:r>
        <w:rPr>
          <w:rFonts w:ascii="Times New Roman" w:hAnsi="Times New Roman"/>
          <w:sz w:val="20"/>
        </w:rPr>
        <w:t xml:space="preserve">☒ </w:t>
      </w:r>
      <w:r>
        <w:rPr>
          <w:rFonts w:ascii="Arial;sans-serif" w:hAnsi="Arial;sans-serif"/>
          <w:b w:val="false"/>
          <w:sz w:val="17"/>
        </w:rPr>
        <w:t>No</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Arial;sans-serif" w:hAnsi="Arial;sans-serif"/>
          <w:b w:val="false"/>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sz w:val="20"/>
        </w:rPr>
        <w:t xml:space="preserve">☒ </w:t>
      </w:r>
      <w:r>
        <w:rPr>
          <w:rFonts w:ascii="Arial;sans-serif" w:hAnsi="Arial;sans-serif"/>
          <w:b w:val="false"/>
          <w:sz w:val="17"/>
        </w:rPr>
        <w:t>Yes</w:t>
      </w:r>
      <w:r>
        <w:rPr>
          <w:rFonts w:ascii="Times New Roman" w:hAnsi="Times New Roman"/>
          <w:sz w:val="20"/>
        </w:rPr>
        <w:t xml:space="preserve"> ☐ </w:t>
      </w:r>
      <w:r>
        <w:rPr>
          <w:rFonts w:ascii="Arial;sans-serif" w:hAnsi="Arial;sans-serif"/>
          <w:b w:val="false"/>
          <w:sz w:val="17"/>
        </w:rPr>
        <w:t>No</w:t>
      </w:r>
    </w:p>
    <w:p>
      <w:pPr>
        <w:pStyle w:val="TextBody"/>
        <w:bidi w:val="0"/>
        <w:spacing w:before="40" w:after="0"/>
        <w:jc w:val="left"/>
        <w:rPr>
          <w:rFonts w:ascii="Times New Roman" w:hAnsi="Times New Roman"/>
          <w:sz w:val="20"/>
        </w:rPr>
      </w:pPr>
      <w:r>
        <w:rPr>
          <w:rFonts w:ascii="Arial;sans-serif" w:hAnsi="Arial;sans-serif"/>
          <w:b w:val="false"/>
          <w:sz w:val="17"/>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sz w:val="20"/>
        </w:rPr>
        <w:t xml:space="preserve">☒ </w:t>
      </w:r>
      <w:r>
        <w:rPr>
          <w:rFonts w:ascii="Arial;sans-serif" w:hAnsi="Arial;sans-serif"/>
          <w:b w:val="false"/>
          <w:sz w:val="17"/>
        </w:rPr>
        <w:t>Yes</w:t>
      </w:r>
      <w:r>
        <w:rPr>
          <w:rFonts w:ascii="Times New Roman" w:hAnsi="Times New Roman"/>
          <w:sz w:val="20"/>
        </w:rPr>
        <w:t xml:space="preserve"> ☐ </w:t>
      </w:r>
      <w:r>
        <w:rPr>
          <w:rFonts w:ascii="Arial;sans-serif" w:hAnsi="Arial;sans-serif"/>
          <w:b w:val="false"/>
          <w:sz w:val="17"/>
        </w:rPr>
        <w:t>No</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Arial;sans-serif" w:hAnsi="Arial;sans-serif"/>
          <w:b w:val="false"/>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620" w:type="dxa"/>
        <w:jc w:val="left"/>
        <w:tblInd w:w="0" w:type="dxa"/>
        <w:tblLayout w:type="fixed"/>
        <w:tblCellMar>
          <w:top w:w="28" w:type="dxa"/>
          <w:left w:w="28" w:type="dxa"/>
          <w:bottom w:w="28" w:type="dxa"/>
          <w:right w:w="28" w:type="dxa"/>
        </w:tblCellMar>
      </w:tblPr>
      <w:tblGrid>
        <w:gridCol w:w="1741"/>
        <w:gridCol w:w="316"/>
        <w:gridCol w:w="146"/>
        <w:gridCol w:w="2056"/>
        <w:gridCol w:w="361"/>
      </w:tblGrid>
      <w:tr>
        <w:trPr/>
        <w:tc>
          <w:tcPr>
            <w:tcW w:w="17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Arial;sans-serif" w:hAnsi="Arial;sans-serif"/>
                <w:b w:val="false"/>
                <w:sz w:val="17"/>
              </w:rPr>
            </w:pPr>
            <w:r>
              <w:rPr>
                <w:rFonts w:ascii="Arial;sans-serif" w:hAnsi="Arial;sans-serif"/>
                <w:b w:val="false"/>
                <w:sz w:val="17"/>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Arial;sans-serif" w:hAnsi="Arial;sans-serif"/>
                <w:b w:val="false"/>
                <w:sz w:val="17"/>
              </w:rPr>
            </w:pPr>
            <w:r>
              <w:rPr>
                <w:rFonts w:ascii="Arial;sans-serif" w:hAnsi="Arial;sans-serif"/>
                <w:b w:val="false"/>
                <w:sz w:val="17"/>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sans-serif" w:hAnsi="Arial;sans-serif"/>
                <w:b w:val="false"/>
                <w:sz w:val="17"/>
              </w:rPr>
            </w:pPr>
            <w:r>
              <w:rPr>
                <w:rFonts w:ascii="Arial;sans-serif" w:hAnsi="Arial;sans-serif"/>
                <w:b w:val="false"/>
                <w:sz w:val="17"/>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Arial;sans-serif" w:hAnsi="Arial;sans-serif"/>
                <w:b w:val="false"/>
                <w:sz w:val="17"/>
              </w:rPr>
            </w:pPr>
            <w:r>
              <w:rPr>
                <w:rFonts w:ascii="Arial;sans-serif" w:hAnsi="Arial;sans-serif"/>
                <w:b w:val="false"/>
                <w:sz w:val="17"/>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Arial;sans-serif" w:hAnsi="Arial;sans-serif"/>
                <w:b w:val="false"/>
                <w:sz w:val="17"/>
              </w:rPr>
            </w:pPr>
            <w:r>
              <w:rPr>
                <w:rFonts w:ascii="Arial;sans-serif" w:hAnsi="Arial;sans-serif"/>
                <w:b w:val="false"/>
                <w:sz w:val="17"/>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6" w:after="0"/>
        <w:jc w:val="left"/>
        <w:rPr>
          <w:rFonts w:ascii="Times New Roman" w:hAnsi="Times New Roman"/>
          <w:sz w:val="20"/>
        </w:rPr>
      </w:pPr>
      <w:r>
        <w:rPr>
          <w:rFonts w:ascii="Arial;sans-serif" w:hAnsi="Arial;sans-serif"/>
          <w:b w:val="false"/>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Arial;sans-serif" w:hAnsi="Arial;sans-serif"/>
          <w:b w:val="false"/>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Arial;sans-serif" w:hAnsi="Arial;sans-serif"/>
          <w:b w:val="false"/>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TextBody"/>
        <w:bidi w:val="0"/>
        <w:spacing w:before="40" w:after="0"/>
        <w:jc w:val="left"/>
        <w:rPr>
          <w:rFonts w:ascii="Times New Roman" w:hAnsi="Times New Roman"/>
          <w:sz w:val="20"/>
        </w:rPr>
      </w:pPr>
      <w:r>
        <w:rPr>
          <w:rFonts w:ascii="Arial;sans-serif" w:hAnsi="Arial;sans-serif"/>
          <w:b w:val="false"/>
          <w:sz w:val="17"/>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Times New Roman" w:hAnsi="Times New Roman"/>
          <w:sz w:val="20"/>
        </w:rPr>
        <w:t>☐</w:t>
      </w:r>
    </w:p>
    <w:p>
      <w:pPr>
        <w:pStyle w:val="TextBody"/>
        <w:bidi w:val="0"/>
        <w:spacing w:before="40" w:after="0"/>
        <w:jc w:val="left"/>
        <w:rPr>
          <w:rFonts w:ascii="Times New Roman" w:hAnsi="Times New Roman"/>
          <w:sz w:val="20"/>
        </w:rPr>
      </w:pPr>
      <w:r>
        <w:rPr>
          <w:rFonts w:ascii="Arial;sans-serif" w:hAnsi="Arial;sans-serif"/>
          <w:b w:val="false"/>
          <w:sz w:val="17"/>
        </w:rPr>
        <w:t xml:space="preserve">Indicate by check mark whether the registrant is a shell company (as defined in Rule 12b-2 of the Exchange Act). </w:t>
      </w:r>
      <w:r>
        <w:rPr>
          <w:rFonts w:ascii="Times New Roman" w:hAnsi="Times New Roman"/>
          <w:sz w:val="20"/>
        </w:rPr>
        <w:t xml:space="preserve">☐ </w:t>
      </w:r>
      <w:r>
        <w:rPr>
          <w:rFonts w:ascii="Arial;sans-serif" w:hAnsi="Arial;sans-serif"/>
          <w:b w:val="false"/>
          <w:sz w:val="17"/>
        </w:rPr>
        <w:t xml:space="preserve">Yes </w:t>
      </w:r>
      <w:r>
        <w:rPr>
          <w:rFonts w:ascii="Times New Roman" w:hAnsi="Times New Roman"/>
          <w:sz w:val="20"/>
        </w:rPr>
        <w:t xml:space="preserve">☒ </w:t>
      </w:r>
      <w:r>
        <w:rPr>
          <w:rFonts w:ascii="Arial;sans-serif" w:hAnsi="Arial;sans-serif"/>
          <w:b w:val="false"/>
          <w:sz w:val="17"/>
        </w:rPr>
        <w:t>No</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Arial;sans-serif" w:hAnsi="Arial;sans-serif"/>
          <w:b w:val="false"/>
          <w:sz w:val="17"/>
        </w:rPr>
        <w:t>The aggregate market value of the common stock held by non-affiliates of the registrant as of September 30, 2022</w:t>
      </w:r>
      <w:r>
        <w:rPr>
          <w:rFonts w:ascii="Times New Roman" w:hAnsi="Times New Roman"/>
          <w:sz w:val="20"/>
        </w:rPr>
        <w:t xml:space="preserve"> </w:t>
      </w:r>
      <w:r>
        <w:rPr>
          <w:rFonts w:ascii="Arial;sans-serif" w:hAnsi="Arial;sans-serif"/>
          <w:b w:val="false"/>
          <w:sz w:val="17"/>
        </w:rPr>
        <w:t>was approximately $2,190,853,412</w:t>
      </w:r>
      <w:r>
        <w:rPr>
          <w:rFonts w:ascii="Times New Roman" w:hAnsi="Times New Roman"/>
          <w:sz w:val="20"/>
        </w:rPr>
        <w:t xml:space="preserve"> </w:t>
      </w:r>
      <w:r>
        <w:rPr>
          <w:rFonts w:ascii="Arial;sans-serif" w:hAnsi="Arial;sans-serif"/>
          <w:b w:val="false"/>
          <w:sz w:val="17"/>
        </w:rPr>
        <w:t>(based on the closing price on that date for shares of the registrant’s common stock as reported by the Nasdaq Global Select Market).</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Arial;sans-serif" w:hAnsi="Arial;sans-serif"/>
          <w:b w:val="false"/>
          <w:sz w:val="17"/>
        </w:rPr>
        <w:t>The number of shares outstanding of the registrant’s common stock, $0.0001 par value, as of May 5, 2023</w:t>
      </w:r>
      <w:r>
        <w:rPr>
          <w:rFonts w:ascii="Times New Roman" w:hAnsi="Times New Roman"/>
          <w:sz w:val="20"/>
        </w:rPr>
        <w:t xml:space="preserve"> </w:t>
      </w:r>
      <w:r>
        <w:rPr>
          <w:rFonts w:ascii="Arial;sans-serif" w:hAnsi="Arial;sans-serif"/>
          <w:b w:val="false"/>
          <w:sz w:val="17"/>
        </w:rPr>
        <w:t>was 76,912,401.</w:t>
      </w:r>
      <w:r>
        <w:rPr>
          <w:rFonts w:ascii="Times New Roman" w:hAnsi="Times New Roman"/>
          <w:sz w:val="20"/>
        </w:rPr>
        <w:t xml:space="preserve"> </w:t>
      </w:r>
    </w:p>
    <w:p>
      <w:pPr>
        <w:pStyle w:val="TextBody"/>
        <w:bidi w:val="0"/>
        <w:spacing w:before="40" w:after="0"/>
        <w:jc w:val="center"/>
        <w:rPr>
          <w:rFonts w:ascii="Arial;sans-serif" w:hAnsi="Arial;sans-serif"/>
          <w:b/>
          <w:sz w:val="17"/>
        </w:rPr>
      </w:pPr>
      <w:r>
        <w:rPr>
          <w:rFonts w:ascii="Arial;sans-serif" w:hAnsi="Arial;sans-serif"/>
          <w:b/>
          <w:sz w:val="17"/>
        </w:rPr>
        <w:t>DOCUMENTS INCORPORATED BY REFERENCE</w:t>
      </w:r>
    </w:p>
    <w:p>
      <w:pPr>
        <w:pStyle w:val="TextBody"/>
        <w:bidi w:val="0"/>
        <w:spacing w:before="40" w:after="0"/>
        <w:jc w:val="left"/>
        <w:rPr>
          <w:rFonts w:ascii="Times New Roman" w:hAnsi="Times New Roman"/>
          <w:sz w:val="20"/>
        </w:rPr>
      </w:pPr>
      <w:r>
        <w:rPr>
          <w:rFonts w:ascii="Arial;sans-serif" w:hAnsi="Arial;sans-serif"/>
          <w:b w:val="false"/>
          <w:sz w:val="17"/>
        </w:rPr>
        <w:t>Portions of the registrant’s definitive Proxy Statement to be filed with the Securities and Exchange Commission pursuant to Regulation 14A in connection with its 2023 Annual Meeting of Stockholders are incorporated by reference into Part III of this Form 10-K where indicated. Such Proxy Statement will be filed with the Securities and Exchange Commission not later than 120 days after the registrant’s fiscal year ended March 31, 2023.</w:t>
      </w:r>
      <w:r>
        <w:rPr>
          <w:rFonts w:ascii="Times New Roman" w:hAnsi="Times New Roman"/>
          <w:sz w:val="20"/>
        </w:rPr>
        <w:t xml:space="preserve">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60" w:after="0"/>
        <w:jc w:val="center"/>
        <w:rPr>
          <w:rFonts w:ascii="Times New Roman" w:hAnsi="Times New Roman"/>
          <w:sz w:val="20"/>
        </w:rPr>
      </w:pPr>
      <w:r>
        <w:rPr>
          <w:rFonts w:ascii="Arial;sans-serif" w:hAnsi="Arial;sans-serif"/>
          <w:b/>
          <w:sz w:val="20"/>
        </w:rPr>
        <w:t>TABLE OF CONTENTS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815"/>
        <w:gridCol w:w="146"/>
        <w:gridCol w:w="8556"/>
        <w:gridCol w:w="146"/>
        <w:gridCol w:w="542"/>
      </w:tblGrid>
      <w:tr>
        <w:trPr/>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Page</w:t>
            </w:r>
          </w:p>
        </w:tc>
      </w:tr>
      <w:tr>
        <w:trPr/>
        <w:tc>
          <w:tcPr>
            <w:tcW w:w="8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 </w:t>
            </w:r>
          </w:p>
        </w:tc>
      </w:tr>
      <w:tr>
        <w:trPr/>
        <w:tc>
          <w:tcPr>
            <w:tcW w:w="8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8556" w:type="dxa"/>
            <w:tcBorders/>
            <w:vAlign w:val="center"/>
          </w:tcPr>
          <w:p>
            <w:pPr>
              <w:pStyle w:val="TableContents"/>
              <w:bidi w:val="0"/>
              <w:spacing w:before="0" w:after="0"/>
              <w:ind w:left="0" w:right="0" w:hanging="0"/>
              <w:jc w:val="center"/>
              <w:rPr/>
            </w:pPr>
            <w:hyperlink w:anchor="part_i">
              <w:r>
                <w:rPr>
                  <w:rStyle w:val="InternetLink"/>
                  <w:rFonts w:ascii="Arial;sans-serif" w:hAnsi="Arial;sans-serif"/>
                  <w:b/>
                  <w:sz w:val="20"/>
                  <w:u w:val="single"/>
                </w:rPr>
                <w:t>PART I</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_business">
              <w:r>
                <w:rPr>
                  <w:rStyle w:val="InternetLink"/>
                  <w:rFonts w:ascii="Arial;sans-serif" w:hAnsi="Arial;sans-serif"/>
                  <w:b w:val="false"/>
                  <w:sz w:val="20"/>
                  <w:u w:val="single"/>
                </w:rPr>
                <w:t>Business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a_risk_factors">
              <w:r>
                <w:rPr>
                  <w:rStyle w:val="InternetLink"/>
                  <w:rFonts w:ascii="Arial;sans-serif" w:hAnsi="Arial;sans-serif"/>
                  <w:b w:val="false"/>
                  <w:sz w:val="20"/>
                  <w:u w:val="single"/>
                </w:rPr>
                <w:t>Risk Factors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1B.</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b_unresolved_staff_comments">
              <w:r>
                <w:rPr>
                  <w:rStyle w:val="InternetLink"/>
                  <w:rFonts w:ascii="Arial;sans-serif" w:hAnsi="Arial;sans-serif"/>
                  <w:b w:val="false"/>
                  <w:sz w:val="20"/>
                  <w:u w:val="single"/>
                </w:rPr>
                <w:t>Unresolved Staff Comments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2_properties">
              <w:r>
                <w:rPr>
                  <w:rStyle w:val="InternetLink"/>
                  <w:rFonts w:ascii="Arial;sans-serif" w:hAnsi="Arial;sans-serif"/>
                  <w:b w:val="false"/>
                  <w:sz w:val="20"/>
                  <w:u w:val="single"/>
                </w:rPr>
                <w:t>Properties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3_legal_proceedings">
              <w:r>
                <w:rPr>
                  <w:rStyle w:val="InternetLink"/>
                  <w:rFonts w:ascii="Arial;sans-serif" w:hAnsi="Arial;sans-serif"/>
                  <w:b w:val="false"/>
                  <w:sz w:val="20"/>
                  <w:u w:val="single"/>
                </w:rPr>
                <w:t>Legal Proceedings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4_mine_safety_disclosures">
              <w:r>
                <w:rPr>
                  <w:rStyle w:val="InternetLink"/>
                  <w:rFonts w:ascii="Arial;sans-serif" w:hAnsi="Arial;sans-serif"/>
                  <w:b w:val="false"/>
                  <w:sz w:val="20"/>
                  <w:u w:val="single"/>
                </w:rPr>
                <w:t>Mine Safety Disclosures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r>
      <w:tr>
        <w:trPr/>
        <w:tc>
          <w:tcPr>
            <w:tcW w:w="8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 </w:t>
            </w:r>
          </w:p>
        </w:tc>
      </w:tr>
      <w:tr>
        <w:trPr/>
        <w:tc>
          <w:tcPr>
            <w:tcW w:w="8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8556" w:type="dxa"/>
            <w:tcBorders/>
            <w:vAlign w:val="center"/>
          </w:tcPr>
          <w:p>
            <w:pPr>
              <w:pStyle w:val="TableContents"/>
              <w:bidi w:val="0"/>
              <w:spacing w:before="0" w:after="0"/>
              <w:ind w:left="0" w:right="0" w:hanging="0"/>
              <w:jc w:val="center"/>
              <w:rPr/>
            </w:pPr>
            <w:hyperlink w:anchor="part_ii">
              <w:r>
                <w:rPr>
                  <w:rStyle w:val="InternetLink"/>
                  <w:rFonts w:ascii="Arial;sans-serif" w:hAnsi="Arial;sans-serif"/>
                  <w:b/>
                  <w:sz w:val="20"/>
                  <w:u w:val="single"/>
                </w:rPr>
                <w:t>PART II</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5.</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5_market_for_registrants_common_equ">
              <w:r>
                <w:rPr>
                  <w:rStyle w:val="InternetLink"/>
                  <w:rFonts w:ascii="Arial;sans-serif" w:hAnsi="Arial;sans-serif"/>
                  <w:b w:val="false"/>
                  <w:sz w:val="20"/>
                  <w:u w:val="single"/>
                </w:rPr>
                <w:t>Market for Registrant’s Common Equity, Related Stockholder Matters and Issuer Purchases of Equity Securities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6_reserved">
              <w:r>
                <w:rPr>
                  <w:rStyle w:val="InternetLink"/>
                  <w:rFonts w:ascii="Arial;sans-serif" w:hAnsi="Arial;sans-serif"/>
                  <w:b w:val="false"/>
                  <w:sz w:val="20"/>
                  <w:u w:val="single"/>
                </w:rPr>
                <w:t>[Reserved]</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7.</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7_managements_discussion_analysis_f">
              <w:r>
                <w:rPr>
                  <w:rStyle w:val="InternetLink"/>
                  <w:rFonts w:ascii="Arial;sans-serif" w:hAnsi="Arial;sans-serif"/>
                  <w:b w:val="false"/>
                  <w:sz w:val="20"/>
                  <w:u w:val="single"/>
                </w:rPr>
                <w:t>Management’s Discussion and Analysis of Financial Condition and Results of Operations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7A.</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7a_quantitative_qualitative_disclos">
              <w:r>
                <w:rPr>
                  <w:rStyle w:val="InternetLink"/>
                  <w:rFonts w:ascii="Arial;sans-serif" w:hAnsi="Arial;sans-serif"/>
                  <w:b w:val="false"/>
                  <w:sz w:val="20"/>
                  <w:u w:val="single"/>
                </w:rPr>
                <w:t>Quantitative and Qualitative Disclosures About Market Risk</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8.</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8_financial_statements_supplementar">
              <w:r>
                <w:rPr>
                  <w:rStyle w:val="InternetLink"/>
                  <w:rFonts w:ascii="Arial;sans-serif" w:hAnsi="Arial;sans-serif"/>
                  <w:b w:val="false"/>
                  <w:sz w:val="20"/>
                  <w:u w:val="single"/>
                </w:rPr>
                <w:t>Financial Statements and Supplementary Data</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9.</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9_changes_in_disagreements_with_acc">
              <w:r>
                <w:rPr>
                  <w:rStyle w:val="InternetLink"/>
                  <w:rFonts w:ascii="Arial;sans-serif" w:hAnsi="Arial;sans-serif"/>
                  <w:b w:val="false"/>
                  <w:sz w:val="20"/>
                  <w:u w:val="single"/>
                </w:rPr>
                <w:t>Changes in and Disagreements with Accountants on Accounting and Financial Disclosure</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9A.</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9a_controls_procedures">
              <w:r>
                <w:rPr>
                  <w:rStyle w:val="InternetLink"/>
                  <w:rFonts w:ascii="Arial;sans-serif" w:hAnsi="Arial;sans-serif"/>
                  <w:b w:val="false"/>
                  <w:sz w:val="20"/>
                  <w:u w:val="single"/>
                </w:rPr>
                <w:t>Controls and Procedures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9B.</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9b_or_information">
              <w:r>
                <w:rPr>
                  <w:rStyle w:val="InternetLink"/>
                  <w:rFonts w:ascii="Arial;sans-serif" w:hAnsi="Arial;sans-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9C.</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9c_disclosure_regarding_foreign_jur">
              <w:r>
                <w:rPr>
                  <w:rStyle w:val="InternetLink"/>
                  <w:rFonts w:ascii="Arial;sans-serif" w:hAnsi="Arial;sans-serif"/>
                  <w:b w:val="false"/>
                  <w:sz w:val="20"/>
                  <w:u w:val="single"/>
                </w:rPr>
                <w:t>Disclosure Regarding Foreign Jurisdictions That Prevent Inspections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w:t>
            </w:r>
          </w:p>
        </w:tc>
      </w:tr>
      <w:tr>
        <w:trPr/>
        <w:tc>
          <w:tcPr>
            <w:tcW w:w="8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 </w:t>
            </w:r>
          </w:p>
        </w:tc>
      </w:tr>
      <w:tr>
        <w:trPr/>
        <w:tc>
          <w:tcPr>
            <w:tcW w:w="8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8556" w:type="dxa"/>
            <w:tcBorders/>
            <w:vAlign w:val="center"/>
          </w:tcPr>
          <w:p>
            <w:pPr>
              <w:pStyle w:val="TableContents"/>
              <w:bidi w:val="0"/>
              <w:spacing w:before="0" w:after="0"/>
              <w:ind w:left="0" w:right="0" w:hanging="0"/>
              <w:jc w:val="center"/>
              <w:rPr/>
            </w:pPr>
            <w:hyperlink w:anchor="part_iii">
              <w:r>
                <w:rPr>
                  <w:rStyle w:val="InternetLink"/>
                  <w:rFonts w:ascii="Arial;sans-serif" w:hAnsi="Arial;sans-serif"/>
                  <w:b/>
                  <w:sz w:val="20"/>
                  <w:u w:val="single"/>
                </w:rPr>
                <w:t>PART III</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10.</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0_directors_executive_ficers_corpo">
              <w:r>
                <w:rPr>
                  <w:rStyle w:val="InternetLink"/>
                  <w:rFonts w:ascii="Arial;sans-serif" w:hAnsi="Arial;sans-serif"/>
                  <w:b w:val="false"/>
                  <w:sz w:val="20"/>
                  <w:u w:val="single"/>
                </w:rPr>
                <w:t>Directors, Executive Officers and Corporate Governance</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11.</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1_executive_compensation">
              <w:r>
                <w:rPr>
                  <w:rStyle w:val="InternetLink"/>
                  <w:rFonts w:ascii="Arial;sans-serif" w:hAnsi="Arial;sans-serif"/>
                  <w:b w:val="false"/>
                  <w:sz w:val="20"/>
                  <w:u w:val="single"/>
                </w:rPr>
                <w:t>Executive Compensation</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12.</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2_security_ownership_certain_benef">
              <w:r>
                <w:rPr>
                  <w:rStyle w:val="InternetLink"/>
                  <w:rFonts w:ascii="Arial;sans-serif" w:hAnsi="Arial;sans-serif"/>
                  <w:b w:val="false"/>
                  <w:sz w:val="20"/>
                  <w:u w:val="single"/>
                </w:rPr>
                <w:t>Security Ownership of Certain Beneficial Owners and Management and Related Stockholder Matters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13.</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3_certain_relationships_related_tr">
              <w:r>
                <w:rPr>
                  <w:rStyle w:val="InternetLink"/>
                  <w:rFonts w:ascii="Arial;sans-serif" w:hAnsi="Arial;sans-serif"/>
                  <w:b w:val="false"/>
                  <w:sz w:val="20"/>
                  <w:u w:val="single"/>
                </w:rPr>
                <w:t>Certain Relationships and Related Transactions, and Director Independence</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14.</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4_principal_accounting_fees_servic">
              <w:r>
                <w:rPr>
                  <w:rStyle w:val="InternetLink"/>
                  <w:rFonts w:ascii="Arial;sans-serif" w:hAnsi="Arial;sans-serif"/>
                  <w:b w:val="false"/>
                  <w:sz w:val="20"/>
                  <w:u w:val="single"/>
                </w:rPr>
                <w:t>Principal Accounting Fees and Services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r>
      <w:tr>
        <w:trPr/>
        <w:tc>
          <w:tcPr>
            <w:tcW w:w="8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 </w:t>
            </w:r>
          </w:p>
        </w:tc>
      </w:tr>
      <w:tr>
        <w:trPr/>
        <w:tc>
          <w:tcPr>
            <w:tcW w:w="8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8556" w:type="dxa"/>
            <w:tcBorders/>
            <w:vAlign w:val="center"/>
          </w:tcPr>
          <w:p>
            <w:pPr>
              <w:pStyle w:val="TableContents"/>
              <w:bidi w:val="0"/>
              <w:spacing w:before="0" w:after="0"/>
              <w:ind w:left="0" w:right="0" w:hanging="0"/>
              <w:jc w:val="center"/>
              <w:rPr/>
            </w:pPr>
            <w:hyperlink w:anchor="part_iv">
              <w:r>
                <w:rPr>
                  <w:rStyle w:val="InternetLink"/>
                  <w:rFonts w:ascii="Arial;sans-serif" w:hAnsi="Arial;sans-serif"/>
                  <w:b/>
                  <w:sz w:val="20"/>
                  <w:u w:val="single"/>
                </w:rPr>
                <w:t>PART IV</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15.</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5_exhibits_financial_statement_sch">
              <w:r>
                <w:rPr>
                  <w:rStyle w:val="InternetLink"/>
                  <w:rFonts w:ascii="Arial;sans-serif" w:hAnsi="Arial;sans-serif"/>
                  <w:b w:val="false"/>
                  <w:sz w:val="20"/>
                  <w:u w:val="single"/>
                </w:rPr>
                <w:t>Exhibits, Financial Statement Schedules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w:t>
            </w:r>
          </w:p>
        </w:tc>
      </w:tr>
      <w:tr>
        <w:trPr/>
        <w:tc>
          <w:tcPr>
            <w:tcW w:w="8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16.</w:t>
            </w:r>
          </w:p>
        </w:tc>
        <w:tc>
          <w:tcPr>
            <w:tcW w:w="146" w:type="dxa"/>
            <w:tcBorders/>
            <w:vAlign w:val="center"/>
          </w:tcPr>
          <w:p>
            <w:pPr>
              <w:pStyle w:val="TableContents"/>
              <w:bidi w:val="0"/>
              <w:spacing w:before="0" w:after="0"/>
              <w:ind w:left="0" w:right="0" w:hanging="0"/>
              <w:jc w:val="left"/>
              <w:rPr/>
            </w:pPr>
            <w:r>
              <w:rPr/>
              <w:t> </w:t>
            </w:r>
          </w:p>
        </w:tc>
        <w:tc>
          <w:tcPr>
            <w:tcW w:w="8556" w:type="dxa"/>
            <w:tcBorders/>
            <w:vAlign w:val="center"/>
          </w:tcPr>
          <w:p>
            <w:pPr>
              <w:pStyle w:val="TableContents"/>
              <w:bidi w:val="0"/>
              <w:spacing w:before="0" w:after="0"/>
              <w:ind w:left="0" w:right="0" w:hanging="0"/>
              <w:jc w:val="left"/>
              <w:rPr/>
            </w:pPr>
            <w:hyperlink w:anchor="item_16_form_10k_summary">
              <w:r>
                <w:rPr>
                  <w:rStyle w:val="InternetLink"/>
                  <w:rFonts w:ascii="Arial;sans-serif" w:hAnsi="Arial;sans-serif"/>
                  <w:b w:val="false"/>
                  <w:sz w:val="20"/>
                  <w:u w:val="single"/>
                </w:rPr>
                <w:t>Form 10-K Summary</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w:t>
            </w:r>
          </w:p>
        </w:tc>
      </w:tr>
      <w:tr>
        <w:trPr/>
        <w:tc>
          <w:tcPr>
            <w:tcW w:w="9517" w:type="dxa"/>
            <w:gridSpan w:val="3"/>
            <w:tcBorders/>
            <w:vAlign w:val="center"/>
          </w:tcPr>
          <w:p>
            <w:pPr>
              <w:pStyle w:val="TableContents"/>
              <w:bidi w:val="0"/>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146" w:type="dxa"/>
            <w:tcBorders/>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2" w:name="part_i"/>
      <w:bookmarkEnd w:id="2"/>
      <w:r>
        <w:rPr>
          <w:rFonts w:ascii="Arial;sans-serif" w:hAnsi="Arial;sans-serif"/>
          <w:b/>
          <w:sz w:val="20"/>
        </w:rPr>
        <w:t>PART</w:t>
      </w:r>
      <w:r>
        <w:rPr>
          <w:rFonts w:ascii="Times New Roman" w:hAnsi="Times New Roman"/>
          <w:sz w:val="20"/>
        </w:rPr>
        <w:t xml:space="preserve"> </w:t>
      </w:r>
      <w:r>
        <w:rPr>
          <w:rFonts w:ascii="Arial;sans-serif" w:hAnsi="Arial;sans-serif"/>
          <w:b/>
          <w:sz w:val="20"/>
        </w:rPr>
        <w:t>I</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sz w:val="20"/>
        </w:rPr>
        <w:t>FORWARD-LOOKING STATEMENTS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proposed Inmarsat Transaction (as defined below) and any statements regarding the expected timing, benefits, synergies, growth opportunities and other financial and operating benefits thereof; the closing of the Inmarsat Transaction and timing or satisfaction of regulatory and other closing conditions; our anticipated operations, financial position, liquidity, performance, prospects or growth and scale opportunities following the closing of the Inmarsat Transaction or the Link-16 TDL Sale (as defined below);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commencement of commercial service on our ViaSat-3 Americas satellite; the performance and anticipated benefits of our ViaSat-3 and ViaSat-4 class satellites and any future satellite we may construct or acquire; the expected completion, capacity,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Inmarsat Transaction, including the failure to obtain, or delays in obtaining, required regulatory approvals or clearances; the risk that any such approval may result in the imposition of conditions that could adversely affect us or the expected benefits of the Inmarsat Transaction; the failure to satisfy any of the closing conditions to the Inmarsat Transaction on a timely basis or at all; any adverse impact on our business or on the business of Inmarsat as a result of uncertainty surrounding the Inmarsat Transaction; the nature, cost and outcome of any legal proceedings related to the Inmarsat Transaction; the occurrence of any event, change or other circumstances that could give rise to the termination of the definitive agreement for the Inmarsat Transaction, including in circumstances requiring Viasat to pay a termination fee; the risk that Viasat’s stock price may decline significantly if the Inmarsat Transaction is not consummated; the failure to obtain the necessary debt financing arrangements set forth in the commitment letters received in connection with the Inmarsat Transaction; risks that the Inmarsat Transaction disrupts current plans and operations or diverts management’s attention from its ongoing business; the effect of the announcement of the Inmarsat Transaction on our ability to retain and hire key personnel and maintain relationships with our customers, suppliers and others with whom we do business; our ability to successfully integrate Inmarsat operations, technologies and employees; the ability to realize anticipated benefits and synergies of the Inmarsat Transaction and our other acquisitions, including the expectation of enhancements to Viasat’s products and services, greater revenue or growth opportunities, operating efficiencies and cost savings; the ability to ensure continued performance and market growth of our business following the closing of the Inmarsat Transaction; our ability to realize the anticipated benefits of the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w:t>
      </w:r>
    </w:p>
    <w:p>
      <w:pPr>
        <w:pStyle w:val="HorizontalLine"/>
        <w:pBdr>
          <w:bottom w:val="double" w:sz="2" w:space="0" w:color="808080"/>
        </w:pBdr>
        <w:bidi w:val="0"/>
        <w:spacing w:before="0" w:after="283"/>
        <w:jc w:val="left"/>
        <w:rPr/>
      </w:pPr>
      <w:r>
        <w:rPr/>
      </w:r>
    </w:p>
    <w:p>
      <w:pPr>
        <w:pStyle w:val="TextBody"/>
        <w:bidi w:val="0"/>
        <w:spacing w:before="90" w:after="0"/>
        <w:jc w:val="left"/>
        <w:rPr>
          <w:rFonts w:ascii="Times New Roman" w:hAnsi="Times New Roman"/>
          <w:sz w:val="20"/>
        </w:rPr>
      </w:pPr>
      <w:r>
        <w:rPr>
          <w:rFonts w:ascii="Arial;sans-serif" w:hAnsi="Arial;sans-serif"/>
          <w:b w:val="false"/>
          <w:sz w:val="20"/>
        </w:rPr>
        <w:t>under the heading “Risk Factors” in Part 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3" w:name="item_1_business"/>
      <w:bookmarkEnd w:id="3"/>
      <w:r>
        <w:rPr>
          <w:rFonts w:ascii="Arial;sans-serif" w:hAnsi="Arial;sans-serif"/>
          <w:b/>
          <w:sz w:val="20"/>
        </w:rPr>
        <w:t>ITEM 1.</w:t>
      </w:r>
      <w:r>
        <w:rPr>
          <w:rFonts w:ascii="Times New Roman" w:hAnsi="Times New Roman"/>
          <w:sz w:val="20"/>
        </w:rPr>
        <w:t xml:space="preserve"> </w:t>
      </w:r>
      <w:r>
        <w:rPr>
          <w:rFonts w:ascii="Arial;sans-serif" w:hAnsi="Arial;sans-serif"/>
          <w:b/>
          <w:i/>
          <w:sz w:val="20"/>
        </w:rPr>
        <w:t>BUSINESS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sz w:val="20"/>
        </w:rPr>
        <w:t>Corporate Information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sans-serif" w:hAnsi="Arial;sans-serif"/>
          <w:b w:val="false"/>
          <w:i/>
          <w:sz w:val="20"/>
        </w:rPr>
        <w:t xml:space="preserve">www.viasat.com. </w:t>
      </w:r>
      <w:r>
        <w:rPr>
          <w:rFonts w:ascii="Arial;sans-serif" w:hAnsi="Arial;sans-serif"/>
          <w:b w:val="false"/>
          <w:sz w:val="20"/>
        </w:rPr>
        <w:t>The information on our website does not constitute part of this report.</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Company Overview</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portfolio of communications gateways; situational awareness products and services; Ka-band, Ku-band and UHF satellite communication products and services; cybersecurity and information assurance products and services; and tactical data link solutions. We believe that our diversification strategy—anchored in a broad portfolio of customer-centric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three segments: satellite services, commercial networks and government systems.</w:t>
      </w:r>
    </w:p>
    <w:p>
      <w:pPr>
        <w:pStyle w:val="TextBody"/>
        <w:bidi w:val="0"/>
        <w:spacing w:before="270" w:after="0"/>
        <w:jc w:val="left"/>
        <w:rPr>
          <w:rFonts w:ascii="Arial;sans-serif" w:hAnsi="Arial;sans-serif"/>
          <w:b/>
          <w:sz w:val="20"/>
        </w:rPr>
      </w:pPr>
      <w:r>
        <w:rPr>
          <w:rFonts w:ascii="Arial;sans-serif" w:hAnsi="Arial;sans-serif"/>
          <w:b/>
          <w:sz w:val="20"/>
        </w:rPr>
        <w:t>Sale of Link-16 TDL Business</w:t>
      </w:r>
    </w:p>
    <w:p>
      <w:pPr>
        <w:pStyle w:val="TextBody"/>
        <w:bidi w:val="0"/>
        <w:spacing w:before="90" w:after="0"/>
        <w:jc w:val="left"/>
        <w:rPr>
          <w:rFonts w:ascii="Times New Roman" w:hAnsi="Times New Roman"/>
          <w:sz w:val="20"/>
        </w:rPr>
      </w:pPr>
      <w:r>
        <w:rPr>
          <w:rFonts w:ascii="Arial;sans-serif" w:hAnsi="Arial;sans-serif"/>
          <w:b w:val="false"/>
          <w:sz w:val="20"/>
        </w:rPr>
        <w:t>On October 1, 2022, we entered into an Asset Purchase Agreement to sell certain assets and assign certain liabilities comprising our Link-16 Tactical Data Links business (the Link-16 TDL Business), part of our government systems segment, to L3Harris Technologies, Inc., (L3Harris) in exchange for approximately $1.96 billion in cash, subject to adjustments (the Link-16 TDL Sale). In accordance with the authoritative guidance for discontinued operations (Accounting Standards Codification (ASC) 205-20), we determined that the Link-16 TDL Business met held-for-sale and discontinued operations accounting criteria at the end of the second quarter of fiscal year 2023. Accordingly, we classified the results of the Link-16 TDL Business as discontinued operations in our consolidated statements of operations for all periods presented. Additionally, the related assets and liabilities associated with the discontinued operations were classified as held for sale and discontinued operations in the consolidated balance sheet as of March 31, 2022. The cash flows related to discontinued operations have not been segregated and are included in the consolidated statements of cash flows. Unless otherwise noted, discussion throughout this Annual Report on Form 10-K relates to continuing operations only and excludes the Link-16 TDL Business. On January 3, 2023, we completed the Link-16 TDL Sale. See Note 4 — Discontinued Operations to our consolidated financial statements for additional information.</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Inmarsat Acquisition</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On November 8, 2021, we entered into a Share Purchase Agreement (the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Purchase Agreement, we will purchase all of the issued and outstanding shares of Inmarsat from the Sellers upon the terms and subject to the conditions set forth therein (the Inmarsat Transaction). The total consideration payable by us under the Purchase Agreement consists of $850.0 million in cash, subject to adjustments (such as the dividend paid by Inmarsat in April 2022, see below), and approximately 46.36 million unregistered shares of our common stock. On April 6, 2022, Inmarsat paid a dividend of $299.3 million to the Sellers, resulting in a $299.3 million reduction in the cash consideration payable by us at the closing of the Inmarsat Transaction. Our board of directors has unanimously approved the Purchase Agreement and the proposed Inmarsat Transaction. Our stockholders approved the issuance of shares in the Inmarsat Transaction and an amendment to our certificate of incorporation to increase the number of shares of our common stock authorized for issuance at a special meeting held on June 21, 2022.</w:t>
      </w:r>
    </w:p>
    <w:p>
      <w:pPr>
        <w:pStyle w:val="TextBody"/>
        <w:bidi w:val="0"/>
        <w:spacing w:before="240" w:after="0"/>
        <w:jc w:val="center"/>
        <w:rPr>
          <w:rFonts w:ascii="Arial;sans-serif" w:hAnsi="Arial;sans-serif"/>
          <w:b w:val="false"/>
          <w:sz w:val="20"/>
        </w:rPr>
      </w:pPr>
      <w:r>
        <w:rPr>
          <w:rFonts w:ascii="Arial;sans-serif" w:hAnsi="Arial;sans-serif"/>
          <w:b w:val="false"/>
          <w:sz w:val="20"/>
        </w:rPr>
        <w:t>3</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The closing of the Inmarsat Transaction is subject to customary closing conditions, including receipt of regulatory approvals and clearances. The Purchase Agreement contains certain termination rights for both us and certain of the Sellers and further provides that, upon termination of the Purchase Agreement under certain circumstances, we may be obligated to pay a termination fee of up to $200.0 million or to reimburse certain out-of-pocket expenses of certain Sellers up to $40.0 million.</w:t>
      </w:r>
    </w:p>
    <w:p>
      <w:pPr>
        <w:pStyle w:val="TextBody"/>
        <w:bidi w:val="0"/>
        <w:spacing w:before="180" w:after="0"/>
        <w:jc w:val="left"/>
        <w:rPr>
          <w:rFonts w:ascii="Arial;sans-serif" w:hAnsi="Arial;sans-serif"/>
          <w:b w:val="false"/>
          <w:sz w:val="20"/>
        </w:rPr>
      </w:pPr>
      <w:r>
        <w:rPr>
          <w:rFonts w:ascii="Arial;sans-serif" w:hAnsi="Arial;sans-serif"/>
          <w:b w:val="false"/>
          <w:sz w:val="20"/>
        </w:rPr>
        <w:t>We have obtained financing commitments for an additional $1.6 billion of new debt facilities in connection with the Inmarsat Transaction (which may be secured and/or unsecured). We also plan to assume $2.1 billion in principal amount of Inmarsat senior secured bonds and the outstanding indebtedness under Inmarsat’s $2.4 billion senior secured credit facilities.</w:t>
      </w:r>
    </w:p>
    <w:p>
      <w:pPr>
        <w:pStyle w:val="TextBody"/>
        <w:bidi w:val="0"/>
        <w:spacing w:before="270" w:after="0"/>
        <w:jc w:val="left"/>
        <w:rPr>
          <w:rFonts w:ascii="Times New Roman" w:hAnsi="Times New Roman"/>
          <w:sz w:val="20"/>
        </w:rPr>
      </w:pPr>
      <w:r>
        <w:rPr>
          <w:rFonts w:ascii="Arial;sans-serif" w:hAnsi="Arial;sans-serif"/>
          <w:b/>
          <w:sz w:val="20"/>
        </w:rPr>
        <w:t>Other Acquisitions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On April 30, 2021, we completed our acquisition of the remaining 51% interest in Euro Broadband Infrastructure Sàrl (EBI), a satellite broadband internet service provider in Europe, Middle East and Africa (EMEA), from Eutelsat. We paid approximately $167.0 million in cash, net of what is currently estimated to be an immaterial amount of estimated purchase price consideration (net of approximately $121.7 million of EBI’s cash on hand, resulting in a cash outlay of approximately $51.0 million).</w:t>
      </w:r>
    </w:p>
    <w:p>
      <w:pPr>
        <w:pStyle w:val="TextBody"/>
        <w:bidi w:val="0"/>
        <w:spacing w:before="180" w:after="0"/>
        <w:jc w:val="left"/>
        <w:rPr>
          <w:rFonts w:ascii="Arial;sans-serif" w:hAnsi="Arial;sans-serif"/>
          <w:b w:val="false"/>
          <w:sz w:val="20"/>
        </w:rPr>
      </w:pPr>
      <w:r>
        <w:rPr>
          <w:rFonts w:ascii="Arial;sans-serif" w:hAnsi="Arial;sans-serif"/>
          <w:b w:val="false"/>
          <w:sz w:val="20"/>
        </w:rPr>
        <w:t>On April 30, 2021, we completed our acquisition of RigNet, Inc.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and retained approximately $20.6 million of RigNet’s cash on hand.</w:t>
      </w:r>
    </w:p>
    <w:p>
      <w:pPr>
        <w:pStyle w:val="TextBody"/>
        <w:bidi w:val="0"/>
        <w:spacing w:before="180" w:after="0"/>
        <w:jc w:val="left"/>
        <w:rPr>
          <w:rFonts w:ascii="Arial;sans-serif" w:hAnsi="Arial;sans-serif"/>
          <w:b w:val="false"/>
          <w:sz w:val="20"/>
        </w:rPr>
      </w:pPr>
      <w:r>
        <w:rPr>
          <w:rFonts w:ascii="Arial;sans-serif" w:hAnsi="Arial;sans-serif"/>
          <w:b w:val="false"/>
          <w:sz w:val="20"/>
        </w:rPr>
        <w:t>The assets and results of operations of EBI and RigNet are primarily included in our satellite services segment, with insignificant amounts included in our commercial networks segment.</w:t>
      </w:r>
    </w:p>
    <w:p>
      <w:pPr>
        <w:pStyle w:val="TextBody"/>
        <w:bidi w:val="0"/>
        <w:spacing w:before="270" w:after="0"/>
        <w:jc w:val="left"/>
        <w:rPr>
          <w:rFonts w:ascii="Arial;sans-serif" w:hAnsi="Arial;sans-serif"/>
          <w:b/>
          <w:sz w:val="20"/>
        </w:rPr>
      </w:pPr>
      <w:r>
        <w:rPr>
          <w:rFonts w:ascii="Arial;sans-serif" w:hAnsi="Arial;sans-serif"/>
          <w:b/>
          <w:sz w:val="20"/>
        </w:rPr>
        <w:t>Segments</w:t>
      </w:r>
    </w:p>
    <w:p>
      <w:pPr>
        <w:pStyle w:val="TextBody"/>
        <w:bidi w:val="0"/>
        <w:spacing w:before="90" w:after="0"/>
        <w:jc w:val="left"/>
        <w:rPr>
          <w:rFonts w:ascii="Times New Roman" w:hAnsi="Times New Roman"/>
          <w:sz w:val="20"/>
        </w:rPr>
      </w:pPr>
      <w:r>
        <w:rPr>
          <w:rFonts w:ascii="Arial;sans-serif" w:hAnsi="Arial;sans-serif"/>
          <w:b/>
          <w:i/>
          <w:sz w:val="20"/>
        </w:rPr>
        <w:t>Satellite Services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Our satellite services segment uses our proprietary technology platform to provide satellite-based high-speed broadband services around the globe for use in commercial applications.</w:t>
      </w:r>
    </w:p>
    <w:p>
      <w:pPr>
        <w:pStyle w:val="TextBody"/>
        <w:bidi w:val="0"/>
        <w:spacing w:before="180" w:after="0"/>
        <w:jc w:val="left"/>
        <w:rPr>
          <w:rFonts w:ascii="Times New Roman" w:hAnsi="Times New Roman"/>
          <w:sz w:val="20"/>
        </w:rPr>
      </w:pPr>
      <w:r>
        <w:rPr>
          <w:rFonts w:ascii="Arial;sans-serif" w:hAnsi="Arial;sans-serif"/>
          <w:b w:val="false"/>
          <w:sz w:val="20"/>
        </w:rPr>
        <w:t>Our proprietary Ka-band satellites are at the core of our technology platform, and we also have access to various Ka-band and Ku-band satellites globally. We own four Ka-band satellites in commercial service — three over North America (our second-generation ViaSat-2 satellite (launched in 2017), our first-generation ViaSat-1 satellite (launched in 2011) and the WildBlue-1 satellite (launched in 2007)), and the KA-SAT satellite (launched in 2010) over EMEA. In addition, we have lifetime leases of Ka-band capacity on two satellites. We successfully launched the first of our third-generation ViaSat-3 class satellites, ViaSat-3 Americas, into orbit on April 30, 2023 (which satellite is currently being prepared for commercial service) and we are planning to launch two additional third-generation ViaSat-3 class satellites currently under construction to complete our global constellation. We expect our ViaSat-3 constellation, once in commercial service, to provide approximately eight times the capacity of the ViaSat-1 and ViaSat-2 satellites combined and to enable us to deliver affordable connectivity across most of the world.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sz w:val="20"/>
        </w:rPr>
        <w:t>The primary services offered by our satellite services segment are comprised of:</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Fixed Broadband Services</w:t>
      </w:r>
      <w:r>
        <w:rPr>
          <w:rFonts w:ascii="Arial;sans-serif" w:hAnsi="Arial;sans-serif"/>
          <w:b w:val="false"/>
          <w:sz w:val="20"/>
        </w:rPr>
        <w:t xml:space="preserve">, which provide consumers and businesses with high-speed, high-quality broadband internet access and Voice over Internet Protocol (VoIP) services, primarily in the United States as well as in various countries in Europe and Latin America. Our service offerings include premium data plans with download speeds of up to 150 Mbps in select areas in the United States. We also offer wholesale and retail fixed broadband services to our distribution partners. </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In-Flight Services</w:t>
      </w:r>
      <w:r>
        <w:rPr>
          <w:rFonts w:ascii="Arial;sans-serif" w:hAnsi="Arial;sans-serif"/>
          <w:b w:val="false"/>
          <w:sz w:val="20"/>
        </w:rPr>
        <w:t>, which provide industry-leading IFC, wireless in-flight entertainment (W-IFE) and aviation software services to commercial airlines and private business jets. The data capacity of our IFC systems enables all passengers and crew to receive in-flight internet service in the air similar to the internet service available on the ground, supporting applications such as high-speed web browsing, streaming and social media applications. Our W-IFE service is a cloud-based platform providing passengers with access to a wide range of premium entertainment, video and information services maintained on an onboard server and wirelessly delivered direct to passengers’ own devices. As of March 31, 2023, our IFC systems were installed and in service on approximately 2,270 commercial aircraft, of which approximately 40 were inactive at fiscal year end (mostly due to standard aircraft maintenance). We anticipate that approximately 1,310 additional commercial aircraft under existing customer agreements with commercial airlines will be put into service with our IFC systems. However, the timing of installation and entry into service for additional aircraft under existing customer agreements may be delayed due to lingering COVID-19 impacts. Additionally, due to the nature of commercial airline contracts, there can be no assurance that anticipated IFC services will be activated on all such additional commercial aircraft.</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Prepaid Internet Services,</w:t>
      </w:r>
      <w:r>
        <w:rPr/>
        <w:t xml:space="preserve"> </w:t>
      </w:r>
      <w:r>
        <w:rPr>
          <w:rFonts w:ascii="Arial;sans-serif" w:hAnsi="Arial;sans-serif"/>
          <w:b w:val="false"/>
          <w:sz w:val="20"/>
        </w:rPr>
        <w:t>which offer innovative, affordable, satellite-based connectivity in communities that have little or no access to the internet. These services help foster digital inclusion by enabling millions of people to connect to affordable, high-quality internet services via a centralized terminal connected to the internet via satellite, that is then used to provide community hotspots, home broadband and mobile broadband. We provide Prepaid Internet services in multiple regions in Mexico and Brazil and are trialing services in advance of full-service launch in various other countries in South America and Central America.</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Other Mobile Broadband Services</w:t>
      </w:r>
      <w:r>
        <w:rPr>
          <w:rFonts w:ascii="Arial;sans-serif" w:hAnsi="Arial;sans-serif"/>
          <w:b w:val="false"/>
          <w:sz w:val="20"/>
        </w:rPr>
        <w:t>, which include high-speed, satellite-based internet services to seagoing vessels, such as energy offshore vessels, cruise ships, consumer ferries and yachts. In addition, we offer L-band managed services enabling real-time machine-to-machine (M2M) position tracking, management of remote assets and operations and visibility into critical areas of the supply chain. Our high-performance M2M terminals are used for a broad range of applications including emergency response, oil and gas pipeline monitoring, mobile fleet management and high-value asset tracking.</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 xml:space="preserve">Energy Services, </w:t>
      </w:r>
      <w:r>
        <w:rPr>
          <w:rFonts w:ascii="Arial;sans-serif" w:hAnsi="Arial;sans-serif"/>
          <w:b w:val="false"/>
          <w:sz w:val="20"/>
        </w:rPr>
        <w:t>which include ultra-secure solutions spanning global IP connectivity, bandwidth-optimized over-the-top applications, satellite-based managed services across multiple satellite frequency bands (Ku- and Ka-band), industrial internet-of-things, big data enablement and industry-leading machine learning analytics. These services support the evolution of always-on digital enablement and primarily derive from our acquisition of RigNet in April 2021.</w:t>
      </w:r>
    </w:p>
    <w:p>
      <w:pPr>
        <w:pStyle w:val="TextBody"/>
        <w:bidi w:val="0"/>
        <w:spacing w:before="180" w:after="0"/>
        <w:jc w:val="left"/>
        <w:rPr>
          <w:rFonts w:ascii="Times New Roman" w:hAnsi="Times New Roman"/>
          <w:sz w:val="20"/>
        </w:rPr>
      </w:pPr>
      <w:r>
        <w:rPr>
          <w:rFonts w:ascii="Arial;sans-serif" w:hAnsi="Arial;sans-serif"/>
          <w:b w:val="false"/>
          <w:sz w:val="20"/>
        </w:rPr>
        <w:t>Our ViaSat-3 class satellites are our third-generation, high-capacity Ka-band satellite design and are expected to further improve the speed, availability and cost-efficiency of our proprietary Ka-band satellite network. The satellites will have significantly greater data capacity and geographic coverage than our second-generation ViaSat-2 satellite. Our third-generation satellite design has enhanced ability to flexibly and dynamically allocate capacity by service, time and geography, allowing us to allocate our satellite capacity to markets where bandwidth usage demands and returns are highest. The first ViaSat-3 class satellite is intended to cover the Americas, the second to cover the EMEA region, and the third to cover the Asia Pacific (APAC) region. On April 30, 2023, we successfully launched ViaSat-3 Americas into orbit. We expect the ViaSat-3 Americas satellite to commence commercial service in the summer of 2023. The ViaSat-3 EMEA satellite is anticipated to launch later this calendar year, with the ViaSat-3 APAC satellite not much further behind.</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We believe that growth in our satellite services segment will be driven in the coming years by continued demand for high-speed broadband services across the globe, reflecting continued increases in the number of internet users, applications and connected devices. This anticipated growth presents opportunities across a number of Viasat satellite services businesses, including residential, business internet and prepaid internet services. Further growth in our in-flight services business is expected to be driven by the installation of our IFC systems on additional commercial aircraft and the expansion of airlines and flight routes covered by the footprint of our satellite fleet following the commencement of commercial service on our ViaSat-3 constellation. However, we expect that our anticipated growth will be partially offset by ramping start-up expenses in new international and vertical markets and ground network infrastructure investments associated with the launch of commercial service on our ViaSat-3 constellation.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While the COVID-19 pandemic and its associated effects appear to have waned, global airline traffic has not yet recovered to pre-pandemic levels. We expect to continue to see some negative impacts on revenues and operating cash flows from our IFC businesses in fiscal year 2024 and potentially beyond, but for the effects to continue to lessen over time with increases in passenger air traffic and the return to service of additional currently inactive aircraft. The extent of lingering impacts of the COVID-19 pandemic on our business in fiscal year 2024 and potentially beyond will depend on many factors, including the extent of its effects on important global, regional and local supply chains, overall supply and demand, global air travel, consumer confidence, discretionary spending levels and levels of economic activity.</w:t>
      </w:r>
    </w:p>
    <w:p>
      <w:pPr>
        <w:pStyle w:val="TextBody"/>
        <w:bidi w:val="0"/>
        <w:spacing w:before="270" w:after="0"/>
        <w:jc w:val="left"/>
        <w:rPr>
          <w:rFonts w:ascii="Times New Roman" w:hAnsi="Times New Roman"/>
          <w:sz w:val="20"/>
        </w:rPr>
      </w:pPr>
      <w:r>
        <w:rPr>
          <w:rFonts w:ascii="Arial;sans-serif" w:hAnsi="Arial;sans-serif"/>
          <w:b/>
          <w:i/>
          <w:sz w:val="20"/>
        </w:rPr>
        <w:t>Commercial Networks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network and terminal solutions that support or enable the provision of high-speed fixed and mobile broadband services. We design, develop and produce space system solutions for multiple orbital regimes, including geostationary (GEO), medium earth orbit (MEO) and low earth orbit (LEO).</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Our products, systems and solutions are generally developed through a combination of customer funding and discretionary internal research and development (R&amp;D) funding, with products often linked through common underlying technologies, customer applications and market relationships. For example, products, systems and solutions developed and sold in our commercial networks segment are often complementary to those developed and sold to government customers in our government systems segment, and our portfolio of government and military offerings in our government systems segment leverages our technological investments in our commercial networks segment. Our commercial networks segment also drives growth in our satellite services segment. For example, the IFC terminals sold and installed on commercial aircraft and business jets in our commercial networks segment are then utilized to receive IFC services, driving recurring revenues in our satellite services segment.</w:t>
      </w:r>
    </w:p>
    <w:p>
      <w:pPr>
        <w:pStyle w:val="TextBody"/>
        <w:bidi w:val="0"/>
        <w:spacing w:before="180" w:after="0"/>
        <w:jc w:val="left"/>
        <w:rPr>
          <w:rFonts w:ascii="Times New Roman" w:hAnsi="Times New Roman"/>
          <w:sz w:val="20"/>
        </w:rPr>
      </w:pPr>
      <w:r>
        <w:rPr>
          <w:rFonts w:ascii="Arial;sans-serif" w:hAnsi="Arial;sans-serif"/>
          <w:b w:val="false"/>
          <w:sz w:val="20"/>
        </w:rPr>
        <w:t>The primary products, systems, solutions and services offered by our commercial networks segment are comprised of:</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Mobile Broadband Satellite Communication Systems</w:t>
      </w:r>
      <w:r>
        <w:rPr>
          <w:rFonts w:ascii="Arial;sans-serif" w:hAnsi="Arial;sans-serif"/>
          <w:b w:val="false"/>
          <w:sz w:val="20"/>
        </w:rPr>
        <w:t>, which include systems and products designed for use in aircraft, land-mobile and seagoing vessels, such as the IFC systems we install on business and commercial aircraft. These systems and products are designed to provide high-speed, cost-efficient broadband access to customers while on the move, and also utilize fixed broadband satellite infrastructure. The lingering impacts of the COVID-19 pandemic continue to affect our mobile broadband satellite communications system business, as global airline traffic has not yet recovered to pre-pandemic levels.</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Fixed Broadband Satellite Communication Systems</w:t>
      </w:r>
      <w:r>
        <w:rPr>
          <w:rFonts w:ascii="Arial;sans-serif" w:hAnsi="Arial;sans-serif"/>
          <w:b w:val="false"/>
          <w:sz w:val="20"/>
        </w:rPr>
        <w:t xml:space="preserve">, which include next-generation satellite network infrastructure and ground terminals designed to enable satellite-based broadband access for residential, enterprise and Prepaid Internet users. Products and solutions in this category include space-to-earth connectivity systems, ground network infrastructure, user terminals and design and implementation for customer telecommunication systems. We also offer related products and services to enterprise customers to address bandwidth constraints and other issues. In addition to commercial sales of these products and solutions, our fixed broadband satellite communication systems also support our own fleet of proprietary Ka-band satellites. </w:t>
      </w:r>
    </w:p>
    <w:p>
      <w:pPr>
        <w:pStyle w:val="TextBody"/>
        <w:bidi w:val="0"/>
        <w:spacing w:before="240" w:after="0"/>
        <w:jc w:val="center"/>
        <w:rPr>
          <w:rFonts w:ascii="Arial;sans-serif" w:hAnsi="Arial;sans-serif"/>
          <w:b w:val="false"/>
          <w:sz w:val="20"/>
        </w:rPr>
      </w:pPr>
      <w:r>
        <w:rPr>
          <w:rFonts w:ascii="Arial;sans-serif" w:hAnsi="Arial;sans-serif"/>
          <w:b w:val="false"/>
          <w:sz w:val="20"/>
        </w:rPr>
        <w:t>6</w:t>
      </w:r>
    </w:p>
    <w:p>
      <w:pPr>
        <w:pStyle w:val="HorizontalLine"/>
        <w:pBdr>
          <w:bottom w:val="double" w:sz="2" w:space="0" w:color="808080"/>
        </w:pBdr>
        <w:bidi w:val="0"/>
        <w:spacing w:before="0" w:after="283"/>
        <w:jc w:val="left"/>
        <w:rPr/>
      </w:pPr>
      <w:r>
        <w:rPr/>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Antenna Systems</w:t>
      </w:r>
      <w:r>
        <w:rPr>
          <w:rFonts w:ascii="Arial;sans-serif" w:hAnsi="Arial;sans-serif"/>
          <w:b w:val="false"/>
          <w:sz w:val="20"/>
        </w:rPr>
        <w:t xml:space="preserve">, which include state-of-the-art ground and airborne terminals, antennas and gateways for terrestrial and satellite customer applications (such as real-time Earth imaging and remote sensing services, mobile satellite communication, Ka-band earth stations and other multi-band/multi-function antennas). </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Space Systems Design and Satellite Networking Development</w:t>
      </w:r>
      <w:r>
        <w:rPr>
          <w:rFonts w:ascii="Arial;sans-serif" w:hAnsi="Arial;sans-serif"/>
          <w:b w:val="false"/>
          <w:sz w:val="20"/>
        </w:rPr>
        <w:t>, which includes the design and development of the architecture of high-capacity Ka-band geosynchronous satellites and the associated satellite payload and antenna technologies (both for our own satellite fleet as well as for third parties), and special purpose LEO and MEO satellites and other small satellite platforms, as well as semiconductor design for application-specific integrated circuit (ASIC) and monolithic microwave integrated circuit (MMIC) chips. Satellite networking development includes specialized design and technology services covering all aspects of satellite communication system architecture, networks and technology. Products and services include analysis, design and development of satellite and ground communications systems and network function virtualization, as well as ground-based network subsystems for various commercial, military and space uses.</w:t>
      </w:r>
    </w:p>
    <w:p>
      <w:pPr>
        <w:pStyle w:val="TextBody"/>
        <w:bidi w:val="0"/>
        <w:spacing w:before="180" w:after="0"/>
        <w:jc w:val="left"/>
        <w:rPr>
          <w:rFonts w:ascii="Arial;sans-serif" w:hAnsi="Arial;sans-serif"/>
          <w:b w:val="false"/>
          <w:sz w:val="20"/>
        </w:rPr>
      </w:pPr>
      <w:r>
        <w:rPr>
          <w:rFonts w:ascii="Arial;sans-serif" w:hAnsi="Arial;sans-serif"/>
          <w:b w:val="false"/>
          <w:sz w:val="20"/>
        </w:rPr>
        <w:t>We believe growth in our commercial networks segment will be driven in the coming years by continued growth in worldwide demand for mobile and fixed broadband connectivity. As the cost-effectiveness of satellite technologies to rapidly deploy broadband services across wide geographic areas and to large numbers of people continues to increase, we believe demand for the ground networking equipment and products that enable or support access to satellite-based broadband services will continue to grow.</w:t>
      </w:r>
    </w:p>
    <w:p>
      <w:pPr>
        <w:pStyle w:val="TextBody"/>
        <w:bidi w:val="0"/>
        <w:spacing w:before="270" w:after="0"/>
        <w:jc w:val="left"/>
        <w:rPr>
          <w:rFonts w:ascii="Times New Roman" w:hAnsi="Times New Roman"/>
          <w:sz w:val="20"/>
        </w:rPr>
      </w:pPr>
      <w:r>
        <w:rPr>
          <w:rFonts w:ascii="Arial;sans-serif" w:hAnsi="Arial;sans-serif"/>
          <w:b/>
          <w:i/>
          <w:sz w:val="20"/>
        </w:rPr>
        <w:t>Government Systems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a dispersed environment. Customers of our government systems segment include the U.S. Department of Defense (DoD), U.S. Department of Homeland Security (DHS), other elements of the U.S. federal government, state governments, allied foreign governments, allied armed forces, public safety first-responders and remote government employees.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primary products and services of our government systems segment include:</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Government Mobile Broadband Products and Services</w:t>
      </w:r>
      <w:r>
        <w:rPr>
          <w:rFonts w:ascii="Arial;sans-serif" w:hAnsi="Arial;sans-serif"/>
          <w:b w:val="false"/>
          <w:sz w:val="20"/>
        </w:rPr>
        <w:t xml:space="preserve">, which provide military and government users with high-speed, real-time broadband and multimedia connectivity in key regions of the world, as well as line-of-sight (LOS) and beyond-line-of-sight (BLOS) Intelligence, Surveillance and Reconnaissance (ISR) missions. Our government mobile broadband services include high-bandwidth global communications services in support of VIP and senior-level airborne operations and emergency response, as well as LOS and BLOS ISR missions. Products include mobile broadband modems, terminals, network access control systems and antenna systems using a range of satellite frequency bands capable of being installed and operated on a wide variety of fixed wing, rotary wing, manned and unmanned aircraft, ground vehicles and maritime platforms. Services include advanced mobility services to governments for aircraft and ships, as well as for nomadic and ground-based missions. Our high-capacity, secure mobile broadband products and services are enabled by our next-generation satellite network infrastructure, which will be further enhanced following the launch of commercial service on our ViaSat-3 constellation. </w:t>
      </w:r>
    </w:p>
    <w:p>
      <w:pPr>
        <w:pStyle w:val="TextBody"/>
        <w:bidi w:val="0"/>
        <w:spacing w:before="240" w:after="0"/>
        <w:jc w:val="center"/>
        <w:rPr>
          <w:rFonts w:ascii="Arial;sans-serif" w:hAnsi="Arial;sans-serif"/>
          <w:b w:val="false"/>
          <w:sz w:val="20"/>
        </w:rPr>
      </w:pPr>
      <w:r>
        <w:rPr>
          <w:rFonts w:ascii="Arial;sans-serif" w:hAnsi="Arial;sans-serif"/>
          <w:b w:val="false"/>
          <w:sz w:val="20"/>
        </w:rPr>
        <w:t>7</w:t>
      </w:r>
    </w:p>
    <w:p>
      <w:pPr>
        <w:pStyle w:val="HorizontalLine"/>
        <w:pBdr>
          <w:bottom w:val="double" w:sz="2" w:space="0" w:color="808080"/>
        </w:pBdr>
        <w:bidi w:val="0"/>
        <w:spacing w:before="0" w:after="283"/>
        <w:jc w:val="left"/>
        <w:rPr/>
      </w:pPr>
      <w:r>
        <w:rPr/>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Government Satellite Communication (SATCOM) Systems</w:t>
      </w:r>
      <w:r>
        <w:rPr>
          <w:rFonts w:ascii="Arial;sans-serif" w:hAnsi="Arial;sans-serif"/>
          <w:b w:val="false"/>
          <w:sz w:val="20"/>
        </w:rPr>
        <w:t xml:space="preserve">, which offer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Our SATCOM systems, products and services are designed to support high-throughput broadband data links, to increase available bandwidth using existing satellite capacity, and to be resilient to withstand certain catastrophic events. Our range of SATCOM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space-based systems and fixed applications. </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Secure Networking, Cybersecurity and Information Assurance Products and Services</w:t>
      </w:r>
      <w:r>
        <w:rPr>
          <w:rFonts w:ascii="Arial;sans-serif" w:hAnsi="Arial;sans-serif"/>
          <w:b w:val="false"/>
          <w:sz w:val="20"/>
        </w:rPr>
        <w:t xml:space="preserve">, which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SATCOM systems and products. </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Tactical Data Link Solutions</w:t>
      </w:r>
      <w:r>
        <w:rPr>
          <w:rFonts w:ascii="Arial;sans-serif" w:hAnsi="Arial;sans-serif"/>
          <w:b w:val="false"/>
          <w:sz w:val="20"/>
        </w:rPr>
        <w:t>, which continue to provide certain solutions in the tactical data link space, including our Move Out/Jump Off (MOJO) tactical gateway family of products and simulation environments via our radio frequency generators which test our customers' tactical data links. On January 3, 2023 we sold the remainder of our Link-16 TDL Business to L3Harris. See Note 4 — Discontinued Operations to our consolidated financial statements for additional information.</w:t>
      </w:r>
    </w:p>
    <w:p>
      <w:pPr>
        <w:pStyle w:val="TextBody"/>
        <w:bidi w:val="0"/>
        <w:spacing w:before="180" w:after="0"/>
        <w:jc w:val="left"/>
        <w:rPr>
          <w:rFonts w:ascii="Arial;sans-serif" w:hAnsi="Arial;sans-serif"/>
          <w:b w:val="false"/>
          <w:sz w:val="20"/>
        </w:rPr>
      </w:pPr>
      <w:r>
        <w:rPr>
          <w:rFonts w:ascii="Arial;sans-serif" w:hAnsi="Arial;sans-serif"/>
          <w:b w:val="false"/>
          <w:sz w:val="20"/>
        </w:rPr>
        <w:t>We believe the battlefield of the future will require a resilient communications architecture capable of supporting tomorrow’s Joint All-Domain Command and Control (JADC2) and high-velocity, data-rich network-centric operations, enabling secure, reliable and ubiquitous connectivity while under attack, on the move or at a pause, or at fixed locations around the globe. These requirements will potentially provide significant growth opportunities in our government systems segment in the coming years, as demand increases for secure, higher-capacity, higher-quality broadband services, associated ground systems and advanced cybersecurity protections. Additional growth factors include an increasing military interest for high-speed broadband BLOS connectivity, supporting real-time C2 decision-making and enhanced situational awareness across land, maritime, air and space applications.</w:t>
      </w:r>
    </w:p>
    <w:p>
      <w:pPr>
        <w:pStyle w:val="TextBody"/>
        <w:bidi w:val="0"/>
        <w:spacing w:before="240" w:after="0"/>
        <w:jc w:val="center"/>
        <w:rPr>
          <w:rFonts w:ascii="Arial;sans-serif" w:hAnsi="Arial;sans-serif"/>
          <w:b w:val="false"/>
          <w:sz w:val="20"/>
        </w:rPr>
      </w:pPr>
      <w:r>
        <w:rPr>
          <w:rFonts w:ascii="Arial;sans-serif" w:hAnsi="Arial;sans-serif"/>
          <w:b w:val="false"/>
          <w:sz w:val="20"/>
        </w:rPr>
        <w:t>8</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sz w:val="20"/>
        </w:rPr>
        <w:t>Our Strengths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believe the following strengths position our business to capitalize on attractive growth opportunities in our business:</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Innovation of Next-Generation Satellite and Space Technologies.</w:t>
      </w:r>
      <w:r>
        <w:rPr/>
        <w:t xml:space="preserve"> </w:t>
      </w:r>
      <w:r>
        <w:rPr>
          <w:rFonts w:ascii="Arial;sans-serif" w:hAnsi="Arial;sans-serif"/>
          <w:b w:val="false"/>
          <w:sz w:val="20"/>
        </w:rPr>
        <w:t xml:space="preserve">We have a long history of innovation in next-generation satellite and space technologies. Our award-winning first-generation, high-capacity Ka-band spot-beam satellite, ViaSat-1, earned a Guinness World Records® title in 2013 as the highest-capacity communications satellite in the world at that time. Our second-generation ViaSat-2 satellite and its advanced ground network infrastructure significantly expanded our total bandwidth capacity and geographic reach, and support the flexible allocation of capacity to meet demand within the satellite’s footprint. By improving satellite speed, capacity, availability and geographic coverage area, our ViaSat-2 satellite enabled us to provide compelling premium retail service plans in select markets that can compete against traditional terrestrial broadband service providers and to significantly expand our IFC services business. In 2018, ViaSat-2 was selected as a winner in the ‘Space, Platforms’ category of Aviation Week’s 61st Annual Laureate Awards, honoring extraordinary achievements in the global aerospace arena. Our third-generation ViaSat-3 class satellites utilize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demand, resulting in greater speed, availability and cost-efficiency. Furthermore, we are now working on the design of our next-generation ViaSat-4 satellite system, which is expected to have even greater capacity with each satellite expected to be able to deliver multiple Terabits per second—yielding another significant productivity gain relative to our ViaSat-3 class satellites.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 </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Vertically Integrated End-to-End Platform of Leading Broadband Technologies</w:t>
      </w:r>
      <w:r>
        <w:rPr>
          <w:rFonts w:ascii="Arial;sans-serif" w:hAnsi="Arial;sans-serif"/>
          <w:b w:val="false"/>
          <w:sz w:val="20"/>
        </w:rPr>
        <w:t xml:space="preserve">. We believe our innovative ecosystem of high-capacity Ka-band satellites, ground infrastructure and user terminals creates significant synergies in our business and positions us to drive operational efficiencies and cost-effectively deliver a diverse portfolio of high-speed, high-quality broadband solutions and applications to enterprises, consumers, military and government users. Our product, system and service offerings are often linked through common underlying technologies, customer applications and market relationships. We believe that our comprehensive and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 </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Diversification of Business Model</w:t>
      </w:r>
      <w:r>
        <w:rPr>
          <w:rFonts w:ascii="Arial;sans-serif" w:hAnsi="Arial;sans-serif"/>
          <w:b w:val="false"/>
          <w:sz w:val="20"/>
        </w:rPr>
        <w:t xml:space="preserve">. Our business is highly diversified. Our fixed broadband services range from premium residential services at high data speeds to Prepaid Internet services designed to provide affordable internet access via satellite-powered centralized terminals in countries with significant unserved or underserved populations. Our IFC systems and services support high-speed broadband services for commercial, private and military aircraft around the globe. In addition, we offer software that combines cutting-edge artificial intelligence and machine learning to help customers digitally transform data into actionable results. We also sell complex satellite communication systems and products to communications service providers, enterprises and government users. In our government systems segment we offer a portfolio of communications gateways, situational awareness products and services, Ka-band, Ku-band and UHF satellite communication products and services, cybersecurity information assurance products and services and tactical data link solutions. This diversification in product and service offerings, customer base and market segment helps to reduce our exposure to fluctuations in any of the individual markets we serve and to provide resilience in our business performance in times of economic or political disruption. For example, during fiscal year 2021, revenue impacts to our commercial aviation business in our satellite services and commercial networks segments resulting from the global disruption in the airline industry caused by the COVID-19 pandemic were offset by strong demand in our fixed broadband services business and other parts of our business. </w:t>
      </w:r>
    </w:p>
    <w:p>
      <w:pPr>
        <w:pStyle w:val="TextBody"/>
        <w:bidi w:val="0"/>
        <w:spacing w:before="240" w:after="0"/>
        <w:jc w:val="center"/>
        <w:rPr>
          <w:rFonts w:ascii="Arial;sans-serif" w:hAnsi="Arial;sans-serif"/>
          <w:b w:val="false"/>
          <w:sz w:val="20"/>
        </w:rPr>
      </w:pPr>
      <w:r>
        <w:rPr>
          <w:rFonts w:ascii="Arial;sans-serif" w:hAnsi="Arial;sans-serif"/>
          <w:b w:val="false"/>
          <w:sz w:val="20"/>
        </w:rPr>
        <w:t>9</w:t>
      </w:r>
    </w:p>
    <w:p>
      <w:pPr>
        <w:pStyle w:val="HorizontalLine"/>
        <w:pBdr>
          <w:bottom w:val="double" w:sz="2" w:space="0" w:color="808080"/>
        </w:pBdr>
        <w:bidi w:val="0"/>
        <w:spacing w:before="0" w:after="283"/>
        <w:jc w:val="left"/>
        <w:rPr/>
      </w:pPr>
      <w:r>
        <w:rPr/>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Broad Array of Broadband Service Offerings, Tailored to Market Demand</w:t>
      </w:r>
      <w:r>
        <w:rPr>
          <w:rFonts w:ascii="Arial;sans-serif" w:hAnsi="Arial;sans-serif"/>
          <w:b w:val="false"/>
          <w:sz w:val="20"/>
        </w:rPr>
        <w:t xml:space="preserve">. Our proprietary Ka-band satellite network provides the platform for us to provide a broad array of satellite-based high-quality, high-speed broadband services with multiple applications. Our offerings include fixed broadband services to residential and enterprise customers, market-leading mobility services to aircraft utilizing our IFC systems, and Prepaid Internet services that provide affordable and reliable high-speed connectivity via satellite-powered centralized terminals in unserved and underserved areas. In the U.S. residential broadband market, our ViaSat-2 satellite supports retail service plans offering download speeds in selected markets of up to 150 Mbps. We expect our ViaSat-3 satellites to support a wide array of premium service offerings in more geographic areas. Our IFC services enable connectivity services to be provided to more passengers and crew on more flights, across commercial and business aircraft, and the ability to leverage high-capacity internet services such as streaming video. Our IFC services have received numerous awards and accolades, including both the 2023 and 2022 APEX Passenger Choice Award Winner for Best Wi-Fi (for our services on Delta Air Lines), the 2023 APEX Regional Passenger Choice Award Winner for Best Wi-Fi in the South Pacific (for our services on Qantas), the 2022 APEX Regional Passenger Choice Award Winner for Best Wi-Fi in each of Europe and North America (for our services on Finnair and Jetblue, respectively), the 2019 APEX Global Passenger Choice Award Winner and the 2018 APEX Regional Passenger Choice Award Winner for Best Wi-Fi (for our services on JetBlue). These awards were derived from passenger-submitted data, showcasing the power of the Viasat internet platform to deliver exceptional IFC services. The flexibility, high data throughput and broad geographic coverage area of our ViaSat-2 and our even more powerful ViaSat-3 class satellites (once in commercial service), combined with our ability to dynamically allocate capacity based on demand, enable us to support a wide range of high-speed broadband services addressing multiple markets, provide innovative new services creating new market opportunities, tailor our service offerings to market needs, and compete more effectively in the markets we serve. </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Diverse Portfolio of Market-Leading Military and Government Offerings.</w:t>
      </w:r>
      <w:r>
        <w:rPr/>
        <w:t xml:space="preserve"> </w:t>
      </w:r>
      <w:r>
        <w:rPr>
          <w:rFonts w:ascii="Arial;sans-serif" w:hAnsi="Arial;sans-serif"/>
          <w:b w:val="false"/>
          <w:sz w:val="20"/>
        </w:rPr>
        <w:t xml:space="preserve">We are a leading provider of innovative communications, cybersecurity and information assurance products and solutions to the U.S. Government and other military and government users around the world. These products and services enable the transmission of secure real-time digital information and communications between fixed and mobile command centers, intelligence and defense platforms and individuals. Our portfolio of government and military offerings leverages our technological investments in our commercial business, and includes expeditionary tactical gateways, small satellite development, fixed and mobile satellite broadband systems and services, cybersecurity and information assurance products and services. Total new awards in our government systems segment (excluding awards relating to our Link-16 TDL Business sold to L3Harris in January 2023) grew from $353.8 million in fiscal year 2012 to $851.5 million in fiscal year 2023, despite an uneven defense spending environment, reflecting the high demand for our diverse portfolio of products and services for military and government users. Our expeditionary tactical gateways bridge the gap between air and ground forces by providing secure, reliable access to air and ground data transmitted over disparate networks for improved situational awareness capabilities and support communications. Our small satellite development work is market leading and is designed to enable a new tactical space layer for our government customers, enabling increasingly advanced precision operations and maneuvering. Our mobile satellite broadband offerings leverage our innovative satellite technologies and proprietary Ka-band satellite platforms, allowing us to provide high-speed, high-quality internet services to government and military personnel, aircraft, ships and land vehicles. In September 2018, we were awarded an eight-year, firm fixed-price contract to provide in-flight broadband and connectivity services to U.S. Government Senior Leader and VIP aircraft. Our secure networking products and services include a broad portfolio of advanced, high-speed Type 1 encryption solutions that are capable of operating at speeds of up to 200 Gbps, as well as advanced cybersecurity products to detect and mitigate malicious network effects. In February 2021, we received enhanced cybersecurity accreditation from the DHS through their Enhanced Cybersecurity Services (ECS) program. As an accredited ECS provider, we receive DHS-provided sensitive and classified cybersecurity threat indicators and information to defend U.S.-based public and private computer networks, including state and local governments, against unauthorized access, denial, degradation, exploitation and data exfiltration. </w:t>
      </w:r>
    </w:p>
    <w:p>
      <w:pPr>
        <w:pStyle w:val="TextBody"/>
        <w:bidi w:val="0"/>
        <w:spacing w:before="240" w:after="0"/>
        <w:jc w:val="center"/>
        <w:rPr>
          <w:rFonts w:ascii="Arial;sans-serif" w:hAnsi="Arial;sans-serif"/>
          <w:b w:val="false"/>
          <w:sz w:val="20"/>
        </w:rPr>
      </w:pPr>
      <w:r>
        <w:rPr>
          <w:rFonts w:ascii="Arial;sans-serif" w:hAnsi="Arial;sans-serif"/>
          <w:b w:val="false"/>
          <w:sz w:val="20"/>
        </w:rPr>
        <w:t>10</w:t>
      </w:r>
    </w:p>
    <w:p>
      <w:pPr>
        <w:pStyle w:val="HorizontalLine"/>
        <w:pBdr>
          <w:bottom w:val="double" w:sz="2" w:space="0" w:color="808080"/>
        </w:pBdr>
        <w:bidi w:val="0"/>
        <w:spacing w:before="0" w:after="283"/>
        <w:jc w:val="left"/>
        <w:rPr/>
      </w:pPr>
      <w:r>
        <w:rPr/>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Blue-Chip Customer Base</w:t>
      </w:r>
      <w:r>
        <w:rPr>
          <w:rFonts w:ascii="Arial;sans-serif" w:hAnsi="Arial;sans-serif"/>
          <w:b w:val="false"/>
          <w:sz w:val="20"/>
        </w:rPr>
        <w:t xml:space="preserve">. Our blue-chip customer base includes customers such as the U.S. Government, leading aerospace and defense prime contractors, allied foreign governments, civil agencies, satellite network integrators, large communications service providers, commercial airlines and enterprises requiring complex communications and networking solutions and services. We believe that the credit strength of these key customers helps support more consistent financial performance. Moreover, our direct relationships with key customers such as commercial airlines and the DoD allow us to adapt our satellite designs and product and service offerings to better meet their desired outcomes. </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Experienced Management Team and Diversified Board of Directors.</w:t>
      </w:r>
      <w:r>
        <w:rPr/>
        <w:t xml:space="preserve"> </w:t>
      </w:r>
      <w:r>
        <w:rPr>
          <w:rFonts w:ascii="Arial;sans-serif" w:hAnsi="Arial;sans-serif"/>
          <w:b w:val="false"/>
          <w:sz w:val="20"/>
        </w:rPr>
        <w:t xml:space="preserve">Our core management team is comprised of seasoned executives with significant leadership experience in satellite communications, defense, aerospace, global mobility and integration. For example, our Chairman of the Board and Chief Executive Officer, Mark Dankberg, has been with Viasat since its inception in 1986. Mr. Dankberg is considered to be a leading expert in the field of satellite, wireless and defense communications. Richard Baldridge, our Vice Chairman, has been with Viasat for over 20 years. During Mr. Baldridge's tenure, Viasat has grown organically and through acquisitions by more than a factor of 10. K. Guru Gowrappan, who joined Viasat in April 2023 as our new President, brings extensive leadership experience building products globally and operationalizing and scaling businesses across ecosystems. In addition, in recent years we undertook a conscious effort to diversify our Board of Directors, bringing in a wide variety of skills and experience aligned with our long-term goals. Our Board is comprised of a diverse range of high-profile corporate leaders with extensive experience in globalization, communications, space operations, and technology and business integration. </w:t>
      </w:r>
    </w:p>
    <w:p>
      <w:pPr>
        <w:pStyle w:val="TextBody"/>
        <w:bidi w:val="0"/>
        <w:spacing w:before="270" w:after="0"/>
        <w:jc w:val="left"/>
        <w:rPr>
          <w:rFonts w:ascii="Times New Roman" w:hAnsi="Times New Roman"/>
          <w:sz w:val="20"/>
        </w:rPr>
      </w:pPr>
      <w:r>
        <w:rPr>
          <w:rFonts w:ascii="Arial;sans-serif" w:hAnsi="Arial;sans-serif"/>
          <w:b/>
          <w:sz w:val="20"/>
        </w:rPr>
        <w:t>Our Strategy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business strategy is to maintain our leadership position in cost-efficient, high-quality satellite-based communications products and services, focused on making connectivity accessible, available and secure for all. The principal elements of our strategy include:</w:t>
      </w:r>
      <w:r>
        <w:rPr>
          <w:rFonts w:ascii="Times New Roman" w:hAnsi="Times New Roman"/>
          <w:sz w:val="20"/>
        </w:rPr>
        <w:t xml:space="preserve"> </w:t>
      </w:r>
    </w:p>
    <w:p>
      <w:pPr>
        <w:pStyle w:val="TextBody"/>
        <w:bidi w:val="0"/>
        <w:spacing w:before="270" w:after="0"/>
        <w:jc w:val="left"/>
        <w:rPr/>
      </w:pPr>
      <w:r>
        <w:rPr/>
        <w:t>•</w:t>
      </w:r>
    </w:p>
    <w:p>
      <w:pPr>
        <w:pStyle w:val="TextBody"/>
        <w:bidi w:val="0"/>
        <w:spacing w:before="270" w:after="0"/>
        <w:jc w:val="left"/>
        <w:rPr>
          <w:rFonts w:ascii="Arial;sans-serif" w:hAnsi="Arial;sans-serif"/>
          <w:b/>
          <w:i/>
          <w:sz w:val="20"/>
        </w:rPr>
      </w:pPr>
      <w:r>
        <w:rPr>
          <w:rFonts w:ascii="Arial;sans-serif" w:hAnsi="Arial;sans-serif"/>
          <w:b/>
          <w:i/>
          <w:sz w:val="20"/>
        </w:rPr>
        <w:t>Drive Capital Efficiencies</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0"/>
        <w:jc w:val="left"/>
        <w:rPr/>
      </w:pPr>
      <w:r>
        <w:rPr>
          <w:rFonts w:ascii="Arial;sans-serif" w:hAnsi="Arial;sans-serif"/>
          <w:b w:val="false"/>
          <w:i/>
          <w:sz w:val="20"/>
        </w:rPr>
        <w:t>Deliver the Most Productive Satellite Systems:</w:t>
      </w:r>
      <w:r>
        <w:rPr/>
        <w:t xml:space="preserve"> </w:t>
      </w:r>
      <w:r>
        <w:rPr>
          <w:rFonts w:ascii="Arial;sans-serif" w:hAnsi="Arial;sans-serif"/>
          <w:b w:val="false"/>
          <w:sz w:val="20"/>
        </w:rPr>
        <w:t xml:space="preserve">We are hyper-focused on maximizing the useful bandwidth per total lifetime capital cost of each satellite. We refer to this as “bandwidth productivity” and see this metric as a key factor in determining our return on satellite investment for each satellite we design, develop and build. We believe our ViaSat-3 and ViaSat-4 satellites will be leaders in bandwidth productivity compared to other existing and announced satellite constellations. </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0"/>
        <w:jc w:val="left"/>
        <w:rPr/>
      </w:pPr>
      <w:r>
        <w:rPr>
          <w:rFonts w:ascii="Arial;sans-serif" w:hAnsi="Arial;sans-serif"/>
          <w:b w:val="false"/>
          <w:i/>
          <w:sz w:val="20"/>
        </w:rPr>
        <w:t>Drive Efficiencies of Scale and Operations:</w:t>
      </w:r>
      <w:r>
        <w:rPr/>
        <w:t xml:space="preserve"> </w:t>
      </w:r>
      <w:r>
        <w:rPr>
          <w:rFonts w:ascii="Arial;sans-serif" w:hAnsi="Arial;sans-serif"/>
          <w:b w:val="false"/>
          <w:sz w:val="20"/>
        </w:rPr>
        <w:t xml:space="preserve">We intend to continue to drive efficiencies in our businesses through our vertical integration strategy and increasing scale as we move into new and adjacent geographic, product and service markets. We optimize our satellite systems through our development of an end-to-end platform of next-generation Ka-band satellites, ground networking equipment and user terminals that enable the provision of a broad array of high-speed broadband services. Our ViaSat-3 class satellites are expected to further drive scale and operational efficiencies through their enhanced ability to efficiently and dynamically match supply and demand through the flexible allocation of capacity by service, time and geography within the satellite footprint, as well as through their expected global geographic reach. </w:t>
      </w:r>
    </w:p>
    <w:p>
      <w:pPr>
        <w:pStyle w:val="TextBody"/>
        <w:bidi w:val="0"/>
        <w:spacing w:before="270" w:after="0"/>
        <w:jc w:val="left"/>
        <w:rPr/>
      </w:pPr>
      <w:r>
        <w:rPr/>
        <w:t>•</w:t>
      </w:r>
    </w:p>
    <w:p>
      <w:pPr>
        <w:pStyle w:val="TextBody"/>
        <w:bidi w:val="0"/>
        <w:spacing w:before="270" w:after="0"/>
        <w:jc w:val="left"/>
        <w:rPr>
          <w:rFonts w:ascii="Arial;sans-serif" w:hAnsi="Arial;sans-serif"/>
          <w:b/>
          <w:i/>
          <w:sz w:val="20"/>
        </w:rPr>
      </w:pPr>
      <w:r>
        <w:rPr>
          <w:rFonts w:ascii="Arial;sans-serif" w:hAnsi="Arial;sans-serif"/>
          <w:b/>
          <w:i/>
          <w:sz w:val="20"/>
        </w:rPr>
        <w:t>Focus on Relentless Execution</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283"/>
        <w:jc w:val="left"/>
        <w:rPr/>
      </w:pPr>
      <w:r>
        <w:rPr>
          <w:rFonts w:ascii="Arial;sans-serif" w:hAnsi="Arial;sans-serif"/>
          <w:b w:val="false"/>
          <w:i/>
          <w:sz w:val="20"/>
        </w:rPr>
        <w:t>Maintain Focus on Technology Leadership:</w:t>
      </w:r>
      <w:r>
        <w:rPr/>
        <w:t xml:space="preserve"> </w:t>
      </w:r>
      <w:r>
        <w:rPr>
          <w:rFonts w:ascii="Arial;sans-serif" w:hAnsi="Arial;sans-serif"/>
          <w:b w:val="false"/>
          <w:sz w:val="20"/>
        </w:rPr>
        <w:t xml:space="preserve">We continue to focus on strategic R&amp;D to bring more efficient, effective and customer-centric high-capacity, high-speed broadband communications to the global market. Our continued innovation in satellite system product development has been one of our hallmarks. We intend to maintain our leadership position in satellite systems, technologies and services, while continuing to expand our efforts in wireless communications, cloud networking and security. Our R&amp;D efforts are supported by a global employee base that includes approximately 3,500 engineers and a culture that deeply values and supports innovation. </w:t>
      </w:r>
    </w:p>
    <w:p>
      <w:pPr>
        <w:pStyle w:val="TextBody"/>
        <w:bidi w:val="0"/>
        <w:spacing w:before="240" w:after="0"/>
        <w:jc w:val="center"/>
        <w:rPr>
          <w:rFonts w:ascii="Arial;sans-serif" w:hAnsi="Arial;sans-serif"/>
          <w:b w:val="false"/>
          <w:sz w:val="20"/>
        </w:rPr>
      </w:pPr>
      <w:r>
        <w:rPr>
          <w:rFonts w:ascii="Arial;sans-serif" w:hAnsi="Arial;sans-serif"/>
          <w:b w:val="false"/>
          <w:sz w:val="20"/>
        </w:rPr>
        <w:t>11</w:t>
      </w:r>
    </w:p>
    <w:p>
      <w:pPr>
        <w:pStyle w:val="HorizontalLine"/>
        <w:pBdr>
          <w:bottom w:val="double" w:sz="2" w:space="0" w:color="808080"/>
        </w:pBdr>
        <w:bidi w:val="0"/>
        <w:spacing w:before="0" w:after="283"/>
        <w:jc w:val="left"/>
        <w:rPr/>
      </w:pPr>
      <w:r>
        <w:rPr/>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0"/>
        <w:jc w:val="left"/>
        <w:rPr/>
      </w:pPr>
      <w:r>
        <w:rPr>
          <w:rFonts w:ascii="Arial;sans-serif" w:hAnsi="Arial;sans-serif"/>
          <w:b w:val="false"/>
          <w:i/>
          <w:sz w:val="20"/>
        </w:rPr>
        <w:t xml:space="preserve">Follow Our Path of Proven Performance: </w:t>
      </w:r>
      <w:r>
        <w:rPr>
          <w:rFonts w:ascii="Arial;sans-serif" w:hAnsi="Arial;sans-serif"/>
          <w:b w:val="false"/>
          <w:sz w:val="20"/>
        </w:rPr>
        <w:t>We have an enviable track record for identifying and bringing to market impactful communications technologies in space systems. ViaSat-1 was the highest capacity communications satellite at the time of its launch; ViaSat-2 almost doubled the capacity of ViaSat-1; and the ViaSat-3 constellation is anticipated to have approximately eight times more capacity than the capacity of the ViaSat-1 and ViaSat-2 satellites combined and to enable us to deliver affordable connectivity across most of the world.</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0"/>
        <w:jc w:val="left"/>
        <w:rPr/>
      </w:pPr>
      <w:r>
        <w:rPr>
          <w:rFonts w:ascii="Arial;sans-serif" w:hAnsi="Arial;sans-serif"/>
          <w:b w:val="false"/>
          <w:i/>
          <w:sz w:val="20"/>
        </w:rPr>
        <w:t>Customer-Centricity Evolution:</w:t>
      </w:r>
      <w:r>
        <w:rPr/>
        <w:t xml:space="preserve"> </w:t>
      </w:r>
      <w:r>
        <w:rPr>
          <w:rFonts w:ascii="Arial;sans-serif" w:hAnsi="Arial;sans-serif"/>
          <w:b w:val="false"/>
          <w:sz w:val="20"/>
        </w:rPr>
        <w:t>We are focused on continuing to increase our customer interactions and have incorporated new technologies, tools and learnings from artificial intelligence and machine learning to enhanced customer intimacy techniques and customer advisory councils. We strive to continue to improve our ongoing customer engagements through proactive response, deeper customer insights and enhanced customer exchanges. This is an ongoing effort that will continue to be an investment and nurture opportunity for us.</w:t>
      </w:r>
    </w:p>
    <w:p>
      <w:pPr>
        <w:pStyle w:val="TextBody"/>
        <w:bidi w:val="0"/>
        <w:spacing w:before="270" w:after="0"/>
        <w:jc w:val="left"/>
        <w:rPr/>
      </w:pPr>
      <w:r>
        <w:rPr/>
        <w:t>•</w:t>
      </w:r>
    </w:p>
    <w:p>
      <w:pPr>
        <w:pStyle w:val="TextBody"/>
        <w:bidi w:val="0"/>
        <w:spacing w:before="270" w:after="0"/>
        <w:jc w:val="left"/>
        <w:rPr>
          <w:rFonts w:ascii="Arial;sans-serif" w:hAnsi="Arial;sans-serif"/>
          <w:b/>
          <w:i/>
          <w:sz w:val="20"/>
        </w:rPr>
      </w:pPr>
      <w:r>
        <w:rPr>
          <w:rFonts w:ascii="Arial;sans-serif" w:hAnsi="Arial;sans-serif"/>
          <w:b/>
          <w:i/>
          <w:sz w:val="20"/>
        </w:rPr>
        <w:t>Continue to Expand into New Markets and Geographies</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0"/>
        <w:jc w:val="left"/>
        <w:rPr/>
      </w:pPr>
      <w:r>
        <w:rPr>
          <w:rFonts w:ascii="Arial;sans-serif" w:hAnsi="Arial;sans-serif"/>
          <w:b w:val="false"/>
          <w:i/>
          <w:sz w:val="20"/>
        </w:rPr>
        <w:t>Enter and Disrupt New and Adjacent Markets through Technology Innovation:</w:t>
      </w:r>
      <w:r>
        <w:rPr/>
        <w:t xml:space="preserve"> </w:t>
      </w:r>
      <w:r>
        <w:rPr>
          <w:rFonts w:ascii="Arial;sans-serif" w:hAnsi="Arial;sans-serif"/>
          <w:b w:val="false"/>
          <w:sz w:val="20"/>
        </w:rPr>
        <w:t xml:space="preserve">We continue to create or address new and adjacent markets using our technological advancements to disrupt existing business models and drive shifts in target markets and user demand. For example, the technological innovations and power of our proprietary Ka-band satellite network enabled us to disrupt the IFC business model and successfully expand our broadband service offerings into the commercial air market. As the capacity and geographic coverage areas of our satellite systems continue to increase with each generation of our high-capacity Ka-band satellite designs, we expect the addressable markets for our broadband technologies, products and services to continue to expand. Higher capacity, more flexible satellites will allow us to offer a broader array of cost-effective, high-quality broadband services that can be tailored to different geographic regions and bandwidth usage demands. </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0"/>
        <w:jc w:val="left"/>
        <w:rPr/>
      </w:pPr>
      <w:r>
        <w:rPr>
          <w:rFonts w:ascii="Arial;sans-serif" w:hAnsi="Arial;sans-serif"/>
          <w:b w:val="false"/>
          <w:i/>
          <w:sz w:val="20"/>
        </w:rPr>
        <w:t xml:space="preserve">Think Beyond Current Customer Requirements to Open New Markets: </w:t>
      </w:r>
      <w:r>
        <w:rPr>
          <w:rFonts w:ascii="Arial;sans-serif" w:hAnsi="Arial;sans-serif"/>
          <w:b w:val="false"/>
          <w:sz w:val="20"/>
        </w:rPr>
        <w:t xml:space="preserve">In our government systems business, we actively identify market or operational needs that are not currently served by existing communications and encryption products and services, with a view to developing unique or disruptive products and services and creating new addressable markets. In fact, a key component to the continued success of Viasat’s defense business is its expansive portfolio of non-developmental items (NDI), which are designed to rapidly deliver cutting-edge technology solutions well ahead of the traditional government procurement model. Our business model delivers advanced capabilities significantly faster, at lower lifecycle costs and with lower risk to the customer when compared to traditional defense acquisition programs and timelines. </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283"/>
        <w:jc w:val="left"/>
        <w:rPr/>
      </w:pPr>
      <w:r>
        <w:rPr>
          <w:rFonts w:ascii="Arial;sans-serif" w:hAnsi="Arial;sans-serif"/>
          <w:b w:val="false"/>
          <w:i/>
          <w:sz w:val="20"/>
        </w:rPr>
        <w:t>Target International Expansion.</w:t>
      </w:r>
      <w:r>
        <w:rPr/>
        <w:t xml:space="preserve"> </w:t>
      </w:r>
      <w:r>
        <w:rPr>
          <w:rFonts w:ascii="Arial;sans-serif" w:hAnsi="Arial;sans-serif"/>
          <w:b w:val="false"/>
          <w:sz w:val="20"/>
        </w:rPr>
        <w:t xml:space="preserve">With the expected upcoming commencement of commercial service on our ViaSat-3 constellation, we have placed tremendous effort on growing our operations, sales/distribution, customer/partner base and regulatory framework globally. We continue to believe that international markets provide attractive opportunities for the long-term growth of our business. As worldwide demand for broadband connectivity continues to grow, we expect that our comprehensive offering of next-generation Ka-band satellites, advanced end-to-end communication systems and ground networking equipment and products, and their ability to enable a wide range of cost-effective, high-speed, high-quality broadband services, will be increasingly attractive internationally. Our ViaSat-2 satellite significantly expanded the geographic coverage area of our broadband services over North and Central America and the primary aeronautical and maritime routes across the Atlantic Ocean, allowing us to bring high-value in-flight services to many more commercial, business and government aircraft within the expanded satellite footprint and launch new, innovative ground-based services in new markets, such as our Prepaid Internet services which offer community hotspots, home broadband and mobile broadband in unserved and underserved areas using satellite-powered centralized terminals. Ahead of the launch of commercial service on our ViaSat-3 constellation, we have leveraged third-party partner satellites (such as Telebras in Brazil, Avanti in EMEA, nbn in Australia and China Satcom in China) to create a runway for Viasat to begin offering and trialing service plans internationally as well as build brand presence and name recognition. We have also undertaken a thoughtful approach to mergers and acquisitions to drive international expansion. For example, in the Inmarsat Transaction, Inmarsat’s existing satellite fleet would provide global coverage (including strong oceanic coverage and polar reach) and greater redundancy and resiliency for the combined company versus Viasat on a standalone basis. The acquisition of the remaining interest in EBI enables us to expand more effectively and rapidly in the EMEA region. Our acquisition of RigNet also positioned us to expand into new global markets, as RigNet has customers and operations globally. Finally, we expect our ViaSat-3 and ViaSat-4 global constellations will be enablers for the scalable, long-term global expansion of our business, providing the platform for us to deliver </w:t>
      </w:r>
    </w:p>
    <w:p>
      <w:pPr>
        <w:pStyle w:val="TextBody"/>
        <w:bidi w:val="0"/>
        <w:spacing w:before="240" w:after="0"/>
        <w:jc w:val="center"/>
        <w:rPr>
          <w:rFonts w:ascii="Arial;sans-serif" w:hAnsi="Arial;sans-serif"/>
          <w:b w:val="false"/>
          <w:sz w:val="20"/>
        </w:rPr>
      </w:pPr>
      <w:r>
        <w:rPr>
          <w:rFonts w:ascii="Arial;sans-serif" w:hAnsi="Arial;sans-serif"/>
          <w:b w:val="false"/>
          <w:sz w:val="20"/>
        </w:rPr>
        <w:t>12</w:t>
      </w:r>
    </w:p>
    <w:p>
      <w:pPr>
        <w:pStyle w:val="HorizontalLine"/>
        <w:pBdr>
          <w:bottom w:val="double" w:sz="2" w:space="0" w:color="808080"/>
        </w:pBdr>
        <w:bidi w:val="0"/>
        <w:spacing w:before="0" w:after="283"/>
        <w:jc w:val="left"/>
        <w:rPr/>
      </w:pPr>
      <w:r>
        <w:rPr/>
      </w:r>
    </w:p>
    <w:p>
      <w:pPr>
        <w:pStyle w:val="TextBody"/>
        <w:bidi w:val="0"/>
        <w:spacing w:before="90" w:after="0"/>
        <w:jc w:val="left"/>
        <w:rPr>
          <w:rFonts w:ascii="Arial;sans-serif" w:hAnsi="Arial;sans-serif"/>
          <w:b w:val="false"/>
          <w:sz w:val="20"/>
        </w:rPr>
      </w:pPr>
      <w:r>
        <w:rPr>
          <w:rFonts w:ascii="Arial;sans-serif" w:hAnsi="Arial;sans-serif"/>
          <w:b w:val="false"/>
          <w:sz w:val="20"/>
        </w:rPr>
        <w:t>high-quality and affordable broadband connectivity worldwide. Demand profile differs by geographic market, reflecting geographic, economic, political, regulatory and other factors. However, the flexibility, high bandwidth capacity and broad geographic coverage area of our second- and third-generation proprietary Ka-band satellites allow us to tailor our service offerings for the opportunities and needs of different geographic markets.</w:t>
      </w:r>
    </w:p>
    <w:p>
      <w:pPr>
        <w:pStyle w:val="TextBody"/>
        <w:bidi w:val="0"/>
        <w:spacing w:before="270" w:after="0"/>
        <w:jc w:val="left"/>
        <w:rPr/>
      </w:pPr>
      <w:r>
        <w:rPr/>
        <w:t>•</w:t>
      </w:r>
    </w:p>
    <w:p>
      <w:pPr>
        <w:pStyle w:val="TextBody"/>
        <w:bidi w:val="0"/>
        <w:spacing w:before="270" w:after="0"/>
        <w:jc w:val="left"/>
        <w:rPr>
          <w:rFonts w:ascii="Arial;sans-serif" w:hAnsi="Arial;sans-serif"/>
          <w:b/>
          <w:i/>
          <w:sz w:val="20"/>
        </w:rPr>
      </w:pPr>
      <w:r>
        <w:rPr>
          <w:rFonts w:ascii="Arial;sans-serif" w:hAnsi="Arial;sans-serif"/>
          <w:b/>
          <w:i/>
          <w:sz w:val="20"/>
        </w:rPr>
        <w:t>Prioritize the End-User</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0"/>
        <w:jc w:val="left"/>
        <w:rPr/>
      </w:pPr>
      <w:r>
        <w:rPr>
          <w:rFonts w:ascii="Arial;sans-serif" w:hAnsi="Arial;sans-serif"/>
          <w:b w:val="false"/>
          <w:i/>
          <w:sz w:val="20"/>
        </w:rPr>
        <w:t>Recognize Broadband Connectivity is a Means to an End, not an End in Itself.</w:t>
      </w:r>
      <w:r>
        <w:rPr/>
        <w:t xml:space="preserve"> </w:t>
      </w:r>
      <w:r>
        <w:rPr>
          <w:rFonts w:ascii="Arial;sans-serif" w:hAnsi="Arial;sans-serif"/>
          <w:b w:val="false"/>
          <w:sz w:val="20"/>
        </w:rPr>
        <w:t>The value of a broadband network is in the applications it enables. With this understanding, we have worked closely with leading edge and content providers (including companies such as Apple, Facebook, fuboTV and the NBA, among others) to enhance end-users’ experiences with their online and streaming media services over our network, helping them leverage the potential of making affordable broadband available in places where it has never been. We also work with U.S. Government agencies, major airlines and others on multiple continents to help ensure end-users have satisfying — and affordable — broadband experiences on our network. Our ViaSat-3 constellation will help meet increasing end-user demand and the need for global reach. In addition, we work with various international governments to help bring digital and social inclusion to their constituents through efficient satellite-enabled services such as our Prepaid Internet services, which offer community hotspots, home broadband and mobile broadband in unserved and underserved areas using satellite-powered centralized terminals. By making broadband connectivity accessible to millions of people living in regions where traditional terrestrial and wireless internet services were either non-existent or cost prohibitive, we have been able to help generate positive socio-economic impacts — in education, e-commerce, finance, healthcare and more — at lower bandwidth costs.</w:t>
      </w:r>
    </w:p>
    <w:p>
      <w:pPr>
        <w:pStyle w:val="TextBody"/>
        <w:bidi w:val="0"/>
        <w:spacing w:before="270" w:after="0"/>
        <w:jc w:val="left"/>
        <w:rPr/>
      </w:pPr>
      <w:r>
        <w:rPr/>
        <w:t>•</w:t>
      </w:r>
    </w:p>
    <w:p>
      <w:pPr>
        <w:pStyle w:val="TextBody"/>
        <w:bidi w:val="0"/>
        <w:spacing w:before="270" w:after="0"/>
        <w:jc w:val="left"/>
        <w:rPr>
          <w:rFonts w:ascii="Arial;sans-serif" w:hAnsi="Arial;sans-serif"/>
          <w:b/>
          <w:i/>
          <w:sz w:val="20"/>
        </w:rPr>
      </w:pPr>
      <w:r>
        <w:rPr>
          <w:rFonts w:ascii="Arial;sans-serif" w:hAnsi="Arial;sans-serif"/>
          <w:b/>
          <w:i/>
          <w:sz w:val="20"/>
        </w:rPr>
        <w:t>Manage for the Long Term</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0"/>
        <w:jc w:val="left"/>
        <w:rPr/>
      </w:pPr>
      <w:r>
        <w:rPr>
          <w:rFonts w:ascii="Arial;sans-serif" w:hAnsi="Arial;sans-serif"/>
          <w:b w:val="false"/>
          <w:i/>
          <w:sz w:val="20"/>
        </w:rPr>
        <w:t>Pursue Growth Through Strategic Alliances, Partnering Arrangements and Relationships</w:t>
      </w:r>
      <w:r>
        <w:rPr>
          <w:rFonts w:ascii="Arial;sans-serif" w:hAnsi="Arial;sans-serif"/>
          <w:b w:val="false"/>
          <w:sz w:val="20"/>
        </w:rPr>
        <w:t>. We actively seek strategic relationships and joint ventures with companies whose financial, marketing, operational or technological resources may accelerate the introduction of new technologies, service offerings and/or the penetration of new markets. For example, we have entered into strategic agreements in Brazil, Guatemala, Mexico and Peru with local partners to bring high-speed, affordable internet to unserved and underserved communities, which allows us to gain market insights and build brand awareness in advance of the roll-out of services in the region following the commencement of commercial services on our ViaSat-3 Americas satellite. In our government systems segment, we also regularly enter into teaming arrangements with other government contractors to more effectively capture complex government programs. We may continue to evaluate acquisitions of, or investments in, complementary companies, businesses, products or technologies to supplement our internal growth.</w:t>
      </w:r>
    </w:p>
    <w:p>
      <w:pPr>
        <w:pStyle w:val="TextBody"/>
        <w:bidi w:val="0"/>
        <w:spacing w:before="90" w:after="0"/>
        <w:jc w:val="left"/>
        <w:rPr>
          <w:rFonts w:ascii="Times New Roman" w:hAnsi="Times New Roman"/>
          <w:b w:val="false"/>
          <w:sz w:val="20"/>
        </w:rPr>
      </w:pPr>
      <w:r>
        <w:rPr>
          <w:rFonts w:ascii="Times New Roman" w:hAnsi="Times New Roman"/>
          <w:b w:val="false"/>
          <w:sz w:val="20"/>
        </w:rPr>
        <w:t>o</w:t>
      </w:r>
    </w:p>
    <w:p>
      <w:pPr>
        <w:pStyle w:val="TextBody"/>
        <w:bidi w:val="0"/>
        <w:spacing w:before="90" w:after="283"/>
        <w:jc w:val="left"/>
        <w:rPr/>
      </w:pPr>
      <w:r>
        <w:rPr>
          <w:rFonts w:ascii="Arial;sans-serif" w:hAnsi="Arial;sans-serif"/>
          <w:b w:val="false"/>
          <w:i/>
          <w:sz w:val="20"/>
        </w:rPr>
        <w:t xml:space="preserve">Encourage Safe Sustainable Access to Space. </w:t>
      </w:r>
      <w:r>
        <w:rPr>
          <w:rFonts w:ascii="Arial;sans-serif" w:hAnsi="Arial;sans-serif"/>
          <w:b w:val="false"/>
          <w:sz w:val="20"/>
        </w:rPr>
        <w:t>We strive to be a leader in bringing benefits of space technology to the world in a sustainable, responsible and inclusive way. We are focused on cooperating with a broad range of responsible nations and global partners to ensure safe, responsible and equitable access to space for all.</w:t>
      </w:r>
    </w:p>
    <w:p>
      <w:pPr>
        <w:pStyle w:val="TextBody"/>
        <w:bidi w:val="0"/>
        <w:spacing w:before="270" w:after="0"/>
        <w:jc w:val="left"/>
        <w:rPr>
          <w:rFonts w:ascii="Times New Roman" w:hAnsi="Times New Roman"/>
          <w:sz w:val="20"/>
        </w:rPr>
      </w:pPr>
      <w:r>
        <w:rPr>
          <w:rFonts w:ascii="Arial;sans-serif" w:hAnsi="Arial;sans-serif"/>
          <w:b/>
          <w:sz w:val="20"/>
        </w:rPr>
        <w:t>Our Customers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customer base is highly diversified. Customers of our satellite services segment reflect the diversity in our broadband service offerings and include residential customers, small and medium-sized businesses, enterprise customers, commercial airlines and Prepaid Internet users. Customers of our fixed broadband services are obtained through either our direct or partner distribution channels. The customers of our government systems and commercial networks segments include the DoD, the DHS, select other U.S. federal, state and local government agencies, allied foreign governments and militaries, commercial and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partners or resellers. In our commercial networks segment, we also act as both a prime contractor and subcontractor for the sale of equipment and services.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Revenues from the U.S. Government as an individual customer comprised approximately 17%, 18% and 21% of total revenues for fiscal years 2023, 2022 and 2021, respectively. None of our other customers comprised 10% or more of total revenues in fiscal years 2023, 2022 or 2021.</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13</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sz w:val="20"/>
        </w:rPr>
        <w:t>U.S. Government Contracts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We provide products and services under federal government contracts that usually require performance over a period of several months to multiple years. Long-term contracts may be impacted based on when the government appropriated funds are available and to what level, which may result in a delay, reduction or termination of these contracts.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which may include product R&amp;D, for a fixed price and, accordingly, realize the benefit or detriment to the extent that the actual cost of performing the work differs from the contract price. In fiscal year 2023, approximately 10% of our total government revenues were generated from cost-reimbursement contracts with the federal government or our prime contractors, less than 1% from time-and-materials contracts and approximately 90% from fixed-price contracts.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Our allowable federal government contract costs and fees are subject to audit and review by the Defense Contracting Management Agency (DCMA) and the Defense Contract Audit Agency (DCAA), as discussed below under “— Regulatory Environment — Other Regulations.”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w:t>
      </w:r>
    </w:p>
    <w:p>
      <w:pPr>
        <w:pStyle w:val="TextBody"/>
        <w:bidi w:val="0"/>
        <w:spacing w:before="180" w:after="0"/>
        <w:jc w:val="left"/>
        <w:rPr>
          <w:rFonts w:ascii="Times New Roman" w:hAnsi="Times New Roman"/>
          <w:sz w:val="20"/>
        </w:rPr>
      </w:pPr>
      <w:r>
        <w:rPr>
          <w:rFonts w:ascii="Arial;sans-serif" w:hAnsi="Arial;sans-serif"/>
          <w:b w:val="false"/>
          <w:sz w:val="20"/>
        </w:rPr>
        <w:t>Our eligibility to perform under our federal government contracts requires us to maintain adequate security measures. We have implemented security procedures that we believe adequately satisfy the requirements of our federal government contracts.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Research and Development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and communications technologies, and new and enhanced products and services, is a significant factor in maintaining or improving our competitive position and our prospects for growth. Therefore, we continue to make significant investments in next-generation satellite technologies and communications product and services development.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14</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We conduct the majority of our R&amp;D activities in-house and have R&amp;D and engineering staff, which includes approximately 3,500 engineers worldwide. Our product development activities focus on products that we consider viable revenue opportunities to support all of our segments. We incurred $128.9 million, $149.5 million and $108.5 million during fiscal years 2023, 2022 and 2021, respectively, on independent research and development (IR&amp;D) expenses, which comprise R&amp;D not directly funded by a third party. Funded R&amp;D contains a profit component and is therefore not directly comparable to IR&amp;D. As a U.S. Government contractor, we may also recover a portion of our IR&amp;D expenses, consisting primarily of salaries and other personnel-related expenses, supplies and prototype materials related to R&amp;D programs.</w:t>
      </w:r>
    </w:p>
    <w:p>
      <w:pPr>
        <w:pStyle w:val="TextBody"/>
        <w:bidi w:val="0"/>
        <w:spacing w:before="270" w:after="0"/>
        <w:jc w:val="left"/>
        <w:rPr>
          <w:rFonts w:ascii="Times New Roman" w:hAnsi="Times New Roman"/>
          <w:sz w:val="20"/>
        </w:rPr>
      </w:pPr>
      <w:r>
        <w:rPr>
          <w:rFonts w:ascii="Arial;sans-serif" w:hAnsi="Arial;sans-serif"/>
          <w:b/>
          <w:sz w:val="20"/>
        </w:rPr>
        <w:t>Intellectual Property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in any particular jurisdiction. Although we believe the protection afforded by our patents, copyrights, trademarks, trade secrets and contractual provisions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Certain of our products and services include software or other intellectual property licensed from third parties. While it may be necessary in the future to seek or renew licenses relating to various aspects of our products and services,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Sales and Marketing</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have a sales presence in various domestic and international locations, and we sell our products and services both directly and indirectly through partners, as described below:</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Satellite Services Sales Organization.</w:t>
      </w:r>
      <w:r>
        <w:rPr/>
        <w:t xml:space="preserve"> </w:t>
      </w:r>
      <w:r>
        <w:rPr>
          <w:rFonts w:ascii="Arial;sans-serif" w:hAnsi="Arial;sans-serif"/>
          <w:b w:val="false"/>
          <w:sz w:val="20"/>
        </w:rPr>
        <w:t xml:space="preserve">Our satellite services sales organization involves both direct and indirect channels and varies based on subscriber and service type. Our residential fixed broadband services are primarily sold directly to customers through our Viasat Internet website, sales call centers and active retail dealers, and we utilize extensive dealer networks across the United States, as well as in each country where residential fixed broadband services are offered, to sell such services. Our Prepaid Internet services are sold through local distribution partnerships. Our business internet offerings are sold through a mix of direct sales personnel who work with enterprises and a network of enterprise-focused master agents and wholesale distribution partners. Our commercial aviation offerings are sold direct to airlines, and our business aviation offerings are sold through direct sales and business development personnel as well as through aviation-focused value-added resellers. Finally, our maritime service offerings are sold through direct and indirect value-added reseller partners targeting a variety of maritime commercial prospects. In each case, our focus is to identify business opportunities and develop solutions for the unique needs of each customer segment. </w:t>
      </w:r>
    </w:p>
    <w:p>
      <w:pPr>
        <w:pStyle w:val="TextBody"/>
        <w:bidi w:val="0"/>
        <w:spacing w:before="240" w:after="0"/>
        <w:jc w:val="center"/>
        <w:rPr>
          <w:rFonts w:ascii="Arial;sans-serif" w:hAnsi="Arial;sans-serif"/>
          <w:b w:val="false"/>
          <w:sz w:val="20"/>
        </w:rPr>
      </w:pPr>
      <w:r>
        <w:rPr>
          <w:rFonts w:ascii="Arial;sans-serif" w:hAnsi="Arial;sans-serif"/>
          <w:b w:val="false"/>
          <w:sz w:val="20"/>
        </w:rPr>
        <w:t>15</w:t>
      </w:r>
    </w:p>
    <w:p>
      <w:pPr>
        <w:pStyle w:val="HorizontalLine"/>
        <w:pBdr>
          <w:bottom w:val="double" w:sz="2" w:space="0" w:color="808080"/>
        </w:pBdr>
        <w:bidi w:val="0"/>
        <w:spacing w:before="0" w:after="283"/>
        <w:jc w:val="left"/>
        <w:rPr/>
      </w:pPr>
      <w:r>
        <w:rPr/>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Commercial Networks Sales Organization.</w:t>
      </w:r>
      <w:r>
        <w:rPr/>
        <w:t xml:space="preserve"> </w:t>
      </w:r>
      <w:r>
        <w:rPr>
          <w:rFonts w:ascii="Arial;sans-serif" w:hAnsi="Arial;sans-serif"/>
          <w:b w:val="false"/>
          <w:sz w:val="20"/>
        </w:rPr>
        <w:t xml:space="preserve">Our commercial networks sales organization consists of sales managers and sales engineers, who act as the primary interface to establish account relationships and determine technical requirements for customer networks. In addition to our sales force, we maintain a highly-trained service staff to provide technical product and service support to our customers. The sales cycle in the commercial network market is often lengthy and it is not unusual for a sale to take up to 18 months from the initial contact through the execution of the agreement. The sales process often includes several network design iterations, network demonstrations and pilot networks consisting of a few sites. </w:t>
      </w:r>
    </w:p>
    <w:p>
      <w:pPr>
        <w:pStyle w:val="TextBody"/>
        <w:bidi w:val="0"/>
        <w:spacing w:before="90" w:after="0"/>
        <w:jc w:val="left"/>
        <w:rPr/>
      </w:pPr>
      <w:r>
        <w:rPr/>
        <w:t>•</w:t>
      </w:r>
    </w:p>
    <w:p>
      <w:pPr>
        <w:pStyle w:val="TextBody"/>
        <w:bidi w:val="0"/>
        <w:spacing w:before="90" w:after="0"/>
        <w:jc w:val="left"/>
        <w:rPr/>
      </w:pPr>
      <w:r>
        <w:rPr>
          <w:rFonts w:ascii="Arial;sans-serif" w:hAnsi="Arial;sans-serif"/>
          <w:b w:val="false"/>
          <w:i/>
          <w:sz w:val="20"/>
        </w:rPr>
        <w:t>Government Systems Sales Organization.</w:t>
      </w:r>
      <w:r>
        <w:rPr/>
        <w:t xml:space="preserve"> </w:t>
      </w:r>
      <w:r>
        <w:rPr>
          <w:rFonts w:ascii="Arial;sans-serif" w:hAnsi="Arial;sans-serif"/>
          <w:b w:val="false"/>
          <w:sz w:val="20"/>
        </w:rPr>
        <w:t>Our government systems sales organization consists of both direct sales personnel who sell our standard products and services,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i/>
          <w:sz w:val="20"/>
        </w:rPr>
        <w:t>Strategic Partners.</w:t>
      </w:r>
      <w:r>
        <w:rPr/>
        <w:t xml:space="preserve"> </w:t>
      </w:r>
      <w:r>
        <w:rPr>
          <w:rFonts w:ascii="Arial;sans-serif" w:hAnsi="Arial;sans-serif"/>
          <w:b w:val="false"/>
          <w:sz w:val="20"/>
        </w:rPr>
        <w:t xml:space="preserve">To augment our direct sales efforts, we seek to develop key strategic relationships to market and sell our products 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 </w:t>
      </w:r>
    </w:p>
    <w:p>
      <w:pPr>
        <w:pStyle w:val="TextBody"/>
        <w:bidi w:val="0"/>
        <w:spacing w:before="180" w:after="0"/>
        <w:jc w:val="left"/>
        <w:rPr>
          <w:rFonts w:ascii="Times New Roman" w:hAnsi="Times New Roman"/>
          <w:sz w:val="20"/>
        </w:rPr>
      </w:pPr>
      <w:r>
        <w:rPr>
          <w:rFonts w:ascii="Arial;sans-serif" w:hAnsi="Arial;sans-serif"/>
          <w:b w:val="false"/>
          <w:sz w:val="20"/>
        </w:rPr>
        <w:t>Our marketing team works closely with our corporate and segment leadership, customer account executives, and business development, sales and operations organizations to increase the awareness and value of the Viasat brand through a mix of positive program performance, agile, results-oriented multichannel marketing campaigns that reflect new and evolving customer journeys, public relations, paid and owned media, live and virtual events, and conference speaking engagements that keep the market current on our services, products and features. Viasat products and services, both in the U.S. and internationally, are typically sold under one unified master global brand, using a single logo and visual identity system. Our marketing team also identifies and sizes new and adjacent target markets for our products and services, evaluates our customer experience, creates awareness of our company and our portfolio of offerings, and generates contacts and leads within these targeted markets.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Competition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To compete, we emphasize:</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high-speed, high-quality and broad geographic availability of our broadband services;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deep understanding of our customers’ unique expectations and requirements;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our proven designs and network integration services for complex, customized network needs;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demonstrated performance in uniquely challenging environments;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increased bandwidth efficiency offered by our networks, products and services;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advanced security and information assurance capabilities;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innovative and flexible features integrated into our products and services;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our network management experience;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our end-to-end network implementation capabilities;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distinct advantages of satellite data networks;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technical advantages and advanced features of our antenna systems as compared to our competitors’ offerings; and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the overall cost-effectiveness of our communications systems, products and services. </w:t>
      </w:r>
    </w:p>
    <w:p>
      <w:pPr>
        <w:pStyle w:val="TextBody"/>
        <w:bidi w:val="0"/>
        <w:spacing w:before="240" w:after="0"/>
        <w:jc w:val="center"/>
        <w:rPr>
          <w:rFonts w:ascii="Arial;sans-serif" w:hAnsi="Arial;sans-serif"/>
          <w:b w:val="false"/>
          <w:sz w:val="20"/>
        </w:rPr>
      </w:pPr>
      <w:r>
        <w:rPr>
          <w:rFonts w:ascii="Arial;sans-serif" w:hAnsi="Arial;sans-serif"/>
          <w:b w:val="false"/>
          <w:sz w:val="20"/>
        </w:rPr>
        <w:t>16</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sz w:val="20"/>
        </w:rPr>
        <w:t>While we believe we compete successfully on each of these factors, we expect to continue to face intense competition in each of our markets.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In our satellite services segment, we face competition for fixed broadband services both from existing competitors and emerging technologies. Our fixed broadband service offerings compete with broadband service offerings from wireline and wireless telecommunications companies, including cable companies, fiber and DSL companies, satellite companies and fixed wireless companies.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This has in part driven our strategic focus on suburban and rural geographies outside of the cable and fiber competitive footprint. New entrants, some with significant financial resources and new emerging technologies (including terrestrial and space-based networks, such as LEO and MEO constellations) also compete with our broadband service offerings. Additionally, wireless telecommunications carriers such as AT&amp;T, T-Mobile and Verizon are currently offering unlimited wireless data plans and fixed wireless services that could attract our existing and future fixed broadband subscribers. Our IFC and W-IFE service offerings compete against air-to-ground mobile services and other satellite-based services, such as the services offered by Anuvu (formerly Global Eagle), Gogo, Inmarsat, Intelsat, SES, SpaceX, Thales Group, SmartSky, Iridium and Panasonic Avionics Corporation, among others.</w:t>
      </w:r>
    </w:p>
    <w:p>
      <w:pPr>
        <w:pStyle w:val="TextBody"/>
        <w:bidi w:val="0"/>
        <w:spacing w:before="180" w:after="0"/>
        <w:jc w:val="left"/>
        <w:rPr>
          <w:rFonts w:ascii="Times New Roman" w:hAnsi="Times New Roman"/>
          <w:sz w:val="20"/>
        </w:rPr>
      </w:pPr>
      <w:r>
        <w:rPr>
          <w:rFonts w:ascii="Arial;sans-serif" w:hAnsi="Arial;sans-serif"/>
          <w:b w:val="false"/>
          <w:sz w:val="20"/>
        </w:rPr>
        <w:t>In our commercial networks segment, we compete with numerous other providers of satellite and terrestrial communications systems, products and equipment, including: CPI Antenna Systems Division, Comtech, EchoStar (Hughes Network Systems), General Dynamics, Gilat, iDirect Technologies, Newtec, L3Harris, Panasonic Avionics Corporation, Safran Aerosystems, Space Systems/Loral (SS/L) (MAXAR), SpaceX and Thales Group. In addition, some of our customers continuously evaluate whether to develop and manufacture their own products and could elect to compete with us at any time.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Within our government systems segment, we generally compete with government communications service providers and manufacturers of defense electronics products, systems or subsystems, such as BAE Systems, Collins Aerospace, General Dynamics, Inmarsat, Intelsat, Iridium, Eutelsat, OneWeb, SES, SpaceX, Telesat, L3Harris, EchoStar (Hughes Network Systems) and similar companies. We may also compete directly with the largest defense prime contractors, including Boeing, Lockheed Martin, Northrop Grumman and Raytheon Technologies Corporation. In many cases we partner with our competitors, and therefore maintaining an open and cooperative relationship is important.</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Many of our competitors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Manufacturing</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Contract manufacturers produce products for many different customers and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w:t>
      </w:r>
    </w:p>
    <w:p>
      <w:pPr>
        <w:pStyle w:val="TextBody"/>
        <w:bidi w:val="0"/>
        <w:spacing w:before="180" w:after="0"/>
        <w:jc w:val="left"/>
        <w:rPr>
          <w:rFonts w:ascii="Times New Roman" w:hAnsi="Times New Roman"/>
          <w:sz w:val="20"/>
        </w:rPr>
      </w:pPr>
      <w:r>
        <w:rPr>
          <w:rFonts w:ascii="Arial;sans-serif" w:hAnsi="Arial;sans-serif"/>
          <w:b w:val="false"/>
          <w:sz w:val="20"/>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17</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sz w:val="20"/>
        </w:rPr>
        <w:t>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Our internal manufacturing capability is dependent on the availability of essential materials, parts and subassemblies from our suppliers and subcontractors. We use numerous sources for the wide array of raw materials required for our operations and our products, such as electronic components, printed circuit boards, metals and plastics. Although alternative sources generally exist for these raw materials, qualification of the sources could take a year or more.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Regulatory Environment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systems in certain circumstances, and more generally are intended to avoid the occurrence of harmful interference among different users of the radio spectrum.</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Radio-frequency and Communications Regulation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i/>
          <w:sz w:val="20"/>
        </w:rPr>
        <w:t>International Telecommunication Union (ITU)</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The orbital location and frequencies for our satellites are subject to the ITU’s regulations, including its frequency registration and coordination procedures, and its various provisions on spectrum usage. Those procedures are specified in the ITU Radio Regulations and seek to facilitate shared international use of limited spectrum and orbital resources in a manner that avoids harmful interference. Among other things, the ITU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w:t>
      </w:r>
    </w:p>
    <w:p>
      <w:pPr>
        <w:pStyle w:val="TextBody"/>
        <w:bidi w:val="0"/>
        <w:spacing w:before="180" w:after="0"/>
        <w:jc w:val="left"/>
        <w:rPr>
          <w:rFonts w:ascii="Arial;sans-serif" w:hAnsi="Arial;sans-serif"/>
          <w:b w:val="false"/>
          <w:sz w:val="20"/>
        </w:rPr>
      </w:pPr>
      <w:r>
        <w:rPr>
          <w:rFonts w:ascii="Arial;sans-serif" w:hAnsi="Arial;sans-serif"/>
          <w:b w:val="false"/>
          <w:sz w:val="20"/>
        </w:rPr>
        <w:t>The ITU regulations provide allocations or designations for how spectrum can be used for various purposes, and whether such uses operate on a primary or secondary basis with respect to one another. Secondary uses may not cause harmful interference to primary uses and may not claim interference protection from primary uses.</w:t>
      </w:r>
    </w:p>
    <w:p>
      <w:pPr>
        <w:pStyle w:val="TextBody"/>
        <w:bidi w:val="0"/>
        <w:spacing w:before="180" w:after="0"/>
        <w:jc w:val="left"/>
        <w:rPr>
          <w:rFonts w:ascii="Arial;sans-serif" w:hAnsi="Arial;sans-serif"/>
          <w:b w:val="false"/>
          <w:sz w:val="20"/>
        </w:rPr>
      </w:pPr>
      <w:r>
        <w:rPr>
          <w:rFonts w:ascii="Arial;sans-serif" w:hAnsi="Arial;sans-serif"/>
          <w:b w:val="false"/>
          <w:sz w:val="20"/>
        </w:rPr>
        <w:t>On our behalf, various countries have made ITU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or requirements are not satisfied, we may be compelled to accept more limited or suboptimal orbital and spectrum rights, to operate the applicable satellite(s) on a non-interference basis, or to cease operating such satellite(s) altogether. The orbital arc is becoming increasingly congested with respect to such ITU filings and the satellite networks operated under those filings.</w:t>
      </w:r>
    </w:p>
    <w:p>
      <w:pPr>
        <w:pStyle w:val="TextBody"/>
        <w:bidi w:val="0"/>
        <w:spacing w:before="180" w:after="0"/>
        <w:jc w:val="left"/>
        <w:rPr>
          <w:rFonts w:ascii="Times New Roman" w:hAnsi="Times New Roman"/>
          <w:sz w:val="20"/>
        </w:rPr>
      </w:pPr>
      <w:r>
        <w:rPr>
          <w:rFonts w:ascii="Arial;sans-serif" w:hAnsi="Arial;sans-serif"/>
          <w:b w:val="false"/>
          <w:sz w:val="20"/>
        </w:rPr>
        <w:t>In addition, the ITU’s Radio Regulations are subject to change at periodic ITU World Radio-communication Conferences (WRCs), and their application is determined by various governing bodies within the ITU. WRCs typically are convened approximately every four years, with the next one occurring at the end of calendar year 2023. The next WRC is considering various changes to the Radio Regulations that address the terms and conditions under which spectrum is used for satellite and terrestrial purposes, and future WRCs are likely to do the same.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18</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i/>
          <w:sz w:val="20"/>
        </w:rPr>
        <w:t>Spectrum</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The space stations and ground networks we use to provide our broadband services rely on access to spectrum within each country in which we do business. Use of such spectrum is authorized by regulatory authorities within each country (or a regional authority whose jurisdiction over spectrum rights encompasses that country), which determine the terms and conditions for access to and use of that spectrum in that particular country. The terms and conditions for access can and do vary by country, may differ from the ITU’s Radio Regulations, and may change over time. In particular, the growing demand for both satellite and terrestrial communications services is causing many countries to evaluate how spectrum is used within their borders, and to consider changes in the local terms and conditions for access to and use of spectrum. Those terms and conditions affect, among other things, the extent to which, and how, we must share spectrum with other spectrum users, including terrestrial and satellite uses, and whether we must operate on a secondary basis in some cases. Most of the spectrum on which we rely is shared with other satellite networks, including those operating in different orbits that could cross our orbital location and result in interference conditions. In many countries, portions of the spectrum on which we rely also are shared with terrestrial wireless services.</w:t>
      </w:r>
    </w:p>
    <w:p>
      <w:pPr>
        <w:pStyle w:val="TextBody"/>
        <w:bidi w:val="0"/>
        <w:spacing w:before="180" w:after="0"/>
        <w:jc w:val="left"/>
        <w:rPr>
          <w:rFonts w:ascii="Arial;sans-serif" w:hAnsi="Arial;sans-serif"/>
          <w:b w:val="false"/>
          <w:sz w:val="20"/>
        </w:rPr>
      </w:pPr>
      <w:r>
        <w:rPr>
          <w:rFonts w:ascii="Arial;sans-serif" w:hAnsi="Arial;sans-serif"/>
          <w:b w:val="false"/>
          <w:sz w:val="20"/>
        </w:rPr>
        <w:t>If the deployment of new terrestrial or satellite networks results in harmful interference into our satellite operations, or if the implementation of those networks under newly adopted terms and conditions constrains or prohibits the types of spectrum uses for which we have planned in a manner that we do not anticipate, such developments could have a material adverse effect on our business, financial condition and results of operations.</w:t>
      </w:r>
    </w:p>
    <w:p>
      <w:pPr>
        <w:pStyle w:val="TextBody"/>
        <w:bidi w:val="0"/>
        <w:spacing w:before="270" w:after="0"/>
        <w:jc w:val="left"/>
        <w:rPr>
          <w:rFonts w:ascii="Arial;sans-serif" w:hAnsi="Arial;sans-serif"/>
          <w:b/>
          <w:i/>
          <w:sz w:val="20"/>
        </w:rPr>
      </w:pPr>
      <w:r>
        <w:rPr>
          <w:rFonts w:ascii="Arial;sans-serif" w:hAnsi="Arial;sans-serif"/>
          <w:b/>
          <w:i/>
          <w:sz w:val="20"/>
        </w:rPr>
        <w:t>Broadband Services</w:t>
      </w:r>
    </w:p>
    <w:p>
      <w:pPr>
        <w:pStyle w:val="TextBody"/>
        <w:bidi w:val="0"/>
        <w:spacing w:before="90" w:after="0"/>
        <w:jc w:val="left"/>
        <w:rPr>
          <w:rFonts w:ascii="Times New Roman" w:hAnsi="Times New Roman"/>
          <w:sz w:val="20"/>
        </w:rPr>
      </w:pPr>
      <w:r>
        <w:rPr>
          <w:rFonts w:ascii="Arial;sans-serif" w:hAnsi="Arial;sans-serif"/>
          <w:b w:val="false"/>
          <w:sz w:val="20"/>
        </w:rPr>
        <w:t>We provide high-speed broadband internet access and VoIP services to customers in the United States, as well as in Europe and Latin America and on aircraft and seagoing vessels travelling around the world. Our provision of these services is subject to a number of legal obligations, including requirements to obtain licenses, authorizations and/or registrations to provide service in or to a given jurisdiction, implementation of certain network capabilities to assist law enforcement, and open internet requirements. Legislators and regulators often consider changes to existing statutes, rules and requirements, or prescribe new ones, which could significantly impact the ability to comply, or the costs of complying with, these types of obligations, or that otherwise could materially and adversely affect our ability to provide service in a given jurisdiction.</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US Regulation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Earth Stations.</w:t>
      </w:r>
      <w:r>
        <w:rPr>
          <w:rFonts w:ascii="Times New Roman" w:hAnsi="Times New Roman"/>
          <w:sz w:val="20"/>
        </w:rPr>
        <w:t xml:space="preserve"> </w:t>
      </w:r>
      <w:r>
        <w:rPr>
          <w:rFonts w:ascii="Arial;sans-serif" w:hAnsi="Arial;sans-serif"/>
          <w:b w:val="false"/>
          <w:sz w:val="20"/>
        </w:rPr>
        <w:t>The Communications Act requires a license for the operation of transmitting satellite earth station facilities and certain 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 15 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19</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i/>
          <w:sz w:val="20"/>
        </w:rPr>
        <w:t>Space Stations.</w:t>
      </w:r>
      <w:r>
        <w:rPr>
          <w:rFonts w:ascii="Times New Roman" w:hAnsi="Times New Roman"/>
          <w:sz w:val="20"/>
        </w:rPr>
        <w:t xml:space="preserve"> </w:t>
      </w:r>
      <w:r>
        <w:rPr>
          <w:rFonts w:ascii="Arial;sans-serif" w:hAnsi="Arial;sans-serif"/>
          <w:b w:val="false"/>
          <w:sz w:val="20"/>
        </w:rPr>
        <w:t>In the United States, the FCC authorizes the launch and operation of commercial spacecraft, and also authorizes non-U.S. licensed spacecraft to be used to serve the United States. The FCC has authorized the use of the ViaSat-1, ViaSat-2, WildBlue-1, Anik F2 and one ViaSat-3 class spacecraft (ViaSat-3 Americas) to serve the United States. The use of these spacecraft in our business is subject to various conditions in the underlying authorizations, as well as the technical and operational requirements of the FCC’s rules and regulations.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Universal Service and other Broadband Subsidies.</w:t>
      </w:r>
      <w:r>
        <w:rPr>
          <w:rFonts w:ascii="Times New Roman" w:hAnsi="Times New Roman"/>
          <w:sz w:val="20"/>
        </w:rPr>
        <w:t xml:space="preserve"> </w:t>
      </w:r>
      <w:r>
        <w:rPr>
          <w:rFonts w:ascii="Arial;sans-serif" w:hAnsi="Arial;sans-serif"/>
          <w:b w:val="false"/>
          <w:sz w:val="20"/>
        </w:rPr>
        <w:t>Certain of our services may constitute the provision of telecommunications to, from or within the United States, and may require us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29.0%. Current FCC rules permit us to pass this universal service contribution through to our customers. The FCC has established universal service funding mechanisms to support the provision of voice and broadband services in certain high-cost areas of the United States. These supporting mechanisms are known as the Connect America Fund (CAF) and the Rural Digital Opportunity Fund (RDOF). In addition, under the new Broadband Equity, Access, and Deployment (BEAD) program, funding for broadband service is expected to be distributed by U.S. states and territories under the oversight and administration of the National Telecommunications and Information Administration (NTIA). Among other things, the CAF, RDOF and BEAD mechanisms provide, or will likely provide, support to terrestrial service providers under terms and conditions that are not available to satellite-based service providers. The CAF and RDOF mechanisms could provide other service providers a competitive advantage in providing broadband services in supported areas, which could have a material adverse effect on our business, financial condition and results of operations. Additionally, Viasat has been selected as the winning bidder with respect to $122.5 million in support under the CAF program to serve certain portions of the country, and must comply with federal and state obligations imposed in connection with such support.</w:t>
      </w:r>
    </w:p>
    <w:p>
      <w:pPr>
        <w:pStyle w:val="TextBody"/>
        <w:bidi w:val="0"/>
        <w:spacing w:before="180" w:after="0"/>
        <w:jc w:val="left"/>
        <w:rPr>
          <w:rFonts w:ascii="Times New Roman" w:hAnsi="Times New Roman"/>
          <w:sz w:val="20"/>
        </w:rPr>
      </w:pPr>
      <w:r>
        <w:rPr>
          <w:rFonts w:ascii="Arial;sans-serif" w:hAnsi="Arial;sans-serif"/>
          <w:b w:val="false"/>
          <w:i/>
          <w:sz w:val="20"/>
        </w:rPr>
        <w:t>CALEA.</w:t>
      </w:r>
      <w:r>
        <w:rPr>
          <w:rFonts w:ascii="Times New Roman" w:hAnsi="Times New Roman"/>
          <w:sz w:val="20"/>
        </w:rPr>
        <w:t xml:space="preserve"> </w:t>
      </w:r>
      <w:r>
        <w:rPr>
          <w:rFonts w:ascii="Arial;sans-serif" w:hAnsi="Arial;sans-serif"/>
          <w:b w:val="false"/>
          <w:sz w:val="20"/>
        </w:rPr>
        <w:t>We are obligated to comply with the requirements of the Communications Assistance for Law Enforcement Act (CALEA), which requires telecommunications providers and broadband internet access providers to ensure that law enforcement agencies are able to conduct lawfully-authorized surveillance of users of their services.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Net Neutrality.</w:t>
      </w:r>
      <w:r>
        <w:rPr>
          <w:rFonts w:ascii="Times New Roman" w:hAnsi="Times New Roman"/>
          <w:sz w:val="20"/>
        </w:rPr>
        <w:t xml:space="preserve"> </w:t>
      </w:r>
      <w:r>
        <w:rPr>
          <w:rFonts w:ascii="Arial;sans-serif" w:hAnsi="Arial;sans-serif"/>
          <w:b w:val="false"/>
          <w:sz w:val="20"/>
        </w:rPr>
        <w:t>In February 2015, the FCC adopted new rules intended to preserve the openness of the internet, a concept generally referred to as “net neutrality” or “open internet.” The FCC’s “net neutrality” rules, among other things, prohibited all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 (iii) 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sans-serif" w:hAnsi="Arial;sans-serif"/>
          <w:b w:val="false"/>
          <w:i/>
          <w:sz w:val="20"/>
        </w:rPr>
        <w:t xml:space="preserve">not </w:t>
      </w:r>
      <w:r>
        <w:rPr>
          <w:rFonts w:ascii="Arial;sans-serif" w:hAnsi="Arial;sans-serif"/>
          <w:b w:val="false"/>
          <w:sz w:val="20"/>
        </w:rPr>
        <w:t>subject to such regulation. Such common-carrier regulation potentially could have included review of the reasonableness of an ISP’s rates and practices.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In January 2018, the FCC adopted an order restoring the classification of broadband internet access service as a lightly regulated information service, ending the Title II regulatory approach adopted in 2015. The order eliminated explicit requirements against blocking or throttling traffic and paid prioritization of traffic. At the same time, the FCC maintained the consumer disclosure requirements with some modifications and acknowledged the jurisdiction of the Federal Trade Commission to enforce consumer protection measures. The 2018 order was largely upheld by the D.C. Circuit, though it may be revisited by the FCC in the future. In addition, legislative proposals that would restore net neutrality requirements are being considered in Congress, and some states have adopted versions of the net neutrality requirements. A lawsuit challenging California's net neutrality statute was dismissed without prejudice in May 2022, and the California statute is now in effect. Other legislative actions at the state level are being challenged in courts on federal preemption and other grounds. We cannot predict the outcome of these pending lawsuits or regulatory and legislative efforts, or any resulting impact on ISPs.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20</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i/>
          <w:sz w:val="20"/>
        </w:rPr>
        <w:t>Privacy and Data Security</w:t>
      </w:r>
      <w:r>
        <w:rPr>
          <w:rFonts w:ascii="Arial;sans-serif" w:hAnsi="Arial;sans-serif"/>
          <w:b w:val="false"/>
          <w:sz w:val="20"/>
        </w:rPr>
        <w:t>. We are subject to federal and state laws concerning the privacy of consumers and the security we apply to their personal information. Certain of these laws provide privacy protections for certain types of personal information related to our voice services (referred to by such laws as customer proprietary network information). The Federal Trade Commission also oversees consumer privacy and data security more broadly through its authority to take enforcement action for unfair or deceptive practices, and state consumer protection laws can prompt review of privacy practices by state attorneys general. In addition, certain states have established specific consumer privacy and data security requirements, including the California Consumer Privacy Act (CCPA) and the California Privacy Rights Act that amended the CCPA in January 2023, which combined give California residents, among other things, the right to receive certain disclosures regarding the collection, use, and disclosure of personal information, as well as rights to access, delete, and restrict the sale and sharing of certain personal information collected about them by us and our service providers. State laws similar to those in California continue to multiply and evolve, and as various states pass their own comprehensive privacy laws, we and our business customers and partners could be exposed to additional regulatory complexities and obligations. Many states also have enacted security breach notification laws requiring notice to consumers and government agencies upon disclosure of certain information to an unauthorized party resulting from a security breach; in addition, the SEC is considering enhanced requirements related to the reporting of material cybersecurity incidents.</w:t>
      </w:r>
    </w:p>
    <w:p>
      <w:pPr>
        <w:pStyle w:val="TextBody"/>
        <w:bidi w:val="0"/>
        <w:spacing w:before="270" w:after="0"/>
        <w:jc w:val="left"/>
        <w:rPr>
          <w:rFonts w:ascii="Arial;sans-serif" w:hAnsi="Arial;sans-serif"/>
          <w:b/>
          <w:i/>
          <w:sz w:val="20"/>
        </w:rPr>
      </w:pPr>
      <w:r>
        <w:rPr>
          <w:rFonts w:ascii="Arial;sans-serif" w:hAnsi="Arial;sans-serif"/>
          <w:b/>
          <w:i/>
          <w:sz w:val="20"/>
        </w:rPr>
        <w:t>Foreign Regulation</w:t>
      </w:r>
    </w:p>
    <w:p>
      <w:pPr>
        <w:pStyle w:val="TextBody"/>
        <w:bidi w:val="0"/>
        <w:spacing w:before="90" w:after="0"/>
        <w:jc w:val="left"/>
        <w:rPr>
          <w:rFonts w:ascii="Times New Roman" w:hAnsi="Times New Roman"/>
          <w:sz w:val="20"/>
        </w:rPr>
      </w:pPr>
      <w:r>
        <w:rPr>
          <w:rFonts w:ascii="Arial;sans-serif" w:hAnsi="Arial;sans-serif"/>
          <w:b w:val="false"/>
          <w:sz w:val="20"/>
        </w:rPr>
        <w:t>Our operation of spacecraft and ground network and our provision of services to customers outside of the United States are subject to legal requirements of the jurisdictions issuing the satellite authorizations and in which Viasat provides services. These include obtaining the market access, spectrum access and licenses, authorizations and/or registrations that are necessary to operate or provide service in or to a given jurisdiction, and in many cases licenses for the operation of transmitting satellite earth station facilities and certain receiving satellite earth station facilities. In particular, we must obtain authority to operate various earth stations outside the United States, including but not limited to user terminals and facilities that aggregate traffic and interconnect with the internet backbone and network hubs. This authority is subject to conditions and limitations that vary from jurisdiction to jurisdiction.</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operates under the authority of the United Kingdom. ViaSat-3 Americas operates under the authority of the United Kingdom and the FCC.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pStyle w:val="TextBody"/>
        <w:bidi w:val="0"/>
        <w:spacing w:before="180" w:after="0"/>
        <w:jc w:val="left"/>
        <w:rPr>
          <w:rFonts w:ascii="Arial;sans-serif" w:hAnsi="Arial;sans-serif"/>
          <w:b w:val="false"/>
          <w:sz w:val="20"/>
        </w:rPr>
      </w:pPr>
      <w:r>
        <w:rPr>
          <w:rFonts w:ascii="Arial;sans-serif" w:hAnsi="Arial;sans-serif"/>
          <w:b w:val="false"/>
          <w:sz w:val="20"/>
        </w:rPr>
        <w:t>We are also subject to certain other forms of foreign regulation in connection with our provision of communications services. In the area of privacy, we are subject to existing, new, and evolving laws and regulations in the markets in which we operate. For instance, certain of our business units are subject to the European Union’s (EU) General Data Protection Regulation (GDPR), which imposes transparency, accountability, data protection, cross-border data transfer, and other obligations on Viasat both as a data controller and a data processor of the personal data of individuals in the EU. Privacy laws and regulations can be subject to differing interpretations and may be inconsistent among jurisdictions. Certain foreign jurisdictions in which we operate also impose requirements related to network management practices, cooperation with local law enforcement agencies, and other matters. A smaller number of foreign jurisdictions in which we operate have adopted laws enabling the government to suspend ISP services in the country.</w:t>
      </w:r>
    </w:p>
    <w:p>
      <w:pPr>
        <w:pStyle w:val="TextBody"/>
        <w:bidi w:val="0"/>
        <w:spacing w:before="240" w:after="0"/>
        <w:jc w:val="center"/>
        <w:rPr>
          <w:rFonts w:ascii="Arial;sans-serif" w:hAnsi="Arial;sans-serif"/>
          <w:b w:val="false"/>
          <w:sz w:val="20"/>
        </w:rPr>
      </w:pPr>
      <w:r>
        <w:rPr>
          <w:rFonts w:ascii="Arial;sans-serif" w:hAnsi="Arial;sans-serif"/>
          <w:b w:val="false"/>
          <w:sz w:val="20"/>
        </w:rPr>
        <w:t>21</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i/>
          <w:sz w:val="20"/>
        </w:rPr>
        <w:t>Equipment Design, Manufacture, and Marketing</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Equipment Testing and Verification.</w:t>
      </w:r>
      <w:r>
        <w:rPr>
          <w:rFonts w:ascii="Times New Roman" w:hAnsi="Times New Roman"/>
          <w:sz w:val="20"/>
        </w:rPr>
        <w:t xml:space="preserve"> </w:t>
      </w:r>
      <w:r>
        <w:rPr>
          <w:rFonts w:ascii="Arial;sans-serif" w:hAnsi="Arial;sans-serif"/>
          <w:b w:val="false"/>
          <w:sz w:val="20"/>
        </w:rPr>
        <w:t>Certain equipment that we manufacture must comply with applicable technical requirements 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Other regulators perform similar functions around the world. These types of requirements typically provide for equipment to be tested either by the manufacturer or by a private testing organization to ensure compliance with the applicable technical requirements. In some cases, the regulator requires submission of an application, which must be approved by the regulator or a private testing organization accredited by the regulator.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Export Controls.</w:t>
      </w:r>
      <w:r>
        <w:rPr>
          <w:rFonts w:ascii="Times New Roman" w:hAnsi="Times New Roman"/>
          <w:sz w:val="20"/>
        </w:rPr>
        <w:t xml:space="preserve"> </w:t>
      </w:r>
      <w:r>
        <w:rPr>
          <w:rFonts w:ascii="Arial;sans-serif" w:hAnsi="Arial;sans-serif"/>
          <w:b w:val="false"/>
          <w:sz w:val="20"/>
        </w:rPr>
        <w:t>Due to the nature and sophistication of our communications products, we must comply with applicable U.S. Government and other agency 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r>
        <w:rPr>
          <w:rFonts w:ascii="Times New Roman" w:hAnsi="Times New Roman"/>
          <w:sz w:val="20"/>
        </w:rPr>
        <w:t xml:space="preserve"> </w:t>
      </w:r>
    </w:p>
    <w:p>
      <w:pPr>
        <w:pStyle w:val="TextBody"/>
        <w:bidi w:val="0"/>
        <w:spacing w:before="270" w:after="0"/>
        <w:jc w:val="left"/>
        <w:rPr>
          <w:rFonts w:ascii="Arial;sans-serif" w:hAnsi="Arial;sans-serif"/>
          <w:b/>
          <w:i/>
          <w:sz w:val="20"/>
        </w:rPr>
      </w:pPr>
      <w:r>
        <w:rPr>
          <w:rFonts w:ascii="Arial;sans-serif" w:hAnsi="Arial;sans-serif"/>
          <w:b/>
          <w:i/>
          <w:sz w:val="20"/>
        </w:rPr>
        <w:t>Aviation-Related Regulation</w:t>
      </w:r>
    </w:p>
    <w:p>
      <w:pPr>
        <w:pStyle w:val="TextBody"/>
        <w:bidi w:val="0"/>
        <w:spacing w:before="90" w:after="0"/>
        <w:jc w:val="left"/>
        <w:rPr>
          <w:rFonts w:ascii="Times New Roman" w:hAnsi="Times New Roman"/>
          <w:sz w:val="20"/>
        </w:rPr>
      </w:pPr>
      <w:r>
        <w:rPr>
          <w:rFonts w:ascii="Arial;sans-serif" w:hAnsi="Arial;sans-serif"/>
          <w:b w:val="false"/>
          <w:i/>
          <w:sz w:val="20"/>
        </w:rPr>
        <w:t>Aircraft Modification</w:t>
      </w:r>
      <w:r>
        <w:rPr>
          <w:rFonts w:ascii="Arial;sans-serif" w:hAnsi="Arial;sans-serif"/>
          <w:b w:val="false"/>
          <w:sz w:val="20"/>
        </w:rPr>
        <w:t>. The Federal Aviation Administration (FAA) is responsible for the regulation and oversight of civil aviation within the United States. The FAA develops and enforces airworthiness standards and regulations that certify the industry’s ability to manufacture aircraft and aircraft components, perform modification and maintenance activities on aircraft, and repair equipment previously installed on aircraft. We interact with the FAA regarding aircraft modification through two main activities: (1) supporting Type Certificate (TC) activity with an aircraft original equipment manufacturer (OEM) to obtain linefit installation certification of our IFC and W-IFE equipment and (2) obtaining a Supplemental Type Certificate (STC) to enable the retrofit installation of our IFC and W-IFE equipment. With respect to TC activity, the OEM is responsible for full certification and FAA regulatory compliance and we are responsible for providing certified equipment to the OEM. With respect to STC activity, we typically use Organization Designation Authorization (ODA) to support holding and maintaining our STCs to ensure FAA regulatory compliance. Our commercial aviation business depends on our ability to interact with the FAA and ODAs, as well as FAA-certified engineering professionals, in order to access data and obtain authorizations and approvals.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Parts Manufacturing Approval</w:t>
      </w:r>
      <w:r>
        <w:rPr>
          <w:rFonts w:ascii="Arial;sans-serif" w:hAnsi="Arial;sans-serif"/>
          <w:b w:val="false"/>
          <w:sz w:val="20"/>
        </w:rPr>
        <w:t>. We have a wide range of products supporting both commercial and business aviation customers. The FAA, under its Part Manufacturing Approval (PMA) program, provides authorization to entities like us and our vendors to manufacture and deliver IFC and W-IFE equipment. These approvals are provided through assigned FAA Manufacturing Inspection District Offices and are subject to strict rules and ongoing oversight. We have been able to obtain PMA on all of our current IFC and W-IFE product offerings due to multiple agreements with both major OEMs for linefit installations and ODAs for retrofit installations.</w:t>
      </w:r>
    </w:p>
    <w:p>
      <w:pPr>
        <w:pStyle w:val="TextBody"/>
        <w:bidi w:val="0"/>
        <w:spacing w:before="180" w:after="0"/>
        <w:jc w:val="left"/>
        <w:rPr>
          <w:rFonts w:ascii="Times New Roman" w:hAnsi="Times New Roman"/>
          <w:sz w:val="20"/>
        </w:rPr>
      </w:pPr>
      <w:r>
        <w:rPr>
          <w:rFonts w:ascii="Arial;sans-serif" w:hAnsi="Arial;sans-serif"/>
          <w:b w:val="false"/>
          <w:i/>
          <w:sz w:val="20"/>
        </w:rPr>
        <w:t>FAA Part 145 Repair Stations</w:t>
      </w:r>
      <w:r>
        <w:rPr>
          <w:rFonts w:ascii="Arial;sans-serif" w:hAnsi="Arial;sans-serif"/>
          <w:b w:val="false"/>
          <w:sz w:val="20"/>
        </w:rPr>
        <w:t>. The FAA has approved several of our locations as 14 CFR Part 145 repair stations, which enables us to provide ongoing support to customers with respect to our IFC and W-IFE systems. These repair stations support both line-replaceable unit (LRU) and line maintenance activities associated with our IFC and W-IFE products. These approvals are provided and overseen by FAA Flight Standards District Offices. We have also obtained European Aviation Safety Agency (EASA) approval for our repair stations dedicated to LRU repair and maintenance for our IFC and W-IFE products.</w:t>
      </w:r>
    </w:p>
    <w:p>
      <w:pPr>
        <w:pStyle w:val="TextBody"/>
        <w:bidi w:val="0"/>
        <w:spacing w:before="240" w:after="0"/>
        <w:jc w:val="center"/>
        <w:rPr>
          <w:rFonts w:ascii="Arial;sans-serif" w:hAnsi="Arial;sans-serif"/>
          <w:b w:val="false"/>
          <w:sz w:val="20"/>
        </w:rPr>
      </w:pPr>
      <w:r>
        <w:rPr>
          <w:rFonts w:ascii="Arial;sans-serif" w:hAnsi="Arial;sans-serif"/>
          <w:b w:val="false"/>
          <w:sz w:val="20"/>
        </w:rPr>
        <w:t>22</w:t>
      </w:r>
    </w:p>
    <w:p>
      <w:pPr>
        <w:pStyle w:val="HorizontalLine"/>
        <w:pBdr>
          <w:bottom w:val="double" w:sz="2" w:space="0" w:color="808080"/>
        </w:pBdr>
        <w:bidi w:val="0"/>
        <w:spacing w:before="0" w:after="283"/>
        <w:jc w:val="left"/>
        <w:rPr/>
      </w:pPr>
      <w:r>
        <w:rPr/>
      </w:r>
    </w:p>
    <w:p>
      <w:pPr>
        <w:pStyle w:val="TextBody"/>
        <w:bidi w:val="0"/>
        <w:spacing w:before="270" w:after="0"/>
        <w:jc w:val="left"/>
        <w:rPr>
          <w:rFonts w:ascii="Arial;sans-serif" w:hAnsi="Arial;sans-serif"/>
          <w:b/>
          <w:i/>
          <w:sz w:val="20"/>
        </w:rPr>
      </w:pPr>
      <w:r>
        <w:rPr>
          <w:rFonts w:ascii="Arial;sans-serif" w:hAnsi="Arial;sans-serif"/>
          <w:b/>
          <w:i/>
          <w:sz w:val="20"/>
        </w:rPr>
        <w:t>Environmental Regulations</w:t>
      </w:r>
    </w:p>
    <w:p>
      <w:pPr>
        <w:pStyle w:val="TextBody"/>
        <w:bidi w:val="0"/>
        <w:spacing w:before="90" w:after="0"/>
        <w:jc w:val="left"/>
        <w:rPr>
          <w:rFonts w:ascii="Times New Roman" w:hAnsi="Times New Roman"/>
          <w:sz w:val="20"/>
        </w:rPr>
      </w:pPr>
      <w:r>
        <w:rPr>
          <w:rFonts w:ascii="Arial;sans-serif" w:hAnsi="Arial;sans-serif"/>
          <w:b w:val="false"/>
          <w:sz w:val="20"/>
        </w:rPr>
        <w:t>We are subject to a variety of U.S. and international regulations relating to the storage, discharge, handling, emission, generation, manufacture and disposal of toxic or other hazardous substances used to manufacture our products. In addition, we could be affected by future U.S. or international laws or regulations imposed in response to concerns over climate change, and we monitor developments in environmental and climate-related laws and regulations and their potential impact to our business and financial condition. The failure to comply with current or future laws or regulations could result in the imposition of substantial fines on us, suspension of production, alteration of our manufacturing processes or cessation of operations. To date, the current regulations have not had a material effect on our business, as we have neither incurred significant costs to maintain compliance nor to remedy past noncompliance, and we do not expect such regulations to have a material effect on our business in the current fiscal year.</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Other Regulations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pStyle w:val="TextBody"/>
        <w:bidi w:val="0"/>
        <w:spacing w:before="270" w:after="0"/>
        <w:jc w:val="left"/>
        <w:rPr>
          <w:rFonts w:ascii="Times New Roman" w:hAnsi="Times New Roman"/>
          <w:sz w:val="20"/>
        </w:rPr>
      </w:pPr>
      <w:r>
        <w:rPr>
          <w:rFonts w:ascii="Arial;sans-serif" w:hAnsi="Arial;sans-serif"/>
          <w:b/>
          <w:sz w:val="20"/>
        </w:rPr>
        <w:t>Seasonality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our satellite services segment, historically subscriber activity for our fixed broadband services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availability of capacity, promotional and subscriber retention efforts, changes in our resellers, distributors and wholesalers, changes in the competitive landscape, economic conditions, and changes in credit check and subscriber approval processes. In addition, we typically see increased demand for our IFC services from airline passengers during peak holiday and summer travel periods.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Our commercial networks segment is not generally affected by seasonal impacts. In our government systems segment, our results are impacted by various factors including the timing of contract awards (with the second quarter of our fiscal year, for example, typically receiving a greater number of government contract awards) and the timing and availability of U.S. Government funding, as well as the timing of product deliveries and customer acceptance.</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Availability of Public Reports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 xml:space="preserve">Through a link on the Investor Relations section of our website at </w:t>
      </w:r>
      <w:r>
        <w:rPr>
          <w:rFonts w:ascii="Arial;sans-serif" w:hAnsi="Arial;sans-serif"/>
          <w:b w:val="false"/>
          <w:i/>
          <w:sz w:val="20"/>
        </w:rPr>
        <w:t xml:space="preserve">www.viasat.com, </w:t>
      </w:r>
      <w:r>
        <w:rPr>
          <w:rFonts w:ascii="Arial;sans-serif" w:hAnsi="Arial;sans-serif"/>
          <w:b w:val="false"/>
          <w:sz w:val="20"/>
        </w:rPr>
        <w:t xml:space="preserve">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sans-serif" w:hAnsi="Arial;sans-serif"/>
          <w:b w:val="false"/>
          <w:i/>
          <w:sz w:val="20"/>
        </w:rPr>
        <w:t>www.sec.gov</w:t>
      </w:r>
      <w:r>
        <w:rPr>
          <w:rFonts w:ascii="Arial;sans-serif" w:hAnsi="Arial;sans-serif"/>
          <w:b w:val="false"/>
          <w:sz w:val="20"/>
        </w:rPr>
        <w: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23</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We webcast our earnings calls and post the materials used in meetings with members of the investment community on the Investor Relations section of our website. Additionally, we provide notifications of news or announcements regarding our financial performance, including SEC filings, investor events and press and earnings releases on the Investor Relations section of our website. We also use the Investor Relations section of our website as a means of disclosing material non-public information and for complying with our disclosure obligations under Regulation FD. Accordingly, investors should monitor the Investor Relations section of our website, in addition to following our press releases, SEC filings and public conference calls and webcasts. Information relating to our corporate governance, including our certificate of incorporation, bylaws, corporate governance guidelines, board committee charters and guide to business conduct, is also included on the Investor Relations section of our website. The information contained on, or that may be accessed through, our website is neither incorporated by reference into nor made a part of this report.</w:t>
      </w:r>
    </w:p>
    <w:p>
      <w:pPr>
        <w:pStyle w:val="TextBody"/>
        <w:bidi w:val="0"/>
        <w:spacing w:before="270" w:after="0"/>
        <w:jc w:val="left"/>
        <w:rPr>
          <w:rFonts w:ascii="Arial;sans-serif" w:hAnsi="Arial;sans-serif"/>
          <w:b/>
          <w:sz w:val="20"/>
        </w:rPr>
      </w:pPr>
      <w:r>
        <w:rPr>
          <w:rFonts w:ascii="Arial;sans-serif" w:hAnsi="Arial;sans-serif"/>
          <w:b/>
          <w:sz w:val="20"/>
        </w:rPr>
        <w:t>Human Capital</w:t>
      </w:r>
    </w:p>
    <w:p>
      <w:pPr>
        <w:pStyle w:val="TextBody"/>
        <w:bidi w:val="0"/>
        <w:spacing w:before="90" w:after="0"/>
        <w:jc w:val="left"/>
        <w:rPr>
          <w:rFonts w:ascii="Times New Roman" w:hAnsi="Times New Roman"/>
          <w:sz w:val="20"/>
        </w:rPr>
      </w:pPr>
      <w:r>
        <w:rPr>
          <w:rFonts w:ascii="Arial;sans-serif" w:hAnsi="Arial;sans-serif"/>
          <w:b w:val="false"/>
          <w:i/>
          <w:sz w:val="20"/>
        </w:rPr>
        <w:t>Employees.</w:t>
      </w:r>
      <w:r>
        <w:rPr>
          <w:rFonts w:ascii="Times New Roman" w:hAnsi="Times New Roman"/>
          <w:sz w:val="20"/>
        </w:rPr>
        <w:t xml:space="preserve"> </w:t>
      </w:r>
      <w:r>
        <w:rPr>
          <w:rFonts w:ascii="Arial;sans-serif" w:hAnsi="Arial;sans-serif"/>
          <w:b w:val="false"/>
          <w:sz w:val="20"/>
        </w:rPr>
        <w:t>As of March 31, 2023, we employed approximately 6,800 individuals worldwide, with 81% of our workforce located in the United States. We consistently engage with our employees and generally consider the relationships with our employees to be positive, with a significant majority stating that they are proud to work at Viasat. Competition for technical personnel in our industry is intense. We believe our future success depends in part on our continued ability to attract, hire, engage and retain qualified personnel.</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Human Capital Resources.</w:t>
      </w:r>
      <w:r>
        <w:rPr>
          <w:rFonts w:ascii="Times New Roman" w:hAnsi="Times New Roman"/>
          <w:sz w:val="20"/>
        </w:rPr>
        <w:t xml:space="preserve"> </w:t>
      </w:r>
      <w:r>
        <w:rPr>
          <w:rFonts w:ascii="Arial;sans-serif" w:hAnsi="Arial;sans-serif"/>
          <w:b w:val="false"/>
          <w:sz w:val="20"/>
        </w:rPr>
        <w:t>Viasat has a long history of putting people first. We believe that one of the most important investments we make is in our people. Our mission to connect the world depends on our ability to come together as one team to make a positive impact. As a global team, we take pride in our culture of teamwork, trust and collaboration. We prioritize our employees’ health and well-being to ensure we are all able to do our best work. For example, in response to the COVID-19 pandemic, we quickly transitioned teams to a work-from-home model and equipped them with the resources to perform their jobs safely. For certain employees, whose roles needed to be performed onsite, we deployed a robust set of safety protocols aligned with then-current medical best practices and government mandates. We also introduced additional resources and benefits, including mental health and well-being resources and paid time off for COVID-19-related issues.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Our key pillars of human capital management are ensuring the health and safety of our employees, developing talented people, fostering diversity and inclusion and engaging communities. We believe that our long-term success is in large part dependent on our success across these dimensions, and we will continue to invest in and prioritize these areas in the future.</w:t>
      </w:r>
    </w:p>
    <w:p>
      <w:pPr>
        <w:pStyle w:val="TextBody"/>
        <w:bidi w:val="0"/>
        <w:spacing w:before="180" w:after="0"/>
        <w:jc w:val="left"/>
        <w:rPr>
          <w:rFonts w:ascii="Times New Roman" w:hAnsi="Times New Roman"/>
          <w:sz w:val="20"/>
        </w:rPr>
      </w:pPr>
      <w:r>
        <w:rPr>
          <w:rFonts w:ascii="Arial;sans-serif" w:hAnsi="Arial;sans-serif"/>
          <w:b w:val="false"/>
          <w:i/>
          <w:sz w:val="20"/>
        </w:rPr>
        <w:t xml:space="preserve">Diversity, Equity and Inclusion. </w:t>
      </w:r>
      <w:r>
        <w:rPr>
          <w:rFonts w:ascii="Arial;sans-serif" w:hAnsi="Arial;sans-serif"/>
          <w:b w:val="false"/>
          <w:sz w:val="20"/>
        </w:rPr>
        <w:t>The diversity of our employees is one of our most treasured assets. Our strategy for diversity, equity, and inclusion (DEI) is to embed and embrace DEI in everything we do, from how we approach talent to our overall business strategy.</w:t>
      </w:r>
      <w:r>
        <w:rPr>
          <w:rFonts w:ascii="Times New Roman" w:hAnsi="Times New Roman"/>
          <w:sz w:val="20"/>
        </w:rPr>
        <w:t xml:space="preserve"> </w:t>
      </w:r>
      <w:r>
        <w:rPr>
          <w:rFonts w:ascii="Arial;sans-serif" w:hAnsi="Arial;sans-serif"/>
          <w:b w:val="false"/>
          <w:sz w:val="20"/>
        </w:rPr>
        <w:t>We understand that an authentic commitment to DEI starts with inclusive and equitable recruitment and talent development practices. In fiscal year 2022, we began applying hiring attribute lenses to recruitment practices to enable a more effective assessment of candidates to the talent needs of Viasat. To date, we have nine active employee resource groups designed to build meaningful connections among employees around shared experiences, cultures and interests.</w:t>
      </w:r>
    </w:p>
    <w:p>
      <w:pPr>
        <w:pStyle w:val="TextBody"/>
        <w:bidi w:val="0"/>
        <w:spacing w:before="240" w:after="0"/>
        <w:jc w:val="center"/>
        <w:rPr>
          <w:rFonts w:ascii="Arial;sans-serif" w:hAnsi="Arial;sans-serif"/>
          <w:b w:val="false"/>
          <w:sz w:val="20"/>
        </w:rPr>
      </w:pPr>
      <w:r>
        <w:rPr>
          <w:rFonts w:ascii="Arial;sans-serif" w:hAnsi="Arial;sans-serif"/>
          <w:b w:val="false"/>
          <w:sz w:val="20"/>
        </w:rPr>
        <w:t>24</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sz w:val="20"/>
        </w:rPr>
        <w:t>Executive Officers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Set forth below is information concerning our executive officers and their ages:</w:t>
      </w:r>
      <w:r>
        <w:rPr>
          <w:rFonts w:ascii="Times New Roman" w:hAnsi="Times New Roman"/>
          <w:sz w:val="20"/>
        </w:rPr>
        <w:t xml:space="preserve"> </w:t>
      </w:r>
    </w:p>
    <w:tbl>
      <w:tblPr>
        <w:tblW w:w="9370" w:type="dxa"/>
        <w:jc w:val="left"/>
        <w:tblInd w:w="0" w:type="dxa"/>
        <w:tblLayout w:type="fixed"/>
        <w:tblCellMar>
          <w:top w:w="28" w:type="dxa"/>
          <w:left w:w="28" w:type="dxa"/>
          <w:bottom w:w="28" w:type="dxa"/>
          <w:right w:w="28" w:type="dxa"/>
        </w:tblCellMar>
      </w:tblPr>
      <w:tblGrid>
        <w:gridCol w:w="1831"/>
        <w:gridCol w:w="146"/>
        <w:gridCol w:w="466"/>
        <w:gridCol w:w="146"/>
        <w:gridCol w:w="678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Position</w:t>
            </w:r>
          </w:p>
        </w:tc>
      </w:tr>
      <w:tr>
        <w:trPr/>
        <w:tc>
          <w:tcPr>
            <w:tcW w:w="183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Mark Dankberg</w:t>
            </w:r>
            <w:r>
              <w:rPr>
                <w:rFonts w:ascii="Times New Roman" w:hAnsi="Times New Roman"/>
                <w:sz w:val="20"/>
              </w:rPr>
              <w:t xml:space="preserve"> </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68</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Chairman of the Board and Chief Executive Officer</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Richard Baldridge</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65</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Vice Chairman and Board Director</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Robert Blair</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48</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Vice President, General Counsel and Secretary</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Girish Chandran</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58</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Technical Officer</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Evan Dixon</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41</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President, Global Fixed Broadband</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James Dodd</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61</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Vice President and President, Global Enterprise &amp; Mobility</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Shawn Duffy</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53</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Vice President and Chief Financial Officer</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K. Guru Gowrappan</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42</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President</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Kevin Harkenrider</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67</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Vice President and Chief Operating Officer</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Keven Lippert</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51</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Vice President, Strategic Initiatives and Chief Commercial Officer</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Craig Miller</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51</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President, Government Systems</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Miller</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63</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Vice President and Chief Technical Officer</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Krishna Nathan</w:t>
            </w:r>
          </w:p>
        </w:tc>
        <w:tc>
          <w:tcPr>
            <w:tcW w:w="146" w:type="dxa"/>
            <w:tcBorders/>
            <w:vAlign w:val="center"/>
          </w:tcPr>
          <w:p>
            <w:pPr>
              <w:pStyle w:val="TableContents"/>
              <w:bidi w:val="0"/>
              <w:spacing w:before="0" w:after="15"/>
              <w:ind w:left="0" w:right="0" w:hanging="0"/>
              <w:jc w:val="left"/>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61</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Information Officer</w:t>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David Ryan</w:t>
            </w:r>
          </w:p>
        </w:tc>
        <w:tc>
          <w:tcPr>
            <w:tcW w:w="146" w:type="dxa"/>
            <w:tcBorders/>
            <w:vAlign w:val="center"/>
          </w:tcPr>
          <w:p>
            <w:pPr>
              <w:pStyle w:val="TableContents"/>
              <w:bidi w:val="0"/>
              <w:spacing w:before="0" w:after="15"/>
              <w:ind w:left="0" w:right="0" w:hanging="0"/>
              <w:jc w:val="center"/>
              <w:rPr/>
            </w:pPr>
            <w:r>
              <w:rPr/>
              <w:t> </w:t>
            </w:r>
          </w:p>
        </w:tc>
        <w:tc>
          <w:tcPr>
            <w:tcW w:w="466" w:type="dxa"/>
            <w:tcBorders/>
            <w:vAlign w:val="center"/>
          </w:tcPr>
          <w:p>
            <w:pPr>
              <w:pStyle w:val="TableContents"/>
              <w:bidi w:val="0"/>
              <w:spacing w:before="0" w:after="0"/>
              <w:ind w:left="0" w:right="0" w:firstLine="111"/>
              <w:jc w:val="center"/>
              <w:rPr>
                <w:rFonts w:ascii="Arial;sans-serif" w:hAnsi="Arial;sans-serif"/>
                <w:b w:val="false"/>
                <w:sz w:val="20"/>
              </w:rPr>
            </w:pPr>
            <w:r>
              <w:rPr>
                <w:rFonts w:ascii="Arial;sans-serif" w:hAnsi="Arial;sans-serif"/>
                <w:b w:val="false"/>
                <w:sz w:val="20"/>
              </w:rPr>
              <w:t>68</w:t>
            </w:r>
          </w:p>
        </w:tc>
        <w:tc>
          <w:tcPr>
            <w:tcW w:w="146" w:type="dxa"/>
            <w:tcBorders/>
            <w:vAlign w:val="center"/>
          </w:tcPr>
          <w:p>
            <w:pPr>
              <w:pStyle w:val="TableContents"/>
              <w:bidi w:val="0"/>
              <w:spacing w:before="0" w:after="0"/>
              <w:ind w:left="111" w:right="0" w:hanging="0"/>
              <w:jc w:val="left"/>
              <w:rPr/>
            </w:pPr>
            <w:r>
              <w:rPr/>
              <w:t> </w:t>
            </w:r>
          </w:p>
        </w:tc>
        <w:tc>
          <w:tcPr>
            <w:tcW w:w="67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Vice President and President, Space &amp; Commercial Networks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i/>
          <w:sz w:val="20"/>
        </w:rPr>
        <w:t>Mark Dankberg</w:t>
      </w:r>
      <w:r>
        <w:rPr>
          <w:rFonts w:ascii="Times New Roman" w:hAnsi="Times New Roman"/>
          <w:sz w:val="20"/>
        </w:rPr>
        <w:t xml:space="preserve"> </w:t>
      </w:r>
      <w:r>
        <w:rPr>
          <w:rFonts w:ascii="Arial;sans-serif" w:hAnsi="Arial;sans-serif"/>
          <w:b w:val="false"/>
          <w:sz w:val="20"/>
        </w:rPr>
        <w:t>is a founder of Viasat and has served as Chairman of the Board and Chief Executive Officer since its inception in May 1986, except for the period from November 2020 to June 2022 when he served as Executive Chairman. Mr. Dankberg provides Viasat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currently serves on the board of Lytx, Inc., a privately-held company that provides fleet safety management solutions.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Richard Baldridge</w:t>
      </w:r>
      <w:r>
        <w:rPr>
          <w:rFonts w:ascii="Times New Roman" w:hAnsi="Times New Roman"/>
          <w:sz w:val="20"/>
        </w:rPr>
        <w:t xml:space="preserve"> </w:t>
      </w:r>
      <w:r>
        <w:rPr>
          <w:rFonts w:ascii="Arial;sans-serif" w:hAnsi="Arial;sans-serif"/>
          <w:b w:val="false"/>
          <w:sz w:val="20"/>
        </w:rPr>
        <w:t>joined Viasat in April 1999, and currently serves as our Vice Chairman. Previously, he served as our Executive Vice President, Chief Financial Officer and Chief Operating Officer from 2000, as our Executive Vice President and Chief Operating Officer from 2002, as our President and Chief Operating Officer from 2003, and as our President and Chief Executive Officer from November 2020 until he assumed his current role of Vice Chairman in July 2022. Mr. Baldridge has also served on our Board of Directors since 2016.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pStyle w:val="TextBody"/>
        <w:bidi w:val="0"/>
        <w:spacing w:before="240" w:after="0"/>
        <w:jc w:val="center"/>
        <w:rPr>
          <w:rFonts w:ascii="Arial;sans-serif" w:hAnsi="Arial;sans-serif"/>
          <w:b w:val="false"/>
          <w:sz w:val="20"/>
        </w:rPr>
      </w:pPr>
      <w:r>
        <w:rPr>
          <w:rFonts w:ascii="Arial;sans-serif" w:hAnsi="Arial;sans-serif"/>
          <w:b w:val="false"/>
          <w:sz w:val="20"/>
        </w:rPr>
        <w:t>25</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i/>
          <w:sz w:val="20"/>
        </w:rPr>
        <w:t xml:space="preserve">Robert Blair </w:t>
      </w:r>
      <w:r>
        <w:rPr>
          <w:rFonts w:ascii="Arial;sans-serif" w:hAnsi="Arial;sans-serif"/>
          <w:b w:val="false"/>
          <w:sz w:val="20"/>
        </w:rPr>
        <w:t>joined Viasat in May 2008 as Assistant General Counsel. In April 2009, Mr. Blair was appointed Associate General Counsel and in 2014 was appointed Vice President and Deputy General Counsel. In May 2017, Mr. Blair served as Vice President, General Counsel and Secretary beginning in May 2017 and assumed his current position as Senior Vice President, General Counsel and Secretary in December 2021.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Girish Chandran</w:t>
      </w:r>
      <w:r>
        <w:rPr>
          <w:rFonts w:ascii="Times New Roman" w:hAnsi="Times New Roman"/>
          <w:sz w:val="20"/>
        </w:rPr>
        <w:t xml:space="preserve"> </w:t>
      </w:r>
      <w:r>
        <w:rPr>
          <w:rFonts w:ascii="Arial;sans-serif" w:hAnsi="Arial;sans-serif"/>
          <w:b w:val="false"/>
          <w:sz w:val="20"/>
        </w:rPr>
        <w:t>joined Viasat in October 2007 as a Principal Engineer. In September 2013, Mr. Chandran was appointed Chief Technology Officer — Commercial Networks. In May 2017, he assumed his current position as Chief Technical Officer. 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 xml:space="preserve">Evan Dixon </w:t>
      </w:r>
      <w:r>
        <w:rPr>
          <w:rFonts w:ascii="Arial;sans-serif" w:hAnsi="Arial;sans-serif"/>
          <w:b w:val="false"/>
          <w:sz w:val="20"/>
        </w:rPr>
        <w:t>joined Viasat in 2015 and served as Deputy CEO and Chief Marketing Officer of Euro Broadband Infrastructure Sàrl (which was at that time 49% owned by Viasat). In March 2018, he was appointed Vice President and General Manager of Viasat Europe, and in March 2020, he was appointed President, Global Fixed Broadband. Mr. Dixon previously held senior management positions at DIRECTV, a satellite television company, and AT&amp;T Inc., a telecommunications company. Mr. Dixon holds a B.S. degree in Business Administration from the University of Colorado and an M.B.A. degree from Pepperdine University.</w:t>
      </w:r>
    </w:p>
    <w:p>
      <w:pPr>
        <w:pStyle w:val="TextBody"/>
        <w:bidi w:val="0"/>
        <w:spacing w:before="180" w:after="0"/>
        <w:jc w:val="left"/>
        <w:rPr>
          <w:rFonts w:ascii="Times New Roman" w:hAnsi="Times New Roman"/>
          <w:sz w:val="20"/>
        </w:rPr>
      </w:pPr>
      <w:r>
        <w:rPr>
          <w:rFonts w:ascii="Arial;sans-serif" w:hAnsi="Arial;sans-serif"/>
          <w:b w:val="false"/>
          <w:i/>
          <w:sz w:val="20"/>
        </w:rPr>
        <w:t xml:space="preserve">James Dodd </w:t>
      </w:r>
      <w:r>
        <w:rPr>
          <w:rFonts w:ascii="Arial;sans-serif" w:hAnsi="Arial;sans-serif"/>
          <w:b w:val="false"/>
          <w:sz w:val="20"/>
        </w:rPr>
        <w:t>joined Viasat in March 2020 as President, Global Mobile Solutions. In December 2020, he assumed his current position as Senior Vice President and President, Global Enterprise &amp; Mobility. Prior to joining Viasat, Mr. Dodd held a number of senior-level aviation management and engineering roles at Boeing, focused on complex Department of Defense and international contracted programs, overseeing strategic planning, execution, engineering and business development. Mr. Dodd was retired from October 2016 to February 2020, and at Boeing served as Vice President and Program Manager – Mobility, Surveillance and Engagement from 2015 to September 2016, Vice President and Program Manager – Weapons and Missile Systems from 2013 to 2014, and Vice President and Program Manager – Phantom Works, Advanced Boeing Military Aircraft from 2011 to 2012. Mr. Dodd earned an M.B.A. degree from Seattle University and a B.S. degree in Physics from Arkansas State University.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 xml:space="preserve">Shawn Duffy </w:t>
      </w:r>
      <w:r>
        <w:rPr>
          <w:rFonts w:ascii="Arial;sans-serif" w:hAnsi="Arial;sans-serif"/>
          <w:b w:val="false"/>
          <w:sz w:val="20"/>
        </w:rPr>
        <w:t>joined Viasat in 2005 as Corporate Controller. In 2009, she was appointed Viasat’s Vice President and Corporate Controller and in 2012 was 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26</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i/>
          <w:sz w:val="20"/>
        </w:rPr>
        <w:t>K. Guru Gowrappan</w:t>
      </w:r>
      <w:r>
        <w:rPr>
          <w:rFonts w:ascii="Times New Roman" w:hAnsi="Times New Roman"/>
          <w:sz w:val="20"/>
        </w:rPr>
        <w:t xml:space="preserve"> </w:t>
      </w:r>
      <w:r>
        <w:rPr>
          <w:rFonts w:ascii="Arial;sans-serif" w:hAnsi="Arial;sans-serif"/>
          <w:b w:val="false"/>
          <w:sz w:val="20"/>
        </w:rPr>
        <w:t>joined Viasat in April 2023 as President. Mr. Gowrappan is a co-founder of Bali Venture Partners, a privately held company that invests in early and growth stage enterprises. From October 2018 until September 2021, Mr. Gowrappan served as Chief Executive Officer of Verizon Media Group, the media division of Verizon Communications, Inc., a telecommunications company. He joined Verizon in April 2018 as President and Chief Operating Officer of Oath, Inc. From 2015 until joining Verizon in 2018, he held the position of Global Managing Director at the Alibaba Group, a multinational e-commerce company. Previously, Mr. Gowrappan served as Chief Operating Officer at Quixey, a mobile technology company, and Chief Operating Officer for Growth and Emerging Initiatives at Zynga Inc., a video game developer. Mr. Gowrappan currently serves on the boards of Bank of New York Mellon Corp (NYSE: BK) and Water.org, a global nonprofit focused on access to safe water and sanitation. Mr. Gowrappan earned an M.S. degree in Computer Science from the University of Southern California and completed the Business Bridge Program with the Tuck School of Business at Dartmouth College. He also holds a bachelor’s degree from the University of Madras in Chennai, India.</w:t>
      </w:r>
    </w:p>
    <w:p>
      <w:pPr>
        <w:pStyle w:val="TextBody"/>
        <w:bidi w:val="0"/>
        <w:spacing w:before="180" w:after="0"/>
        <w:jc w:val="left"/>
        <w:rPr>
          <w:rFonts w:ascii="Times New Roman" w:hAnsi="Times New Roman"/>
          <w:sz w:val="20"/>
        </w:rPr>
      </w:pPr>
      <w:r>
        <w:rPr>
          <w:rFonts w:ascii="Arial;sans-serif" w:hAnsi="Arial;sans-serif"/>
          <w:b w:val="false"/>
          <w:i/>
          <w:sz w:val="20"/>
        </w:rPr>
        <w:t>Kevin Harkenrider</w:t>
      </w:r>
      <w:r>
        <w:rPr>
          <w:rFonts w:ascii="Times New Roman" w:hAnsi="Times New Roman"/>
          <w:sz w:val="20"/>
        </w:rPr>
        <w:t xml:space="preserve"> </w:t>
      </w:r>
      <w:r>
        <w:rPr>
          <w:rFonts w:ascii="Arial;sans-serif" w:hAnsi="Arial;sans-serif"/>
          <w:b w:val="false"/>
          <w:sz w:val="20"/>
        </w:rPr>
        <w:t>joined Viasat in October 2006 as Director — Operations, served as Vice President — Operations from January 2007 until December 2009, served as Vice President of Viasat and Chief Operating Officer of Viasat Communications Inc. from December 2009 to April 2011, as Senior Vice President — Infrastructure Operations from April 2011 to May 2012, as Senior Vice President — Broadband Services from May 2012 to May 2015, as Senior Vice President — Commercial Networks from May 2015 to May 2018, as Senior Vice President and President, Broadband Systems from May 2018 until March 2020, and as Executive Vice President – Global Operations and Chief Operations Officer from March 2020 until November 2021. Mr. Harkenrider assumed his current position as Executive Vice President and Chief Operating Officer in November 2021.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pStyle w:val="TextBody"/>
        <w:bidi w:val="0"/>
        <w:spacing w:before="180" w:after="0"/>
        <w:jc w:val="left"/>
        <w:rPr>
          <w:rFonts w:ascii="Times New Roman" w:hAnsi="Times New Roman"/>
          <w:sz w:val="20"/>
        </w:rPr>
      </w:pPr>
      <w:r>
        <w:rPr>
          <w:rFonts w:ascii="Arial;sans-serif" w:hAnsi="Arial;sans-serif"/>
          <w:b w:val="false"/>
          <w:i/>
          <w:sz w:val="20"/>
        </w:rPr>
        <w:t xml:space="preserve">Keven Lippert </w:t>
      </w:r>
      <w:r>
        <w:rPr>
          <w:rFonts w:ascii="Arial;sans-serif" w:hAnsi="Arial;sans-serif"/>
          <w:b w:val="false"/>
          <w:sz w:val="20"/>
        </w:rPr>
        <w:t>joined Viasat in May 2000 as Associate General Counsel and Assistant Secretary. In April 2007, he was appointed Viasat’s Vice President, General Counsel and Secretary, in 2012 he was appointed Senior Vice President — General Counsel and Secretary, and in June 2014 he was appointed Executive Vice President — General Counsel and Secretary. In May 2017, he was appointed President, Broadband Services and Chief Legal Officer, and in May 2018, he was appointed Executive Vice President, Corporate Development and Chief Administrative Officer. Effective September 2018, he assumed his current position as Executive Vice President, Strategic Initiatives and Chief Commercial Officer. Prior to joining Viasat, Mr. Lippert was a corporate associate at the law firm of Latham &amp; Watkins LLP. Mr. Lippert holds a J.D. degree from the University of Michigan and a B.S. degree in Business Administration from the University of California, Berkeley.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 xml:space="preserve">Craig Miller </w:t>
      </w:r>
      <w:r>
        <w:rPr>
          <w:rFonts w:ascii="Arial;sans-serif" w:hAnsi="Arial;sans-serif"/>
          <w:b w:val="false"/>
          <w:sz w:val="20"/>
        </w:rPr>
        <w:t>joined Viasat in 1995 and has held numerous technology, business and strategic leadership roles. In January 2015, Mr. Miller was appointed Chief Technology Officer, Government Systems, and in May 2021, he was promoted to President, Government Systems. Mr. Miller holds a B.S. degree in Electrical Engineering from the University of Arizona.</w:t>
      </w:r>
    </w:p>
    <w:p>
      <w:pPr>
        <w:pStyle w:val="TextBody"/>
        <w:bidi w:val="0"/>
        <w:spacing w:before="180" w:after="0"/>
        <w:jc w:val="left"/>
        <w:rPr>
          <w:rFonts w:ascii="Times New Roman" w:hAnsi="Times New Roman"/>
          <w:sz w:val="20"/>
        </w:rPr>
      </w:pPr>
      <w:r>
        <w:rPr>
          <w:rFonts w:ascii="Arial;sans-serif" w:hAnsi="Arial;sans-serif"/>
          <w:b w:val="false"/>
          <w:i/>
          <w:sz w:val="20"/>
        </w:rPr>
        <w:t xml:space="preserve">Mark Miller </w:t>
      </w:r>
      <w:r>
        <w:rPr>
          <w:rFonts w:ascii="Arial;sans-serif" w:hAnsi="Arial;sans-serif"/>
          <w:b w:val="false"/>
          <w:sz w:val="20"/>
        </w:rPr>
        <w:t>is a founder of Viasat and served as Vice President and Chief Technical Officer of Viasat from March 1993 to June 2014, when he assumed 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 xml:space="preserve">Krishna Nathan </w:t>
      </w:r>
      <w:r>
        <w:rPr>
          <w:rFonts w:ascii="Arial;sans-serif" w:hAnsi="Arial;sans-serif"/>
          <w:b w:val="false"/>
          <w:sz w:val="20"/>
        </w:rPr>
        <w:t>joined Viasat in September 2019 as its Chief Information Officer. Mr. Nathan previously held senior leadership roles at S&amp;P Global, a financial information and analytics company, and IBM, a technology company. Mr. Nathan holds a B.S. degree in Electrical Engineering from George Washington University, an M.S. degree in Electrical Engineering from M.I.T. and a Ph.D. degree in Engineering from Brown University.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David Ryan</w:t>
      </w:r>
      <w:r>
        <w:rPr>
          <w:rFonts w:ascii="Times New Roman" w:hAnsi="Times New Roman"/>
          <w:sz w:val="20"/>
        </w:rPr>
        <w:t xml:space="preserve"> </w:t>
      </w:r>
      <w:r>
        <w:rPr>
          <w:rFonts w:ascii="Arial;sans-serif" w:hAnsi="Arial;sans-serif"/>
          <w:b w:val="false"/>
          <w:sz w:val="20"/>
        </w:rPr>
        <w:t>joined Viasat in May 2016 as Vice President — Intelligence Programs, was appointed Senior Vice President and President, Space Systems in March 2018, and was appointed Senior Vice President and President, Space &amp; Commercial Networks in March 2019. Prior to joining Viasat, Mr. Ryan held several roles at Northrop Grumman Corporation from 2005 to 2014, including Sector Vice President and General Manager of the Intelligence Systems Division. He also served in various roles at Boeing from 1990 to 2005, including President of Boeing Satellite Systems International. Mr. Ryan earned a B.S.E.E and an M.E.E degree from Rice University.</w:t>
      </w:r>
    </w:p>
    <w:p>
      <w:pPr>
        <w:pStyle w:val="TextBody"/>
        <w:bidi w:val="0"/>
        <w:spacing w:before="240" w:after="0"/>
        <w:jc w:val="center"/>
        <w:rPr>
          <w:rFonts w:ascii="Arial;sans-serif" w:hAnsi="Arial;sans-serif"/>
          <w:b w:val="false"/>
          <w:sz w:val="20"/>
        </w:rPr>
      </w:pPr>
      <w:r>
        <w:rPr>
          <w:rFonts w:ascii="Arial;sans-serif" w:hAnsi="Arial;sans-serif"/>
          <w:b w:val="false"/>
          <w:sz w:val="20"/>
        </w:rPr>
        <w:t>27</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bookmarkStart w:id="4" w:name="item_1a_risk_factors"/>
      <w:bookmarkEnd w:id="4"/>
      <w:r>
        <w:rPr>
          <w:rFonts w:ascii="Arial;sans-serif" w:hAnsi="Arial;sans-serif"/>
          <w:b/>
          <w:sz w:val="20"/>
        </w:rPr>
        <w:t>ITEM 1A.</w:t>
      </w:r>
      <w:r>
        <w:rPr>
          <w:rFonts w:ascii="Times New Roman" w:hAnsi="Times New Roman"/>
          <w:sz w:val="20"/>
        </w:rPr>
        <w:t xml:space="preserve"> </w:t>
      </w:r>
      <w:r>
        <w:rPr>
          <w:rFonts w:ascii="Arial;sans-serif" w:hAnsi="Arial;sans-serif"/>
          <w:b/>
          <w:i/>
          <w:sz w:val="20"/>
        </w:rPr>
        <w:t>RISK FACTORS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r>
        <w:rPr>
          <w:rFonts w:ascii="Times New Roman" w:hAnsi="Times New Roman"/>
          <w:sz w:val="20"/>
        </w:rPr>
        <w:t xml:space="preserve"> </w:t>
      </w:r>
    </w:p>
    <w:p>
      <w:pPr>
        <w:pStyle w:val="TextBody"/>
        <w:bidi w:val="0"/>
        <w:spacing w:before="120" w:after="0"/>
        <w:jc w:val="left"/>
        <w:rPr>
          <w:rFonts w:ascii="Arial;sans-serif" w:hAnsi="Arial;sans-serif"/>
          <w:b/>
          <w:sz w:val="20"/>
        </w:rPr>
      </w:pPr>
      <w:r>
        <w:rPr>
          <w:rFonts w:ascii="Arial;sans-serif" w:hAnsi="Arial;sans-serif"/>
          <w:b/>
          <w:sz w:val="20"/>
        </w:rPr>
        <w:t>Risks Related to Our Satellites and Business</w:t>
      </w:r>
    </w:p>
    <w:p>
      <w:pPr>
        <w:pStyle w:val="TextBody"/>
        <w:bidi w:val="0"/>
        <w:spacing w:before="90" w:after="0"/>
        <w:jc w:val="left"/>
        <w:rPr>
          <w:rFonts w:ascii="Times New Roman" w:hAnsi="Times New Roman"/>
          <w:sz w:val="20"/>
        </w:rPr>
      </w:pPr>
      <w:r>
        <w:rPr>
          <w:rFonts w:ascii="Arial;sans-serif" w:hAnsi="Arial;sans-serif"/>
          <w:b/>
          <w:sz w:val="20"/>
        </w:rPr>
        <w:t>Our Operating Results Are Difficult to Predict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operating results have varied significantly from quarter to quarter in the past and may continue to do so in the future. Factors that cause our quarter-to-quarter operating results to be unpredictable include the status of satellite-related activities (including the construction, launch and bringing into service of satellites and the associated levels of investment); impact of any construction or launch delays, operational or launch failures or other disruptions to our satellites; timing, quantity and mix of products and services sold; unpredictability or length of procurement processes; timing of customer payments; cost overruns (due to inflation or otherwise); impact of one-time charges; and other factors described under the heading “Management’s Discussion and Analysis of Financial Condition and Results of Operations – Factors and Trends Affecting our Results of Operations” in Part II, Item 7 of this report. Any of the foregoing factors, or any other factors discussed elsewhere herein, could have a material adverse effect on our business, financial condition and results of operations that could adversely affect our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Satellite Failures or Degradations in Satellite Performance Could Affect Our Business, Financial Condition and Results of Operations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Satellites utilize highly complex technology, operate in the harsh environment of space and are subject to significant operational risks while in orbit. These risks include malfunctions (commonly referred to as anomalies), such as malfunctions in the deployment of subsystems and/or components, interference from electrostatic storms, and collisions with meteoroids, decommissioned spacecraft or other space debris. Anomalies can occur as a result of various factors, including satellite manufacturer error, problems with the power or control sub-system of a satellite or general failures caused by the harsh space environment. Our satellites have experienced various anomalies in the past and we will likely experience anomalies in the future. Any single anomaly or other operational failure or degradation on the satellites we use could have a material adverse effect on our business, financial condition and results of operations. Anomalies may also reduce the expected useful life of a satellite, thereby creating additional expense due to the need to provide replacement or backup capacity, which may not be available on reasonable economic terms, a reasonable schedule or at all. In addition, anomalies may cause a reduction of the revenues generated by the applicable satellite or the recognition of an impairment loss, and could lead to claims from third parties for damages. Finally, anomalies may adversely affect our ability to insure our satellites at commercially reasonable premiums or terms, if at all. While some anomalies are covered by insurance policies, others may not be covered or may be subject to large deductibles. 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Satellites Have a Finite Useful Life, and Their Actual Operational Life May Be Shorter than Their Design Life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ability to earn revenues from our satellite services depends on the continued operation of the satellites we own and operate or use. Each satellite has a limited useful life, referred to as its design life. There can be no assurance as to the actual operational life of a satellite, which may be shorter than its design life. A number of factors affect the useful lives of the satellites, including the quality of design and construction, durability of component parts and back-up units, the ability to continue to maintain proper orbit and control over the satellite’s functions, the efficiency of the launch vehicle used, consumption of on-board fuel, degradation and durability of solar panels, the actual space environment experienced and the occurrence of anomalies or other in-orbit risks affecting the satellite. In addition, continued improvements in satellite technology may make satellites obsolete prior to the end of their operational life.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New or Proposed Satellites Are Subject to Significant Risks Related to Construction and Launch that Could Limit Our Ability to Utilize these Satellites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Satellite construction and launch are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Unlike our ViaSat-1 and ViaSat-2 satellites, which were constructed in their entirety by the satellite manufacturer, we construct the payload for our ViaSat-3 class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28</w:t>
      </w:r>
    </w:p>
    <w:p>
      <w:pPr>
        <w:pStyle w:val="HorizontalLine"/>
        <w:pBdr>
          <w:bottom w:val="double" w:sz="2" w:space="0" w:color="808080"/>
        </w:pBdr>
        <w:bidi w:val="0"/>
        <w:spacing w:before="0" w:after="283"/>
        <w:jc w:val="left"/>
        <w:rPr/>
      </w:pPr>
      <w:r>
        <w:rPr/>
      </w:r>
    </w:p>
    <w:p>
      <w:pPr>
        <w:pStyle w:val="TextBody"/>
        <w:bidi w:val="0"/>
        <w:spacing w:before="90" w:after="0"/>
        <w:jc w:val="left"/>
        <w:rPr>
          <w:rFonts w:ascii="Times New Roman" w:hAnsi="Times New Roman"/>
          <w:sz w:val="20"/>
        </w:rPr>
      </w:pPr>
      <w:r>
        <w:rPr>
          <w:rFonts w:ascii="Arial;sans-serif" w:hAnsi="Arial;sans-serif"/>
          <w:b w:val="false"/>
          <w:sz w:val="20"/>
        </w:rPr>
        <w:t>satellites ourselves at our own facilities, with Boeing then integrating the completed payload into the satellite bus at their facilities. The technologies in our satellite designs are also very complex, and there can be no assurance that the technologies will work as we expect or that we will realize any or all of their anticipated benefits. We have in the past identified construction-related issues in our satellites. For example, our ViaSat-2 satellite experienced an antenna deployment issue which reduced its output capabilities. We have also experienced delays in satellite construction and launch, such as the delay in launching our ViaSat-2 satellite caused by civil unrest in French Guiana (the location of the satellite launch), construction delays in our ViaSat-3 satellites caused by the COVID-19 pandemic and delays in the launch of the ViaSat-3 Americas satellite due to high priority launch missions and adverse weather conditions at the launch site.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 maintain the rights we may enjoy under various ITU filings. A launch failure may result in significant delays because of the need both to construct a replacement satellite and to obtain other launch opportunities. The overall historical loss rate in the satellite industry for all launches of commercial satellites in fixed orbits in the last five years is estimated by some industry participants to be close to 0% but could at any time be higher. Launch vehicles may also underperform, in which case the satellite may still be able to be placed into service by using its onboard propulsion systems to reach the desired orbital location, but this would cause a reduction in its useful life. Moreover, even if launch is successful, there can be no assurance that the satellite will successfully reach its geostationary orbital slot and pass in-orbit testing prior to transfer of control of the satellite to us. The failure to implement our satellite deployment plan on schedule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Potential Satellite Losses May Not Be Fully Covered By Insurance, or at All</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may not be able to obtain or renew pre-launch, launch or in-orbit insurance for our satellites on reasonable economic terms or at all. A failure to obtain or renew our satellite insurance may also result in a default under our debt instruments. In addition, the occurrence of anomalies on other satellites, or failures of a satellite using similar components or failures of a similar launch vehicle to any launch vehicle we intend to use, may materially adversely affect our ability to insure our satellites at commercially reasonable premiums or terms, if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The policies covering our insured satellites will not cover the full cost of constructing and launching or replacing a satellite nor fully cover our losses in the event of a satellite failure or significant degradation. Moreover, such policies do not cover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and may contain exclusions for past satellite anomalies. Further, any insurance proceeds may not be received on a timely basis in order to launch a replacement satellite or take other remedial measures. In addition, the policies are subject to limitations involving uninsured losses, large satellite performance deductibles and policy limits.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The Markets in Which We Compete Are Highly Competitive and Our Competitors May Have Greater Resources than Us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segments. See “Business–Competition” in Part I, Item 1 of this report for a discussion of the competitive environment in each of our segments. Many of our competitors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 compete in each of our segments may also be adversely affected by limits on our capital resources and our ability to invest in maintaining and expanding our market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The Global Business Environment and Economic Conditions Could Negatively Affect Our Business, Financial Condition and Results of Operations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customer base in our satellite services segment by reducing consumers’ discretionary income and affecting their ability to subscribe for our broadband services. Our commercial networks segment similarly depends on the economic health and willingness of our customers and potential customers to</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29</w:t>
      </w:r>
    </w:p>
    <w:p>
      <w:pPr>
        <w:pStyle w:val="HorizontalLine"/>
        <w:pBdr>
          <w:bottom w:val="double" w:sz="2" w:space="0" w:color="808080"/>
        </w:pBdr>
        <w:bidi w:val="0"/>
        <w:spacing w:before="0" w:after="283"/>
        <w:jc w:val="left"/>
        <w:rPr/>
      </w:pPr>
      <w:r>
        <w:rPr/>
      </w:r>
    </w:p>
    <w:p>
      <w:pPr>
        <w:pStyle w:val="TextBody"/>
        <w:bidi w:val="0"/>
        <w:spacing w:before="90" w:after="0"/>
        <w:jc w:val="left"/>
        <w:rPr>
          <w:rFonts w:ascii="Times New Roman" w:hAnsi="Times New Roman"/>
          <w:sz w:val="20"/>
        </w:rPr>
      </w:pPr>
      <w:r>
        <w:rPr>
          <w:rFonts w:ascii="Arial;sans-serif" w:hAnsi="Arial;sans-serif"/>
          <w:b w:val="false"/>
          <w:sz w:val="20"/>
        </w:rPr>
        <w:t>make and adhere to capital and financial commitments to purchase our products and services. During periods of slowing global economic growth or recession, our customers or key suppliers may experience deterioration of their businesses, cash flow shortages and difficulty obtaining financing or insolvency. Existing or potential customers may reduce or postpone spending in response to tighter credit, reduced consumer demand, negative financial news or declines in income or asset values, which could have a material negative effect on the demand for our products and services. For example, the business and financial condition of our commercial airline customers were materially impacted during the COVID-19 pandemic by the severe decline in global air travel. In addition, current supply chain and labor market challenges and inflationary pressures have negatively affected and may continue to negatively affect our performance as well as the performance of our suppliers and customers. Moreover, natural disasters (including those resulting from climate change), political instability, civil unrest, terrorist activity, acts of war, and public health issues such as the COVID-19 pandemic or epidemics could disrupt supplies and raise prices globally which, in turn, may have adverse effects on the world and U.S. economies. Any of these factors could result in reduced demand for, and pricing pressure on, our products and services, which could reduce our revenues and adversely affect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Arial;sans-serif" w:hAnsi="Arial;sans-serif"/>
          <w:b/>
          <w:sz w:val="20"/>
        </w:rPr>
      </w:pPr>
      <w:r>
        <w:rPr>
          <w:rFonts w:ascii="Arial;sans-serif" w:hAnsi="Arial;sans-serif"/>
          <w:b/>
          <w:sz w:val="20"/>
        </w:rPr>
        <w:t>Acquisitions such as the Inmarsat Transaction, Joint Ventures and Other Strategic Alliances May Have an Adverse Effect on Our Business; We May Fail to Realize the Anticipated Benefits of such Transactions</w:t>
      </w:r>
    </w:p>
    <w:p>
      <w:pPr>
        <w:pStyle w:val="TextBody"/>
        <w:bidi w:val="0"/>
        <w:spacing w:before="90" w:after="0"/>
        <w:jc w:val="left"/>
        <w:rPr>
          <w:rFonts w:ascii="Times New Roman" w:hAnsi="Times New Roman"/>
          <w:sz w:val="20"/>
        </w:rPr>
      </w:pPr>
      <w:r>
        <w:rPr>
          <w:rFonts w:ascii="Arial;sans-serif" w:hAnsi="Arial;sans-serif"/>
          <w:b w:val="false"/>
          <w:sz w:val="20"/>
        </w:rPr>
        <w:t>In order to position ourselves to take advantage of growth opportunities, from time to time we make strategic acquisitions and enter into joint ventures and other strategic alliances that involve significant risks and uncertainties. For example, during 2021 we announced the Inmarsat Transaction and closed the acquisitions of RigNet and EBI. Risks and uncertainties relating to the these transactions and any other acquisitions, joint ventures and other strategic alliances we may undertake include:</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difficulty in combining, integrating and managing newly acquired businesses or any businesses of a joint venture or strategic alliance in an efficient and effective manner;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challenges in achieving the objectives, cost savings, synergies and other benefits expected from such transactions;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risk of diverting resources and the attention of senior management from the operations of our business;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additional demands on management related to integration efforts or the increase in the size and scope of our company following an acquisition or to the complexities of a joint venture or strategic alliance, including challenges of coordinating geographically dispersed organizations and addressing differences in corporate cultures or management philosophies;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difficulties in the assimilation and retention of key employees and in maintaining relationships with present and potential customers, distributors and suppliers;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lack of unilateral control over a joint venture or strategic alliance and the risk that joint venture or strategic partners have business goals and interests that are not aligned with ours, or the failure of a joint venture partner to satisfy its obligations or its bankruptcy or malfeasance;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costs and expenses associated with any undisclosed or potential liabilities of an acquired business;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delays, difficulties or unexpected costs in the integration, assimilation, implementation or modification of platforms, systems, functions (including corporate, administrative, information technology, marketing and distribution functions), technologies, infrastructure, and product and service offerings of the acquired business, joint venture or strategic alliance, or in the harmonization of standards, controls (including internal accounting controls), procedures and policies;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risk that funding requirements of the acquired business, joint venture or combined company may be significantly greater than anticipated;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risks of entering markets in which we have less experience; and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the risks of disputes concerning indemnities and other obligations that could result in substantial costs. </w:t>
      </w:r>
    </w:p>
    <w:p>
      <w:pPr>
        <w:pStyle w:val="TextBody"/>
        <w:bidi w:val="0"/>
        <w:spacing w:before="120" w:after="0"/>
        <w:jc w:val="left"/>
        <w:rPr>
          <w:rFonts w:ascii="Times New Roman" w:hAnsi="Times New Roman"/>
          <w:sz w:val="20"/>
        </w:rPr>
      </w:pPr>
      <w:r>
        <w:rPr>
          <w:rFonts w:ascii="Arial;sans-serif" w:hAnsi="Arial;sans-serif"/>
          <w:b w:val="false"/>
          <w:sz w:val="20"/>
        </w:rPr>
        <w:t>We may not achieve the anticipated growth, cost savings or other benefits from the Inmarsat Transaction or any other transaction we may undertake without adversely affecting current revenues and investments in future growth. Moreover, the anticipated growth, cost savings, synergies and other benefits of the Inmarsat Transaction or any other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30</w:t>
      </w:r>
    </w:p>
    <w:p>
      <w:pPr>
        <w:pStyle w:val="HorizontalLine"/>
        <w:pBdr>
          <w:bottom w:val="double" w:sz="2" w:space="0" w:color="808080"/>
        </w:pBdr>
        <w:bidi w:val="0"/>
        <w:spacing w:before="0" w:after="283"/>
        <w:jc w:val="left"/>
        <w:rPr/>
      </w:pPr>
      <w:r>
        <w:rPr/>
      </w:r>
    </w:p>
    <w:p>
      <w:pPr>
        <w:pStyle w:val="TextBody"/>
        <w:bidi w:val="0"/>
        <w:spacing w:before="120" w:after="0"/>
        <w:jc w:val="left"/>
        <w:rPr>
          <w:rFonts w:ascii="Arial;sans-serif" w:hAnsi="Arial;sans-serif"/>
          <w:b w:val="false"/>
          <w:sz w:val="20"/>
        </w:rPr>
      </w:pPr>
      <w:r>
        <w:rPr>
          <w:rFonts w:ascii="Arial;sans-serif" w:hAnsi="Arial;sans-serif"/>
          <w:b w:val="false"/>
          <w:sz w:val="20"/>
        </w:rPr>
        <w:t>transaction we may undertake may not be realized fully, or at all, or may take longer to realize than expected. Additionally, we may inherit legal, regulatory, and other risks of the acquired business, whether known or unknown to us, which may be material to the combined company. Moreover, uncertainty about the effect of a pending transaction such as the Inmarsat Transaction on employees, suppliers and customers may have an adverse effect on us and/or the acquired business, which uncertainties may impair our or its ability to attract, retain and motivate key personnel, and could cause our or its customers, suppliers and distributors to seek to change existing business relationships with either of us. In addition, in connection with acquisitions, joint ventures or strategic alliances, we may incur debt, issue equity securities, assume contingent liabilities or have amortization expenses and write-downs of acquired assets, which could cause our earnings per share to decline. In addition, companies such as Inmarsat that are private companies at the time of acquisition are not subject to reporting requirements and may not have accounting personnel specifically employed to review internal controls over financial reporting and other procedures or to ensure compliance with the requirements of the Sarbanes-Oxley Act of 2002. Bringing the legacy systems for these businesses into compliance with those requirements and integrating them into our compliance and accounting systems may cause us to incur substantial additional expense, make some activities more difficult, time-consuming or costly and increase demand on our systems and resources.</w:t>
      </w:r>
    </w:p>
    <w:p>
      <w:pPr>
        <w:pStyle w:val="TextBody"/>
        <w:bidi w:val="0"/>
        <w:spacing w:before="120" w:after="0"/>
        <w:jc w:val="left"/>
        <w:rPr>
          <w:rFonts w:ascii="Times New Roman" w:hAnsi="Times New Roman"/>
          <w:sz w:val="20"/>
        </w:rPr>
      </w:pPr>
      <w:r>
        <w:rPr>
          <w:rFonts w:ascii="Arial;sans-serif" w:hAnsi="Arial;sans-serif"/>
          <w:b w:val="false"/>
          <w:sz w:val="20"/>
        </w:rPr>
        <w:t>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We may not be able to successfully integrate the businesses, products, technologies or personnel that we might acquire in the future, and any strategic investments we make may not meet our financial or other investment objectives. Any failure to do so could seriously harm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Our Reliance on U.S. Government Contracts Exposes Us to Significant Risks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government systems segment revenues typically represent a significant percentage of our total revenues, and are derived primarily from U.S. Government applications. Therefore, any significant disruption or deterioration of our relationship with the U.S. Government would significantly reduce our revenues. U.S. Government business exposes us to various risks, including:</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changes in governmental procurement legislation and regulations and other policies, which may reflect military and political developments;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unexpected contract or project terminations or suspensions;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unpredictable order placements, reductions or cancellations;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reductions or delays in government funds available for our projects due to government policy changes, budget cuts or delays, changes in available funding, reductions in defense expenditures and contract adjustments;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ability of competitors to protest contractual awards;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penalties arising from post-award contract audits;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reduction in the value of our contracts as a result of the routine audit and investigation of our costs by U.S. Government agencies;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higher-than-expected final costs, particularly relating to software and hardware development, for work performed under contracts where we commit to specified deliveries for a fixed price;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limited profitability from cost-reimbursement contracts under which the profit is limited to a specified amount;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unpredictable cash collections of unbilled receivables that may be subject to acceptance of deliverables by the customer and contract close-out procedures, including government approval of final indirect rates;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competition with programs managed by other government contractors for limited resources and for uncertain levels of funding;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significant changes in contract scheduling or program structure, which generally result in delays or reductions in deliveries; and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intense competition for available U.S. Government business necessitating increases in time and investment for design and development. </w:t>
      </w:r>
    </w:p>
    <w:p>
      <w:pPr>
        <w:pStyle w:val="TextBody"/>
        <w:bidi w:val="0"/>
        <w:spacing w:before="120" w:after="0"/>
        <w:jc w:val="left"/>
        <w:rPr>
          <w:rFonts w:ascii="Times New Roman" w:hAnsi="Times New Roman"/>
          <w:sz w:val="20"/>
        </w:rPr>
      </w:pPr>
      <w:r>
        <w:rPr>
          <w:rFonts w:ascii="Arial;sans-serif" w:hAnsi="Arial;sans-serif"/>
          <w:b w:val="false"/>
          <w:sz w:val="20"/>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31</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Arial;sans-serif" w:hAnsi="Arial;sans-serif"/>
          <w:b w:val="false"/>
          <w:sz w:val="20"/>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Our Success Depends on the Investment in and Development of New Broadband Technologies and Advanced Communications and Secure Networking Systems, Products and Services, as well as their Market Acceptance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Broadband, advanced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numerous factors, including our ability to: continue to develop market-leading satellite technologies (including high-capacity Ka-band satellites and associated ground networks); continue to increase satellite capacity, bandwidth cost-efficiencies and service quality; develop and introduce competitive products, services and technologies with innovative features that differentiate our offerings from those of our competitors; successfully integrate our complex technologies and system architectures; and implement manufacturing and assembly processes and cost reduction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We cannot assure you that our new technology, product or service offerings will be successful or that any of our offerings will achieve market acceptance. Many of these risks are amplified in new and emerging markets where we do not currently operate or have limited operations, but which present opportunities for international expansion following the launch of commercial service on our ViaSat-3 global constellation. The time from conception through satellite launch for a new satellite design may be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which could increase costs and divert our attention and resources from other projects. We cannot be sure that our efforts and expenditures will ultimately lead to the timely development of new offerings and technologies. In addition, defects may be found in our products after we begin deliveries that could degrade service quality, or result in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In addition, we believe that significant investments in next-generation broadband satellites and associated infrastructure will continue to be required as demand for broadband services and satellite systems with higher capacity and higher speed continues to grow. The development of these capital-intensive next-generation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Because Our Products Are Complex and Are Deployed in Complex Environments, Our Products May Have Defects that We Discover Only After Full Deployment, which Could Seriously Harm Our Business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32</w:t>
      </w:r>
    </w:p>
    <w:p>
      <w:pPr>
        <w:pStyle w:val="HorizontalLine"/>
        <w:pBdr>
          <w:bottom w:val="double" w:sz="2" w:space="0" w:color="808080"/>
        </w:pBdr>
        <w:bidi w:val="0"/>
        <w:spacing w:before="0" w:after="283"/>
        <w:jc w:val="left"/>
        <w:rPr/>
      </w:pPr>
      <w:r>
        <w:rPr/>
      </w:r>
    </w:p>
    <w:p>
      <w:pPr>
        <w:pStyle w:val="TextBody"/>
        <w:bidi w:val="0"/>
        <w:spacing w:before="90" w:after="0"/>
        <w:jc w:val="left"/>
        <w:rPr>
          <w:rFonts w:ascii="Times New Roman" w:hAnsi="Times New Roman"/>
          <w:sz w:val="20"/>
        </w:rPr>
      </w:pPr>
      <w:r>
        <w:rPr>
          <w:rFonts w:ascii="Arial;sans-serif" w:hAnsi="Arial;sans-serif"/>
          <w:b w:val="false"/>
          <w:sz w:val="20"/>
        </w:rPr>
        <w:t>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fixed broadband business, defects of products used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Our Reputation and Business Could Be Materially Harmed as a Result of Data Breaches, Data Theft, Unauthorized Access or Hacking</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success depends, in part, on the secure and uninterrupted performance of our information technology systems. These systems may be subject to damage or interruption from, among other things, earthquakes, adverse weather conditions, other natural disasters, terrorist attacks, rogue employees, power loss, telecommunications failures and cybersecurity risks. An increasing 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Additionally, outside parties may attempt to induce employees or users to disclose sensitive or confidential information in order to gain access to data. If unauthorized parties gain access to our information technology systems, they may be able to misappropriate assets or sensitive information (such as personal information of our customers, business partners and employees), cause interruption in our operations, corrupt our data or computers, or otherwise damage our reputation and business. In such circumstances, we could be held liable to our customers or other parties, or be subject to regulatory or other actions for breaching privacy rules. In late fiscal year 2022, a cyberattack involving our KA-SAT network resulted in a partial interruption of consumer-oriented fixed broadband services provided through our KA-SAT satellite, affecting thousands of fixed broadband customers in Europe and North Africa. Based on our comprehensive investigation efforts to date, there is no evidence that any end-user data was accessed, nor is there any evidence that the KA-SAT satellite itself or its supporting satellite ground infrastructure was directly involved, impaired or compromised. Any compromise of our security could result in a loss of confidence in our security measures, and subject us to litigation, civil or criminal penalties, and negative publicity that could adversely affect our financial condition and results of operations. We could also suffer other negative consequences, including significant remediation costs, significant increased cybersecurity protection costs, loss of material revenues resulting from attacks on our satellites or technology, and the unauthorized use of proprietary information or the failure to retain or attract customers following an attack. Further, if we are unable to comply with the security standards established by banks and the payment card industry, we may be subject to fines, restrictions, and expulsion from card acceptance programs, which could adversely affect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A Significant Portion of Our Revenues Is Derived from a Few of Our Contracts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A small number of our contracts account for a significant percentage of our revenues. Our five largest contracts generated approximately 17% of our total revenues in fiscal year 2023.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r>
        <w:rPr>
          <w:rFonts w:ascii="Times New Roman" w:hAnsi="Times New Roman"/>
          <w:sz w:val="20"/>
        </w:rPr>
        <w:t xml:space="preserve"> </w:t>
      </w:r>
    </w:p>
    <w:p>
      <w:pPr>
        <w:pStyle w:val="TextBody"/>
        <w:bidi w:val="0"/>
        <w:spacing w:before="120" w:after="0"/>
        <w:jc w:val="left"/>
        <w:rPr>
          <w:rFonts w:ascii="Arial;sans-serif" w:hAnsi="Arial;sans-serif"/>
          <w:b/>
          <w:sz w:val="20"/>
        </w:rPr>
      </w:pPr>
      <w:r>
        <w:rPr>
          <w:rFonts w:ascii="Arial;sans-serif" w:hAnsi="Arial;sans-serif"/>
          <w:b/>
          <w:sz w:val="20"/>
        </w:rPr>
        <w:t>Our Development Contracts May Be Difficult for Us to Comply with and May Expose Us to Third-Party Claims for Damages, and We May Experience Losses from Fixed-Price Contracts</w:t>
      </w:r>
    </w:p>
    <w:p>
      <w:pPr>
        <w:pStyle w:val="TextBody"/>
        <w:bidi w:val="0"/>
        <w:spacing w:before="90" w:after="0"/>
        <w:jc w:val="left"/>
        <w:rPr>
          <w:rFonts w:ascii="Times New Roman" w:hAnsi="Times New Roman"/>
          <w:sz w:val="20"/>
        </w:rPr>
      </w:pPr>
      <w:r>
        <w:rPr>
          <w:rFonts w:ascii="Arial;sans-serif" w:hAnsi="Arial;sans-serif"/>
          <w:b w:val="false"/>
          <w:sz w:val="20"/>
        </w:rPr>
        <w:t>We are often party to government and commercial contracts involving the development of new products. We derived approximately 16% of our total revenues for fiscal year 2023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A substantial majority of revenues in our government systems and commercial networks segments are derived from contracts with fixed prices. These contracts carry the risk of potential cost overruns because we assume all of the cost burden. We assume greater financial risk on fixed-price contracts than on other types of contracts because if we do not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33</w:t>
      </w:r>
    </w:p>
    <w:p>
      <w:pPr>
        <w:pStyle w:val="HorizontalLine"/>
        <w:pBdr>
          <w:bottom w:val="double" w:sz="2" w:space="0" w:color="808080"/>
        </w:pBdr>
        <w:bidi w:val="0"/>
        <w:spacing w:before="0" w:after="283"/>
        <w:jc w:val="left"/>
        <w:rPr/>
      </w:pPr>
      <w:r>
        <w:rPr/>
      </w:r>
    </w:p>
    <w:p>
      <w:pPr>
        <w:pStyle w:val="TextBody"/>
        <w:bidi w:val="0"/>
        <w:spacing w:before="120" w:after="0"/>
        <w:jc w:val="left"/>
        <w:rPr>
          <w:rFonts w:ascii="Arial;sans-serif" w:hAnsi="Arial;sans-serif"/>
          <w:b w:val="false"/>
          <w:sz w:val="20"/>
        </w:rPr>
      </w:pPr>
      <w:r>
        <w:rPr>
          <w:rFonts w:ascii="Arial;sans-serif" w:hAnsi="Arial;sans-serif"/>
          <w:b w:val="false"/>
          <w:sz w:val="20"/>
        </w:rPr>
        <w:t>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Because many of these contracts involve new technologies and applications and can last for years, unforeseen events, such as technological difficulties, fluctuations in the price of raw materials, a significant increase in or a sustained period of increased inflation, problems with our suppliers and cost overruns, can result in the contractual price becoming less favorable or even unprofitable to us over time (which, especially in the case of sharp increases in or significant sustained inflation, could happen quickly and have long-lasting impacts).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pStyle w:val="TextBody"/>
        <w:bidi w:val="0"/>
        <w:spacing w:before="120" w:after="0"/>
        <w:jc w:val="left"/>
        <w:rPr>
          <w:rFonts w:ascii="Times New Roman" w:hAnsi="Times New Roman"/>
          <w:sz w:val="20"/>
        </w:rPr>
      </w:pPr>
      <w:r>
        <w:rPr>
          <w:rFonts w:ascii="Arial;sans-serif" w:hAnsi="Arial;sans-serif"/>
          <w:b/>
          <w:sz w:val="20"/>
        </w:rPr>
        <w:t>Our Reliance on a Limited Number of Third Parties to Manufacture and Supply Our Products and the Components Contained therein Exposes Us to Various Risks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Significant events such as an outbreak of a pandemic such as the COVID-19 pandemic and its lingering effects, natural disasters or extreme weather events (including as a result of climate change), acts of terrorism or civil unrest, cyberattacks, labor market instability or global shortages of components or materials may cause temporary or long-term disruptions in our supply chain and distribution systems and/or delays in the delivery of inventory.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We Depend on a Limited Number of Key Employees Who Would Be Difficult to Replace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depend on a limited number of key technical, marketing and management personnel to manage and operate our business. In particular, we believe our success depends to a significant degree on our ability to attract and retain highly skilled personnel, including our Chairman of the Board and Chief Executive Officer (Mark Dankberg), our Vice Chairman (Richard Baldridge),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to attract and retain such employees, or experience difficulties in performing under our contracts if our needs for such employees were unmet.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Because We Conduct Business Internationally, We Face Additional Risks, including Risks Related to Global Political and Economic Conditions, Changes in Regulation and Currency Fluctuations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Approximately 16% of our total revenues in fiscal year 2023 were derived from international sales. Following the completion of the Inmarsat Transaction and the commencement of commercial service on the ViaSat-3 EMEA and ViaSat-3 APAC satellites, we expect that a significantly greater percentage of our business and sales will be conducted internationally. Conducting business internationally involves additional risks, including unexpected changes in laws,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34</w:t>
      </w:r>
    </w:p>
    <w:p>
      <w:pPr>
        <w:pStyle w:val="HorizontalLine"/>
        <w:pBdr>
          <w:bottom w:val="double" w:sz="2" w:space="0" w:color="808080"/>
        </w:pBdr>
        <w:bidi w:val="0"/>
        <w:spacing w:before="0" w:after="283"/>
        <w:jc w:val="left"/>
        <w:rPr/>
      </w:pPr>
      <w:r>
        <w:rPr/>
      </w:r>
    </w:p>
    <w:p>
      <w:pPr>
        <w:pStyle w:val="TextBody"/>
        <w:bidi w:val="0"/>
        <w:spacing w:before="90" w:after="0"/>
        <w:jc w:val="left"/>
        <w:rPr>
          <w:rFonts w:ascii="Arial;sans-serif" w:hAnsi="Arial;sans-serif"/>
          <w:b w:val="false"/>
          <w:sz w:val="20"/>
        </w:rPr>
      </w:pPr>
      <w:r>
        <w:rPr>
          <w:rFonts w:ascii="Arial;sans-serif" w:hAnsi="Arial;sans-serif"/>
          <w:b w:val="false"/>
          <w:sz w:val="20"/>
        </w:rPr>
        <w:t>policies and regulatory requirements (including regulations related to import-export control); increased cost of localizing systems in foreign countries; increased sales and marketing and R&amp;D expenses; availability of suitable export financing; timing and availability of export licenses; imposition of taxes, tariffs, embargoes, sanctions and other trade barriers; political and economic instability, wars, insurrections and other conflicts, such as the ongoing conflict between Russia and Ukraine; issues related to the political relationship between the United States and other countries; fluctuations in currency exchange rates (including their effect on sales denominated in foreign currencies), foreign exchange controls and restrictions on cash repatriation; compliance with international laws and U.S. laws affecting the activities of U.S. companies abroad, including existing and future privacy and cyber-related laws; challenges in staffing and managing foreign operations; difficulties in managing distributors; requirements for additional liquidity to fund our international operations; ineffective legal protection of our intellectual property rights in certain countries; potentially adverse tax consequences; potential difficulty in making adequate payment arrangements; and potential difficulty in collecting accounts receivable. In addition, some of our customer purchase agreements are governed by foreign laws, which may differ significantly from U.S. laws and we may be limited in our ability to enforce our rights under these agreements and to collect damages, if awarded. As a result of these and other risks, we may be unsuccessful in implementing our business plan for our business internationally, or we may not be able to achieve the revenues that we expect. If we are unable to address any of the risks described above, it could materially harm our business and impair the value of our common stock.</w:t>
      </w:r>
    </w:p>
    <w:p>
      <w:pPr>
        <w:pStyle w:val="TextBody"/>
        <w:bidi w:val="0"/>
        <w:spacing w:before="120" w:after="0"/>
        <w:jc w:val="left"/>
        <w:rPr>
          <w:rFonts w:ascii="Times New Roman" w:hAnsi="Times New Roman"/>
          <w:sz w:val="20"/>
        </w:rPr>
      </w:pPr>
      <w:r>
        <w:rPr>
          <w:rFonts w:ascii="Arial;sans-serif" w:hAnsi="Arial;sans-serif"/>
          <w:b w:val="false"/>
          <w:sz w:val="20"/>
        </w:rPr>
        <w:t>Due to the global nature of our operations, we are subject to the complex and varying tax laws and rules of many countries and have material tax-related contingent liabilities that are difficult to predict or quantify. We are also subject to tax audits, including with respect to transfer pricing, in the United States and other jurisdictions and our tax positions may be challenged by tax authorities. There can be no assurance that our current tax provisions will be settled for the amounts accrued, that additional tax exposures will not be identified in the future or that additional tax reserves will not be necessary for any such exposures. Any increase in the amount of taxation incurred as a result of challenges to our tax filing positions could result in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Adverse Resolution of Litigation May Harm Our Operating Results or Financial Condition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are a party to various lawsuits and claims in the normal course of our business. Moreover, significant transactions like the Inmarsat Transaction are frequently subject to litigation or other legal proceedings, including actions alleging that our board of directors breached their fiduciary duties to our stockholders by entering into the transaction. Litigation can be expensive, lengthy and disruptive to normal business operations, including through the possible diversion of company resources or distraction of key personnel. Moreover, the results of complex legal proceedings are difficult to predict. An unfavorable resolution of a particular lawsuit, as well as the costs and efforts of a defense even if successful,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Future Sales of Our Common Stock Could Lower Our Stock Price and Dilute Existing Stockholders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From time to time, we raise capital from equity financings and file universal shelf registration statements with the SEC for the future sale of an unlimited amount of common stock, preferred stock, warrants, rights, and other securities. For example, during fiscal year 2017 we sold 7.5 million shares of our common stock in an underwritten public offering, and during fiscal year 2021 we sold 4.5 million shares of our common stock to certain accredited investors in a private placement transaction exempt from registration under the Securities Act of 1933, as amended.</w:t>
      </w:r>
    </w:p>
    <w:p>
      <w:pPr>
        <w:pStyle w:val="TextBody"/>
        <w:bidi w:val="0"/>
        <w:spacing w:before="120" w:after="0"/>
        <w:jc w:val="left"/>
        <w:rPr>
          <w:rFonts w:ascii="Times New Roman" w:hAnsi="Times New Roman"/>
          <w:sz w:val="20"/>
        </w:rPr>
      </w:pPr>
      <w:r>
        <w:rPr>
          <w:rFonts w:ascii="Arial;sans-serif" w:hAnsi="Arial;sans-serif"/>
          <w:b w:val="false"/>
          <w:sz w:val="20"/>
        </w:rPr>
        <w:t>We may also issue additional shares of common stock to finance future acquisitions. For example, we have agreed to issue 46.36 million unregistered shares of our common stock as consideration in the Inmarsat Transaction, and during fiscal year 2022 we issued 4.0 million shares of our common stock as consideration for the acquisition of RigNet. Additionally, a substantial number of shares of our common stock are available for future sale pursuant to stock options, warrants or issuance pursuant to our 1996 Equity Participation Plan of ViaSat, Inc. and the ViaSat, Inc. Employee Stock Purchase Plan. Future issuances of shares may be dilutive to existing stockholders.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We Expect Our Stock Price to Be Volatile, and You May Lose All or Some of Your Investment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market price of our common stock has been volatile in the past. For example, between April 1, 2019 and March 31, 2023, the market price of our common stock ranged from $97.31 to $25.10 (the low price occurred during the fourth quarter of fiscal year 2020, during a period when the COVID-19 pandemic drove significant volatility and dislocation in the stock market generally). Trading prices may continue to fluctuate in response to a number of events and factors, including quarterly variations in operating results (or operating results falling below the expectations of analysts and investors), significant announcements by us or our competitors (including with respect to technological innovations, satellite construction and launch activities, acquisitions and other material transactions), regulatory developments, or changes in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35</w:t>
      </w:r>
    </w:p>
    <w:p>
      <w:pPr>
        <w:pStyle w:val="HorizontalLine"/>
        <w:pBdr>
          <w:bottom w:val="double" w:sz="2" w:space="0" w:color="808080"/>
        </w:pBdr>
        <w:bidi w:val="0"/>
        <w:spacing w:before="0" w:after="283"/>
        <w:jc w:val="left"/>
        <w:rPr/>
      </w:pPr>
      <w:r>
        <w:rPr/>
      </w:r>
    </w:p>
    <w:p>
      <w:pPr>
        <w:pStyle w:val="TextBody"/>
        <w:bidi w:val="0"/>
        <w:spacing w:before="90" w:after="0"/>
        <w:jc w:val="left"/>
        <w:rPr>
          <w:rFonts w:ascii="Arial;sans-serif" w:hAnsi="Arial;sans-serif"/>
          <w:b w:val="false"/>
          <w:sz w:val="20"/>
        </w:rPr>
      </w:pPr>
      <w:r>
        <w:rPr>
          <w:rFonts w:ascii="Arial;sans-serif" w:hAnsi="Arial;sans-serif"/>
          <w:b w:val="false"/>
          <w:sz w:val="20"/>
        </w:rPr>
        <w:t>market conditions in our industry or the economy as a whole. 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pStyle w:val="TextBody"/>
        <w:bidi w:val="0"/>
        <w:spacing w:before="120" w:after="0"/>
        <w:jc w:val="left"/>
        <w:rPr>
          <w:rFonts w:ascii="Times New Roman" w:hAnsi="Times New Roman"/>
          <w:sz w:val="20"/>
        </w:rPr>
      </w:pPr>
      <w:r>
        <w:rPr>
          <w:rFonts w:ascii="Arial;sans-serif" w:hAnsi="Arial;sans-serif"/>
          <w:b/>
          <w:sz w:val="20"/>
        </w:rPr>
        <w:t>We May Not Be Able to Utilize All of Our Deferred Tax Assets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believe that we are likely to have sufficient taxable income in the future to fully realize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adversely affect our results of operations and tangible net worth in the period in which it is recorded.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Moreover, our ability to utilize our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rolling three-year period. The determination of whether an ownership change has occurred for purposes of Section 382 of the Code is complex and requires significant judgment. Moreover, the number of shares of our common stock outstanding at any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Provisions in Our Certificate of Incorporation and Bylaws, under Delaware Law and in Our Credit Facilities May Discourage, Delay or Prevent a Change in Control or Prevent an Acquisition of Our Business at a Premium Price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 permit the board of directors to increase its own size and fill the resulting vacancies, provide for a board comprised of three classes of directors with each serving a staggered three-year term, authorize the issuance of blank check preferred stock in one or more series, and prohibit stockholder action by written consent.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We are also subject to Section 203 of the Delaware General Corporation Law, which imposes restrictions on mergers and other business combinations between us and any holder of 15% or more of our common stock. In addition, under the Indentures, if certain “change of control” events occur, each holder of Notes may require us to repurchase all of such holder’s Notes at a purchase price equal to 101% of the principal amount of such Notes. Additionally, our Credit Facilities provide for an event of default upon the occurrence of certain specified “change of control”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Risks Related to the Regulation of Our Business</w:t>
      </w:r>
      <w:r>
        <w:rPr>
          <w:rFonts w:ascii="Times New Roman" w:hAnsi="Times New Roman"/>
          <w:sz w:val="20"/>
        </w:rPr>
        <w:t xml:space="preserve"> </w:t>
      </w:r>
    </w:p>
    <w:p>
      <w:pPr>
        <w:pStyle w:val="TextBody"/>
        <w:bidi w:val="0"/>
        <w:spacing w:before="90" w:after="0"/>
        <w:jc w:val="left"/>
        <w:rPr>
          <w:rFonts w:ascii="Arial;sans-serif" w:hAnsi="Arial;sans-serif"/>
          <w:b/>
          <w:sz w:val="20"/>
        </w:rPr>
      </w:pPr>
      <w:r>
        <w:rPr>
          <w:rFonts w:ascii="Arial;sans-serif" w:hAnsi="Arial;sans-serif"/>
          <w:b/>
          <w:sz w:val="20"/>
        </w:rPr>
        <w:t>We May Be Unable to Obtain or Maintain Required Authorizations or Contractual Arrangements</w:t>
      </w:r>
    </w:p>
    <w:p>
      <w:pPr>
        <w:pStyle w:val="TextBody"/>
        <w:bidi w:val="0"/>
        <w:spacing w:before="90" w:after="0"/>
        <w:jc w:val="left"/>
        <w:rPr>
          <w:rFonts w:ascii="Times New Roman" w:hAnsi="Times New Roman"/>
          <w:sz w:val="20"/>
        </w:rPr>
      </w:pPr>
      <w:r>
        <w:rPr>
          <w:rFonts w:ascii="Arial;sans-serif" w:hAnsi="Arial;sans-serif"/>
          <w:b w:val="false"/>
          <w:sz w:val="20"/>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Such authorizations are conditioned upon meeting certain milestone conditions and/or due diligence requirements, which if not met or extended could result in loss of the authorization. While we anticipate that these authorizations will be extended or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36</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Arial;sans-serif" w:hAnsi="Arial;sans-serif"/>
          <w:b w:val="false"/>
          <w:sz w:val="20"/>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The use of spacecraft in our business is subject to various conditions in the underlying authorizations held by us and third parties, as well as the requirements of the laws and regulations of those jurisdictions.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Changes in the Regulatory Environment Could Have a Material Adverse Impact on Our Competitive Position, Growth and Financial Performance</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radio spectrum, the ability to operate satellites at specific orbital locations in space, the licensing of earth stations and other radio transmitters, the provision of communications services, privacy and data security, and the design, manufacture and marketing of communications systems and networking infrastructure. The space stations and ground network we use to provide our broadband services operate using some spectrum that is regulated for use on a primary basis for certain types of the satellite services we provide, some spectrum that is regulated for use on a shared basis with terrestrial wireless services, and some spectrum that is regulated primarily for terrestrial wireless and other uses but that we are authorized to use on a secondary or non-interference basis. Moreover, spectrum availability varies from country to country, and even within countries, within our service areas.</w:t>
      </w:r>
    </w:p>
    <w:p>
      <w:pPr>
        <w:pStyle w:val="TextBody"/>
        <w:bidi w:val="0"/>
        <w:spacing w:before="120" w:after="0"/>
        <w:jc w:val="left"/>
        <w:rPr>
          <w:rFonts w:ascii="Arial;sans-serif" w:hAnsi="Arial;sans-serif"/>
          <w:b w:val="false"/>
          <w:sz w:val="20"/>
        </w:rPr>
      </w:pPr>
      <w:r>
        <w:rPr>
          <w:rFonts w:ascii="Arial;sans-serif" w:hAnsi="Arial;sans-serif"/>
          <w:b w:val="false"/>
          <w:sz w:val="20"/>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regulations. We cannot predict when or whether applicable laws or regulations may come into effect or change, or what the cost and time necessary to comply with such new or updated laws or regulations may be. For example, cybersecurity and data privacy security and protection laws and regulations are evolving and present increasing compliance challenges, which may increase our costs, affect our competitiveness, cause reputational harm and expose us to substantial fines or other penalties.</w:t>
      </w:r>
    </w:p>
    <w:p>
      <w:pPr>
        <w:pStyle w:val="TextBody"/>
        <w:bidi w:val="0"/>
        <w:spacing w:before="120" w:after="0"/>
        <w:jc w:val="left"/>
        <w:rPr>
          <w:rFonts w:ascii="Times New Roman" w:hAnsi="Times New Roman"/>
          <w:sz w:val="20"/>
        </w:rPr>
      </w:pPr>
      <w:r>
        <w:rPr>
          <w:rFonts w:ascii="Arial;sans-serif" w:hAnsi="Arial;sans-serif"/>
          <w:b w:val="false"/>
          <w:sz w:val="20"/>
        </w:rPr>
        <w:t>Changes in laws or regulations, including changes in the way spectrum is regulated and/or in regulations governing our products and services, changes in the way spectrum is made available to us, or is allowed to be used by others, or competing uses of spectrum or orbital locations, could, directly or indirectly, affect our operations or the operations of our distribution partners, increase the cost of providing our products and services and make our products and services less competitive. Some regulators are considering new or additional terrestrial services in the spectrum in which we operate, which may not be compatible with the way we use, or plan to use, that same spectrum. In certain instances, such changes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r>
        <w:rPr>
          <w:rFonts w:ascii="Times New Roman" w:hAnsi="Times New Roman"/>
          <w:sz w:val="20"/>
        </w:rPr>
        <w:t xml:space="preserve"> </w:t>
      </w:r>
    </w:p>
    <w:p>
      <w:pPr>
        <w:pStyle w:val="TextBody"/>
        <w:bidi w:val="0"/>
        <w:spacing w:before="120" w:after="0"/>
        <w:jc w:val="left"/>
        <w:rPr>
          <w:rFonts w:ascii="Arial;sans-serif" w:hAnsi="Arial;sans-serif"/>
          <w:b/>
          <w:sz w:val="20"/>
        </w:rPr>
      </w:pPr>
      <w:r>
        <w:rPr>
          <w:rFonts w:ascii="Arial;sans-serif" w:hAnsi="Arial;sans-serif"/>
          <w:b/>
          <w:sz w:val="20"/>
        </w:rPr>
        <w:t>Risks Associated with Environmental, Social and Governance Matters, Including Global Climate Change, and Legal, Regulatory or Market Responses to These Matters Could Harm Our Reputation and Business</w:t>
      </w:r>
    </w:p>
    <w:p>
      <w:pPr>
        <w:pStyle w:val="TextBody"/>
        <w:bidi w:val="0"/>
        <w:spacing w:before="90" w:after="0"/>
        <w:jc w:val="left"/>
        <w:rPr>
          <w:rFonts w:ascii="Times New Roman" w:hAnsi="Times New Roman"/>
          <w:sz w:val="20"/>
        </w:rPr>
      </w:pPr>
      <w:r>
        <w:rPr>
          <w:rFonts w:ascii="Arial;sans-serif" w:hAnsi="Arial;sans-serif"/>
          <w:b w:val="false"/>
          <w:sz w:val="20"/>
        </w:rPr>
        <w:t>Increasing shareholder environmental, social and governance (ESG) expectations, physical and transition risks associated with climate change, emerging ESG regulation, contractual requirements and policy requirements present short, medium and long-term risks to our business and financial condition. Changes in environmental and climate change laws or regulations could lead to additional operational restrictions and compliance requirements upon us. For example, in our government systems segment, changes in government procurement laws that mandate or include climate change considerations, such as the contractor’s greenhouse gas (GHG) emissions, lower emission products or other climate risks, in evaluating bids could result in costly changes to our operations or affect our competitiveness on future bids. In addition, in our commercial networks segment, increased awareness and adverse publicity in the global marketplace about the GHGs emitted by companies in the airline and transportation industries could adversely impact our business. If consumers reduce their use of air travel in response to new environmental regulations or changes in public perception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37</w:t>
      </w:r>
    </w:p>
    <w:p>
      <w:pPr>
        <w:pStyle w:val="HorizontalLine"/>
        <w:pBdr>
          <w:bottom w:val="double" w:sz="2" w:space="0" w:color="808080"/>
        </w:pBdr>
        <w:bidi w:val="0"/>
        <w:spacing w:before="0" w:after="283"/>
        <w:jc w:val="left"/>
        <w:rPr/>
      </w:pPr>
      <w:r>
        <w:rPr/>
      </w:r>
    </w:p>
    <w:p>
      <w:pPr>
        <w:pStyle w:val="TextBody"/>
        <w:bidi w:val="0"/>
        <w:spacing w:before="90" w:after="0"/>
        <w:jc w:val="left"/>
        <w:rPr>
          <w:rFonts w:ascii="Arial;sans-serif" w:hAnsi="Arial;sans-serif"/>
          <w:b w:val="false"/>
          <w:sz w:val="20"/>
        </w:rPr>
      </w:pPr>
      <w:r>
        <w:rPr>
          <w:rFonts w:ascii="Arial;sans-serif" w:hAnsi="Arial;sans-serif"/>
          <w:b w:val="false"/>
          <w:sz w:val="20"/>
        </w:rPr>
        <w:t>about the impact of air travel on climate change, consumers may reduce their usage of our services, which may have a material negative effect on the demand for our products and services.</w:t>
      </w:r>
    </w:p>
    <w:p>
      <w:pPr>
        <w:pStyle w:val="TextBody"/>
        <w:bidi w:val="0"/>
        <w:spacing w:before="120" w:after="0"/>
        <w:jc w:val="left"/>
        <w:rPr>
          <w:rFonts w:ascii="Times New Roman" w:hAnsi="Times New Roman"/>
          <w:sz w:val="20"/>
        </w:rPr>
      </w:pPr>
      <w:r>
        <w:rPr>
          <w:rFonts w:ascii="Arial;sans-serif" w:hAnsi="Arial;sans-serif"/>
          <w:b w:val="false"/>
          <w:sz w:val="20"/>
        </w:rPr>
        <w:t>Compliance with current and future environmental laws and regulations may require significant operating and capital costs. Environmental laws and regulations may institute substantial fines and criminal sanctions to address violations and may require the installation of costly pollution control equipment or operational changes to limit emissions or discharges. Our suppliers may face similar business interruptions and incur additional costs that may be passed on to us. In addition, customers, shareholders and institutional investors continue to increase their focus on ESG, including our environmental sustainability practices and commitments with respect to our business and operations. If our responses to new or evolving legal and regulatory requirements or other sustainability concerns are unsuccessful or perceived as inadequate for the U.S. or our international markets, we also may suffer damage to our reputation, which could have a material adverse impact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Our International Sales and Operations Are Subject to Applicable Laws Relating to Trade, Sanctions, Export Controls and Foreign Corrupt Practices, the Violation of Which Could Have a Material Adverse Impact on our Business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We must comply with all applicable export control laws and regulations of the United States and other countries. U.S. export and control laws and regulations applicable to us include the Arms Export Control Act, the International Traffic in Arms Regulations (ITAR), the Export Control Reform Act of 2018 (ECRA) and the Export Administration Regulations (EAR). The export of certain satellite hardware, software services and technical data relating to satellites is regulated by the U.S. Department of State under ITAR. Certain satellites and other items are controlled for export by the U.S. Department of Commerce under the EAR. In addition, we must comply with trade and economic sanctions laws and regulations, including those administered by the U.S. Department of the Treasury’s Office of Foreign Assets Control (OFAC). We cannot provide certain products and services to certain countries or persons subject to U.S. trade sanctions unless we first obtain the necessary authorizations from OFAC. We are also subject to the Foreign Corrupt Practices Act and the UK Bribery Act, which generally bar bribes to foreign governments or officials. Although we have in place policies for our respective employees, directors and officers, and we have clauses in our contracts with our distribution partners, resellers and other intermediaries, we cannot be certain that any such activities are not undertaken, and cannot guarantee that our policies and contracts will prevent situations occurring, including actions by distribution partners, resellers and other intermediaries, for which we may be held responsible.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Violations of any of these laws or regulations could also result in more onerous compliance requirements, more extensive debarments from export privileges or loss of authorizations needed to conduct aspects of our business, and could materially adversely affect our business, financial condition and results of operations. Moreover, any investigation of alleged violations of any such laws could have a material adverse impact on our reputation, business, financial condition and results of operations.</w:t>
      </w:r>
    </w:p>
    <w:p>
      <w:pPr>
        <w:pStyle w:val="TextBody"/>
        <w:bidi w:val="0"/>
        <w:spacing w:before="120" w:after="0"/>
        <w:jc w:val="left"/>
        <w:rPr>
          <w:rFonts w:ascii="Times New Roman" w:hAnsi="Times New Roman"/>
          <w:sz w:val="20"/>
        </w:rPr>
      </w:pPr>
      <w:r>
        <w:rPr>
          <w:rFonts w:ascii="Arial;sans-serif" w:hAnsi="Arial;sans-serif"/>
          <w:b/>
          <w:sz w:val="20"/>
        </w:rPr>
        <w:t>Our Business Could Be Adversely Affected by a Negative Audit by the U.S. Government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pStyle w:val="TextBody"/>
        <w:bidi w:val="0"/>
        <w:spacing w:before="120" w:after="0"/>
        <w:jc w:val="left"/>
        <w:rPr>
          <w:rFonts w:ascii="Times New Roman" w:hAnsi="Times New Roman"/>
          <w:sz w:val="20"/>
        </w:rPr>
      </w:pPr>
      <w:r>
        <w:rPr>
          <w:rFonts w:ascii="Arial;sans-serif" w:hAnsi="Arial;sans-serif"/>
          <w:b/>
          <w:sz w:val="20"/>
        </w:rPr>
        <w:t>Risks Related to Intellectual Property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sz w:val="20"/>
        </w:rPr>
        <w:t>Our Ability to Protect Our Proprietary Technology Is Limited</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success depends on our ability to protect our proprietary rights to the technologies we use in our products and services. We generally rely on a combination of patents, copyrights, trademarks and trade secret laws and contractual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38</w:t>
      </w:r>
    </w:p>
    <w:p>
      <w:pPr>
        <w:pStyle w:val="HorizontalLine"/>
        <w:pBdr>
          <w:bottom w:val="double" w:sz="2" w:space="0" w:color="808080"/>
        </w:pBdr>
        <w:bidi w:val="0"/>
        <w:spacing w:before="0" w:after="283"/>
        <w:jc w:val="left"/>
        <w:rPr/>
      </w:pPr>
      <w:r>
        <w:rPr/>
      </w:r>
    </w:p>
    <w:p>
      <w:pPr>
        <w:pStyle w:val="TextBody"/>
        <w:bidi w:val="0"/>
        <w:spacing w:before="90" w:after="0"/>
        <w:jc w:val="left"/>
        <w:rPr>
          <w:rFonts w:ascii="Times New Roman" w:hAnsi="Times New Roman"/>
          <w:sz w:val="20"/>
        </w:rPr>
      </w:pPr>
      <w:r>
        <w:rPr>
          <w:rFonts w:ascii="Arial;sans-serif" w:hAnsi="Arial;sans-serif"/>
          <w:b w:val="false"/>
          <w:sz w:val="20"/>
        </w:rPr>
        <w:t>rights to protect our proprietary rights. We also enter into confidentiality agreements with our employees, consultants and corporate partners, and control access to and distribution of our proprietary information. Despite our efforts, unauthorized parties may attempt to copy or obtain and use our proprietary information.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Space Systems/Loral, Inc. and its former parent company Loral Space &amp; Communications, Inc. for patent infringement and breach of contract relating to the manufacture of ViaSat-1. If we are unsuccessful in any such litigation in the future, our rights to enforce such intellectual property may be impaired or we could lose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Our Involvement in Litigation Relating to Intellectual Property Claims May Have a Material Adverse Effect on Our Business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We Rely on the Availability of Third-Party Licenses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pStyle w:val="TextBody"/>
        <w:bidi w:val="0"/>
        <w:spacing w:before="120" w:after="0"/>
        <w:jc w:val="left"/>
        <w:rPr>
          <w:rFonts w:ascii="Arial;sans-serif" w:hAnsi="Arial;sans-serif"/>
          <w:b/>
          <w:sz w:val="20"/>
        </w:rPr>
      </w:pPr>
      <w:r>
        <w:rPr>
          <w:rFonts w:ascii="Arial;sans-serif" w:hAnsi="Arial;sans-serif"/>
          <w:b/>
          <w:sz w:val="20"/>
        </w:rPr>
        <w:t>Risks Related to Our Indebtedness</w:t>
      </w:r>
    </w:p>
    <w:p>
      <w:pPr>
        <w:pStyle w:val="TextBody"/>
        <w:bidi w:val="0"/>
        <w:spacing w:before="90" w:after="0"/>
        <w:jc w:val="left"/>
        <w:rPr>
          <w:rFonts w:ascii="Times New Roman" w:hAnsi="Times New Roman"/>
          <w:sz w:val="20"/>
        </w:rPr>
      </w:pPr>
      <w:r>
        <w:rPr>
          <w:rFonts w:ascii="Arial;sans-serif" w:hAnsi="Arial;sans-serif"/>
          <w:b/>
          <w:sz w:val="20"/>
        </w:rPr>
        <w:t>Our Level of Indebtedness May Adversely Affect Our Ability to Operate Our Business, Remain in Compliance with Debt Covenants, React to Changes in Our Business or the Industry in which We Operate, or Prevent Us from Making Payments on Our Indebtedness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have a significant amount of indebtedness. As of March 31, 2023, the aggregate principal amount of our total outstanding indebtedness was $2.5 billion, which was comprised of $700.0 million in principal amount of 5.625% Senior Notes due 2025 (the 2025 Notes), $600.0 million in principal amount of 5.625% Senior Secured Notes due 2027 (the 2027 Notes), $400.0 million in principal amount of 6.500% Senior Notes due 2028 (the 2028 Notes), $694.8 million in principal amount of outstanding borrowings under the Term Loan Facility, no outstanding borrowings under the Revolving Credit Facility, $59.0 million in principal amount of outstanding borrowings under the Ex-Im Credit Facility and $36.4 million of finance lease obligations. As of March 31, 2023, we had undrawn availability of $657.4 million under our Revolving Credit 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Our high level of indebtedness could have important consequences. For example, it could:</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make it more difficult for us to satisfy our debt obligations;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increase our vulnerability to general adverse economic and industry conditions; </w:t>
      </w:r>
    </w:p>
    <w:p>
      <w:pPr>
        <w:pStyle w:val="TextBody"/>
        <w:bidi w:val="0"/>
        <w:spacing w:before="240" w:after="0"/>
        <w:jc w:val="center"/>
        <w:rPr>
          <w:rFonts w:ascii="Arial;sans-serif" w:hAnsi="Arial;sans-serif"/>
          <w:b w:val="false"/>
          <w:sz w:val="20"/>
        </w:rPr>
      </w:pPr>
      <w:r>
        <w:rPr>
          <w:rFonts w:ascii="Arial;sans-serif" w:hAnsi="Arial;sans-serif"/>
          <w:b w:val="false"/>
          <w:sz w:val="20"/>
        </w:rPr>
        <w:t>39</w:t>
      </w:r>
    </w:p>
    <w:p>
      <w:pPr>
        <w:pStyle w:val="HorizontalLine"/>
        <w:pBdr>
          <w:bottom w:val="double" w:sz="2" w:space="0" w:color="808080"/>
        </w:pBdr>
        <w:bidi w:val="0"/>
        <w:spacing w:before="0" w:after="283"/>
        <w:jc w:val="left"/>
        <w:rPr/>
      </w:pPr>
      <w:r>
        <w:rPr/>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impair our ability to obtain additional debt or equity financing in the future for working capital, capital expenditures, product development, satellite construction, acquisitions or general corporate or other purposes, or to refinance existing debt on commercially reasonable terms (or at all);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other general corporate purposes;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expose us to variable interest rate risk with respect to borrowings under our Term Loan Facility and Revolving Credit Facility;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limit our flexibility in planning for, or reacting to, changes in our business and the industry in which we operate;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place us at a disadvantage compared to our competitors that have less indebtedness; and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limit our ability to adjust to changing market conditions. </w:t>
      </w:r>
    </w:p>
    <w:p>
      <w:pPr>
        <w:pStyle w:val="TextBody"/>
        <w:bidi w:val="0"/>
        <w:spacing w:before="120" w:after="0"/>
        <w:jc w:val="left"/>
        <w:rPr>
          <w:rFonts w:ascii="Times New Roman" w:hAnsi="Times New Roman"/>
          <w:sz w:val="20"/>
        </w:rPr>
      </w:pPr>
      <w:r>
        <w:rPr>
          <w:rFonts w:ascii="Arial;sans-serif" w:hAnsi="Arial;sans-serif"/>
          <w:b w:val="false"/>
          <w:sz w:val="20"/>
        </w:rPr>
        <w:t>Any of these risks could materially impact our ability to fund our operations or limit our ability to expand our business,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We may also incur significant additional indebtedness in the future, which may include financing relating to future satellites, potential acquisitions, joint ventures and strategic alliances, working capital, capital expenditures or general corporate purposes. For example, we obtained financing commitments for an additional $1.6 billion of new debt facilities in connection with the Inmarsat Transaction. We also plan to assume $2.1 billion in principal amount of Inmarsat senior secured bonds and the outstanding indebtedness under Inmarsat’s $2.4 billion senior secured credit facilities. If our level of indebtedness increases significantly, the related risks that we now face would intensify.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We May Not Be Able to Generate Sufficient Cash to Service All of Our Indebtedness and Fund Our Working Capital and Capital Expenditures or Refinance Our Indebtedness, and May Be Forced to Take Other Actions to Satisfy Our Obligations under Our Indebtedness, which May Not Be Successful</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Our ability to make scheduled payments on or to refinance our indebtedness will depend upon our future operating performance and on our ability to generate cash flow in the future, which is subject to economic, financial, business, competitive, legislative, regulatory and other factors beyond our control. We cannot assure you that our business will generate sufficient cash flow from operations, or that future borrowings, including under our Revolving Credit Facility, will be sufficient to enable us to pay our indebtedness, or to fund our other liquidity needs. In the event of satellite failure or loss, amounts recovered under satellite insurance policies may be insufficient to adequately service our debt obligations. In addition, borrowings under our Term Loan Facility and Revolving Credit Facility are subject to variable rates of interest and expose us to interest rate risk, and therefore high prevailing interest rates may adversely impact our levels of interest expense. Moreover, there can be no assurance that we will be able to refinance our debt obligations on commercially reasonable terms, or at all.</w:t>
      </w:r>
    </w:p>
    <w:p>
      <w:pPr>
        <w:pStyle w:val="TextBody"/>
        <w:bidi w:val="0"/>
        <w:spacing w:before="120" w:after="0"/>
        <w:jc w:val="left"/>
        <w:rPr>
          <w:rFonts w:ascii="Arial;sans-serif" w:hAnsi="Arial;sans-serif"/>
          <w:b w:val="false"/>
          <w:sz w:val="20"/>
        </w:rPr>
      </w:pPr>
      <w:r>
        <w:rPr>
          <w:rFonts w:ascii="Arial;sans-serif" w:hAnsi="Arial;sans-serif"/>
          <w:b w:val="false"/>
          <w:sz w:val="20"/>
        </w:rPr>
        <w:t>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Facilities and the Indentures restrict our ability to dispose of assets and use the proceeds from the disposition, and may also restrict our ability to raise debt or equity capital to repay or service our indebtedness.</w:t>
      </w:r>
    </w:p>
    <w:p>
      <w:pPr>
        <w:pStyle w:val="TextBody"/>
        <w:bidi w:val="0"/>
        <w:spacing w:before="120" w:after="0"/>
        <w:jc w:val="left"/>
        <w:rPr>
          <w:rFonts w:ascii="Times New Roman" w:hAnsi="Times New Roman"/>
          <w:sz w:val="20"/>
        </w:rPr>
      </w:pPr>
      <w:r>
        <w:rPr>
          <w:rFonts w:ascii="Arial;sans-serif" w:hAnsi="Arial;sans-serif"/>
          <w:b w:val="false"/>
          <w:sz w:val="20"/>
        </w:rPr>
        <w:t>If we cannot make scheduled payments on our debt, we will be in default and, as a result, the lenders under our Credit Facilities and the holders of the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sz w:val="20"/>
        </w:rPr>
        <w:t>Covenants in Our Debt Agreements Could Limit Our Ability to Implement Our Business Plan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Credit Facilities and the Indentures contain covenants that may restrict our ability to implement our business plan, borrow under our Credit Facilities or secure additional financing, respond to changing conditions, and engage in opportunistic transactions. The Credit Facilities and the Indentures include covenants restricting, among other things, our ability to incur indebtedness, issue redeemable or preferred stock, incur liens, sell or dispose of assets (including capital stock of subsidiaries), make loans and investments, pay dividends, enter into affiliate transactions, reduce our satellite insurance and consolidate or merge with or into, or sell substantially all of our assets to, another person.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In addition, our Credit Facilities require us to comply with certain financial covenants, including a maximum total leverage ratio and minimum interest coverage ratio. Our Term Loan Facility, Revolving Credit Facility and the 2027 Notes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40</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Arial;sans-serif" w:hAnsi="Arial;sans-serif"/>
          <w:b w:val="false"/>
          <w:sz w:val="20"/>
        </w:rPr>
        <w:t>are equally and ratably secured by first-priority liens on substantially all of the assets of our company, including the stock of our significant subsidiaries, and the assets of any future subsidiary guarantors. Our Ex-Im Credit Facility is guaranteed by Viasat and is secured by first-priority liens on the ViaSat-2 satellite and related assets, as well as the stock of our foreign subsidiary that owns the ViaSat-2 satellite.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If we default under our Credit Facilities or the Indentures, all outstanding amounts thereunder could become immediately due and payable. In the past we violated covenants in our former revolving credit facilities and received waivers for these violations. We cannot assure you that we will be able to comply with covenants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Indentures, we may need additional financing to service or extinguish our indebtedness. We may not be able to obtain financing or refinancing on terms acceptable to us, if at all. We cannot assure you that we would have sufficient funds to repay all the outstanding amounts under our Credit Facilities or the Indentures, and any acceleration of amounts due would have a material adverse effect on our liquidity and financial condition.</w:t>
      </w:r>
      <w:r>
        <w:rPr>
          <w:rFonts w:ascii="Times New Roman" w:hAnsi="Times New Roman"/>
          <w:sz w:val="20"/>
        </w:rPr>
        <w:t xml:space="preserve"> </w:t>
      </w:r>
    </w:p>
    <w:p>
      <w:pPr>
        <w:pStyle w:val="TextBody"/>
        <w:bidi w:val="0"/>
        <w:spacing w:before="120" w:after="0"/>
        <w:jc w:val="left"/>
        <w:rPr>
          <w:rFonts w:ascii="Arial;sans-serif" w:hAnsi="Arial;sans-serif"/>
          <w:b/>
          <w:sz w:val="20"/>
        </w:rPr>
      </w:pPr>
      <w:r>
        <w:rPr>
          <w:rFonts w:ascii="Arial;sans-serif" w:hAnsi="Arial;sans-serif"/>
          <w:b/>
          <w:sz w:val="20"/>
        </w:rPr>
        <w:t>Additional Risks Related to the Inmarsat Transaction</w:t>
      </w:r>
    </w:p>
    <w:p>
      <w:pPr>
        <w:pStyle w:val="TextBody"/>
        <w:bidi w:val="0"/>
        <w:spacing w:before="90" w:after="0"/>
        <w:jc w:val="left"/>
        <w:rPr>
          <w:rFonts w:ascii="Times New Roman" w:hAnsi="Times New Roman"/>
          <w:sz w:val="20"/>
        </w:rPr>
      </w:pPr>
      <w:r>
        <w:rPr>
          <w:rFonts w:ascii="Arial;sans-serif" w:hAnsi="Arial;sans-serif"/>
          <w:b/>
          <w:sz w:val="20"/>
        </w:rPr>
        <w:t>The Inmarsat Transaction is Subject to Closing Conditions and May Not Be Completed, the Purchase Agreement May Be Terminated in Accordance with its Terms, and We May Be Required to Pay a Termination Fee Upon Termination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Inmarsat Transaction is subject to customary closing conditions that must be satisfied or waived prior to the completion of the Inmarsat Transaction, including receipt of regulatory approvals and clearances. Many of the closing conditions are not within our control. No assurance can be given that the required regulatory approvals and clearances will be obtained or that the required conditions to closing will be satisfied in a timely manner or at all. Any delay in completing the Inmarsat Transaction could cause the combined company not to realize, or to be delayed in realizing, some or all of the benefits that we expect to achieve if the Inmarsat Transaction is successfully completed within its expected time frame.</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Additionally, either we or certain Sellers may terminate the Purchase Agreement under certain circumstances, including, among other reasons, if the Inmarsat Transaction is not completed by May 30, 2023 (subject to extension under certain circumstances). In addition, if the Purchase Agreement is terminated under specified circumstances, we may be obligated to pay a termination fee of either $150.0 million or $200.0 million or to reimburse certain out-of-pocket expenses of certain Sellers up to $40.0 million.</w:t>
      </w:r>
    </w:p>
    <w:p>
      <w:pPr>
        <w:pStyle w:val="TextBody"/>
        <w:bidi w:val="0"/>
        <w:spacing w:before="120" w:after="0"/>
        <w:jc w:val="left"/>
        <w:rPr>
          <w:rFonts w:ascii="Arial;sans-serif" w:hAnsi="Arial;sans-serif"/>
          <w:b w:val="false"/>
          <w:sz w:val="20"/>
        </w:rPr>
      </w:pPr>
      <w:r>
        <w:rPr>
          <w:rFonts w:ascii="Arial;sans-serif" w:hAnsi="Arial;sans-serif"/>
          <w:b w:val="false"/>
          <w:sz w:val="20"/>
        </w:rPr>
        <w:t>Moreover, if the Inmarsat Transaction is not completed for any reason, including because required regulatory approvals and clearances are not obtained, our ongoing businesses may be adversely affected and, without realizing any of the expected benefits of having completed the Inmarsat Transaction, we would be subject to a number of risks, including the following:</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we may experience negative reactions from the financial markets, including negative impacts on our stock price;</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we may experience negative reactions from our customers, suppliers, distributors and employees;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we will be required to pay our costs relating to the Inmarsat Transaction, such as financial advisory, legal, financing and accounting costs and associated fees and expenses, whether or not the Inmarsat Transaction is completed;</w:t>
      </w:r>
    </w:p>
    <w:p>
      <w:pPr>
        <w:pStyle w:val="TextBody"/>
        <w:bidi w:val="0"/>
        <w:spacing w:before="80" w:after="0"/>
        <w:jc w:val="left"/>
        <w:rPr/>
      </w:pPr>
      <w:r>
        <w:rPr/>
        <w:t>•</w:t>
      </w:r>
    </w:p>
    <w:p>
      <w:pPr>
        <w:pStyle w:val="TextBody"/>
        <w:bidi w:val="0"/>
        <w:spacing w:before="80" w:after="0"/>
        <w:jc w:val="left"/>
        <w:rPr>
          <w:rFonts w:ascii="Arial;sans-serif" w:hAnsi="Arial;sans-serif"/>
          <w:b w:val="false"/>
          <w:sz w:val="20"/>
        </w:rPr>
      </w:pPr>
      <w:r>
        <w:rPr>
          <w:rFonts w:ascii="Arial;sans-serif" w:hAnsi="Arial;sans-serif"/>
          <w:b w:val="false"/>
          <w:sz w:val="20"/>
        </w:rPr>
        <w:t xml:space="preserve">the Purchase Agreement places certain restrictions on the conduct of our business prior to completion of the Inmarsat Transaction and such restrictions, the waiver of which are subject to the consent of certain of the Sellers, may have prevented us from taking actions during the pendency of the Inmarsat Transaction that would have been beneficial; and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matters relating to the Inmarsat Transaction will require substantial commitments of time and resources by management, which could otherwise have been devoted to day-to-day operations or to other opportunities that may have been beneficial to us as an independent company.</w:t>
      </w:r>
    </w:p>
    <w:p>
      <w:pPr>
        <w:pStyle w:val="TextBody"/>
        <w:bidi w:val="0"/>
        <w:spacing w:before="240" w:after="0"/>
        <w:jc w:val="center"/>
        <w:rPr>
          <w:rFonts w:ascii="Arial;sans-serif" w:hAnsi="Arial;sans-serif"/>
          <w:b w:val="false"/>
          <w:sz w:val="20"/>
        </w:rPr>
      </w:pPr>
      <w:r>
        <w:rPr>
          <w:rFonts w:ascii="Arial;sans-serif" w:hAnsi="Arial;sans-serif"/>
          <w:b w:val="false"/>
          <w:sz w:val="20"/>
        </w:rPr>
        <w:t>41</w:t>
      </w:r>
    </w:p>
    <w:p>
      <w:pPr>
        <w:pStyle w:val="HorizontalLine"/>
        <w:pBdr>
          <w:bottom w:val="double" w:sz="2" w:space="0" w:color="808080"/>
        </w:pBdr>
        <w:bidi w:val="0"/>
        <w:spacing w:before="0" w:after="283"/>
        <w:jc w:val="left"/>
        <w:rPr/>
      </w:pPr>
      <w:r>
        <w:rPr/>
      </w:r>
    </w:p>
    <w:p>
      <w:pPr>
        <w:pStyle w:val="TextBody"/>
        <w:bidi w:val="0"/>
        <w:spacing w:before="120" w:after="0"/>
        <w:jc w:val="left"/>
        <w:rPr>
          <w:rFonts w:ascii="Arial;sans-serif" w:hAnsi="Arial;sans-serif"/>
          <w:b/>
          <w:sz w:val="20"/>
        </w:rPr>
      </w:pPr>
      <w:r>
        <w:rPr>
          <w:rFonts w:ascii="Arial;sans-serif" w:hAnsi="Arial;sans-serif"/>
          <w:b/>
          <w:sz w:val="20"/>
        </w:rPr>
        <w:t>We Must Obtain Certain Regulatory Approvals and Clearances to Consummate the Inmarsat Transaction, Which, If Delayed, Not Granted or Granted with Burdensome or Unacceptable Conditions, Could Prevent, Substantially Delay or Impair Consummation of the Inmarsat Transaction, Result in Additional Expenditures of Money and Resources or Reduce the Anticipated Benefits of the Inmarsat Transaction</w:t>
      </w:r>
    </w:p>
    <w:p>
      <w:pPr>
        <w:pStyle w:val="TextBody"/>
        <w:bidi w:val="0"/>
        <w:spacing w:before="90" w:after="0"/>
        <w:jc w:val="left"/>
        <w:rPr>
          <w:rFonts w:ascii="Times New Roman" w:hAnsi="Times New Roman"/>
          <w:sz w:val="20"/>
        </w:rPr>
      </w:pPr>
      <w:r>
        <w:rPr>
          <w:rFonts w:ascii="Arial;sans-serif" w:hAnsi="Arial;sans-serif"/>
          <w:b w:val="false"/>
          <w:sz w:val="20"/>
        </w:rPr>
        <w:t>The completion of the Inmarsat Transaction is subject to customary closing conditions, including receipt of regulatory approvals and clearances in various jurisdictions. Governmental and regulatory authorities in various jurisdictions may impose conditions on approvals and clearances as they deem necessary or desirable, including, but not limited to, seeking divestiture of substantial assets of the parties or requiring the parties to license, or hold separate, assets or to not engage in certain types of conduct, or seeking to enjoin the completion of the Inmarsat Transaction.</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Any conditions imposed in connection with regulatory approvals or clearances could jeopardize or delay the completion of the Inmarsat Transaction, have a material adverse effect on the combined company or reduce the anticipated benefits of the Inmarsat Transaction. There is no assurance that we and Inmarsat will obtain all required regulatory clearances or approvals on a timely or acceptable basis, or at all. Failure to obtain the necessary clearances and approvals in any relevant jurisdictions could substantially delay or prevent the consummation of the Inmarsat Transaction, which could have a material adverse effect on us. Additionally, we may be required to pay a termination fee of up to $200.0 million if either we or certain Sellers terminate the Purchase Agreement due to the Inmarsat Transaction not being completed by the long-stop date and at the time of termination the regulatory conditions have not been satisfied.</w:t>
      </w:r>
    </w:p>
    <w:p>
      <w:pPr>
        <w:pStyle w:val="TextBody"/>
        <w:bidi w:val="0"/>
        <w:spacing w:before="120" w:after="0"/>
        <w:jc w:val="left"/>
        <w:rPr>
          <w:rFonts w:ascii="Arial;sans-serif" w:hAnsi="Arial;sans-serif"/>
          <w:b/>
          <w:sz w:val="20"/>
        </w:rPr>
      </w:pPr>
      <w:r>
        <w:rPr>
          <w:rFonts w:ascii="Arial;sans-serif" w:hAnsi="Arial;sans-serif"/>
          <w:b/>
          <w:sz w:val="20"/>
        </w:rPr>
        <w:t>While the Inmarsat Transaction is Pending, We Are Prohibited From Entering into Certain Transactions and Taking Certain Actions that Might Otherwise be Beneficial to Us and Our Stockholders</w:t>
      </w:r>
    </w:p>
    <w:p>
      <w:pPr>
        <w:pStyle w:val="TextBody"/>
        <w:bidi w:val="0"/>
        <w:spacing w:before="90" w:after="0"/>
        <w:jc w:val="left"/>
        <w:rPr>
          <w:rFonts w:ascii="Arial;sans-serif" w:hAnsi="Arial;sans-serif"/>
          <w:b w:val="false"/>
          <w:sz w:val="20"/>
        </w:rPr>
      </w:pPr>
      <w:r>
        <w:rPr>
          <w:rFonts w:ascii="Arial;sans-serif" w:hAnsi="Arial;sans-serif"/>
          <w:b w:val="false"/>
          <w:sz w:val="20"/>
        </w:rPr>
        <w:t>During the period between the date of the Purchase Agreement and completion of the Inmarsat Transaction, the Purchase Agreement restricts us from taking specified actions or from pursuing what might otherwise be attractive business opportunities or making other changes to our business, in each case without the consent of certain of the Sellers. These restrictions may prevent us from taking actions during the pendency of the Inmarsat Transaction that would have been beneficial.</w:t>
      </w:r>
    </w:p>
    <w:p>
      <w:pPr>
        <w:pStyle w:val="TextBody"/>
        <w:bidi w:val="0"/>
        <w:spacing w:before="120" w:after="0"/>
        <w:jc w:val="left"/>
        <w:rPr>
          <w:rFonts w:ascii="Arial;sans-serif" w:hAnsi="Arial;sans-serif"/>
          <w:b/>
          <w:sz w:val="20"/>
        </w:rPr>
      </w:pPr>
      <w:r>
        <w:rPr>
          <w:rFonts w:ascii="Arial;sans-serif" w:hAnsi="Arial;sans-serif"/>
          <w:b/>
          <w:sz w:val="20"/>
        </w:rPr>
        <w:t>The Inmarsat Transaction Will Involve Substantial Costs</w:t>
      </w:r>
    </w:p>
    <w:p>
      <w:pPr>
        <w:pStyle w:val="TextBody"/>
        <w:bidi w:val="0"/>
        <w:spacing w:before="90" w:after="0"/>
        <w:jc w:val="left"/>
        <w:rPr>
          <w:rFonts w:ascii="Arial;sans-serif" w:hAnsi="Arial;sans-serif"/>
          <w:b w:val="false"/>
          <w:sz w:val="20"/>
        </w:rPr>
      </w:pPr>
      <w:r>
        <w:rPr>
          <w:rFonts w:ascii="Arial;sans-serif" w:hAnsi="Arial;sans-serif"/>
          <w:b w:val="false"/>
          <w:sz w:val="20"/>
        </w:rPr>
        <w:t>We have incurred and expect to incur non-recurring costs associated with the Inmarsat Transaction and combining the operations of the two companies, as well as transaction fees and other costs related to the Inmarsat Transaction. Although a significant portion of these costs is contingent upon the closing of the Inmarsat Transaction occurring, some have been and will be incurred regardless of whether the Inmarsat Transaction is consummated. In addition, the combined company will also incur significant restructuring and integration costs in connection with the Inmarsat Transaction. While we have assumed a certain level of expenses would be incurred to integrate the two companies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p>
    <w:p>
      <w:pPr>
        <w:pStyle w:val="TextBody"/>
        <w:bidi w:val="0"/>
        <w:spacing w:before="270" w:after="0"/>
        <w:jc w:val="left"/>
        <w:rPr>
          <w:rFonts w:ascii="Times New Roman" w:hAnsi="Times New Roman"/>
          <w:sz w:val="20"/>
        </w:rPr>
      </w:pPr>
      <w:bookmarkStart w:id="5" w:name="item_1b_unresolved_staff_comments"/>
      <w:bookmarkEnd w:id="5"/>
      <w:r>
        <w:rPr>
          <w:rFonts w:ascii="Arial;sans-serif" w:hAnsi="Arial;sans-serif"/>
          <w:b/>
          <w:sz w:val="20"/>
        </w:rPr>
        <w:t>ITEM 1B.</w:t>
      </w:r>
      <w:r>
        <w:rPr>
          <w:rFonts w:ascii="Times New Roman" w:hAnsi="Times New Roman"/>
          <w:sz w:val="20"/>
        </w:rPr>
        <w:t xml:space="preserve"> </w:t>
      </w:r>
      <w:r>
        <w:rPr>
          <w:rFonts w:ascii="Arial;sans-serif" w:hAnsi="Arial;sans-serif"/>
          <w:b/>
          <w:i/>
          <w:sz w:val="20"/>
        </w:rPr>
        <w:t>UNRESOLVED STAFF COMMENTS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None.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6" w:name="item_2_properties"/>
      <w:bookmarkEnd w:id="6"/>
      <w:r>
        <w:rPr>
          <w:rFonts w:ascii="Arial;sans-serif" w:hAnsi="Arial;sans-serif"/>
          <w:b/>
          <w:sz w:val="20"/>
        </w:rPr>
        <w:t>ITEM 2.</w:t>
      </w:r>
      <w:r>
        <w:rPr>
          <w:rFonts w:ascii="Times New Roman" w:hAnsi="Times New Roman"/>
          <w:sz w:val="20"/>
        </w:rPr>
        <w:t xml:space="preserve"> </w:t>
      </w:r>
      <w:r>
        <w:rPr>
          <w:rFonts w:ascii="Arial;sans-serif" w:hAnsi="Arial;sans-serif"/>
          <w:b/>
          <w:i/>
          <w:sz w:val="20"/>
        </w:rPr>
        <w:t>PROPERTIES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worldwide headquarters are located at our Carlsbad, California campus. In addition to our Carlsbad campus, we have facilities, offices or earth stations located across the United States including our Tempe, Arizona facility, and across the globe. Although we believe that our existing facilities are suitable and adequate for our present purposes, we anticipate operating additional regional sales offices in fiscal year 2024 and beyond. Each of our segments uses each of these facilities.</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7" w:name="item_3_legal_proceedings"/>
      <w:bookmarkEnd w:id="7"/>
      <w:r>
        <w:rPr>
          <w:rFonts w:ascii="Arial;sans-serif" w:hAnsi="Arial;sans-serif"/>
          <w:b/>
          <w:sz w:val="20"/>
        </w:rPr>
        <w:t>ITEM 3.</w:t>
      </w:r>
      <w:r>
        <w:rPr>
          <w:rFonts w:ascii="Times New Roman" w:hAnsi="Times New Roman"/>
          <w:sz w:val="20"/>
        </w:rPr>
        <w:t xml:space="preserve"> </w:t>
      </w:r>
      <w:r>
        <w:rPr>
          <w:rFonts w:ascii="Arial;sans-serif" w:hAnsi="Arial;sans-serif"/>
          <w:b/>
          <w:i/>
          <w:sz w:val="20"/>
        </w:rPr>
        <w:t>LEGAL</w:t>
      </w:r>
      <w:r>
        <w:rPr>
          <w:rFonts w:ascii="Times New Roman" w:hAnsi="Times New Roman"/>
          <w:sz w:val="20"/>
        </w:rPr>
        <w:t xml:space="preserve"> </w:t>
      </w:r>
      <w:r>
        <w:rPr>
          <w:rFonts w:ascii="Arial;sans-serif" w:hAnsi="Arial;sans-serif"/>
          <w:b/>
          <w:i/>
          <w:sz w:val="20"/>
        </w:rPr>
        <w:t>PROCEEDINGS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8" w:name="item_4_mine_safety_disclosures"/>
      <w:bookmarkEnd w:id="8"/>
      <w:r>
        <w:rPr>
          <w:rFonts w:ascii="Arial;sans-serif" w:hAnsi="Arial;sans-serif"/>
          <w:b/>
          <w:sz w:val="20"/>
        </w:rPr>
        <w:t>ITEM 4.</w:t>
      </w:r>
      <w:r>
        <w:rPr>
          <w:rFonts w:ascii="Times New Roman" w:hAnsi="Times New Roman"/>
          <w:sz w:val="20"/>
        </w:rPr>
        <w:t xml:space="preserve"> </w:t>
      </w:r>
      <w:r>
        <w:rPr>
          <w:rFonts w:ascii="Arial;sans-serif" w:hAnsi="Arial;sans-serif"/>
          <w:b/>
          <w:i/>
          <w:sz w:val="20"/>
        </w:rPr>
        <w:t>MINE SAFETY DISCLOSURES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Not applicable.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9" w:name="part_ii"/>
      <w:bookmarkEnd w:id="9"/>
      <w:r>
        <w:rPr>
          <w:rFonts w:ascii="Arial;sans-serif" w:hAnsi="Arial;sans-serif"/>
          <w:b/>
          <w:sz w:val="20"/>
        </w:rPr>
        <w:t>PART</w:t>
      </w:r>
      <w:r>
        <w:rPr>
          <w:rFonts w:ascii="Times New Roman" w:hAnsi="Times New Roman"/>
          <w:sz w:val="20"/>
        </w:rPr>
        <w:t xml:space="preserve"> </w:t>
      </w:r>
      <w:r>
        <w:rPr>
          <w:rFonts w:ascii="Arial;sans-serif" w:hAnsi="Arial;sans-serif"/>
          <w:b/>
          <w:sz w:val="20"/>
        </w:rPr>
        <w:t>II</w:t>
      </w:r>
      <w:r>
        <w:rPr>
          <w:rFonts w:ascii="Times New Roman" w:hAnsi="Times New Roman"/>
          <w:sz w:val="20"/>
        </w:rPr>
        <w:t xml:space="preserve"> </w:t>
      </w:r>
    </w:p>
    <w:p>
      <w:pPr>
        <w:pStyle w:val="TextBody"/>
        <w:bidi w:val="0"/>
        <w:spacing w:before="180" w:after="0"/>
        <w:jc w:val="left"/>
        <w:rPr>
          <w:rFonts w:ascii="Times New Roman" w:hAnsi="Times New Roman"/>
          <w:sz w:val="20"/>
        </w:rPr>
      </w:pPr>
      <w:bookmarkStart w:id="10" w:name="item_5_market_for_registrants_common_equ"/>
      <w:bookmarkEnd w:id="10"/>
      <w:r>
        <w:rPr>
          <w:rFonts w:ascii="Arial;sans-serif" w:hAnsi="Arial;sans-serif"/>
          <w:b/>
          <w:sz w:val="20"/>
        </w:rPr>
        <w:t>ITEM 5.</w:t>
      </w:r>
      <w:r>
        <w:rPr>
          <w:rFonts w:ascii="Times New Roman" w:hAnsi="Times New Roman"/>
          <w:sz w:val="20"/>
        </w:rPr>
        <w:t xml:space="preserve"> </w:t>
      </w:r>
      <w:r>
        <w:rPr>
          <w:rFonts w:ascii="Arial;sans-serif" w:hAnsi="Arial;sans-serif"/>
          <w:b/>
          <w:i/>
          <w:sz w:val="20"/>
        </w:rPr>
        <w:t>MARKET FOR REGISTRANT’S COMMON EQUITY, RELATED STOCKHOLDER MATTERS AND ISSUER PURCHASES OF EQUITY SECURITIES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common stock is traded on the Nasdaq Global Select Market under the symbol “VSAT.” As of May 5, 2023, there were approximately 391 holders of record of our common stock. A substantially greater number of holders of Viasat common stock are “street name” or beneficial holders, whose shares are held of record by banks, brokers and other financial institutions.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Dividend Policy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Indentures restrict our ability to declare or pay dividends on our common stock.</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11" w:name="item_6_reserved"/>
      <w:bookmarkEnd w:id="11"/>
      <w:r>
        <w:rPr>
          <w:rFonts w:ascii="Arial;sans-serif" w:hAnsi="Arial;sans-serif"/>
          <w:b/>
          <w:sz w:val="20"/>
        </w:rPr>
        <w:t>ITEM 6.</w:t>
      </w:r>
      <w:r>
        <w:rPr>
          <w:rFonts w:ascii="Times New Roman" w:hAnsi="Times New Roman"/>
          <w:sz w:val="20"/>
        </w:rPr>
        <w:t xml:space="preserve"> </w:t>
      </w:r>
      <w:r>
        <w:rPr>
          <w:rFonts w:ascii="Arial;sans-serif" w:hAnsi="Arial;sans-serif"/>
          <w:b/>
          <w:i/>
          <w:sz w:val="20"/>
        </w:rPr>
        <w:t>[RESERVED]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12" w:name="item_7_managements_discussion_analysis_f"/>
      <w:bookmarkEnd w:id="12"/>
      <w:r>
        <w:rPr>
          <w:rFonts w:ascii="Arial;sans-serif" w:hAnsi="Arial;sans-serif"/>
          <w:b/>
          <w:sz w:val="20"/>
        </w:rPr>
        <w:t>ITEM 7.</w:t>
      </w:r>
      <w:r>
        <w:rPr>
          <w:rFonts w:ascii="Times New Roman" w:hAnsi="Times New Roman"/>
          <w:sz w:val="20"/>
        </w:rPr>
        <w:t xml:space="preserve"> </w:t>
      </w:r>
      <w:r>
        <w:rPr>
          <w:rFonts w:ascii="Arial;sans-serif" w:hAnsi="Arial;sans-serif"/>
          <w:b/>
          <w:i/>
          <w:sz w:val="20"/>
        </w:rPr>
        <w:t>MANAGEMENT’S DISCUSSION AND ANALYSIS OF FINANCIAL CONDITION AND RESULTS OF OPERATIONS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sz w:val="20"/>
        </w:rPr>
        <w:t>Company Overview</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portfolio of communications gateways, situational awareness products and services, Ka-band, Ku-band and UHF satellite communication products and services, cybersecurity and information assurance products and services and tactical data link solutions. We believe that our diversification strategy—anchored in a broad portfolio of customer-centric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three segments: satellite services, commercial networks and government systems.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Satellite Services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satellite services segment uses our proprietary technology platform to provide satellite-based high-speed broadband services around the globe for use in commercial applications. Our proprietary Ka-band satellites are at the core of our technology platform. The primary services offered by our satellite services segment are comprised of:</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Fixed broadband services, which provide consumers and businesses with high-speed, high-quality broadband internet access and VoIP services, primarily in the United States as well as in various countries in Europe and Latin America.</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In-flight services, which provide industry-leading IFC, wireless in-flight entertainment and aviation software services.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Prepaid Internet services, which offer innovative, affordable, satellite-based connectivity in communities that have little or no access to the internet. These services help foster digital inclusion by enabling millions of people to connect to affordable, high-quality internet services via a centralized terminal connected to the internet via satellite, that is then used to provide community hotspots, home broadband and mobile broadband. We provide Prepaid Internet services in multiple regions in Mexico and Brazil and are trialing services in advance of full-service launch in various other countries in South America and Central America.</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 </w:t>
      </w:r>
    </w:p>
    <w:p>
      <w:pPr>
        <w:pStyle w:val="TextBody"/>
        <w:bidi w:val="0"/>
        <w:spacing w:before="90" w:after="0"/>
        <w:jc w:val="left"/>
        <w:rPr/>
      </w:pPr>
      <w:r>
        <w:rPr/>
        <w:t>•</w:t>
      </w:r>
    </w:p>
    <w:p>
      <w:pPr>
        <w:pStyle w:val="TextBody"/>
        <w:bidi w:val="0"/>
        <w:spacing w:before="90" w:after="283"/>
        <w:jc w:val="left"/>
        <w:rPr/>
      </w:pPr>
      <w:r>
        <w:rPr>
          <w:rFonts w:ascii="Arial;sans-serif" w:hAnsi="Arial;sans-serif"/>
          <w:b w:val="false"/>
          <w:sz w:val="20"/>
        </w:rPr>
        <w:t>Energy services</w:t>
      </w:r>
      <w:r>
        <w:rPr>
          <w:rFonts w:ascii="Arial;sans-serif" w:hAnsi="Arial;sans-serif"/>
          <w:b w:val="false"/>
          <w:i/>
          <w:sz w:val="20"/>
        </w:rPr>
        <w:t xml:space="preserve">, </w:t>
      </w:r>
      <w:r>
        <w:rPr>
          <w:rFonts w:ascii="Arial;sans-serif" w:hAnsi="Arial;sans-serif"/>
          <w:b w:val="false"/>
          <w:sz w:val="20"/>
        </w:rPr>
        <w:t xml:space="preserve">which include ultra-secure solutions spanning global IP connectivity, bandwidth-optimized over-the-top applications, industrial internet-of-things, big data enablement and industry-leading machine learning analytics. </w:t>
      </w:r>
    </w:p>
    <w:p>
      <w:pPr>
        <w:pStyle w:val="TextBody"/>
        <w:bidi w:val="0"/>
        <w:spacing w:before="180" w:after="0"/>
        <w:jc w:val="left"/>
        <w:rPr>
          <w:rFonts w:ascii="Arial;sans-serif" w:hAnsi="Arial;sans-serif"/>
          <w:b w:val="false"/>
          <w:sz w:val="20"/>
        </w:rPr>
      </w:pPr>
      <w:r>
        <w:rPr>
          <w:rFonts w:ascii="Arial;sans-serif" w:hAnsi="Arial;sans-serif"/>
          <w:b w:val="false"/>
          <w:sz w:val="20"/>
        </w:rPr>
        <w:t>The assets and results of operations of EBI and RigNet are primarily included in our satellite services segment (with insignificant amounts included in our commercial networks segment).</w:t>
      </w:r>
    </w:p>
    <w:p>
      <w:pPr>
        <w:pStyle w:val="TextBody"/>
        <w:bidi w:val="0"/>
        <w:spacing w:before="270" w:after="0"/>
        <w:jc w:val="left"/>
        <w:rPr>
          <w:rFonts w:ascii="Times New Roman" w:hAnsi="Times New Roman"/>
          <w:sz w:val="20"/>
        </w:rPr>
      </w:pPr>
      <w:r>
        <w:rPr>
          <w:rFonts w:ascii="Arial;sans-serif" w:hAnsi="Arial;sans-serif"/>
          <w:b/>
          <w:i/>
          <w:sz w:val="20"/>
        </w:rPr>
        <w:t>Commercial Networks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commercial networks segment develops and sells a wide array of advanced satellite and wireless products, antenna systems and network and terminal solutions that support or enable the provision of high-speed fixed and mobile broadband services. We design, develop and produce space system solutions for multiple orbital regimes, including GEO, MEO and LEO. The primary products, systems, solutions and services offered by our commercial networks segment are comprised of:</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Mobile broadband satellite communication systems, designed for use in aircraft, land-mobile and seagoing vessels.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Fixed broadband satellite communication systems, including next-generation satellite network infrastructure, ground terminals and design and implementation for customer telecommunication systems.</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Antenna systems, including state-of-the-art ground and airborne terminals, antennas and gateways for terrestrial and satellite customer applications, mobile satellite communication, Ka-band earth stations and other multi-band/multi-function antennas. </w:t>
      </w:r>
    </w:p>
    <w:p>
      <w:pPr>
        <w:pStyle w:val="TextBody"/>
        <w:bidi w:val="0"/>
        <w:spacing w:before="240" w:after="0"/>
        <w:jc w:val="center"/>
        <w:rPr>
          <w:rFonts w:ascii="Arial;sans-serif" w:hAnsi="Arial;sans-serif"/>
          <w:b w:val="false"/>
          <w:sz w:val="20"/>
        </w:rPr>
      </w:pPr>
      <w:r>
        <w:rPr>
          <w:rFonts w:ascii="Arial;sans-serif" w:hAnsi="Arial;sans-serif"/>
          <w:b w:val="false"/>
          <w:sz w:val="20"/>
        </w:rPr>
        <w:t>45</w:t>
      </w:r>
    </w:p>
    <w:p>
      <w:pPr>
        <w:pStyle w:val="HorizontalLine"/>
        <w:pBdr>
          <w:bottom w:val="double" w:sz="2" w:space="0" w:color="808080"/>
        </w:pBdr>
        <w:bidi w:val="0"/>
        <w:spacing w:before="0" w:after="283"/>
        <w:jc w:val="left"/>
        <w:rPr/>
      </w:pPr>
      <w:r>
        <w:rPr/>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Space systems design and satellite networking development, including the design and development of the architecture of high-capacity Ka-band geosynchronous satellites and associated payload technologies (both for our own satellite fleet as well as for third parties) and special purpose LEO and MEO satellites and other small satellite platforms, as well as semiconductor design for ASIC and MMIC chips. Satellite networking development includes specialized design and technology services covering all aspects of satellite communication system architecture, networks and technology.</w:t>
      </w:r>
    </w:p>
    <w:p>
      <w:pPr>
        <w:pStyle w:val="TextBody"/>
        <w:bidi w:val="0"/>
        <w:spacing w:before="270" w:after="0"/>
        <w:jc w:val="left"/>
        <w:rPr>
          <w:rFonts w:ascii="Times New Roman" w:hAnsi="Times New Roman"/>
          <w:sz w:val="20"/>
        </w:rPr>
      </w:pPr>
      <w:r>
        <w:rPr>
          <w:rFonts w:ascii="Arial;sans-serif" w:hAnsi="Arial;sans-serif"/>
          <w:b/>
          <w:i/>
          <w:sz w:val="20"/>
        </w:rPr>
        <w:t>Government Systems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government systems segment offers a broad array of products and services, including:</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Government mobile broadband products and services, which provide military and government users with high-speed, real-time, broadband and multimedia connectivity in key regions of the world, as well as line-of-sight and beyond-line-of-sight ISR missions.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Government satellite communication systems, which offer an array of portable, mobile and fixed broadband modems, terminals, network access control systems and antenna systems, and include products designed for manpacks, aircraft, UAVs, seagoing vessels, ground-mobile vehicles, space-based systems and fixed applications.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Secure networking, cybersecurity and information assurance products and services, which provide advanced, high-speed IP-based “Type 1” and HAIPE-compliant encryption solutions that enable military and government users to communicate information securely, and that protect the integrity of data stored on computers and storage devices.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Tactical data link solutions, which continue to provide certain solutions in the tactical data link space, including our MOJO tactical gateway family of products and simulation environments via our radio frequency generators which test our customers' tactical data links. On January 3, 2023 we sold the remainder of our Link-16 TDL Business to L3Harris. See Note 4 — Discontinued Operations to our consolidated financial statements for additional information. </w:t>
      </w:r>
    </w:p>
    <w:p>
      <w:pPr>
        <w:pStyle w:val="TextBody"/>
        <w:bidi w:val="0"/>
        <w:spacing w:before="270" w:after="0"/>
        <w:jc w:val="left"/>
        <w:rPr>
          <w:rFonts w:ascii="Arial;sans-serif" w:hAnsi="Arial;sans-serif"/>
          <w:b/>
          <w:sz w:val="20"/>
        </w:rPr>
      </w:pPr>
      <w:r>
        <w:rPr>
          <w:rFonts w:ascii="Arial;sans-serif" w:hAnsi="Arial;sans-serif"/>
          <w:b/>
          <w:sz w:val="20"/>
        </w:rPr>
        <w:t>Factors and Trends Affecting our Results of Operations</w:t>
      </w:r>
    </w:p>
    <w:p>
      <w:pPr>
        <w:pStyle w:val="TextBody"/>
        <w:bidi w:val="0"/>
        <w:spacing w:before="90" w:after="0"/>
        <w:jc w:val="left"/>
        <w:rPr>
          <w:rFonts w:ascii="Arial;sans-serif" w:hAnsi="Arial;sans-serif"/>
          <w:b w:val="false"/>
          <w:sz w:val="20"/>
        </w:rPr>
      </w:pPr>
      <w:r>
        <w:rPr>
          <w:rFonts w:ascii="Arial;sans-serif" w:hAnsi="Arial;sans-serif"/>
          <w:b w:val="false"/>
          <w:sz w:val="20"/>
        </w:rPr>
        <w:t>We believe that the performance of our business and our results of operations in a given period are driven by various factors, including:</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timing and impact of acquisitions and divestitures, such as the pending Inmarsat Transaction and recently completed Link-16 TDL Sale, as well as the payment of transaction consideration and the incurrence of transaction-related or integration costs and any incurrence or repayment of indebtedness in connection therewith (see the discussion below under “Inmarsat Acquisition”);</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extent and stage of our satellite design, construction and launch activities, the associated level of investment required, the impact of any construction or launch delays or operational or launch failures, and the impact of bringing newly launched satellites into commercial service and associated ramp-up activities and costs (see the discussion below under “Satellite-Related Activities”);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ability to manage available bandwidth ahead of new satellites entering commercial service;</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ability to maintain the health, capacity, control and level of service of our satellite fleet, or the existence or occurrence of any malfunctions or anomalies in or other disruptions to our satellites;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changes in the levels of our R&amp;D spending, including the effects of associated tax credits;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seasonal effects related to the timing of contract awards, the timing and availability of U.S. Government funding, and the timing of product deliveries and customer acceptance in our government systems segment, as well as subscriber activity for our fixed broadband services related to traditional retail selling periods and increased demand for IFC services from airline passengers during peak holiday travel periods in our satellite services segment;</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rate of growth in worldwide demand for mobile and fixed broadband connectivity, including growth in number internet users, applications and connected devices;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rate of technological innovation and change in the industries in which we operate, and the introduction of new competing technologies, products and services by new and existing competitors;</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the marketing and pricing strategies of our competitors with respect to competing technologies, products and services;</w:t>
      </w:r>
    </w:p>
    <w:p>
      <w:pPr>
        <w:pStyle w:val="TextBody"/>
        <w:bidi w:val="0"/>
        <w:spacing w:before="240" w:after="0"/>
        <w:jc w:val="center"/>
        <w:rPr>
          <w:rFonts w:ascii="Arial;sans-serif" w:hAnsi="Arial;sans-serif"/>
          <w:b w:val="false"/>
          <w:sz w:val="20"/>
        </w:rPr>
      </w:pPr>
      <w:r>
        <w:rPr>
          <w:rFonts w:ascii="Arial;sans-serif" w:hAnsi="Arial;sans-serif"/>
          <w:b w:val="false"/>
          <w:sz w:val="20"/>
        </w:rPr>
        <w:t>46</w:t>
      </w:r>
    </w:p>
    <w:p>
      <w:pPr>
        <w:pStyle w:val="HorizontalLine"/>
        <w:pBdr>
          <w:bottom w:val="double" w:sz="2" w:space="0" w:color="808080"/>
        </w:pBdr>
        <w:bidi w:val="0"/>
        <w:spacing w:before="0" w:after="283"/>
        <w:jc w:val="left"/>
        <w:rPr/>
      </w:pPr>
      <w:r>
        <w:rPr/>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ability to implement (on a timely basis) our technology roadmap and the associated investments and costs, as well as market acceptance and the timing of availability of our new products and services;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timing, quantity and mix of products and services sold in each of our segments;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uptake of our in-flight services by commercial airlines and number of aircraft retrofitted or installed with our IFC systems, and the rate of revenue growth in our IFC-related businesses in our satellite services and commercial networks segments resulting from the normalization of or growth in global air traffic;</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varying subscriber addition, churn and average revenue per user (ARPU) rates for our fixed broadband businesses and mix of wholesale and retail subscribers;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complex and lengthy procurement process for most of our commercial networks and government systems customers and potential customers, the impact of a failure to receive an expected order or a deferral of an order to a later period, and the timing of or effect of delays in obtaining government product certifications;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difficulty in estimating costs over the life of a contract, which may require adjustment in future periods, and the impact of cost overruns (due to inflation or otherwise) on fixed-price development contracts;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timing of customer payments under significant contracts;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reliance on a few significant customers, particularly agencies of the U.S. Government, for a significant percentage of our revenues, as a result of which the loss or decline in business with any of these customers may negatively impact our revenue and collectability of related accounts receivable;</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reliance on a global supply chain, including contract manufacturers and single-source or limited groups of suppliers; the impact of supply chain bottlenecks, and our ability to purchase component parts that are periodically subject to shortages resulting from surges in demand, natural disasters or other events;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one-time charges to operating income arising from items such as costs and expenses, relating to acquisitions or divestitures, impairment of assets and write-offs of assets related to customer non-payments or obsolescence;</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changes in laws, regulations and interpretations affecting our business, including changes affecting spectrum availability or permitted uses;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our ability to generate sufficient cash flows to repay our indebtedness; and</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the impact of public health crises, such as the COVID-19 pandemic, general economic and political conditions, and other trends that affect the industries in which we operate, and the return to normalization after associated disruptions, such as the timing of return to normalization of government acquisition processes and pre-pandemic global airline traffic levels following COVID-19-related disruptions.</w:t>
      </w:r>
    </w:p>
    <w:p>
      <w:pPr>
        <w:pStyle w:val="TextBody"/>
        <w:bidi w:val="0"/>
        <w:spacing w:before="180" w:after="0"/>
        <w:jc w:val="left"/>
        <w:rPr>
          <w:rFonts w:ascii="Arial;sans-serif" w:hAnsi="Arial;sans-serif"/>
          <w:b w:val="false"/>
          <w:sz w:val="20"/>
        </w:rPr>
      </w:pPr>
      <w:r>
        <w:rPr>
          <w:rFonts w:ascii="Arial;sans-serif" w:hAnsi="Arial;sans-serif"/>
          <w:b w:val="false"/>
          <w:sz w:val="20"/>
        </w:rPr>
        <w:t>See also “Business–Segments” in Part I, Item 1 of this report for a discussion of what we believe to be key drivers for future growth in each of our segments.</w:t>
      </w:r>
    </w:p>
    <w:p>
      <w:pPr>
        <w:pStyle w:val="TextBody"/>
        <w:bidi w:val="0"/>
        <w:spacing w:before="270" w:after="0"/>
        <w:jc w:val="left"/>
        <w:rPr>
          <w:rFonts w:ascii="Times New Roman" w:hAnsi="Times New Roman"/>
          <w:sz w:val="20"/>
        </w:rPr>
      </w:pPr>
      <w:r>
        <w:rPr>
          <w:rFonts w:ascii="Arial;sans-serif" w:hAnsi="Arial;sans-serif"/>
          <w:b/>
          <w:i/>
          <w:sz w:val="20"/>
        </w:rPr>
        <w:t>COVID-19</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Although the COVID-19 pandemic impacted our financial results for fiscal years ended March 31, 2023, 2022 and 2021 (mostly due to the resulting disruption to regional and local supply chains, as well as its impact on overall supply and demand, global air travel, consumer confidence, discretionary spending levels and levels of economic activity), the impact was not material to our financial position, results of operations or cash flows in such periods. We continue to expect our diversified businesses to provide resiliency in fiscal year 2024.</w:t>
      </w:r>
    </w:p>
    <w:p>
      <w:pPr>
        <w:pStyle w:val="TextBody"/>
        <w:bidi w:val="0"/>
        <w:spacing w:before="270" w:after="0"/>
        <w:jc w:val="left"/>
        <w:rPr>
          <w:rFonts w:ascii="Arial;sans-serif" w:hAnsi="Arial;sans-serif"/>
          <w:b/>
          <w:sz w:val="20"/>
        </w:rPr>
      </w:pPr>
      <w:r>
        <w:rPr>
          <w:rFonts w:ascii="Arial;sans-serif" w:hAnsi="Arial;sans-serif"/>
          <w:b/>
          <w:sz w:val="20"/>
        </w:rPr>
        <w:t>Inmarsat Acquisition</w:t>
      </w:r>
    </w:p>
    <w:p>
      <w:pPr>
        <w:pStyle w:val="TextBody"/>
        <w:bidi w:val="0"/>
        <w:spacing w:before="90" w:after="0"/>
        <w:jc w:val="left"/>
        <w:rPr>
          <w:rFonts w:ascii="Arial;sans-serif" w:hAnsi="Arial;sans-serif"/>
          <w:b w:val="false"/>
          <w:sz w:val="20"/>
        </w:rPr>
      </w:pPr>
      <w:r>
        <w:rPr>
          <w:rFonts w:ascii="Arial;sans-serif" w:hAnsi="Arial;sans-serif"/>
          <w:b w:val="false"/>
          <w:sz w:val="20"/>
        </w:rPr>
        <w:t>On November 8, 2021, we entered into a Purchase Agreement with the Sellers to combine Viasat with Inmarsat. Pursuant to the Purchase Agreement, we will purchase all of the issued and outstanding shares of Inmarsat from the Sellers upon the terms and subject to the conditions set forth therein. The total consideration payable by us under the Purchase Agreement consists of $850.0 million in cash, subject to adjustments (such as the dividend paid by Inmarsat in April 2022, see below), and approximately 46.36 million unregistered shares of our common stock. On April 6, 2022, Inmarsat paid a dividend of $299.3 million to the Sellers, resulting in a $299.3 million reduction in the cash consideration payable by us at the closing of the Inmarsat Transaction. Our board of directors has unanimously approved the Purchase Agreement and the proposed Inmarsat Transaction. Our stockholders approved the issuance of shares in the Inmarsat Transaction and an amendment to our certificate of incorporation to increase the number of shares of our common stock authorized for issuance at a special meeting held on June 21, 2022.</w:t>
      </w:r>
    </w:p>
    <w:p>
      <w:pPr>
        <w:pStyle w:val="TextBody"/>
        <w:bidi w:val="0"/>
        <w:spacing w:before="240" w:after="0"/>
        <w:jc w:val="center"/>
        <w:rPr>
          <w:rFonts w:ascii="Arial;sans-serif" w:hAnsi="Arial;sans-serif"/>
          <w:b w:val="false"/>
          <w:sz w:val="20"/>
        </w:rPr>
      </w:pPr>
      <w:r>
        <w:rPr>
          <w:rFonts w:ascii="Arial;sans-serif" w:hAnsi="Arial;sans-serif"/>
          <w:b w:val="false"/>
          <w:sz w:val="20"/>
        </w:rPr>
        <w:t>47</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The closing of the Inmarsat Transaction is subject to customary closing conditions, including receipt of regulatory approvals and clearances. The Purchase Agreement contains certain termination rights for both us and certain of the Sellers and further provides that, upon termination of the Purchase Agreement under certain circumstances, we may be obligated to pay a termination fee of up to $200.0 million or to reimburse certain out-of-pocket expenses of certain Sellers up to $40.0 million.</w:t>
      </w:r>
    </w:p>
    <w:p>
      <w:pPr>
        <w:pStyle w:val="TextBody"/>
        <w:bidi w:val="0"/>
        <w:spacing w:before="180" w:after="0"/>
        <w:jc w:val="left"/>
        <w:rPr>
          <w:rFonts w:ascii="Arial;sans-serif" w:hAnsi="Arial;sans-serif"/>
          <w:b w:val="false"/>
          <w:sz w:val="20"/>
        </w:rPr>
      </w:pPr>
      <w:r>
        <w:rPr>
          <w:rFonts w:ascii="Arial;sans-serif" w:hAnsi="Arial;sans-serif"/>
          <w:b w:val="false"/>
          <w:sz w:val="20"/>
        </w:rPr>
        <w:t>We have obtained financing commitments for an additional $1.6 billion of new debt facilities in connection with the Inmarsat Transaction (which may be secured and/or unsecured. We also plan to assume $2.1 billion in principal amount of Inmarsat senior secured bonds and the outstanding indebtedness under Inmarsat’s $2.4 billion senior secured credit facilities.</w:t>
      </w:r>
    </w:p>
    <w:p>
      <w:pPr>
        <w:pStyle w:val="TextBody"/>
        <w:bidi w:val="0"/>
        <w:spacing w:before="180" w:after="0"/>
        <w:jc w:val="left"/>
        <w:rPr>
          <w:rFonts w:ascii="Times New Roman" w:hAnsi="Times New Roman"/>
          <w:sz w:val="20"/>
        </w:rPr>
      </w:pPr>
      <w:r>
        <w:rPr>
          <w:rFonts w:ascii="Arial;sans-serif" w:hAnsi="Arial;sans-serif"/>
          <w:b w:val="false"/>
          <w:sz w:val="20"/>
        </w:rPr>
        <w:t>We have incurred and expect to incur non-recurring costs associated with the Inmarsat Transaction and combining the operations of the two companies, as well as transaction fees and other costs (including financing costs) related to the Inmarsat Transaction, including (but not limited to) fees paid to investment banking, legal and accounting advisors, regulatory and public relations advisors, rating agency fees, filing fees, printing costs and other costs and expenses. Although a significant portion of these costs is contingent upon the closing of the Inmarsat Transaction occurring, some have been and will be incurred regardless of whether the Inmarsat Transaction is consummated. In addition, the combined company will also incur significant restructuring and integration costs in connection with the Inmarsat Transaction. Costs related to restructuring will be expensed as a cost of the ongoing results of operations of either us or the combined company. There are processes, policies, procedures, operations, technologies and systems that must be integrated in connection with the Inmarsat Transaction and the integration of Inmarsat’s business. While we have assumed a certain level of expenses would be incurred to integrate the two companies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r>
        <w:rPr>
          <w:rFonts w:ascii="Times New Roman" w:hAnsi="Times New Roman"/>
          <w:sz w:val="20"/>
        </w:rPr>
        <w:t xml:space="preserve"> </w:t>
      </w:r>
    </w:p>
    <w:p>
      <w:pPr>
        <w:pStyle w:val="TextBody"/>
        <w:bidi w:val="0"/>
        <w:spacing w:before="270" w:after="0"/>
        <w:jc w:val="left"/>
        <w:rPr>
          <w:rFonts w:ascii="Arial;sans-serif" w:hAnsi="Arial;sans-serif"/>
          <w:b/>
          <w:sz w:val="20"/>
        </w:rPr>
      </w:pPr>
      <w:r>
        <w:rPr>
          <w:rFonts w:ascii="Arial;sans-serif" w:hAnsi="Arial;sans-serif"/>
          <w:b/>
          <w:sz w:val="20"/>
        </w:rPr>
        <w:t>Other Transactions</w:t>
      </w:r>
    </w:p>
    <w:p>
      <w:pPr>
        <w:pStyle w:val="TextBody"/>
        <w:bidi w:val="0"/>
        <w:spacing w:before="90" w:after="0"/>
        <w:jc w:val="left"/>
        <w:rPr>
          <w:rFonts w:ascii="Arial;sans-serif" w:hAnsi="Arial;sans-serif"/>
          <w:b w:val="false"/>
          <w:sz w:val="20"/>
        </w:rPr>
      </w:pPr>
      <w:r>
        <w:rPr>
          <w:rFonts w:ascii="Arial;sans-serif" w:hAnsi="Arial;sans-serif"/>
          <w:b w:val="false"/>
          <w:sz w:val="20"/>
        </w:rPr>
        <w:t>On January 3, 2023, we completed the sale of our Link-16 TDL Business in our government systems segment to L3Harris in exchange for approximately $1.96 billion in cash, subject to adjustments. Unless otherwise noted, discussion throughout this Item 7 relates to our continuing operations only and excludes the Link-16 TDL Business. See Note 4 — Discontinued Operations to our consolidated financial statements for additional information.</w:t>
      </w:r>
    </w:p>
    <w:p>
      <w:pPr>
        <w:pStyle w:val="TextBody"/>
        <w:bidi w:val="0"/>
        <w:spacing w:before="180" w:after="0"/>
        <w:jc w:val="left"/>
        <w:rPr>
          <w:rFonts w:ascii="Arial;sans-serif" w:hAnsi="Arial;sans-serif"/>
          <w:b w:val="false"/>
          <w:sz w:val="20"/>
        </w:rPr>
      </w:pPr>
      <w:r>
        <w:rPr>
          <w:rFonts w:ascii="Arial;sans-serif" w:hAnsi="Arial;sans-serif"/>
          <w:b w:val="false"/>
          <w:sz w:val="20"/>
        </w:rPr>
        <w:t>On April 30, 2021, we completed our acquisition of the remaining 51% interest in EBI, a satellite broadband internet service provider in EMEA, from Eutelsat. We paid approximately $167.0 million in cash, net of what is currently estimated to be an immaterial amount of estimated purchase price consideration (net of approximately $121.7 million of EBI's cash on hand, resulting in a cash outlay of approximately $51.0 million).</w:t>
      </w:r>
    </w:p>
    <w:p>
      <w:pPr>
        <w:pStyle w:val="TextBody"/>
        <w:bidi w:val="0"/>
        <w:spacing w:before="180" w:after="0"/>
        <w:jc w:val="left"/>
        <w:rPr>
          <w:rFonts w:ascii="Arial;sans-serif" w:hAnsi="Arial;sans-serif"/>
          <w:b w:val="false"/>
          <w:sz w:val="20"/>
        </w:rPr>
      </w:pPr>
      <w:r>
        <w:rPr>
          <w:rFonts w:ascii="Arial;sans-serif" w:hAnsi="Arial;sans-serif"/>
          <w:b w:val="false"/>
          <w:sz w:val="20"/>
        </w:rPr>
        <w:t>On April 30, 2021, we completed our acquisition of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and retained approximately $20.6 million of RigNet’s cash on hand.</w:t>
      </w:r>
    </w:p>
    <w:p>
      <w:pPr>
        <w:pStyle w:val="TextBody"/>
        <w:bidi w:val="0"/>
        <w:spacing w:before="180" w:after="0"/>
        <w:jc w:val="left"/>
        <w:rPr>
          <w:rFonts w:ascii="Times New Roman" w:hAnsi="Times New Roman"/>
          <w:sz w:val="20"/>
        </w:rPr>
      </w:pPr>
      <w:r>
        <w:rPr>
          <w:rFonts w:ascii="Arial;sans-serif" w:hAnsi="Arial;sans-serif"/>
          <w:b w:val="false"/>
          <w:sz w:val="20"/>
        </w:rPr>
        <w:t>The assets and results of operations of EBI and RigNet are primarily included in our satellite services segment, with insignificant amounts included in our commercial networks segment.</w:t>
      </w:r>
      <w:r>
        <w:rPr>
          <w:rFonts w:ascii="Times New Roman" w:hAnsi="Times New Roman"/>
          <w:sz w:val="20"/>
        </w:rPr>
        <w:t xml:space="preserve"> </w:t>
      </w:r>
    </w:p>
    <w:p>
      <w:pPr>
        <w:pStyle w:val="TextBody"/>
        <w:bidi w:val="0"/>
        <w:spacing w:before="270" w:after="0"/>
        <w:jc w:val="left"/>
        <w:rPr>
          <w:rFonts w:ascii="Arial;sans-serif" w:hAnsi="Arial;sans-serif"/>
          <w:b/>
          <w:sz w:val="20"/>
        </w:rPr>
      </w:pPr>
      <w:r>
        <w:rPr>
          <w:rFonts w:ascii="Arial;sans-serif" w:hAnsi="Arial;sans-serif"/>
          <w:b/>
          <w:sz w:val="20"/>
        </w:rPr>
        <w:t>Satellite-Related Activities</w:t>
      </w:r>
    </w:p>
    <w:p>
      <w:pPr>
        <w:pStyle w:val="TextBody"/>
        <w:bidi w:val="0"/>
        <w:spacing w:before="90" w:after="0"/>
        <w:jc w:val="left"/>
        <w:rPr>
          <w:rFonts w:ascii="Arial;sans-serif" w:hAnsi="Arial;sans-serif"/>
          <w:b w:val="false"/>
          <w:sz w:val="20"/>
        </w:rPr>
      </w:pPr>
      <w:r>
        <w:rPr>
          <w:rFonts w:ascii="Arial;sans-serif" w:hAnsi="Arial;sans-serif"/>
          <w:b w:val="false"/>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pStyle w:val="TextBody"/>
        <w:bidi w:val="0"/>
        <w:spacing w:before="240" w:after="0"/>
        <w:jc w:val="center"/>
        <w:rPr>
          <w:rFonts w:ascii="Arial;sans-serif" w:hAnsi="Arial;sans-serif"/>
          <w:b w:val="false"/>
          <w:sz w:val="20"/>
        </w:rPr>
      </w:pPr>
      <w:r>
        <w:rPr>
          <w:rFonts w:ascii="Arial;sans-serif" w:hAnsi="Arial;sans-serif"/>
          <w:b w:val="false"/>
          <w:sz w:val="20"/>
        </w:rPr>
        <w:t>48</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13 — Commitments to our consolidated financial statements for information as of March 31, 2023 regarding our future minimum payments under our satellite construction contracts and other satellite-related purchase commitments (including satellite performance incentive obligations relating to the ViaSat-1 and ViaSat-2 satellites) for the next five fiscal years and thereafter.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pStyle w:val="TextBody"/>
        <w:bidi w:val="0"/>
        <w:spacing w:before="180" w:after="0"/>
        <w:jc w:val="left"/>
        <w:rPr>
          <w:rFonts w:ascii="Arial;sans-serif" w:hAnsi="Arial;sans-serif"/>
          <w:b w:val="false"/>
          <w:sz w:val="20"/>
        </w:rPr>
      </w:pPr>
      <w:r>
        <w:rPr>
          <w:rFonts w:ascii="Arial;sans-serif" w:hAnsi="Arial;sans-serif"/>
          <w:b w:val="false"/>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 In addition, in fiscal year 2023 we experienced (and we may in the future experience) capacity constraints on our existing satellites in the lead-up to the commencement of commercial service on new satellites.</w:t>
      </w:r>
    </w:p>
    <w:p>
      <w:pPr>
        <w:pStyle w:val="TextBody"/>
        <w:bidi w:val="0"/>
        <w:spacing w:before="270" w:after="0"/>
        <w:jc w:val="left"/>
        <w:rPr>
          <w:rFonts w:ascii="Times New Roman" w:hAnsi="Times New Roman"/>
          <w:sz w:val="20"/>
        </w:rPr>
      </w:pPr>
      <w:r>
        <w:rPr>
          <w:rFonts w:ascii="Arial;sans-serif" w:hAnsi="Arial;sans-serif"/>
          <w:b/>
          <w:sz w:val="20"/>
        </w:rPr>
        <w:t>Sources of Revenues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satellite services segment revenues are primarily derived from our fixed broadband services, in-flight services and energy services (acquired through the RigNet acquisition).</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Revenues in our commercial networks and government systems segments are primarily derived from three types of contracts: fixed-price contracts (which require us to provide products and services under a contract at a specified price), cost-reimbursement contracts (under which we are reimbursed for all actual costs incurred in performing the contract to the extent such costs are within the contract ceiling and allowable under the terms of the contract, plus a fee or profit), and time-and-materials contracts (which reimburse us for the number of labor hours expended at an established hourly rate negotiated in the contract, plus the cost of materials utilized in providing such products or services).</w:t>
      </w:r>
    </w:p>
    <w:p>
      <w:pPr>
        <w:pStyle w:val="TextBody"/>
        <w:bidi w:val="0"/>
        <w:spacing w:before="180" w:after="0"/>
        <w:jc w:val="left"/>
        <w:rPr>
          <w:rFonts w:ascii="Arial;sans-serif" w:hAnsi="Arial;sans-serif"/>
          <w:b w:val="false"/>
          <w:sz w:val="20"/>
        </w:rPr>
      </w:pPr>
      <w:r>
        <w:rPr>
          <w:rFonts w:ascii="Arial;sans-serif" w:hAnsi="Arial;sans-serif"/>
          <w:b w:val="false"/>
          <w:sz w:val="20"/>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The Company and a Summary of Its Significant Accounting Policies to our consolidated financial statements for additional information.</w:t>
      </w:r>
    </w:p>
    <w:p>
      <w:pPr>
        <w:pStyle w:val="TextBody"/>
        <w:bidi w:val="0"/>
        <w:spacing w:before="180" w:after="0"/>
        <w:jc w:val="left"/>
        <w:rPr>
          <w:rFonts w:ascii="Times New Roman" w:hAnsi="Times New Roman"/>
          <w:sz w:val="20"/>
        </w:rPr>
      </w:pPr>
      <w:r>
        <w:rPr>
          <w:rFonts w:ascii="Arial;sans-serif" w:hAnsi="Arial;sans-serif"/>
          <w:b w:val="false"/>
          <w:sz w:val="20"/>
        </w:rPr>
        <w:t>To date, our ability to grow and maintain our revenues in our commercial networks and government systems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49</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sz w:val="20"/>
        </w:rPr>
        <w:t>Critical Accounting Policies and Estimates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Revenue recognition</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pStyle w:val="TextBody"/>
        <w:bidi w:val="0"/>
        <w:spacing w:before="180" w:after="0"/>
        <w:jc w:val="left"/>
        <w:rPr>
          <w:rFonts w:ascii="Arial;sans-serif" w:hAnsi="Arial;sans-serif"/>
          <w:b w:val="false"/>
          <w:sz w:val="20"/>
        </w:rPr>
      </w:pPr>
      <w:r>
        <w:rPr>
          <w:rFonts w:ascii="Arial;sans-serif" w:hAnsi="Arial;sans-serif"/>
          <w:b w:val="false"/>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the authoritative guidance for leases (ASC 842). As discussed in Note 1 – The Company and a Summary of Its Significant Accounting Policies – Leases to our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pStyle w:val="TextBody"/>
        <w:bidi w:val="0"/>
        <w:spacing w:before="180" w:after="0"/>
        <w:jc w:val="left"/>
        <w:rPr>
          <w:rFonts w:ascii="Arial;sans-serif" w:hAnsi="Arial;sans-serif"/>
          <w:b w:val="false"/>
          <w:sz w:val="20"/>
        </w:rPr>
      </w:pPr>
      <w:r>
        <w:rPr>
          <w:rFonts w:ascii="Arial;sans-serif" w:hAnsi="Arial;sans-serif"/>
          <w:b w:val="false"/>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0"/>
        <w:jc w:val="center"/>
        <w:rPr>
          <w:rFonts w:ascii="Arial;sans-serif" w:hAnsi="Arial;sans-serif"/>
          <w:b w:val="false"/>
          <w:sz w:val="20"/>
        </w:rPr>
      </w:pPr>
      <w:r>
        <w:rPr>
          <w:rFonts w:ascii="Arial;sans-serif" w:hAnsi="Arial;sans-serif"/>
          <w:b w:val="false"/>
          <w:sz w:val="20"/>
        </w:rPr>
        <w:t>50</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180" w:after="0"/>
        <w:jc w:val="left"/>
        <w:rPr>
          <w:rFonts w:ascii="Arial;sans-serif" w:hAnsi="Arial;sans-serif"/>
          <w:b w:val="false"/>
          <w:sz w:val="20"/>
        </w:rPr>
      </w:pPr>
      <w:r>
        <w:rPr>
          <w:rFonts w:ascii="Arial;sans-serif" w:hAnsi="Arial;sans-serif"/>
          <w:b w:val="false"/>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March 31, 2023 would change our income (loss) before income taxes by an insignificant amount.</w:t>
      </w:r>
    </w:p>
    <w:p>
      <w:pPr>
        <w:pStyle w:val="TextBody"/>
        <w:bidi w:val="0"/>
        <w:spacing w:before="180" w:after="0"/>
        <w:jc w:val="left"/>
        <w:rPr>
          <w:rFonts w:ascii="Arial;sans-serif" w:hAnsi="Arial;sans-serif"/>
          <w:b w:val="false"/>
          <w:sz w:val="20"/>
        </w:rPr>
      </w:pPr>
      <w:r>
        <w:rPr>
          <w:rFonts w:ascii="Arial;sans-serif" w:hAnsi="Arial;sans-serif"/>
          <w:b w:val="false"/>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240" w:after="0"/>
        <w:jc w:val="center"/>
        <w:rPr>
          <w:rFonts w:ascii="Arial;sans-serif" w:hAnsi="Arial;sans-serif"/>
          <w:b w:val="false"/>
          <w:sz w:val="20"/>
        </w:rPr>
      </w:pPr>
      <w:r>
        <w:rPr>
          <w:rFonts w:ascii="Arial;sans-serif" w:hAnsi="Arial;sans-serif"/>
          <w:b w:val="false"/>
          <w:sz w:val="20"/>
        </w:rPr>
        <w:t>51</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70" w:after="0"/>
        <w:jc w:val="left"/>
        <w:rPr>
          <w:rFonts w:ascii="Times New Roman" w:hAnsi="Times New Roman"/>
          <w:sz w:val="20"/>
        </w:rPr>
      </w:pPr>
      <w:r>
        <w:rPr>
          <w:rFonts w:ascii="Arial;sans-serif" w:hAnsi="Arial;sans-serif"/>
          <w:b/>
          <w:i/>
          <w:sz w:val="20"/>
        </w:rPr>
        <w:t>Deferred costs to obtain or fulfill contract</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pStyle w:val="TextBody"/>
        <w:bidi w:val="0"/>
        <w:spacing w:before="270" w:after="0"/>
        <w:jc w:val="left"/>
        <w:rPr>
          <w:rFonts w:ascii="Times New Roman" w:hAnsi="Times New Roman"/>
          <w:sz w:val="20"/>
        </w:rPr>
      </w:pPr>
      <w:r>
        <w:rPr>
          <w:rFonts w:ascii="Arial;sans-serif" w:hAnsi="Arial;sans-serif"/>
          <w:b/>
          <w:i/>
          <w:sz w:val="20"/>
        </w:rPr>
        <w:t>Warranty reserves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Property, equipment and satellites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Property, equipment and satellites, net includes our owned and leased satellites and the associated earth stations and networking equipment, as well as the customer premise equipment units which are leased to subscribers under a retail leasing program as part of our satellite services segment.</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40" w:after="0"/>
        <w:jc w:val="center"/>
        <w:rPr>
          <w:rFonts w:ascii="Arial;sans-serif" w:hAnsi="Arial;sans-serif"/>
          <w:b w:val="false"/>
          <w:sz w:val="20"/>
        </w:rPr>
      </w:pPr>
      <w:r>
        <w:rPr>
          <w:rFonts w:ascii="Arial;sans-serif" w:hAnsi="Arial;sans-serif"/>
          <w:b w:val="false"/>
          <w:sz w:val="20"/>
        </w:rPr>
        <w:t>52</w:t>
      </w:r>
    </w:p>
    <w:p>
      <w:pPr>
        <w:pStyle w:val="HorizontalLine"/>
        <w:pBdr>
          <w:bottom w:val="double" w:sz="2" w:space="0" w:color="808080"/>
        </w:pBdr>
        <w:bidi w:val="0"/>
        <w:spacing w:before="0" w:after="283"/>
        <w:jc w:val="left"/>
        <w:rPr/>
      </w:pPr>
      <w:r>
        <w:rPr/>
      </w:r>
    </w:p>
    <w:p>
      <w:pPr>
        <w:pStyle w:val="TextBody"/>
        <w:bidi w:val="0"/>
        <w:spacing w:before="270" w:after="0"/>
        <w:jc w:val="left"/>
        <w:rPr>
          <w:rFonts w:ascii="Arial;sans-serif" w:hAnsi="Arial;sans-serif"/>
          <w:b/>
          <w:i/>
          <w:sz w:val="20"/>
        </w:rPr>
      </w:pPr>
      <w:r>
        <w:rPr>
          <w:rFonts w:ascii="Arial;sans-serif" w:hAnsi="Arial;sans-serif"/>
          <w:b/>
          <w:i/>
          <w:sz w:val="20"/>
        </w:rPr>
        <w:t>Leases</w:t>
      </w:r>
    </w:p>
    <w:p>
      <w:pPr>
        <w:pStyle w:val="TextBody"/>
        <w:bidi w:val="0"/>
        <w:spacing w:before="90" w:after="0"/>
        <w:jc w:val="left"/>
        <w:rPr>
          <w:rFonts w:ascii="Times New Roman" w:hAnsi="Times New Roman"/>
          <w:sz w:val="20"/>
        </w:rPr>
      </w:pPr>
      <w:r>
        <w:rPr>
          <w:rFonts w:ascii="Arial;sans-serif" w:hAnsi="Arial;sans-serif"/>
          <w:b w:val="false"/>
          <w:sz w:val="20"/>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0"/>
        <w:jc w:val="left"/>
        <w:rPr>
          <w:rFonts w:ascii="Arial;sans-serif" w:hAnsi="Arial;sans-serif"/>
          <w:b w:val="false"/>
          <w:sz w:val="20"/>
        </w:rPr>
      </w:pPr>
      <w:r>
        <w:rPr>
          <w:rFonts w:ascii="Arial;sans-serif" w:hAnsi="Arial;sans-serif"/>
          <w:b w:val="false"/>
          <w:sz w:val="20"/>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pStyle w:val="TextBody"/>
        <w:bidi w:val="0"/>
        <w:spacing w:before="270" w:after="0"/>
        <w:jc w:val="left"/>
        <w:rPr>
          <w:rFonts w:ascii="Arial;sans-serif" w:hAnsi="Arial;sans-serif"/>
          <w:b/>
          <w:i/>
          <w:sz w:val="20"/>
        </w:rPr>
      </w:pPr>
      <w:r>
        <w:rPr>
          <w:rFonts w:ascii="Arial;sans-serif" w:hAnsi="Arial;sans-serif"/>
          <w:b/>
          <w:i/>
          <w:sz w:val="20"/>
        </w:rPr>
        <w:t>Business combinations</w:t>
      </w:r>
    </w:p>
    <w:p>
      <w:pPr>
        <w:pStyle w:val="TextBody"/>
        <w:bidi w:val="0"/>
        <w:spacing w:before="90" w:after="0"/>
        <w:jc w:val="left"/>
        <w:rPr>
          <w:rFonts w:ascii="Times New Roman" w:hAnsi="Times New Roman"/>
          <w:sz w:val="20"/>
        </w:rPr>
      </w:pPr>
      <w:r>
        <w:rPr>
          <w:rFonts w:ascii="Arial;sans-serif" w:hAnsi="Arial;sans-serif"/>
          <w:b w:val="false"/>
          <w:sz w:val="20"/>
        </w:rPr>
        <w:t>The purchase price for business combinations is allocated to the estimated fair values of acquired tangible and intangible assets, and assumed liabilities, where applicable. Additionally, we recognize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Impairment of long-lived and other long-term assets (property, equipment and satellites, and other assets, including goodwill)</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2023, 2022 and 2021 other than the impairment of certain right-of-use assets in the fourth quarter of fiscal year 2023. See Note 7 — Leases to our consolidated financial statements for additional information.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53</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sz w:val="20"/>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0"/>
        <w:jc w:val="left"/>
        <w:rPr>
          <w:rFonts w:ascii="Times New Roman" w:hAnsi="Times New Roman"/>
          <w:sz w:val="20"/>
        </w:rPr>
      </w:pPr>
      <w:r>
        <w:rPr>
          <w:rFonts w:ascii="Arial;sans-serif" w:hAnsi="Arial;sans-serif"/>
          <w:b w:val="false"/>
          <w:sz w:val="20"/>
        </w:rPr>
        <w:t>Furthermore, in addition to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2023, we concluded that estimated fair values of our reporting units significantly exceed their respective carrying values.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Based on our qualitative and quantitative assessment performed during the fourth quarter of fiscal year 2023, we concluded that it was more likely than not that the estimated fair value of our reporting units exceeded their carrying value as of March 31, 2023.</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Income taxes and valuation allowance on deferred tax assets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180" w:after="0"/>
        <w:jc w:val="left"/>
        <w:rPr>
          <w:rFonts w:ascii="Times New Roman" w:hAnsi="Times New Roman"/>
          <w:sz w:val="20"/>
        </w:rPr>
      </w:pPr>
      <w:r>
        <w:rPr>
          <w:rFonts w:ascii="Arial;sans-serif" w:hAnsi="Arial;sans-serif"/>
          <w:b w:val="false"/>
          <w:sz w:val="20"/>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54</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Results of Operations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following table presents, as a percentage of total revenues, income statement data of our continuing operations for the periods indicated:</w:t>
      </w:r>
      <w:r>
        <w:rPr>
          <w:rFonts w:ascii="Times New Roman" w:hAnsi="Times New Roman"/>
          <w:sz w:val="20"/>
        </w:rPr>
        <w:t xml:space="preserve"> </w:t>
      </w:r>
    </w:p>
    <w:tbl>
      <w:tblPr>
        <w:tblW w:w="10202" w:type="dxa"/>
        <w:jc w:val="left"/>
        <w:tblInd w:w="0" w:type="dxa"/>
        <w:tblLayout w:type="fixed"/>
        <w:tblCellMar>
          <w:top w:w="28" w:type="dxa"/>
          <w:left w:w="28" w:type="dxa"/>
          <w:bottom w:w="28" w:type="dxa"/>
          <w:right w:w="28" w:type="dxa"/>
        </w:tblCellMar>
      </w:tblPr>
      <w:tblGrid>
        <w:gridCol w:w="6016"/>
        <w:gridCol w:w="146"/>
        <w:gridCol w:w="219"/>
        <w:gridCol w:w="636"/>
        <w:gridCol w:w="286"/>
        <w:gridCol w:w="146"/>
        <w:gridCol w:w="219"/>
        <w:gridCol w:w="636"/>
        <w:gridCol w:w="286"/>
        <w:gridCol w:w="146"/>
        <w:gridCol w:w="219"/>
        <w:gridCol w:w="636"/>
        <w:gridCol w:w="61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2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28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28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611" w:type="dxa"/>
            <w:tcBorders/>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601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Cost of product revenues</w:t>
            </w:r>
          </w:p>
        </w:tc>
        <w:tc>
          <w:tcPr>
            <w:tcW w:w="146" w:type="dxa"/>
            <w:tcBorders/>
            <w:vAlign w:val="center"/>
          </w:tcPr>
          <w:p>
            <w:pPr>
              <w:pStyle w:val="TableContents"/>
              <w:bidi w:val="0"/>
              <w:spacing w:before="0" w:after="0"/>
              <w:ind w:left="28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Cost of service revenues</w:t>
            </w:r>
          </w:p>
        </w:tc>
        <w:tc>
          <w:tcPr>
            <w:tcW w:w="146" w:type="dxa"/>
            <w:tcBorders/>
            <w:vAlign w:val="center"/>
          </w:tcPr>
          <w:p>
            <w:pPr>
              <w:pStyle w:val="TableContents"/>
              <w:bidi w:val="0"/>
              <w:spacing w:before="0" w:after="0"/>
              <w:ind w:left="28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Selling, general and administrative</w:t>
            </w:r>
          </w:p>
        </w:tc>
        <w:tc>
          <w:tcPr>
            <w:tcW w:w="146" w:type="dxa"/>
            <w:tcBorders/>
            <w:vAlign w:val="center"/>
          </w:tcPr>
          <w:p>
            <w:pPr>
              <w:pStyle w:val="TableContents"/>
              <w:bidi w:val="0"/>
              <w:spacing w:before="0" w:after="0"/>
              <w:ind w:left="28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Independent research and development</w:t>
            </w:r>
          </w:p>
        </w:tc>
        <w:tc>
          <w:tcPr>
            <w:tcW w:w="146" w:type="dxa"/>
            <w:tcBorders/>
            <w:vAlign w:val="center"/>
          </w:tcPr>
          <w:p>
            <w:pPr>
              <w:pStyle w:val="TableContents"/>
              <w:bidi w:val="0"/>
              <w:spacing w:before="0" w:after="0"/>
              <w:ind w:left="28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Amortization of acquired intangible assets</w:t>
            </w:r>
          </w:p>
        </w:tc>
        <w:tc>
          <w:tcPr>
            <w:tcW w:w="146" w:type="dxa"/>
            <w:tcBorders/>
            <w:vAlign w:val="center"/>
          </w:tcPr>
          <w:p>
            <w:pPr>
              <w:pStyle w:val="TableContents"/>
              <w:bidi w:val="0"/>
              <w:spacing w:before="0" w:after="0"/>
              <w:ind w:left="28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continuing operations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Interest (expense) income, net</w:t>
            </w:r>
          </w:p>
        </w:tc>
        <w:tc>
          <w:tcPr>
            <w:tcW w:w="146" w:type="dxa"/>
            <w:tcBorders/>
            <w:vAlign w:val="center"/>
          </w:tcPr>
          <w:p>
            <w:pPr>
              <w:pStyle w:val="TableContents"/>
              <w:bidi w:val="0"/>
              <w:spacing w:before="0" w:after="0"/>
              <w:ind w:left="28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continuing operations before income taxes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(Provision for) benefit from income taxes from continuing operations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611" w:type="dxa"/>
            <w:tcBorders/>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continuing operations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net of tax</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611" w:type="dxa"/>
            <w:tcBorders/>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attributable to Viasat, Inc.</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0" w:after="0"/>
        <w:jc w:val="left"/>
        <w:rPr>
          <w:rFonts w:ascii="Arial;sans-serif" w:hAnsi="Arial;sans-serif"/>
          <w:b/>
          <w:sz w:val="20"/>
        </w:rPr>
      </w:pPr>
      <w:r>
        <w:rPr>
          <w:rFonts w:ascii="Arial;sans-serif" w:hAnsi="Arial;sans-serif"/>
          <w:b/>
          <w:sz w:val="20"/>
        </w:rPr>
        <w:t>Fiscal Year 2023 Compared to Fiscal Year 2022</w:t>
      </w:r>
    </w:p>
    <w:p>
      <w:pPr>
        <w:pStyle w:val="TextBody"/>
        <w:bidi w:val="0"/>
        <w:spacing w:before="90" w:after="0"/>
        <w:jc w:val="left"/>
        <w:rPr>
          <w:rFonts w:ascii="Times New Roman" w:hAnsi="Times New Roman"/>
          <w:sz w:val="20"/>
        </w:rPr>
      </w:pPr>
      <w:r>
        <w:rPr>
          <w:rFonts w:ascii="Arial;sans-serif" w:hAnsi="Arial;sans-serif"/>
          <w:b/>
          <w:i/>
          <w:sz w:val="20"/>
        </w:rPr>
        <w:t>Revenues</w:t>
      </w:r>
      <w:r>
        <w:rPr>
          <w:rFonts w:ascii="Times New Roman" w:hAnsi="Times New Roman"/>
          <w:sz w:val="20"/>
        </w:rPr>
        <w:t xml:space="preserve"> </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Our total revenues increased by $139.0 million as a result of a $93.4 million increase in product revenues and a $45.6 million increase in service revenues. The product revenue increase was driven primarily by an $86.9 million increase in our commercial networks segment, which was primarily the result of the Cisco Systems, Inc. (Cisco) settlement. Cisco, which previously acquired Acacia Communications, Inc. (Acacia), paid us $62.2 million during the second quarter of fiscal year 2023 in order to fully satisfy the July 2019 judgment previously entered against Acacia (the Cisco Settlement), of which we recorded $55.8 million as product revenue in our commercial networks segment (see Note 14 — Contingencies to our consolidated financial statements for more information). The service revenue increase was due to increases of $21.9 million in our satellite services segment, $13.6 million in our commercial networks segment and $10.1 million in our government systems segment.</w:t>
      </w:r>
    </w:p>
    <w:p>
      <w:pPr>
        <w:pStyle w:val="TextBody"/>
        <w:bidi w:val="0"/>
        <w:spacing w:before="240" w:after="0"/>
        <w:jc w:val="center"/>
        <w:rPr>
          <w:rFonts w:ascii="Arial;sans-serif" w:hAnsi="Arial;sans-serif"/>
          <w:b w:val="false"/>
          <w:sz w:val="20"/>
        </w:rPr>
      </w:pPr>
      <w:r>
        <w:rPr>
          <w:rFonts w:ascii="Arial;sans-serif" w:hAnsi="Arial;sans-serif"/>
          <w:b w:val="false"/>
          <w:sz w:val="20"/>
        </w:rPr>
        <w:t>55</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i/>
          <w:sz w:val="20"/>
        </w:rPr>
        <w:t>Cost of revenues</w:t>
      </w:r>
      <w:r>
        <w:rPr>
          <w:rFonts w:ascii="Times New Roman" w:hAnsi="Times New Roman"/>
          <w:sz w:val="20"/>
        </w:rPr>
        <w:t xml:space="preserve"> </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49"/>
        <w:gridCol w:w="696"/>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 of 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 of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cost of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rFonts w:ascii="Arial;sans-serif" w:hAnsi="Arial;sans-serif"/>
          <w:b w:val="false"/>
          <w:sz w:val="20"/>
        </w:rPr>
      </w:pPr>
      <w:r>
        <w:rPr>
          <w:rFonts w:ascii="Arial;sans-serif" w:hAnsi="Arial;sans-serif"/>
          <w:b w:val="false"/>
          <w:sz w:val="20"/>
        </w:rPr>
        <w:t>Cost of revenues increased by $123.5 million due to an increase of $86.6 million in cost of service revenues and $36.9 million in cost of product revenues. A portion of the cost of service revenue increase was driven by lower margins, primarily from our satellite services segment, driven mainly by a decline in U.S. fixed broadband revenue due to fewer residential subscribers as we manage our bandwidth capacity in support of our growing mobility service ahead of the launch of commercial services on the ViaSat-3 Americas satellite. Similar to our prior satellite launch cycles, once commercial service on ViaSat-3 Americas commences and as services using the new satellite scale, we expect the margins from our satellite services segment to improve (see the section captioned “Satellite-Related Activities” for further information). The increase in cost of service revenue was further driven by increased service revenues, also mainly from our satellite services segment. This increase was primarily attributable to an increase in our in-flight services business, causing a $29.6 million increase in cost of service revenues on a constant margin basis. The cost of product revenue increase was mainly due to increased product revenues, causing a $30.6 million increase in cost of product revenues on a constant margin basis, prior to the effects of product revenues related to the Cisco Settlement described above. This cost of product revenues increase was mainly from our commercial networks segment. The remainder of the increase in cost of product revenues was driven by lower margins, primarily driven by mobile broadband satellite communication systems in our commercial networks segment and government satellite communication systems in our government systems segment.</w:t>
      </w:r>
    </w:p>
    <w:p>
      <w:pPr>
        <w:pStyle w:val="TextBody"/>
        <w:bidi w:val="0"/>
        <w:spacing w:before="270" w:after="0"/>
        <w:jc w:val="left"/>
        <w:rPr>
          <w:rFonts w:ascii="Times New Roman" w:hAnsi="Times New Roman"/>
          <w:sz w:val="20"/>
        </w:rPr>
      </w:pPr>
      <w:r>
        <w:rPr>
          <w:rFonts w:ascii="Arial;sans-serif" w:hAnsi="Arial;sans-serif"/>
          <w:b/>
          <w:i/>
          <w:sz w:val="20"/>
        </w:rPr>
        <w:t>Selling, general and administrative expenses</w:t>
      </w:r>
      <w:r>
        <w:rPr>
          <w:rFonts w:ascii="Times New Roman" w:hAnsi="Times New Roman"/>
          <w:sz w:val="20"/>
        </w:rPr>
        <w:t xml:space="preserve"> </w:t>
      </w:r>
    </w:p>
    <w:tbl>
      <w:tblPr>
        <w:tblW w:w="8105" w:type="dxa"/>
        <w:jc w:val="left"/>
        <w:tblInd w:w="0" w:type="dxa"/>
        <w:tblLayout w:type="fixed"/>
        <w:tblCellMar>
          <w:top w:w="28" w:type="dxa"/>
          <w:left w:w="28" w:type="dxa"/>
          <w:bottom w:w="28" w:type="dxa"/>
          <w:right w:w="28" w:type="dxa"/>
        </w:tblCellMar>
      </w:tblPr>
      <w:tblGrid>
        <w:gridCol w:w="3106"/>
        <w:gridCol w:w="146"/>
        <w:gridCol w:w="226"/>
        <w:gridCol w:w="629"/>
        <w:gridCol w:w="146"/>
        <w:gridCol w:w="146"/>
        <w:gridCol w:w="226"/>
        <w:gridCol w:w="629"/>
        <w:gridCol w:w="146"/>
        <w:gridCol w:w="146"/>
        <w:gridCol w:w="288"/>
        <w:gridCol w:w="657"/>
        <w:gridCol w:w="146"/>
        <w:gridCol w:w="146"/>
        <w:gridCol w:w="313"/>
        <w:gridCol w:w="678"/>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$77.8 million increase in selling, general and administrative (SG&amp;A) expenses reflected an increase in support costs across all three segments of $74.3 million, including an increase in acquisition-related expenses of approximately $7.4 million (mainly related to the Inmarsat Transaction). The increase in SG&amp;A expenses was also driven by higher proposal costs, primarily in our commercial networks segment. SG&amp;A expenses consisted primarily of personnel costs and expenses for business development, marketing and sales, bid and proposal, facilities, finance, contract administration and general management.</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Independent research and development</w:t>
      </w:r>
      <w:r>
        <w:rPr>
          <w:rFonts w:ascii="Times New Roman" w:hAnsi="Times New Roman"/>
          <w:sz w:val="20"/>
        </w:rPr>
        <w:t xml:space="preserve"> </w:t>
      </w:r>
    </w:p>
    <w:tbl>
      <w:tblPr>
        <w:tblW w:w="8620" w:type="dxa"/>
        <w:jc w:val="left"/>
        <w:tblInd w:w="0" w:type="dxa"/>
        <w:tblLayout w:type="fixed"/>
        <w:tblCellMar>
          <w:top w:w="28" w:type="dxa"/>
          <w:left w:w="28" w:type="dxa"/>
          <w:bottom w:w="28" w:type="dxa"/>
          <w:right w:w="28" w:type="dxa"/>
        </w:tblCellMar>
      </w:tblPr>
      <w:tblGrid>
        <w:gridCol w:w="3541"/>
        <w:gridCol w:w="146"/>
        <w:gridCol w:w="226"/>
        <w:gridCol w:w="629"/>
        <w:gridCol w:w="146"/>
        <w:gridCol w:w="146"/>
        <w:gridCol w:w="226"/>
        <w:gridCol w:w="629"/>
        <w:gridCol w:w="146"/>
        <w:gridCol w:w="146"/>
        <w:gridCol w:w="264"/>
        <w:gridCol w:w="681"/>
        <w:gridCol w:w="166"/>
        <w:gridCol w:w="146"/>
        <w:gridCol w:w="277"/>
        <w:gridCol w:w="714"/>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91" w:type="dxa"/>
            <w:tcBorders/>
            <w:vAlign w:val="center"/>
          </w:tcPr>
          <w:p>
            <w:pPr>
              <w:pStyle w:val="TableContents"/>
              <w:bidi w:val="0"/>
              <w:spacing w:before="0" w:after="0"/>
              <w:ind w:left="0" w:right="0" w:hanging="0"/>
              <w:jc w:val="center"/>
              <w:rPr/>
            </w:pPr>
            <w:r>
              <w:rPr/>
              <w:t> </w:t>
            </w:r>
          </w:p>
        </w:tc>
      </w:tr>
      <w:tr>
        <w:trPr/>
        <w:tc>
          <w:tcPr>
            <w:tcW w:w="3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Independent research and development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$20.6 million decrease in IR&amp;D expenses was mainly the result of a decrease of $22.2 million in IR&amp;D efforts in our commercial networks segment (primarily related to decreased IR&amp;D expenses for next-generation satellite payload technologies and next-generation consumer broadband integrated networking technologies, partially offset by an increase in IR&amp;D efforts on mobile broadband satellite communication systems for commercial airline platforms). This overall decrease was slightly offset by an insignificant increase in our government systems segment.</w:t>
      </w:r>
    </w:p>
    <w:p>
      <w:pPr>
        <w:pStyle w:val="TextBody"/>
        <w:bidi w:val="0"/>
        <w:spacing w:before="240" w:after="0"/>
        <w:jc w:val="center"/>
        <w:rPr>
          <w:rFonts w:ascii="Arial;sans-serif" w:hAnsi="Arial;sans-serif"/>
          <w:b w:val="false"/>
          <w:sz w:val="20"/>
        </w:rPr>
      </w:pPr>
      <w:r>
        <w:rPr>
          <w:rFonts w:ascii="Arial;sans-serif" w:hAnsi="Arial;sans-serif"/>
          <w:b w:val="false"/>
          <w:sz w:val="20"/>
        </w:rPr>
        <w:t>56</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i/>
          <w:sz w:val="20"/>
        </w:rPr>
        <w:t>Amortization of acquired intangible assets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amortize our acquired intangible assets from prior acquisitions over their estimated useful lives, which range from two to 20 years. Amortization of acquired intangible assets in fiscal year 2023 compared to fiscal year 2022 increased by an insignificant amount. Expected amortization expense for acquired intangible assets for each of the following periods is as follows:</w:t>
      </w:r>
      <w:r>
        <w:rPr>
          <w:rFonts w:ascii="Times New Roman" w:hAnsi="Times New Roman"/>
          <w:sz w:val="20"/>
        </w:rPr>
        <w:t xml:space="preserve"> </w:t>
      </w:r>
    </w:p>
    <w:tbl>
      <w:tblPr>
        <w:tblW w:w="4283" w:type="dxa"/>
        <w:jc w:val="left"/>
        <w:tblInd w:w="0" w:type="dxa"/>
        <w:tblLayout w:type="fixed"/>
        <w:tblCellMar>
          <w:top w:w="28" w:type="dxa"/>
          <w:left w:w="28" w:type="dxa"/>
          <w:bottom w:w="28" w:type="dxa"/>
          <w:right w:w="28" w:type="dxa"/>
        </w:tblCellMar>
      </w:tblPr>
      <w:tblGrid>
        <w:gridCol w:w="2671"/>
        <w:gridCol w:w="146"/>
        <w:gridCol w:w="267"/>
        <w:gridCol w:w="1008"/>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Amortization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2024</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28,635</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2025</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26,560</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2026</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26,408</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2027</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26,408</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2028</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26,331</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66,863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201,205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0" w:after="0"/>
        <w:jc w:val="left"/>
        <w:rPr>
          <w:rFonts w:ascii="Times New Roman" w:hAnsi="Times New Roman"/>
          <w:sz w:val="20"/>
        </w:rPr>
      </w:pPr>
      <w:r>
        <w:rPr>
          <w:rFonts w:ascii="Arial;sans-serif" w:hAnsi="Arial;sans-serif"/>
          <w:b/>
          <w:i/>
          <w:sz w:val="20"/>
        </w:rPr>
        <w:t>Interest income</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The $19.0 million increase in interest income for fiscal year 2023 compared to fiscal year 2022 was primarily due to the interest earned on the invested portion of the cash related to proceeds of approximately $1.9 billion received from L3Harris in the Link-16 TDL Sale at the beginning of the fourth quarter of fiscal year 2023. The increase also reflected the Cisco Settlement described above, of which we recorded $6.4 million as interest income. Please refer to Note 14 — Contingencies to our consolidated financial statements for more information.</w:t>
      </w:r>
    </w:p>
    <w:p>
      <w:pPr>
        <w:pStyle w:val="TextBody"/>
        <w:bidi w:val="0"/>
        <w:spacing w:before="270" w:after="0"/>
        <w:jc w:val="left"/>
        <w:rPr>
          <w:rFonts w:ascii="Times New Roman" w:hAnsi="Times New Roman"/>
          <w:sz w:val="20"/>
        </w:rPr>
      </w:pPr>
      <w:r>
        <w:rPr>
          <w:rFonts w:ascii="Arial;sans-serif" w:hAnsi="Arial;sans-serif"/>
          <w:b/>
          <w:i/>
          <w:sz w:val="20"/>
        </w:rPr>
        <w:t>Interest expense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$2.6 million decrease in interest expense in fiscal year 2023 compared to fiscal year 2022 was primarily due to an increase in the amount of interest capitalized compared to the prior year period. This decrease in interest expense was partially offset by the addition of interest expense related to the Term Loan Facility which was entered into during the fourth quarter of fiscal year 2022.</w:t>
      </w:r>
      <w:r>
        <w:rPr>
          <w:rFonts w:ascii="Times New Roman" w:hAnsi="Times New Roman"/>
          <w:sz w:val="20"/>
        </w:rPr>
        <w:t xml:space="preserve"> </w:t>
      </w:r>
    </w:p>
    <w:p>
      <w:pPr>
        <w:pStyle w:val="TextBody"/>
        <w:bidi w:val="0"/>
        <w:spacing w:before="270" w:after="0"/>
        <w:jc w:val="left"/>
        <w:rPr>
          <w:rFonts w:ascii="Arial;sans-serif" w:hAnsi="Arial;sans-serif"/>
          <w:b/>
          <w:i/>
          <w:sz w:val="20"/>
        </w:rPr>
      </w:pPr>
      <w:r>
        <w:rPr>
          <w:rFonts w:ascii="Arial;sans-serif" w:hAnsi="Arial;sans-serif"/>
          <w:b/>
          <w:i/>
          <w:sz w:val="20"/>
        </w:rPr>
        <w:t>Income taxes</w:t>
      </w:r>
    </w:p>
    <w:p>
      <w:pPr>
        <w:pStyle w:val="TextBody"/>
        <w:bidi w:val="0"/>
        <w:spacing w:before="90" w:after="0"/>
        <w:jc w:val="left"/>
        <w:rPr>
          <w:rFonts w:ascii="Arial;sans-serif" w:hAnsi="Arial;sans-serif"/>
          <w:b w:val="false"/>
          <w:sz w:val="20"/>
        </w:rPr>
      </w:pPr>
      <w:r>
        <w:rPr>
          <w:rFonts w:ascii="Arial;sans-serif" w:hAnsi="Arial;sans-serif"/>
          <w:b w:val="false"/>
          <w:sz w:val="20"/>
        </w:rPr>
        <w:t>The income tax provision in fiscal year 2023 primarily reflected the establishment of a valuation allowance on the deferred tax asset for California R&amp;D tax credits and the expense for tax deficiencies upon settlement of stock-based compensation during the period, partially offset by the benefit of federal R&amp;D tax credits. Our valuation allowance against deferred tax assets increased from $78.1 million at March 31, 2022 to $150.0 million at March 31, 2023. The valuation allowance relates to state and foreign net operating loss carryforwards, state R&amp;D tax credit carryforwards and foreign tax credit carryforwards. The income tax benefit in fiscal year 2022 primarily reflected the benefit of federal R&amp;D tax credits, the reversal of a deferred tax liability recorded for EBI’s outside basis difference upon assertion made during the first quarter of fiscal year 2022 to indefinitely reinvest future earnings offset by tax expense for non-deductible compensation and the tax expense for tax deficiencies upon settlement of stock-based compensation during the period.</w:t>
      </w:r>
    </w:p>
    <w:p>
      <w:pPr>
        <w:pStyle w:val="TextBody"/>
        <w:bidi w:val="0"/>
        <w:spacing w:before="270" w:after="0"/>
        <w:jc w:val="left"/>
        <w:rPr>
          <w:rFonts w:ascii="Times New Roman" w:hAnsi="Times New Roman"/>
          <w:sz w:val="20"/>
        </w:rPr>
      </w:pPr>
      <w:r>
        <w:rPr>
          <w:rFonts w:ascii="Arial;sans-serif" w:hAnsi="Arial;sans-serif"/>
          <w:b/>
          <w:sz w:val="20"/>
        </w:rPr>
        <w:t>Segment Results for Fiscal Year 2023 Compared to Fiscal Year 2022</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i/>
          <w:sz w:val="20"/>
        </w:rPr>
        <w:t>Satellite services segment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i/>
          <w:sz w:val="20"/>
        </w:rPr>
        <w:t>Revenues</w:t>
      </w:r>
      <w:r>
        <w:rPr>
          <w:rFonts w:ascii="Times New Roman" w:hAnsi="Times New Roman"/>
          <w:sz w:val="20"/>
        </w:rPr>
        <w:t xml:space="preserve"> </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88"/>
        <w:gridCol w:w="657"/>
        <w:gridCol w:w="14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Our satellite services segment revenues increased by $21.9 million due to an increase in service revenues. The increase in service revenues was primarily attributable to an increase in our in-flight services business, partially offset by lower fixed broadband revenues in the United States as we allocated a greater proportion of our bandwidth to our IFC business due to bandwidth constraints ahead of commercial launch of the ViaSat-3 Americas satellite. The increase in in-flight service revenue was driven primarily by an increase in the number of commercial aircraft receiving our in-flight services through our IFC systems, an increase in passenger air traffic and the continued return to service of aircraft that were previously inactive as a result of the COVID-19 pandemic.</w:t>
      </w:r>
    </w:p>
    <w:p>
      <w:pPr>
        <w:pStyle w:val="TextBody"/>
        <w:bidi w:val="0"/>
        <w:spacing w:before="270" w:after="0"/>
        <w:jc w:val="left"/>
        <w:rPr>
          <w:rFonts w:ascii="Arial;sans-serif" w:hAnsi="Arial;sans-serif"/>
          <w:b w:val="false"/>
          <w:i/>
          <w:sz w:val="20"/>
        </w:rPr>
      </w:pPr>
      <w:r>
        <w:rPr>
          <w:rFonts w:ascii="Arial;sans-serif" w:hAnsi="Arial;sans-serif"/>
          <w:b w:val="false"/>
          <w:i/>
          <w:sz w:val="20"/>
        </w:rPr>
        <w:t>Segment operating profit (loss)</w:t>
      </w:r>
    </w:p>
    <w:tbl>
      <w:tblPr>
        <w:tblW w:w="8700" w:type="dxa"/>
        <w:jc w:val="left"/>
        <w:tblInd w:w="0" w:type="dxa"/>
        <w:tblLayout w:type="fixed"/>
        <w:tblCellMar>
          <w:top w:w="28" w:type="dxa"/>
          <w:left w:w="28" w:type="dxa"/>
          <w:bottom w:w="28" w:type="dxa"/>
          <w:right w:w="28" w:type="dxa"/>
        </w:tblCellMar>
      </w:tblPr>
      <w:tblGrid>
        <w:gridCol w:w="3001"/>
        <w:gridCol w:w="146"/>
        <w:gridCol w:w="240"/>
        <w:gridCol w:w="615"/>
        <w:gridCol w:w="346"/>
        <w:gridCol w:w="146"/>
        <w:gridCol w:w="261"/>
        <w:gridCol w:w="594"/>
        <w:gridCol w:w="286"/>
        <w:gridCol w:w="286"/>
        <w:gridCol w:w="264"/>
        <w:gridCol w:w="681"/>
        <w:gridCol w:w="166"/>
        <w:gridCol w:w="286"/>
        <w:gridCol w:w="230"/>
        <w:gridCol w:w="761"/>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(41.0</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31.6</w:t>
            </w:r>
          </w:p>
        </w:tc>
        <w:tc>
          <w:tcPr>
            <w:tcW w:w="28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286" w:type="dxa"/>
            <w:tcBorders/>
            <w:vAlign w:val="center"/>
          </w:tcPr>
          <w:p>
            <w:pPr>
              <w:pStyle w:val="TableContents"/>
              <w:bidi w:val="0"/>
              <w:spacing w:before="0" w:after="0"/>
              <w:ind w:left="0" w:right="0" w:hanging="0"/>
              <w:jc w:val="center"/>
              <w:rPr/>
            </w:pPr>
            <w:r>
              <w:rPr/>
              <w:t> </w:t>
            </w:r>
          </w:p>
        </w:tc>
        <w:tc>
          <w:tcPr>
            <w:tcW w:w="23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(230</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286" w:type="dxa"/>
            <w:tcBorders/>
            <w:vAlign w:val="center"/>
          </w:tcPr>
          <w:p>
            <w:pPr>
              <w:pStyle w:val="TableContents"/>
              <w:bidi w:val="0"/>
              <w:spacing w:before="0" w:after="0"/>
              <w:ind w:left="0" w:right="0" w:firstLine="140"/>
              <w:jc w:val="center"/>
              <w:rPr/>
            </w:pPr>
            <w:r>
              <w:rPr/>
              <w:t> </w:t>
            </w:r>
          </w:p>
        </w:tc>
        <w:tc>
          <w:tcPr>
            <w:tcW w:w="945" w:type="dxa"/>
            <w:gridSpan w:val="2"/>
            <w:tcBorders/>
            <w:vAlign w:val="center"/>
          </w:tcPr>
          <w:p>
            <w:pPr>
              <w:pStyle w:val="TableContents"/>
              <w:bidi w:val="0"/>
              <w:spacing w:before="0" w:after="0"/>
              <w:ind w:left="14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firstLine="140"/>
              <w:jc w:val="center"/>
              <w:rPr/>
            </w:pPr>
            <w:r>
              <w:rPr/>
              <w:t> </w:t>
            </w:r>
          </w:p>
        </w:tc>
        <w:tc>
          <w:tcPr>
            <w:tcW w:w="991" w:type="dxa"/>
            <w:gridSpan w:val="2"/>
            <w:tcBorders/>
            <w:vAlign w:val="center"/>
          </w:tcPr>
          <w:p>
            <w:pPr>
              <w:pStyle w:val="TableContents"/>
              <w:bidi w:val="0"/>
              <w:spacing w:before="0" w:after="0"/>
              <w:ind w:left="14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change in our satellite services segment operating profit to an operating loss was primarily driven by lower earnings contributions of $45.3 million, primarily from our fixed broadband services business, driven mainly by a decline in U.S. fixed broadband revenue due to fewer residential subscribers as we manage our bandwidth capacity in support of our growing mobility service ahead of the launch of commercial services on the ViaSat-3 Americas satellite. Similar to our prior satellite launch cycles, once commercial service on ViaSat-3 Americas commences and as services using the new satellite scale, we expect the margins from our satellite services segment to improve (see the section captioned “Satellite-Related Activities” for further information). The increase in our satellite services segment operating loss was further driven by higher SG&amp;A costs of $27.2 million (partially attributable to acquisition expenses related to the Inmarsat Transaction), higher expenditures associated with activating more of the ViaSat-3 ground network and supporting international expansion, and increased expenses as a result of supply chain shortages.</w:t>
      </w:r>
    </w:p>
    <w:p>
      <w:pPr>
        <w:pStyle w:val="TextBody"/>
        <w:bidi w:val="0"/>
        <w:spacing w:before="270" w:after="0"/>
        <w:jc w:val="left"/>
        <w:rPr>
          <w:rFonts w:ascii="Times New Roman" w:hAnsi="Times New Roman"/>
          <w:sz w:val="20"/>
        </w:rPr>
      </w:pPr>
      <w:r>
        <w:rPr>
          <w:rFonts w:ascii="Arial;sans-serif" w:hAnsi="Arial;sans-serif"/>
          <w:b/>
          <w:i/>
          <w:sz w:val="20"/>
        </w:rPr>
        <w:t>Commercial networks segment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i/>
          <w:sz w:val="20"/>
        </w:rPr>
        <w:t>Revenues</w:t>
      </w:r>
      <w:r>
        <w:rPr>
          <w:rFonts w:ascii="Times New Roman" w:hAnsi="Times New Roman"/>
          <w:sz w:val="20"/>
        </w:rPr>
        <w:t xml:space="preserve"> </w:t>
      </w:r>
    </w:p>
    <w:tbl>
      <w:tblPr>
        <w:tblW w:w="7700" w:type="dxa"/>
        <w:jc w:val="left"/>
        <w:tblInd w:w="0" w:type="dxa"/>
        <w:tblLayout w:type="fixed"/>
        <w:tblCellMar>
          <w:top w:w="28" w:type="dxa"/>
          <w:left w:w="28" w:type="dxa"/>
          <w:bottom w:w="28" w:type="dxa"/>
          <w:right w:w="28" w:type="dxa"/>
        </w:tblCellMar>
      </w:tblPr>
      <w:tblGrid>
        <w:gridCol w:w="2701"/>
        <w:gridCol w:w="146"/>
        <w:gridCol w:w="226"/>
        <w:gridCol w:w="629"/>
        <w:gridCol w:w="146"/>
        <w:gridCol w:w="146"/>
        <w:gridCol w:w="226"/>
        <w:gridCol w:w="629"/>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Our commercial networks segment revenues increased by $100.5 million, due to a $86.9 million increase in product revenues and a $13.6 million increase in service revenues. The increase in product revenues was primarily the result of the Cisco Settlement described above, of which we recorded $55.8 million as product revenue in our commercial networks segment. Please refer to Note 14 — Contingencies to our consolidated financial statements for more information. The remainder of the increase in product revenues was primarily attributable to an increase in mobile broadband satellite communication systems products due to increased IFC terminal deliveries. The increase in service revenues was primarily driven by an increase in mobile broadband satellite communication systems services.</w:t>
      </w:r>
    </w:p>
    <w:p>
      <w:pPr>
        <w:pStyle w:val="TextBody"/>
        <w:bidi w:val="0"/>
        <w:spacing w:before="270" w:after="0"/>
        <w:jc w:val="left"/>
        <w:rPr>
          <w:rFonts w:ascii="Arial;sans-serif" w:hAnsi="Arial;sans-serif"/>
          <w:b w:val="false"/>
          <w:i/>
          <w:sz w:val="20"/>
        </w:rPr>
      </w:pPr>
      <w:r>
        <w:rPr>
          <w:rFonts w:ascii="Arial;sans-serif" w:hAnsi="Arial;sans-serif"/>
          <w:b w:val="false"/>
          <w:i/>
          <w:sz w:val="20"/>
        </w:rPr>
        <w:t>Segment operating profit (loss)</w:t>
      </w:r>
    </w:p>
    <w:tbl>
      <w:tblPr>
        <w:tblW w:w="8345" w:type="dxa"/>
        <w:jc w:val="left"/>
        <w:tblInd w:w="0" w:type="dxa"/>
        <w:tblLayout w:type="fixed"/>
        <w:tblCellMar>
          <w:top w:w="28" w:type="dxa"/>
          <w:left w:w="28" w:type="dxa"/>
          <w:bottom w:w="28" w:type="dxa"/>
          <w:right w:w="28" w:type="dxa"/>
        </w:tblCellMar>
      </w:tblPr>
      <w:tblGrid>
        <w:gridCol w:w="3001"/>
        <w:gridCol w:w="146"/>
        <w:gridCol w:w="211"/>
        <w:gridCol w:w="646"/>
        <w:gridCol w:w="346"/>
        <w:gridCol w:w="146"/>
        <w:gridCol w:w="211"/>
        <w:gridCol w:w="646"/>
        <w:gridCol w:w="346"/>
        <w:gridCol w:w="146"/>
        <w:gridCol w:w="270"/>
        <w:gridCol w:w="616"/>
        <w:gridCol w:w="146"/>
        <w:gridCol w:w="146"/>
        <w:gridCol w:w="313"/>
        <w:gridCol w:w="678"/>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(145.3</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(209.1</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$63.8 million reduction in our commercial networks segment operating loss was driven primarily by higher earnings contributions of $61.3 million, primarily due to higher revenues as described above. The reduction in operating loss was also due to a $22.2 million decrease in IR&amp;D expenses (primarily related to next-generation satellite payload technologies and next-generation consumer broadband integrated networking technologies, partially offset by an increase in IR&amp;D efforts on mobile broadband satellite communication systems for commercial airline platforms). The decrease in operating loss was partially offset by higher SG&amp;A costs of $19.7 million, which includes legal and other expenses related to the Cisco Settlement described above.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58</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i/>
          <w:sz w:val="20"/>
        </w:rPr>
        <w:t>Government systems segment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i/>
          <w:sz w:val="20"/>
        </w:rPr>
        <w:t>Revenues</w:t>
      </w:r>
      <w:r>
        <w:rPr>
          <w:rFonts w:ascii="Times New Roman" w:hAnsi="Times New Roman"/>
          <w:sz w:val="20"/>
        </w:rPr>
        <w:t xml:space="preserve"> </w:t>
      </w:r>
    </w:p>
    <w:tbl>
      <w:tblPr>
        <w:tblW w:w="7700" w:type="dxa"/>
        <w:jc w:val="left"/>
        <w:tblInd w:w="0" w:type="dxa"/>
        <w:tblLayout w:type="fixed"/>
        <w:tblCellMar>
          <w:top w:w="28" w:type="dxa"/>
          <w:left w:w="28" w:type="dxa"/>
          <w:bottom w:w="28" w:type="dxa"/>
          <w:right w:w="28" w:type="dxa"/>
        </w:tblCellMar>
      </w:tblPr>
      <w:tblGrid>
        <w:gridCol w:w="2701"/>
        <w:gridCol w:w="146"/>
        <w:gridCol w:w="226"/>
        <w:gridCol w:w="629"/>
        <w:gridCol w:w="146"/>
        <w:gridCol w:w="146"/>
        <w:gridCol w:w="226"/>
        <w:gridCol w:w="629"/>
        <w:gridCol w:w="146"/>
        <w:gridCol w:w="146"/>
        <w:gridCol w:w="288"/>
        <w:gridCol w:w="657"/>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Our government systems segment revenues increased by $16.5 million due to an increase of $10.1 million in service revenues, and an increase of $6.5 million in product revenues. The service revenue increase was primarily due to a $19.6 million increase in government satellite communication systems services and a $2.8 million increase in tactical satcom radio services, partially offset by a $14.6 million decrease in government mobile broadband services. The product revenue increase was primarily driven by a $35.1 million increase in cybersecurity and information assurance products, a $4.9 million increase in tactical data link solutions and a $3.1 million increase in government mobile broadband products. The increase in product revenues was partially offset by a $19.3 million decrease in government satellite communication systems and a $18.3 million decrease in tactical satcom radio products. Our government systems segment continued to show some impacts from the COVID-19 pandemic, due to continuing certification delays and supply chain component shortages, but government systems segment awards remained strong in the fiscal year.</w:t>
      </w:r>
    </w:p>
    <w:p>
      <w:pPr>
        <w:pStyle w:val="TextBody"/>
        <w:bidi w:val="0"/>
        <w:spacing w:before="270" w:after="0"/>
        <w:jc w:val="left"/>
        <w:rPr>
          <w:rFonts w:ascii="Arial;sans-serif" w:hAnsi="Arial;sans-serif"/>
          <w:b w:val="false"/>
          <w:i/>
          <w:sz w:val="20"/>
        </w:rPr>
      </w:pPr>
      <w:r>
        <w:rPr>
          <w:rFonts w:ascii="Arial;sans-serif" w:hAnsi="Arial;sans-serif"/>
          <w:b w:val="false"/>
          <w:i/>
          <w:sz w:val="20"/>
        </w:rPr>
        <w:t>Segment operating profit (loss)</w:t>
      </w:r>
    </w:p>
    <w:tbl>
      <w:tblPr>
        <w:tblW w:w="8360" w:type="dxa"/>
        <w:jc w:val="left"/>
        <w:tblInd w:w="0" w:type="dxa"/>
        <w:tblLayout w:type="fixed"/>
        <w:tblCellMar>
          <w:top w:w="28" w:type="dxa"/>
          <w:left w:w="28" w:type="dxa"/>
          <w:bottom w:w="28" w:type="dxa"/>
          <w:right w:w="28" w:type="dxa"/>
        </w:tblCellMar>
      </w:tblPr>
      <w:tblGrid>
        <w:gridCol w:w="3001"/>
        <w:gridCol w:w="146"/>
        <w:gridCol w:w="261"/>
        <w:gridCol w:w="594"/>
        <w:gridCol w:w="286"/>
        <w:gridCol w:w="146"/>
        <w:gridCol w:w="261"/>
        <w:gridCol w:w="594"/>
        <w:gridCol w:w="286"/>
        <w:gridCol w:w="146"/>
        <w:gridCol w:w="264"/>
        <w:gridCol w:w="681"/>
        <w:gridCol w:w="166"/>
        <w:gridCol w:w="146"/>
        <w:gridCol w:w="277"/>
        <w:gridCol w:w="71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60.2</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93.1</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$32.9 million decrease in our government systems segment operating profit was primarily driven by a $30.9 million increase in SG&amp;A costs (partially related to acquisition expenses related to the Inmarsat Transaction).</w:t>
      </w:r>
    </w:p>
    <w:p>
      <w:pPr>
        <w:pStyle w:val="TextBody"/>
        <w:bidi w:val="0"/>
        <w:spacing w:before="270" w:after="0"/>
        <w:jc w:val="left"/>
        <w:rPr>
          <w:rFonts w:ascii="Arial;sans-serif" w:hAnsi="Arial;sans-serif"/>
          <w:b/>
          <w:sz w:val="20"/>
        </w:rPr>
      </w:pPr>
      <w:r>
        <w:rPr>
          <w:rFonts w:ascii="Arial;sans-serif" w:hAnsi="Arial;sans-serif"/>
          <w:b/>
          <w:sz w:val="20"/>
        </w:rPr>
        <w:t>Fiscal Year 2022 Compared to Fiscal Year 2021</w:t>
      </w:r>
    </w:p>
    <w:p>
      <w:pPr>
        <w:pStyle w:val="TextBody"/>
        <w:bidi w:val="0"/>
        <w:spacing w:before="90" w:after="0"/>
        <w:jc w:val="left"/>
        <w:rPr>
          <w:rFonts w:ascii="Arial;sans-serif" w:hAnsi="Arial;sans-serif"/>
          <w:b/>
          <w:i/>
          <w:sz w:val="20"/>
        </w:rPr>
      </w:pPr>
      <w:r>
        <w:rPr>
          <w:rFonts w:ascii="Arial;sans-serif" w:hAnsi="Arial;sans-serif"/>
          <w:b/>
          <w:i/>
          <w:sz w:val="20"/>
        </w:rPr>
        <w:t>Revenues</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70" w:after="0"/>
        <w:jc w:val="left"/>
        <w:rPr>
          <w:rFonts w:ascii="Times New Roman" w:hAnsi="Times New Roman"/>
          <w:sz w:val="20"/>
        </w:rPr>
      </w:pPr>
      <w:r>
        <w:rPr>
          <w:rFonts w:ascii="Arial;sans-serif" w:hAnsi="Arial;sans-serif"/>
          <w:b w:val="false"/>
          <w:sz w:val="20"/>
        </w:rPr>
        <w:t>Our total revenues increased by $496.3 million as a result of a $374.9 million increase in service revenues and a $121.4 million increase in product revenues. The service revenue increase was due to increases of $319.9 million in our satellite services segment, $38.4 million in our government systems segment and $16.6 million in our commercial networks segment. The product revenue increase was driven primarily by an increase of $174.6 million in our commercial networks segment, partially offset by an $53.3 million decrease in our government systems segment.</w:t>
      </w:r>
      <w:r>
        <w:rPr>
          <w:rFonts w:ascii="Times New Roman" w:hAnsi="Times New Roman"/>
          <w:sz w:val="20"/>
        </w:rPr>
        <w:t xml:space="preserve"> </w:t>
      </w:r>
    </w:p>
    <w:p>
      <w:pPr>
        <w:pStyle w:val="TextBody"/>
        <w:bidi w:val="0"/>
        <w:spacing w:before="270" w:after="0"/>
        <w:jc w:val="left"/>
        <w:rPr>
          <w:rFonts w:ascii="Arial;sans-serif" w:hAnsi="Arial;sans-serif"/>
          <w:b/>
          <w:i/>
          <w:sz w:val="20"/>
        </w:rPr>
      </w:pPr>
      <w:r>
        <w:rPr>
          <w:rFonts w:ascii="Arial;sans-serif" w:hAnsi="Arial;sans-serif"/>
          <w:b/>
          <w:i/>
          <w:sz w:val="20"/>
        </w:rPr>
        <w:t>Cost of revenues</w:t>
      </w:r>
    </w:p>
    <w:p>
      <w:pPr>
        <w:pStyle w:val="TextBody"/>
        <w:bidi w:val="0"/>
        <w:spacing w:before="0" w:after="0"/>
        <w:jc w:val="left"/>
        <w:rPr/>
      </w:pPr>
      <w:r>
        <w:rPr/>
        <w:t> </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 of 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 of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cost of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59</w:t>
      </w:r>
    </w:p>
    <w:p>
      <w:pPr>
        <w:pStyle w:val="HorizontalLine"/>
        <w:pBdr>
          <w:bottom w:val="double" w:sz="2" w:space="0" w:color="808080"/>
        </w:pBdr>
        <w:bidi w:val="0"/>
        <w:spacing w:before="0" w:after="283"/>
        <w:jc w:val="left"/>
        <w:rPr/>
      </w:pPr>
      <w:r>
        <w:rPr/>
      </w:r>
    </w:p>
    <w:p>
      <w:pPr>
        <w:pStyle w:val="TextBody"/>
        <w:bidi w:val="0"/>
        <w:spacing w:before="270" w:after="0"/>
        <w:jc w:val="left"/>
        <w:rPr>
          <w:rFonts w:ascii="Arial;sans-serif" w:hAnsi="Arial;sans-serif"/>
          <w:b w:val="false"/>
          <w:sz w:val="20"/>
        </w:rPr>
      </w:pPr>
      <w:r>
        <w:rPr>
          <w:rFonts w:ascii="Arial;sans-serif" w:hAnsi="Arial;sans-serif"/>
          <w:b w:val="false"/>
          <w:sz w:val="20"/>
        </w:rPr>
        <w:t>Cost of revenues increased by $355.6 million due to an increase of $240.2 million in cost of service revenues and $115.4 million in cost of product revenues. The cost of service revenue increase was primarily due to increased service revenues, mainly from our satellite services segment, causing a $244.8 million increase in cost of service revenues on a constant margin basis. The cost of product revenue increase was mainly due to increased product revenues, causing a $95.9 million increase in cost of product revenues on a constant margin basis, mainly from our commercial networks segment. The remainder of the increase in cost of product revenues was driven by lower margins, primarily driven by cybersecurity and information assurance products in our government systems segment.</w:t>
      </w:r>
    </w:p>
    <w:p>
      <w:pPr>
        <w:pStyle w:val="TextBody"/>
        <w:bidi w:val="0"/>
        <w:spacing w:before="270" w:after="0"/>
        <w:jc w:val="left"/>
        <w:rPr>
          <w:rFonts w:ascii="Arial;sans-serif" w:hAnsi="Arial;sans-serif"/>
          <w:b/>
          <w:i/>
          <w:sz w:val="20"/>
        </w:rPr>
      </w:pPr>
      <w:r>
        <w:rPr>
          <w:rFonts w:ascii="Arial;sans-serif" w:hAnsi="Arial;sans-serif"/>
          <w:b/>
          <w:i/>
          <w:sz w:val="20"/>
        </w:rPr>
        <w:t>Selling, general and administrative expenses</w:t>
      </w:r>
    </w:p>
    <w:p>
      <w:pPr>
        <w:pStyle w:val="TextBody"/>
        <w:bidi w:val="0"/>
        <w:spacing w:before="0" w:after="0"/>
        <w:jc w:val="center"/>
        <w:rPr/>
      </w:pPr>
      <w:r>
        <w:rPr/>
        <w:t> </w:t>
      </w:r>
    </w:p>
    <w:tbl>
      <w:tblPr>
        <w:tblW w:w="8105" w:type="dxa"/>
        <w:jc w:val="left"/>
        <w:tblInd w:w="0" w:type="dxa"/>
        <w:tblLayout w:type="fixed"/>
        <w:tblCellMar>
          <w:top w:w="28" w:type="dxa"/>
          <w:left w:w="28" w:type="dxa"/>
          <w:bottom w:w="28" w:type="dxa"/>
          <w:right w:w="28" w:type="dxa"/>
        </w:tblCellMar>
      </w:tblPr>
      <w:tblGrid>
        <w:gridCol w:w="3106"/>
        <w:gridCol w:w="146"/>
        <w:gridCol w:w="226"/>
        <w:gridCol w:w="629"/>
        <w:gridCol w:w="146"/>
        <w:gridCol w:w="146"/>
        <w:gridCol w:w="226"/>
        <w:gridCol w:w="629"/>
        <w:gridCol w:w="146"/>
        <w:gridCol w:w="146"/>
        <w:gridCol w:w="249"/>
        <w:gridCol w:w="696"/>
        <w:gridCol w:w="146"/>
        <w:gridCol w:w="146"/>
        <w:gridCol w:w="313"/>
        <w:gridCol w:w="678"/>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70" w:after="0"/>
        <w:jc w:val="left"/>
        <w:rPr>
          <w:rFonts w:ascii="Arial;sans-serif" w:hAnsi="Arial;sans-serif"/>
          <w:b w:val="false"/>
          <w:sz w:val="20"/>
        </w:rPr>
      </w:pPr>
      <w:r>
        <w:rPr>
          <w:rFonts w:ascii="Arial;sans-serif" w:hAnsi="Arial;sans-serif"/>
          <w:b w:val="false"/>
          <w:sz w:val="20"/>
        </w:rPr>
        <w:t>The $143.7 million increase in SG&amp;A expenses reflected an increase in support costs of $96.5 million, driven primarily by support costs related to RigNet, as well as acquisition-related expenses of approximately $34.0 million primarily related to the Inmarsat Transaction. The increase in SG&amp;A expenses was also driven by $43.7 million of higher selling costs, reflected primarily in our satellite services segment, but was also reflected across our two other segments. SG&amp;A expenses consisted primarily of personnel costs and expenses for business development, marketing and sales, bid and proposal, facilities, finance, contract administration and general management.</w:t>
      </w:r>
    </w:p>
    <w:p>
      <w:pPr>
        <w:pStyle w:val="TextBody"/>
        <w:bidi w:val="0"/>
        <w:spacing w:before="270" w:after="0"/>
        <w:jc w:val="left"/>
        <w:rPr>
          <w:rFonts w:ascii="Arial;sans-serif" w:hAnsi="Arial;sans-serif"/>
          <w:b/>
          <w:i/>
          <w:sz w:val="20"/>
        </w:rPr>
      </w:pPr>
      <w:r>
        <w:rPr>
          <w:rFonts w:ascii="Arial;sans-serif" w:hAnsi="Arial;sans-serif"/>
          <w:b/>
          <w:i/>
          <w:sz w:val="20"/>
        </w:rPr>
        <w:t>Independent research and development</w:t>
      </w:r>
    </w:p>
    <w:tbl>
      <w:tblPr>
        <w:tblW w:w="8540" w:type="dxa"/>
        <w:jc w:val="left"/>
        <w:tblInd w:w="0" w:type="dxa"/>
        <w:tblLayout w:type="fixed"/>
        <w:tblCellMar>
          <w:top w:w="28" w:type="dxa"/>
          <w:left w:w="28" w:type="dxa"/>
          <w:bottom w:w="28" w:type="dxa"/>
          <w:right w:w="28" w:type="dxa"/>
        </w:tblCellMar>
      </w:tblPr>
      <w:tblGrid>
        <w:gridCol w:w="3541"/>
        <w:gridCol w:w="146"/>
        <w:gridCol w:w="226"/>
        <w:gridCol w:w="629"/>
        <w:gridCol w:w="146"/>
        <w:gridCol w:w="146"/>
        <w:gridCol w:w="226"/>
        <w:gridCol w:w="629"/>
        <w:gridCol w:w="146"/>
        <w:gridCol w:w="146"/>
        <w:gridCol w:w="288"/>
        <w:gridCol w:w="657"/>
        <w:gridCol w:w="146"/>
        <w:gridCol w:w="146"/>
        <w:gridCol w:w="313"/>
        <w:gridCol w:w="678"/>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3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Independent research and development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70" w:after="0"/>
        <w:jc w:val="left"/>
        <w:rPr>
          <w:rFonts w:ascii="Arial;sans-serif" w:hAnsi="Arial;sans-serif"/>
          <w:b w:val="false"/>
          <w:sz w:val="20"/>
        </w:rPr>
      </w:pPr>
      <w:r>
        <w:rPr>
          <w:rFonts w:ascii="Arial;sans-serif" w:hAnsi="Arial;sans-serif"/>
          <w:b w:val="false"/>
          <w:sz w:val="20"/>
        </w:rPr>
        <w:t>The $41.0 million increase in IR&amp;D expenses was mainly the result of an increase of $23.6 million in IR&amp;D efforts in our commercial networks segment (primarily related to next-generation satellite payload technologies and mobile broadband satellite communication systems) and an $18.4 million increase in our government systems segment (primarily related to the development of next-generation dual band mobility solutions and the advancement of integrated government satellite communications platforms).</w:t>
      </w:r>
    </w:p>
    <w:p>
      <w:pPr>
        <w:pStyle w:val="TextBody"/>
        <w:bidi w:val="0"/>
        <w:spacing w:before="270" w:after="0"/>
        <w:jc w:val="left"/>
        <w:rPr>
          <w:rFonts w:ascii="Arial;sans-serif" w:hAnsi="Arial;sans-serif"/>
          <w:b/>
          <w:i/>
          <w:sz w:val="20"/>
        </w:rPr>
      </w:pPr>
      <w:r>
        <w:rPr>
          <w:rFonts w:ascii="Arial;sans-serif" w:hAnsi="Arial;sans-serif"/>
          <w:b/>
          <w:i/>
          <w:sz w:val="20"/>
        </w:rPr>
        <w:t>Amortization of acquired intangible assets</w:t>
      </w:r>
    </w:p>
    <w:p>
      <w:pPr>
        <w:pStyle w:val="TextBody"/>
        <w:bidi w:val="0"/>
        <w:spacing w:before="90" w:after="0"/>
        <w:jc w:val="left"/>
        <w:rPr>
          <w:rFonts w:ascii="Arial;sans-serif" w:hAnsi="Arial;sans-serif"/>
          <w:b w:val="false"/>
          <w:sz w:val="20"/>
        </w:rPr>
      </w:pPr>
      <w:r>
        <w:rPr>
          <w:rFonts w:ascii="Arial;sans-serif" w:hAnsi="Arial;sans-serif"/>
          <w:b w:val="false"/>
          <w:sz w:val="20"/>
        </w:rPr>
        <w:t>We amortize our acquired intangible assets from prior acquisitions over their estimated useful lives, which range from two to 20 years. The $23.2 million increase in amortization of acquired intangible assets in fiscal year 2022 compared to fiscal year 2021 was primarily related to the amortization of new intangibles acquired as a result of the acquisition of RigNet and of the remaining 51% interest in EBI in April 2021. Expected amortization expense for acquired intangible assets for each of the following periods is as follows:</w:t>
      </w:r>
    </w:p>
    <w:tbl>
      <w:tblPr>
        <w:tblW w:w="4283" w:type="dxa"/>
        <w:jc w:val="left"/>
        <w:tblInd w:w="0" w:type="dxa"/>
        <w:tblLayout w:type="fixed"/>
        <w:tblCellMar>
          <w:top w:w="28" w:type="dxa"/>
          <w:left w:w="28" w:type="dxa"/>
          <w:bottom w:w="28" w:type="dxa"/>
          <w:right w:w="28" w:type="dxa"/>
        </w:tblCellMar>
      </w:tblPr>
      <w:tblGrid>
        <w:gridCol w:w="2671"/>
        <w:gridCol w:w="146"/>
        <w:gridCol w:w="267"/>
        <w:gridCol w:w="1008"/>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Amortization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2023</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31,383</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2024</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30,002</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2025</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27,880</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2026</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26,366</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2027</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25,805</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94,607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236,043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60</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i/>
          <w:sz w:val="20"/>
        </w:rPr>
        <w:t>Interest income</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Interest income for fiscal year 2022 was relatively flat compared to fiscal year 2021.</w:t>
      </w:r>
    </w:p>
    <w:p>
      <w:pPr>
        <w:pStyle w:val="TextBody"/>
        <w:bidi w:val="0"/>
        <w:spacing w:before="270" w:after="0"/>
        <w:jc w:val="left"/>
        <w:rPr>
          <w:rFonts w:ascii="Times New Roman" w:hAnsi="Times New Roman"/>
          <w:sz w:val="20"/>
        </w:rPr>
      </w:pPr>
      <w:r>
        <w:rPr>
          <w:rFonts w:ascii="Arial;sans-serif" w:hAnsi="Arial;sans-serif"/>
          <w:b/>
          <w:i/>
          <w:sz w:val="20"/>
        </w:rPr>
        <w:t>Interest expense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$3.3 million decrease in interest expense in fiscal year 2022 compared to fiscal year 2021 was primarily due to an increase in the amount of interest capitalized compared to the prior year period. This decrease in interest expense was partially offset by the addition of interest expense related to the 2028 Notes, which were issued in the first quarter of fiscal year 2021, and interest expense related to the Term Loan Facility which was entered into on March 4, 2022.</w:t>
      </w:r>
      <w:r>
        <w:rPr>
          <w:rFonts w:ascii="Times New Roman" w:hAnsi="Times New Roman"/>
          <w:sz w:val="20"/>
        </w:rPr>
        <w:t xml:space="preserve"> </w:t>
      </w:r>
    </w:p>
    <w:p>
      <w:pPr>
        <w:pStyle w:val="TextBody"/>
        <w:bidi w:val="0"/>
        <w:spacing w:before="270" w:after="0"/>
        <w:jc w:val="left"/>
        <w:rPr>
          <w:rFonts w:ascii="Arial;sans-serif" w:hAnsi="Arial;sans-serif"/>
          <w:b/>
          <w:i/>
          <w:sz w:val="20"/>
        </w:rPr>
      </w:pPr>
      <w:r>
        <w:rPr>
          <w:rFonts w:ascii="Arial;sans-serif" w:hAnsi="Arial;sans-serif"/>
          <w:b/>
          <w:i/>
          <w:sz w:val="20"/>
        </w:rPr>
        <w:t>Income taxes</w:t>
      </w:r>
    </w:p>
    <w:p>
      <w:pPr>
        <w:pStyle w:val="TextBody"/>
        <w:bidi w:val="0"/>
        <w:spacing w:before="90" w:after="0"/>
        <w:jc w:val="left"/>
        <w:rPr>
          <w:rFonts w:ascii="Arial;sans-serif" w:hAnsi="Arial;sans-serif"/>
          <w:b w:val="false"/>
          <w:sz w:val="20"/>
        </w:rPr>
      </w:pPr>
      <w:r>
        <w:rPr>
          <w:rFonts w:ascii="Arial;sans-serif" w:hAnsi="Arial;sans-serif"/>
          <w:b w:val="false"/>
          <w:sz w:val="20"/>
        </w:rPr>
        <w:t>The income tax benefit in fiscal year 2022 primarily reflected the benefit of federal R&amp;D tax credits, the reversal of a deferred tax liability recorded for EBI’s outside basis difference upon assertion made during the first quarter of fiscal year 2022 to indefinitely reinvest future earnings offset by tax expense for non-deductible compensation and the tax expense for tax deficiencies upon settlement of stock-based compensation during the period. The income tax benefit in fiscal year 2021 primarily reflected the tax benefit from our loss before income taxes and the benefit of federal R&amp;D tax credits, partially offset by the tax expense for tax deficiencies upon settlement of stock-based compensation during the period and tax expense for non-deductible compensation.</w:t>
      </w:r>
    </w:p>
    <w:p>
      <w:pPr>
        <w:pStyle w:val="TextBody"/>
        <w:bidi w:val="0"/>
        <w:spacing w:before="270" w:after="0"/>
        <w:jc w:val="left"/>
        <w:rPr>
          <w:rFonts w:ascii="Times New Roman" w:hAnsi="Times New Roman"/>
          <w:sz w:val="20"/>
        </w:rPr>
      </w:pPr>
      <w:r>
        <w:rPr>
          <w:rFonts w:ascii="Arial;sans-serif" w:hAnsi="Arial;sans-serif"/>
          <w:b/>
          <w:sz w:val="20"/>
        </w:rPr>
        <w:t>Segment Results for Fiscal Year 2022 Compared to Fiscal Year 2021</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i/>
          <w:sz w:val="20"/>
        </w:rPr>
        <w:t>Satellite services segment</w:t>
      </w:r>
      <w:r>
        <w:rPr>
          <w:rFonts w:ascii="Times New Roman" w:hAnsi="Times New Roman"/>
          <w:sz w:val="20"/>
        </w:rPr>
        <w:t xml:space="preserve"> </w:t>
      </w:r>
    </w:p>
    <w:p>
      <w:pPr>
        <w:pStyle w:val="TextBody"/>
        <w:bidi w:val="0"/>
        <w:spacing w:before="90" w:after="0"/>
        <w:jc w:val="left"/>
        <w:rPr>
          <w:rFonts w:ascii="Arial;sans-serif" w:hAnsi="Arial;sans-serif"/>
          <w:b w:val="false"/>
          <w:i/>
          <w:sz w:val="20"/>
        </w:rPr>
      </w:pPr>
      <w:r>
        <w:rPr>
          <w:rFonts w:ascii="Arial;sans-serif" w:hAnsi="Arial;sans-serif"/>
          <w:b w:val="false"/>
          <w:i/>
          <w:sz w:val="20"/>
        </w:rPr>
        <w:t>Revenues</w:t>
      </w:r>
    </w:p>
    <w:tbl>
      <w:tblPr>
        <w:tblW w:w="7807"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26"/>
        <w:gridCol w:w="629"/>
        <w:gridCol w:w="146"/>
        <w:gridCol w:w="146"/>
        <w:gridCol w:w="249"/>
        <w:gridCol w:w="696"/>
        <w:gridCol w:w="14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0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70" w:after="0"/>
        <w:jc w:val="left"/>
        <w:rPr>
          <w:rFonts w:ascii="Arial;sans-serif" w:hAnsi="Arial;sans-serif"/>
          <w:b w:val="false"/>
          <w:sz w:val="20"/>
        </w:rPr>
      </w:pPr>
      <w:r>
        <w:rPr>
          <w:rFonts w:ascii="Arial;sans-serif" w:hAnsi="Arial;sans-serif"/>
          <w:b w:val="false"/>
          <w:sz w:val="20"/>
        </w:rPr>
        <w:t>Our satellite services segment revenues increased by $319.9 million due to an increase in service revenues. The increase in service revenues was primarily attributable to the acquisition of RigNet in the first quarter of fiscal year 2022, as well as increases in our in-flight services and fixed broadband businesses. The acquisition of RigNet contributed approximately $154.5 million of service revenues in fiscal year 2022. The increase in in-flight service revenue of $106.0 million was driven primarily by an increase in the number of commercial aircraft receiving our in-flight services through our IFC systems, as the number of aircraft in service increased, passenger air traffic continued to increase and aircraft that were previously inactive as a result of the COVID-19 pandemic continued to return to service. The increase in fixed broadband service revenues was primarily attributable to the acquisition of the remaining 51% interest in EBI, which also closed during the first quarter of fiscal year 2022, with EBI contributing approximately $38.5 million of service revenues in fiscal year 2022.</w:t>
      </w:r>
    </w:p>
    <w:p>
      <w:pPr>
        <w:pStyle w:val="TextBody"/>
        <w:bidi w:val="0"/>
        <w:spacing w:before="270" w:after="0"/>
        <w:jc w:val="left"/>
        <w:rPr>
          <w:rFonts w:ascii="Arial;sans-serif" w:hAnsi="Arial;sans-serif"/>
          <w:b w:val="false"/>
          <w:i/>
          <w:sz w:val="20"/>
        </w:rPr>
      </w:pPr>
      <w:r>
        <w:rPr>
          <w:rFonts w:ascii="Arial;sans-serif" w:hAnsi="Arial;sans-serif"/>
          <w:b w:val="false"/>
          <w:i/>
          <w:sz w:val="20"/>
        </w:rPr>
        <w:t>Segment operating profit (loss)</w:t>
      </w:r>
    </w:p>
    <w:p>
      <w:pPr>
        <w:pStyle w:val="TextBody"/>
        <w:bidi w:val="0"/>
        <w:spacing w:before="0" w:after="0"/>
        <w:jc w:val="center"/>
        <w:rPr/>
      </w:pPr>
      <w:r>
        <w:rPr/>
        <w:t> </w:t>
      </w:r>
    </w:p>
    <w:tbl>
      <w:tblPr>
        <w:tblW w:w="8280" w:type="dxa"/>
        <w:jc w:val="left"/>
        <w:tblInd w:w="0" w:type="dxa"/>
        <w:tblLayout w:type="fixed"/>
        <w:tblCellMar>
          <w:top w:w="28" w:type="dxa"/>
          <w:left w:w="28" w:type="dxa"/>
          <w:bottom w:w="28" w:type="dxa"/>
          <w:right w:w="28" w:type="dxa"/>
        </w:tblCellMar>
      </w:tblPr>
      <w:tblGrid>
        <w:gridCol w:w="3001"/>
        <w:gridCol w:w="146"/>
        <w:gridCol w:w="261"/>
        <w:gridCol w:w="594"/>
        <w:gridCol w:w="286"/>
        <w:gridCol w:w="146"/>
        <w:gridCol w:w="261"/>
        <w:gridCol w:w="594"/>
        <w:gridCol w:w="286"/>
        <w:gridCol w:w="146"/>
        <w:gridCol w:w="339"/>
        <w:gridCol w:w="606"/>
        <w:gridCol w:w="146"/>
        <w:gridCol w:w="146"/>
        <w:gridCol w:w="313"/>
        <w:gridCol w:w="678"/>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31.6</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r>
    </w:tbl>
    <w:p>
      <w:pPr>
        <w:pStyle w:val="TextBody"/>
        <w:bidi w:val="0"/>
        <w:spacing w:before="270" w:after="0"/>
        <w:jc w:val="left"/>
        <w:rPr>
          <w:rFonts w:ascii="Arial;sans-serif" w:hAnsi="Arial;sans-serif"/>
          <w:b w:val="false"/>
          <w:sz w:val="20"/>
        </w:rPr>
      </w:pPr>
      <w:r>
        <w:rPr>
          <w:rFonts w:ascii="Arial;sans-serif" w:hAnsi="Arial;sans-serif"/>
          <w:b w:val="false"/>
          <w:sz w:val="20"/>
        </w:rPr>
        <w:t>The $5.3 million increase in our satellite services segment operating profit was driven primarily by higher earnings contributions of $100.4 million, primarily due to an increase in revenues and improved margins from our in-flight services as the business continued to scale. The increase in our satellite services segment operating profit was partially offset by higher SG&amp;A costs of $96.1 million (mainly attributable to RigNet, which was acquired during the first quarter of fiscal year 2022, as well as acquisition-related expenses related to the Inmarsat Transaction).</w:t>
      </w:r>
    </w:p>
    <w:p>
      <w:pPr>
        <w:pStyle w:val="TextBody"/>
        <w:bidi w:val="0"/>
        <w:spacing w:before="240" w:after="0"/>
        <w:jc w:val="center"/>
        <w:rPr>
          <w:rFonts w:ascii="Arial;sans-serif" w:hAnsi="Arial;sans-serif"/>
          <w:b w:val="false"/>
          <w:sz w:val="20"/>
        </w:rPr>
      </w:pPr>
      <w:r>
        <w:rPr>
          <w:rFonts w:ascii="Arial;sans-serif" w:hAnsi="Arial;sans-serif"/>
          <w:b w:val="false"/>
          <w:sz w:val="20"/>
        </w:rPr>
        <w:t>61</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r>
        <w:rPr>
          <w:rFonts w:ascii="Arial;sans-serif" w:hAnsi="Arial;sans-serif"/>
          <w:b/>
          <w:i/>
          <w:sz w:val="20"/>
        </w:rPr>
        <w:t>Commercial networks segment</w:t>
      </w:r>
      <w:r>
        <w:rPr>
          <w:rFonts w:ascii="Times New Roman" w:hAnsi="Times New Roman"/>
          <w:sz w:val="20"/>
        </w:rPr>
        <w:t xml:space="preserve"> </w:t>
      </w:r>
    </w:p>
    <w:p>
      <w:pPr>
        <w:pStyle w:val="TextBody"/>
        <w:bidi w:val="0"/>
        <w:spacing w:before="90" w:after="0"/>
        <w:jc w:val="left"/>
        <w:rPr>
          <w:rFonts w:ascii="Arial;sans-serif" w:hAnsi="Arial;sans-serif"/>
          <w:b w:val="false"/>
          <w:i/>
          <w:sz w:val="20"/>
        </w:rPr>
      </w:pPr>
      <w:r>
        <w:rPr>
          <w:rFonts w:ascii="Arial;sans-serif" w:hAnsi="Arial;sans-serif"/>
          <w:b w:val="false"/>
          <w:i/>
          <w:sz w:val="20"/>
        </w:rPr>
        <w:t>Revenues</w:t>
      </w:r>
    </w:p>
    <w:p>
      <w:pPr>
        <w:pStyle w:val="TextBody"/>
        <w:bidi w:val="0"/>
        <w:spacing w:before="0" w:after="0"/>
        <w:jc w:val="center"/>
        <w:rPr/>
      </w:pPr>
      <w:r>
        <w:rPr/>
        <w:t> </w:t>
      </w:r>
    </w:p>
    <w:tbl>
      <w:tblPr>
        <w:tblW w:w="7700" w:type="dxa"/>
        <w:jc w:val="left"/>
        <w:tblInd w:w="0" w:type="dxa"/>
        <w:tblLayout w:type="fixed"/>
        <w:tblCellMar>
          <w:top w:w="28" w:type="dxa"/>
          <w:left w:w="28" w:type="dxa"/>
          <w:bottom w:w="28" w:type="dxa"/>
          <w:right w:w="28" w:type="dxa"/>
        </w:tblCellMar>
      </w:tblPr>
      <w:tblGrid>
        <w:gridCol w:w="2701"/>
        <w:gridCol w:w="146"/>
        <w:gridCol w:w="226"/>
        <w:gridCol w:w="629"/>
        <w:gridCol w:w="146"/>
        <w:gridCol w:w="146"/>
        <w:gridCol w:w="226"/>
        <w:gridCol w:w="629"/>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70" w:after="0"/>
        <w:jc w:val="left"/>
        <w:rPr>
          <w:rFonts w:ascii="Arial;sans-serif" w:hAnsi="Arial;sans-serif"/>
          <w:b w:val="false"/>
          <w:sz w:val="20"/>
        </w:rPr>
      </w:pPr>
      <w:r>
        <w:rPr>
          <w:rFonts w:ascii="Arial;sans-serif" w:hAnsi="Arial;sans-serif"/>
          <w:b w:val="false"/>
          <w:sz w:val="20"/>
        </w:rPr>
        <w:t>Our commercial networks segment revenues increased by $191.2 million, due to a $174.6 million increase in product revenues and a $16.6 million increase in service revenues. The increase in product revenues was primarily due to increases of $112.1 million in mobile broadband satellite communication systems products due to increased IFC terminal deliveries as passenger air traffic continued to increase compared to the severe decline in passenger traffic in the prior year period as a result of the COVID-19 pandemic. There was also an increase of $52.5 million in antenna systems products and $25.7 million in RigNet products, partially offset by a $14.8 million decrease in fixed satellite networks products. The increase in service revenues was primarily driven by an increase in mobile broadband satellite communication services.</w:t>
      </w:r>
    </w:p>
    <w:p>
      <w:pPr>
        <w:pStyle w:val="TextBody"/>
        <w:bidi w:val="0"/>
        <w:spacing w:before="270" w:after="0"/>
        <w:jc w:val="left"/>
        <w:rPr>
          <w:rFonts w:ascii="Arial;sans-serif" w:hAnsi="Arial;sans-serif"/>
          <w:b w:val="false"/>
          <w:i/>
          <w:sz w:val="20"/>
        </w:rPr>
      </w:pPr>
      <w:r>
        <w:rPr>
          <w:rFonts w:ascii="Arial;sans-serif" w:hAnsi="Arial;sans-serif"/>
          <w:b w:val="false"/>
          <w:i/>
          <w:sz w:val="20"/>
        </w:rPr>
        <w:t>Segment operating profit (loss)</w:t>
      </w:r>
    </w:p>
    <w:p>
      <w:pPr>
        <w:pStyle w:val="TextBody"/>
        <w:bidi w:val="0"/>
        <w:spacing w:before="0" w:after="0"/>
        <w:jc w:val="left"/>
        <w:rPr/>
      </w:pPr>
      <w:r>
        <w:rPr/>
        <w:t> </w:t>
      </w:r>
    </w:p>
    <w:tbl>
      <w:tblPr>
        <w:tblW w:w="8425" w:type="dxa"/>
        <w:jc w:val="left"/>
        <w:tblInd w:w="0" w:type="dxa"/>
        <w:tblLayout w:type="fixed"/>
        <w:tblCellMar>
          <w:top w:w="28" w:type="dxa"/>
          <w:left w:w="28" w:type="dxa"/>
          <w:bottom w:w="28" w:type="dxa"/>
          <w:right w:w="28" w:type="dxa"/>
        </w:tblCellMar>
      </w:tblPr>
      <w:tblGrid>
        <w:gridCol w:w="3001"/>
        <w:gridCol w:w="146"/>
        <w:gridCol w:w="211"/>
        <w:gridCol w:w="646"/>
        <w:gridCol w:w="346"/>
        <w:gridCol w:w="146"/>
        <w:gridCol w:w="211"/>
        <w:gridCol w:w="646"/>
        <w:gridCol w:w="346"/>
        <w:gridCol w:w="146"/>
        <w:gridCol w:w="288"/>
        <w:gridCol w:w="598"/>
        <w:gridCol w:w="166"/>
        <w:gridCol w:w="146"/>
        <w:gridCol w:w="346"/>
        <w:gridCol w:w="645"/>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(209.1</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(206.4</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270" w:after="0"/>
        <w:jc w:val="left"/>
        <w:rPr>
          <w:rFonts w:ascii="Times New Roman" w:hAnsi="Times New Roman"/>
          <w:sz w:val="20"/>
        </w:rPr>
      </w:pPr>
      <w:r>
        <w:rPr>
          <w:rFonts w:ascii="Arial;sans-serif" w:hAnsi="Arial;sans-serif"/>
          <w:b w:val="false"/>
          <w:sz w:val="20"/>
        </w:rPr>
        <w:t>The $2.7 million increase in our commercial networks segment operating loss was driven primarily by a $23.6 million increase in IR&amp;D expenses (primarily related to next-generation satellite payload technologies and mobile broadband satellite communication systems) and a $15.0 million increase in SG&amp;A expenses (primarily related to higher support costs). The increase in commercial networks segment operating loss was offset by higher earnings contributions of $35.9 million, driven by increased revenues and improved margins from our mobile broadband satellite communication systems products.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Government systems segment</w:t>
      </w:r>
      <w:r>
        <w:rPr>
          <w:rFonts w:ascii="Times New Roman" w:hAnsi="Times New Roman"/>
          <w:sz w:val="20"/>
        </w:rPr>
        <w:t xml:space="preserve"> </w:t>
      </w:r>
    </w:p>
    <w:p>
      <w:pPr>
        <w:pStyle w:val="TextBody"/>
        <w:bidi w:val="0"/>
        <w:spacing w:before="90" w:after="0"/>
        <w:jc w:val="left"/>
        <w:rPr>
          <w:rFonts w:ascii="Arial;sans-serif" w:hAnsi="Arial;sans-serif"/>
          <w:b w:val="false"/>
          <w:i/>
          <w:sz w:val="20"/>
        </w:rPr>
      </w:pPr>
      <w:r>
        <w:rPr>
          <w:rFonts w:ascii="Arial;sans-serif" w:hAnsi="Arial;sans-serif"/>
          <w:b w:val="false"/>
          <w:i/>
          <w:sz w:val="20"/>
        </w:rPr>
        <w:t>Revenues</w:t>
      </w:r>
    </w:p>
    <w:p>
      <w:pPr>
        <w:pStyle w:val="TextBody"/>
        <w:bidi w:val="0"/>
        <w:spacing w:before="0" w:after="0"/>
        <w:jc w:val="center"/>
        <w:rPr/>
      </w:pPr>
      <w:r>
        <w:rPr/>
        <w:t> </w:t>
      </w:r>
    </w:p>
    <w:tbl>
      <w:tblPr>
        <w:tblW w:w="7780" w:type="dxa"/>
        <w:jc w:val="left"/>
        <w:tblInd w:w="0" w:type="dxa"/>
        <w:tblLayout w:type="fixed"/>
        <w:tblCellMar>
          <w:top w:w="28" w:type="dxa"/>
          <w:left w:w="28" w:type="dxa"/>
          <w:bottom w:w="28" w:type="dxa"/>
          <w:right w:w="28" w:type="dxa"/>
        </w:tblCellMar>
      </w:tblPr>
      <w:tblGrid>
        <w:gridCol w:w="2701"/>
        <w:gridCol w:w="146"/>
        <w:gridCol w:w="226"/>
        <w:gridCol w:w="629"/>
        <w:gridCol w:w="146"/>
        <w:gridCol w:w="146"/>
        <w:gridCol w:w="226"/>
        <w:gridCol w:w="629"/>
        <w:gridCol w:w="146"/>
        <w:gridCol w:w="146"/>
        <w:gridCol w:w="264"/>
        <w:gridCol w:w="681"/>
        <w:gridCol w:w="166"/>
        <w:gridCol w:w="146"/>
        <w:gridCol w:w="277"/>
        <w:gridCol w:w="714"/>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9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70" w:after="0"/>
        <w:jc w:val="left"/>
        <w:rPr>
          <w:rFonts w:ascii="Arial;sans-serif" w:hAnsi="Arial;sans-serif"/>
          <w:b w:val="false"/>
          <w:sz w:val="20"/>
        </w:rPr>
      </w:pPr>
      <w:r>
        <w:rPr>
          <w:rFonts w:ascii="Arial;sans-serif" w:hAnsi="Arial;sans-serif"/>
          <w:b w:val="false"/>
          <w:sz w:val="20"/>
        </w:rPr>
        <w:t>Our government systems segment revenues decreased by $14.8 million due to a decrease of $53.3 million in product revenues, partially offset by an increase of $38.4 million in service revenues. The product revenue decrease was primarily driven by a $24.5 million decrease in government satellite communication systems products, a $20.5 million decrease in government mobile broadband products, and a $17.6 million decrease in tactical data link solutions products. The decrease in product revenues was partially offset by a $6.8 million increase in cybersecurity and information assurance products and a $2.6 million increase in tactical satcom radio products. The service revenue increase was primarily due to a $18.3 million increase in government mobile broadband services, a $14.8 million increase in government satellite communication systems services, and a $6.7 million increase in cybersecurity and information assurance services. As a result of the COVID-19 pandemic, our government systems segment continued to experience complications in product manufacturing and shipments and some administrative delays on certain contractual vehicles reflecting inherent challenges in the remote work environment. In addition, product revenues in the segment were negatively impacted in fiscal year 2022 by anticipated delays in certification of certain information security products, as well as certain unanticipated supply chain issues that affected certain product shipments. Despite these obstacles, new government systems segment awards remained strong through the end of fiscal year 2022.</w:t>
      </w:r>
    </w:p>
    <w:p>
      <w:pPr>
        <w:pStyle w:val="TextBody"/>
        <w:bidi w:val="0"/>
        <w:spacing w:before="240" w:after="0"/>
        <w:jc w:val="center"/>
        <w:rPr>
          <w:rFonts w:ascii="Arial;sans-serif" w:hAnsi="Arial;sans-serif"/>
          <w:b w:val="false"/>
          <w:sz w:val="20"/>
        </w:rPr>
      </w:pPr>
      <w:r>
        <w:rPr>
          <w:rFonts w:ascii="Arial;sans-serif" w:hAnsi="Arial;sans-serif"/>
          <w:b w:val="false"/>
          <w:sz w:val="20"/>
        </w:rPr>
        <w:t>62</w:t>
      </w:r>
    </w:p>
    <w:p>
      <w:pPr>
        <w:pStyle w:val="HorizontalLine"/>
        <w:pBdr>
          <w:bottom w:val="double" w:sz="2" w:space="0" w:color="808080"/>
        </w:pBdr>
        <w:bidi w:val="0"/>
        <w:spacing w:before="0" w:after="283"/>
        <w:jc w:val="left"/>
        <w:rPr/>
      </w:pPr>
      <w:r>
        <w:rPr/>
      </w:r>
    </w:p>
    <w:p>
      <w:pPr>
        <w:pStyle w:val="TextBody"/>
        <w:bidi w:val="0"/>
        <w:spacing w:before="270" w:after="0"/>
        <w:jc w:val="left"/>
        <w:rPr>
          <w:rFonts w:ascii="Arial;sans-serif" w:hAnsi="Arial;sans-serif"/>
          <w:b w:val="false"/>
          <w:i/>
          <w:sz w:val="20"/>
        </w:rPr>
      </w:pPr>
      <w:r>
        <w:rPr>
          <w:rFonts w:ascii="Arial;sans-serif" w:hAnsi="Arial;sans-serif"/>
          <w:b w:val="false"/>
          <w:i/>
          <w:sz w:val="20"/>
        </w:rPr>
        <w:t>Segment operating profit (loss)</w:t>
      </w:r>
    </w:p>
    <w:p>
      <w:pPr>
        <w:pStyle w:val="TextBody"/>
        <w:bidi w:val="0"/>
        <w:spacing w:before="0" w:after="0"/>
        <w:jc w:val="left"/>
        <w:rPr/>
      </w:pPr>
      <w:r>
        <w:rPr/>
        <w:t> </w:t>
      </w:r>
    </w:p>
    <w:tbl>
      <w:tblPr>
        <w:tblW w:w="8360" w:type="dxa"/>
        <w:jc w:val="left"/>
        <w:tblInd w:w="0" w:type="dxa"/>
        <w:tblLayout w:type="fixed"/>
        <w:tblCellMar>
          <w:top w:w="28" w:type="dxa"/>
          <w:left w:w="28" w:type="dxa"/>
          <w:bottom w:w="28" w:type="dxa"/>
          <w:right w:w="28" w:type="dxa"/>
        </w:tblCellMar>
      </w:tblPr>
      <w:tblGrid>
        <w:gridCol w:w="3001"/>
        <w:gridCol w:w="146"/>
        <w:gridCol w:w="261"/>
        <w:gridCol w:w="594"/>
        <w:gridCol w:w="286"/>
        <w:gridCol w:w="146"/>
        <w:gridCol w:w="226"/>
        <w:gridCol w:w="629"/>
        <w:gridCol w:w="286"/>
        <w:gridCol w:w="146"/>
        <w:gridCol w:w="264"/>
        <w:gridCol w:w="681"/>
        <w:gridCol w:w="166"/>
        <w:gridCol w:w="146"/>
        <w:gridCol w:w="277"/>
        <w:gridCol w:w="71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93.1</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139.7</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270" w:after="0"/>
        <w:jc w:val="left"/>
        <w:rPr>
          <w:rFonts w:ascii="Arial;sans-serif" w:hAnsi="Arial;sans-serif"/>
          <w:b w:val="false"/>
          <w:sz w:val="20"/>
        </w:rPr>
      </w:pPr>
      <w:r>
        <w:rPr>
          <w:rFonts w:ascii="Arial;sans-serif" w:hAnsi="Arial;sans-serif"/>
          <w:b w:val="false"/>
          <w:sz w:val="20"/>
        </w:rPr>
        <w:t>The $46.6 million decrease in our government systems segment operating profit was driven by a $32.5 million increase in SG&amp;A costs (including $10.5 million of acquisition-related expenses related to the Inmarsat Transaction) and a $18.4 million increase in IR&amp;D expenses (primarily related to the development of next-generation dual band mobility solutions and the advancement of integrated government satellite communications platforms). The decrease in operating profit was partially offset by higher earnings contributions of $4.3 million, primarily due to a decrease in cost of revenues.</w:t>
      </w:r>
    </w:p>
    <w:p>
      <w:pPr>
        <w:pStyle w:val="TextBody"/>
        <w:bidi w:val="0"/>
        <w:spacing w:before="270" w:after="0"/>
        <w:jc w:val="left"/>
        <w:rPr>
          <w:rFonts w:ascii="Times New Roman" w:hAnsi="Times New Roman"/>
          <w:sz w:val="20"/>
        </w:rPr>
      </w:pPr>
      <w:r>
        <w:rPr>
          <w:rFonts w:ascii="Arial;sans-serif" w:hAnsi="Arial;sans-serif"/>
          <w:b/>
          <w:sz w:val="20"/>
        </w:rPr>
        <w:t>Backlog</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Our firm and funded backlog as of March 31, 2023 is reflected in the table below.</w:t>
      </w:r>
    </w:p>
    <w:tbl>
      <w:tblPr>
        <w:tblW w:w="4683" w:type="dxa"/>
        <w:jc w:val="left"/>
        <w:tblInd w:w="0" w:type="dxa"/>
        <w:tblLayout w:type="fixed"/>
        <w:tblCellMar>
          <w:top w:w="28" w:type="dxa"/>
          <w:left w:w="28" w:type="dxa"/>
          <w:bottom w:w="28" w:type="dxa"/>
          <w:right w:w="28" w:type="dxa"/>
        </w:tblCellMar>
      </w:tblPr>
      <w:tblGrid>
        <w:gridCol w:w="2806"/>
        <w:gridCol w:w="146"/>
        <w:gridCol w:w="276"/>
        <w:gridCol w:w="984"/>
        <w:gridCol w:w="47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 2023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millions)</w:t>
            </w:r>
          </w:p>
        </w:tc>
        <w:tc>
          <w:tcPr>
            <w:tcW w:w="47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Firm backlog</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Satellite services segment</w:t>
            </w:r>
          </w:p>
        </w:tc>
        <w:tc>
          <w:tcPr>
            <w:tcW w:w="146" w:type="dxa"/>
            <w:tcBorders/>
            <w:vAlign w:val="center"/>
          </w:tcPr>
          <w:p>
            <w:pPr>
              <w:pStyle w:val="TableContents"/>
              <w:bidi w:val="0"/>
              <w:spacing w:before="0" w:after="0"/>
              <w:ind w:left="0" w:right="0" w:hanging="0"/>
              <w:jc w:val="center"/>
              <w:rPr/>
            </w:pPr>
            <w:r>
              <w:rPr/>
              <w:t> </w:t>
            </w:r>
          </w:p>
        </w:tc>
        <w:tc>
          <w:tcPr>
            <w:tcW w:w="2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395.8</w:t>
            </w:r>
          </w:p>
        </w:tc>
        <w:tc>
          <w:tcPr>
            <w:tcW w:w="47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networks segment</w:t>
            </w:r>
          </w:p>
        </w:tc>
        <w:tc>
          <w:tcPr>
            <w:tcW w:w="146" w:type="dxa"/>
            <w:tcBorders/>
            <w:vAlign w:val="center"/>
          </w:tcPr>
          <w:p>
            <w:pPr>
              <w:pStyle w:val="TableContents"/>
              <w:bidi w:val="0"/>
              <w:spacing w:before="0" w:after="0"/>
              <w:ind w:left="0" w:right="0" w:hanging="0"/>
              <w:jc w:val="center"/>
              <w:rPr/>
            </w:pPr>
            <w:r>
              <w:rPr/>
              <w:t> </w:t>
            </w:r>
          </w:p>
        </w:tc>
        <w:tc>
          <w:tcPr>
            <w:tcW w:w="27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770.0</w:t>
            </w:r>
          </w:p>
        </w:tc>
        <w:tc>
          <w:tcPr>
            <w:tcW w:w="47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Government systems segment</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493.1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280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1,658.9</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Funded backlog</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Satellite services segment</w:t>
            </w:r>
          </w:p>
        </w:tc>
        <w:tc>
          <w:tcPr>
            <w:tcW w:w="146" w:type="dxa"/>
            <w:tcBorders/>
            <w:vAlign w:val="center"/>
          </w:tcPr>
          <w:p>
            <w:pPr>
              <w:pStyle w:val="TableContents"/>
              <w:bidi w:val="0"/>
              <w:spacing w:before="0" w:after="0"/>
              <w:ind w:left="0" w:right="0" w:hanging="0"/>
              <w:jc w:val="center"/>
              <w:rPr/>
            </w:pPr>
            <w:r>
              <w:rPr/>
              <w:t> </w:t>
            </w:r>
          </w:p>
        </w:tc>
        <w:tc>
          <w:tcPr>
            <w:tcW w:w="2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395.8</w:t>
            </w:r>
          </w:p>
        </w:tc>
        <w:tc>
          <w:tcPr>
            <w:tcW w:w="47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networks segment</w:t>
            </w:r>
          </w:p>
        </w:tc>
        <w:tc>
          <w:tcPr>
            <w:tcW w:w="146" w:type="dxa"/>
            <w:tcBorders/>
            <w:vAlign w:val="center"/>
          </w:tcPr>
          <w:p>
            <w:pPr>
              <w:pStyle w:val="TableContents"/>
              <w:bidi w:val="0"/>
              <w:spacing w:before="0" w:after="0"/>
              <w:ind w:left="0" w:right="0" w:hanging="0"/>
              <w:jc w:val="center"/>
              <w:rPr/>
            </w:pPr>
            <w:r>
              <w:rPr/>
              <w:t> </w:t>
            </w:r>
          </w:p>
        </w:tc>
        <w:tc>
          <w:tcPr>
            <w:tcW w:w="27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728.8</w:t>
            </w:r>
          </w:p>
        </w:tc>
        <w:tc>
          <w:tcPr>
            <w:tcW w:w="47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Government systems segment</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430.5</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280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1,555.1</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firm backlog does not include contract options. As of March 31, 2023, a little over half of the firm backlog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March 31, 2023, our IFC systems were installed and in service on approximately 2,270 commercial aircraft, of which approximately 40 were inactive at fiscal year end (mostly due to standard aircraft maintenance). We anticipate that approximately 1,310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lingering impacts of the COVID-19 pandemic on the global airline industry. Accordingly, there can be no assurance that all anticipated purchase orders and requests will be placed or that anticipated IFC services will be activated.</w:t>
      </w:r>
    </w:p>
    <w:p>
      <w:pPr>
        <w:pStyle w:val="TextBody"/>
        <w:bidi w:val="0"/>
        <w:spacing w:before="180" w:after="0"/>
        <w:jc w:val="left"/>
        <w:rPr>
          <w:rFonts w:ascii="Times New Roman" w:hAnsi="Times New Roman"/>
          <w:sz w:val="20"/>
        </w:rPr>
      </w:pPr>
      <w:r>
        <w:rPr>
          <w:rFonts w:ascii="Arial;sans-serif" w:hAnsi="Arial;sans-serif"/>
          <w:b w:val="false"/>
          <w:sz w:val="20"/>
        </w:rPr>
        <w:t>Our total new awards (including discontinued operations but excluding future revenue under recurring consumer commitment arrangements) were approximately $3.2 billion (of which $384.4 million was attributable to discontinued operations) and $2.6 billion (of which $349.3 million was attributable to discontinued operations) for fiscal years 2023 and 2022, respectively.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63</w:t>
      </w:r>
    </w:p>
    <w:p>
      <w:pPr>
        <w:pStyle w:val="HorizontalLine"/>
        <w:pBdr>
          <w:bottom w:val="double" w:sz="2" w:space="0" w:color="808080"/>
        </w:pBdr>
        <w:bidi w:val="0"/>
        <w:spacing w:before="0" w:after="283"/>
        <w:jc w:val="left"/>
        <w:rPr/>
      </w:pPr>
      <w:r>
        <w:rPr/>
      </w:r>
    </w:p>
    <w:p>
      <w:pPr>
        <w:pStyle w:val="TextBody"/>
        <w:bidi w:val="0"/>
        <w:spacing w:before="180" w:after="0"/>
        <w:jc w:val="left"/>
        <w:rPr>
          <w:rFonts w:ascii="Times New Roman" w:hAnsi="Times New Roman"/>
          <w:sz w:val="20"/>
        </w:rPr>
      </w:pPr>
      <w:r>
        <w:rPr>
          <w:rFonts w:ascii="Arial;sans-serif" w:hAnsi="Arial;sans-serif"/>
          <w:b w:val="false"/>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sz w:val="20"/>
        </w:rPr>
        <w:t xml:space="preserve"> </w:t>
      </w:r>
    </w:p>
    <w:p>
      <w:pPr>
        <w:pStyle w:val="TextBody"/>
        <w:bidi w:val="0"/>
        <w:spacing w:before="270" w:after="0"/>
        <w:jc w:val="left"/>
        <w:rPr>
          <w:rFonts w:ascii="Arial;sans-serif" w:hAnsi="Arial;sans-serif"/>
          <w:b/>
          <w:sz w:val="20"/>
        </w:rPr>
      </w:pPr>
      <w:r>
        <w:rPr>
          <w:rFonts w:ascii="Arial;sans-serif" w:hAnsi="Arial;sans-serif"/>
          <w:b/>
          <w:sz w:val="20"/>
        </w:rPr>
        <w:t>Liquidity and Capital Resources</w:t>
      </w:r>
    </w:p>
    <w:p>
      <w:pPr>
        <w:pStyle w:val="TextBody"/>
        <w:bidi w:val="0"/>
        <w:spacing w:before="90" w:after="0"/>
        <w:jc w:val="left"/>
        <w:rPr>
          <w:rFonts w:ascii="Times New Roman" w:hAnsi="Times New Roman"/>
          <w:sz w:val="20"/>
        </w:rPr>
      </w:pPr>
      <w:r>
        <w:rPr>
          <w:rFonts w:ascii="Arial;sans-serif" w:hAnsi="Arial;sans-serif"/>
          <w:b/>
          <w:i/>
          <w:sz w:val="20"/>
        </w:rPr>
        <w:t>Overview</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have financed our operations to date primarily with cash flows from operations, bank line of credit financing, debt financing, export credit agency financing and equity financing. In January 2023, we used a portion of the proceeds from the Link-16 TDL Sale to repay all then-outstanding borrowings under our Revolving Credit Facility. In addition, we expect the remaining portion of the net cash proceeds from the Link-16 TDL Sale to be used to support our operations and provide additional liquidity given the current conditions of credit markets and the 2025 Notes maturity. At March 31, 2023, we had $1.4 billion in cash and cash equivalents and restricted cash, $1.3 billion in working capital, and no outstanding borrowings and borrowing availability of $657.4 million under our Revolving Credit Facility. At March 31, 2022, we had $310.5 million in cash and cash equivalents, $389.1 million in working capital, and no outstanding borrowings and borrowing availability of $637.0 million under our Revolving Credit Facility. We invest our cash in excess of current operating requirements in short-term, highly liquid bank money market funds primarily investing in U.S. government-backed securities and treasuries. During the second quarter of fiscal year 2021, we issued and sold an aggregate of 4,474,559 shares of 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We have obtained financing commitments for an additional $1.6 billion of new debt facilities in connection with the Inmarsat Transaction (which may be secured and/or unsecured). We also plan to assume $2.1 billion in principal amount of Inmarsat senior secured bonds and the outstanding indebtedness under Inmarsat’s $2.4 billion senior secured credit facilities.</w:t>
      </w:r>
    </w:p>
    <w:p>
      <w:pPr>
        <w:pStyle w:val="TextBody"/>
        <w:bidi w:val="0"/>
        <w:spacing w:before="180" w:after="0"/>
        <w:jc w:val="left"/>
        <w:rPr>
          <w:rFonts w:ascii="Times New Roman" w:hAnsi="Times New Roman"/>
          <w:sz w:val="20"/>
        </w:rPr>
      </w:pPr>
      <w:r>
        <w:rPr>
          <w:rFonts w:ascii="Arial;sans-serif" w:hAnsi="Arial;sans-serif"/>
          <w:b w:val="false"/>
          <w:sz w:val="20"/>
        </w:rPr>
        <w:t>The general cash needs of our satellite services, commercial networks and government systems segments can vary significantly and our future capital requirements will depend upon many factors, including the timing and amount of cash required to consummate the Inmarsat Transaction (including the cash portion of the purchase price, transaction-related costs and integration-related costs, see the discussion above under "Inmarsat Acquisition"), cash required for our satellite projects and any future broadband satellite projects we may engage in, expansion of our IR&amp;D and marketing efforts, and the nature and timing of orders. In particular:</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 </w:t>
      </w:r>
    </w:p>
    <w:p>
      <w:pPr>
        <w:pStyle w:val="TextBody"/>
        <w:bidi w:val="0"/>
        <w:spacing w:before="180" w:after="0"/>
        <w:jc w:val="left"/>
        <w:rPr>
          <w:rFonts w:ascii="Arial;sans-serif" w:hAnsi="Arial;sans-serif"/>
          <w:b w:val="false"/>
          <w:sz w:val="20"/>
        </w:rPr>
      </w:pPr>
      <w:r>
        <w:rPr>
          <w:rFonts w:ascii="Arial;sans-serif" w:hAnsi="Arial;sans-serif"/>
          <w:b w:val="false"/>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0"/>
        <w:jc w:val="left"/>
        <w:rPr>
          <w:rFonts w:ascii="Arial;sans-serif" w:hAnsi="Arial;sans-serif"/>
          <w:b w:val="false"/>
          <w:sz w:val="20"/>
        </w:rPr>
      </w:pPr>
      <w:r>
        <w:rPr>
          <w:rFonts w:ascii="Arial;sans-serif" w:hAnsi="Arial;sans-serif"/>
          <w:b w:val="false"/>
          <w:sz w:val="20"/>
        </w:rPr>
        <w:t>As a result of the divestiture of the Link-16 TDL Business, we have taken measures to mitigate the impact of stranded costs and to right-size our remaining businesses by reducing discretionary spending and by undertaking cost-reduction measures, including reducing our real estate footprint and workforce, which measures resulted in approximately $40 million of expenses during the fourth quarter of fiscal year 2023, primarily recorded in our SG&amp;A.</w:t>
      </w:r>
    </w:p>
    <w:p>
      <w:pPr>
        <w:pStyle w:val="TextBody"/>
        <w:bidi w:val="0"/>
        <w:spacing w:before="180" w:after="0"/>
        <w:jc w:val="left"/>
        <w:rPr>
          <w:rFonts w:ascii="Times New Roman" w:hAnsi="Times New Roman"/>
          <w:sz w:val="20"/>
        </w:rPr>
      </w:pPr>
      <w:r>
        <w:rPr>
          <w:rFonts w:ascii="Arial;sans-serif" w:hAnsi="Arial;sans-serif"/>
          <w:b w:val="false"/>
          <w:sz w:val="20"/>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64</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capital markets. From time to time, we file universal shelf registration statements with the SEC for the future sale of an unlimited amount of common stock, preferred stock, debt securities, depositary shares, warrants and rights,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Link-16 TDL Sale that was completed in January 2023 for approximately $1.96 billion in cash, subject to adjustments.</w:t>
      </w:r>
    </w:p>
    <w:p>
      <w:pPr>
        <w:pStyle w:val="TextBody"/>
        <w:bidi w:val="0"/>
        <w:spacing w:before="180" w:after="0"/>
        <w:jc w:val="left"/>
        <w:rPr>
          <w:rFonts w:ascii="Arial;sans-serif" w:hAnsi="Arial;sans-serif"/>
          <w:b w:val="false"/>
          <w:sz w:val="20"/>
        </w:rPr>
      </w:pPr>
      <w:r>
        <w:rPr>
          <w:rFonts w:ascii="Arial;sans-serif" w:hAnsi="Arial;sans-serif"/>
          <w:b w:val="false"/>
          <w:sz w:val="20"/>
        </w:rPr>
        <w:t>Although we can give no assurances concerning our future liquidity, we believe that we have adequate sources of funding to meet our anticipated operating requirements for the next 12 months, as well as to fund the consummation of the Inmarsat Transaction, which include, but are not limited to, cash on hand, borrowing capacity, cash expected to be provided by operating activities and financing commitments obtained in connection with the Inmarsat Transaction. Although a significant portion of transaction-related costs relating to the Inmarsat Transaction is contingent upon the closing of the Inmarsat Transaction occurring, some have been and will be incurred regardless of whether the Inmarsat Transaction is consummated.</w:t>
      </w:r>
    </w:p>
    <w:p>
      <w:pPr>
        <w:pStyle w:val="TextBody"/>
        <w:bidi w:val="0"/>
        <w:spacing w:before="270" w:after="0"/>
        <w:jc w:val="left"/>
        <w:rPr>
          <w:rFonts w:ascii="Times New Roman" w:hAnsi="Times New Roman"/>
          <w:sz w:val="20"/>
        </w:rPr>
      </w:pPr>
      <w:r>
        <w:rPr>
          <w:rFonts w:ascii="Arial;sans-serif" w:hAnsi="Arial;sans-serif"/>
          <w:b/>
          <w:i/>
          <w:sz w:val="20"/>
        </w:rPr>
        <w:t>Cash flows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Cash provided by operating activities for fiscal year 2023 was $367.9 million compared to $505.6 million for fiscal year 2022. This $137.8 million decrease was driven by our operating results (net income (loss) adjusted for depreciation, amortization and other non-cash charges) which resulted in $215.3 million of lower cash provided by operating activities year-over-year, partially offset by a $77.6 million year-over-year decrease in cash used to fund net operating assets. The decrease in cash used to fund net operating assets during fiscal year 2023 when compared to the prior year period was primarily due to an increase in taxes payable related to the $1.7 billion gain recognized as a result of the Link-16 TDL Sale in the fourth quarter of fiscal year 2023, as well as an increase in cash inflows year-over-year from our collections in excess of revenues and deferred revenues included in accrued liabilities, primarily due to the timing of milestone billings for certain larger development projects in our government systems segment. This decrease in cash used to fund net operating assets during fiscal year 2023 when compared to the prior year period was partially offset by a higher increase in cash used for IFC terminal inventory in our commercial networks segment in expectation of a related revenue ramp-up over the first part of fiscal year 2024 for commercial airline customers.</w:t>
      </w:r>
    </w:p>
    <w:p>
      <w:pPr>
        <w:pStyle w:val="TextBody"/>
        <w:bidi w:val="0"/>
        <w:spacing w:before="180" w:after="0"/>
        <w:jc w:val="left"/>
        <w:rPr>
          <w:rFonts w:ascii="Times New Roman" w:hAnsi="Times New Roman"/>
          <w:sz w:val="20"/>
        </w:rPr>
      </w:pPr>
      <w:r>
        <w:rPr>
          <w:rFonts w:ascii="Arial;sans-serif" w:hAnsi="Arial;sans-serif"/>
          <w:b w:val="false"/>
          <w:sz w:val="20"/>
        </w:rPr>
        <w:t>Cash provided by investing activities for fiscal year 2023 was $768.0 million compared to cash used in investing activities of $1.1 billion for fiscal year 2022. Cash provided by investing activities for fiscal year 2023 was primarily comprised of $1.9 billion recorded as cash proceeds in our consolidated statement of cash flows for fiscal year 2023 received from the Link-16 TDL Sale in the fourth quarter of fiscal year 2023. Cash used in investing activities related to our discontinued operations was slightly higher in fiscal year 2023 compared to fiscal year 2022, and slightly lower in fiscal year 2022 compared to fiscal year 2021, in each case related to changes in cash used for capital expenditures for property and other general purpose equipment.</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Cash used in financing activities for fiscal year 2023 was $66.1 million compared to cash provided by financing activities of $643.6 million for fiscal year 2022. Cash used in financing activities for fiscal year 2023 was primarily comprised of debt repayments of $576.5 million, and a payment of $30.0 million by our majority-owned subsidiary, TrellisWare Technologies, Inc., to repurchase shares of its common stock from its stockholders in the second quarter of fiscal year 2023 (see Note 1 — The Company and a Summary of Its Significant Accounting Policies – Noncontrolling interests to our consolidated financial statements for further information), partially offset by proceeds from debt borrowings of $540.0 million. Cash provided by financing activities for fiscal year 2022 was primarily comprised of proceeds from debt borrowings of approximately $1.3 billion, partially offset by debt repayments of $610.4 million.</w:t>
      </w:r>
      <w:r>
        <w:rPr>
          <w:rFonts w:ascii="Times New Roman" w:hAnsi="Times New Roman"/>
          <w:sz w:val="20"/>
        </w:rPr>
        <w:t xml:space="preserve"> </w:t>
      </w:r>
    </w:p>
    <w:p>
      <w:pPr>
        <w:pStyle w:val="TextBody"/>
        <w:bidi w:val="0"/>
        <w:spacing w:before="270" w:after="0"/>
        <w:jc w:val="left"/>
        <w:rPr>
          <w:rFonts w:ascii="Arial;sans-serif" w:hAnsi="Arial;sans-serif"/>
          <w:b/>
          <w:i/>
          <w:sz w:val="20"/>
        </w:rPr>
      </w:pPr>
      <w:r>
        <w:rPr>
          <w:rFonts w:ascii="Arial;sans-serif" w:hAnsi="Arial;sans-serif"/>
          <w:b/>
          <w:i/>
          <w:sz w:val="20"/>
        </w:rPr>
        <w:t>Capital Expenditures and IR&amp;D Investments</w:t>
      </w:r>
    </w:p>
    <w:p>
      <w:pPr>
        <w:pStyle w:val="TextBody"/>
        <w:bidi w:val="0"/>
        <w:spacing w:before="90" w:after="0"/>
        <w:jc w:val="left"/>
        <w:rPr>
          <w:rFonts w:ascii="Times New Roman" w:hAnsi="Times New Roman"/>
          <w:sz w:val="20"/>
        </w:rPr>
      </w:pPr>
      <w:r>
        <w:rPr>
          <w:rFonts w:ascii="Arial;sans-serif" w:hAnsi="Arial;sans-serif"/>
          <w:b w:val="false"/>
          <w:sz w:val="20"/>
        </w:rPr>
        <w:t>Capital expenditures in fiscal year 2023 of $1.2 billion were 18% higher than fiscal year 2022, primarily due to higher expenditures on customer premise equipment in anticipation of the launch of commercial service on ViaSat-3 Americas, partially offset by lower expenditures on the ViaSat-3 program compared to the prior fiscal year. Despite the capital expenditures in fiscal year 2023 related to the launch of ViaSat-3 Americas as well as ViaSat-3 EMEA, our total capital expenditures in fiscal year 2024 are expected to remain flat compared to fiscal year 2023, as we continue to invest in building and expanding our global network and satellite fleet, as well as incurring costs related to the roll-out of related earth station infrastructure and increased ground network investments related to international expansion and other growth opportunities. See Note 13 — Commitments to our consolidated financial statements for information as of March 31, 2023 regarding our future minimum payments under our satellite construction contracts and other satellite-related purchase commitments (including satellite performance incentive obligations relating to the ViaSat-1 and ViaSat-2 satellites) for the next five fiscal years and thereafter.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We also incur IR&amp;D expenses, which are not directly funded by a third party. IR&amp;D expenses consist primarily of salaries and other personnel-related expenses, supplies, prototype materials, testing and certification related to R&amp;D projects. Our IR&amp;D investments are expected to continue through fiscal year 2024 and beyond to support our growth and acceleration of new opportunities in our government and commercial air mobility businesses. IR&amp;D expenses were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65</w:t>
      </w:r>
    </w:p>
    <w:p>
      <w:pPr>
        <w:pStyle w:val="HorizontalLine"/>
        <w:pBdr>
          <w:bottom w:val="double" w:sz="2" w:space="0" w:color="808080"/>
        </w:pBdr>
        <w:bidi w:val="0"/>
        <w:spacing w:before="0" w:after="283"/>
        <w:jc w:val="left"/>
        <w:rPr/>
      </w:pPr>
      <w:r>
        <w:rPr/>
      </w:r>
    </w:p>
    <w:p>
      <w:pPr>
        <w:pStyle w:val="TextBody"/>
        <w:bidi w:val="0"/>
        <w:spacing w:before="180" w:after="0"/>
        <w:jc w:val="left"/>
        <w:rPr>
          <w:rFonts w:ascii="Arial;sans-serif" w:hAnsi="Arial;sans-serif"/>
          <w:b w:val="false"/>
          <w:sz w:val="20"/>
        </w:rPr>
      </w:pPr>
      <w:r>
        <w:rPr>
          <w:rFonts w:ascii="Arial;sans-serif" w:hAnsi="Arial;sans-serif"/>
          <w:b w:val="false"/>
          <w:sz w:val="20"/>
        </w:rPr>
        <w:t>approximately 5%, 6% and 6% of total revenues in fiscal years 2023, 2022 and 2021, respectively. As a government contractor, we are able to recover a portion of our IR&amp;D expenses pursuant to our government contracts.</w:t>
      </w:r>
    </w:p>
    <w:p>
      <w:pPr>
        <w:pStyle w:val="TextBody"/>
        <w:bidi w:val="0"/>
        <w:spacing w:before="270" w:after="0"/>
        <w:jc w:val="left"/>
        <w:rPr>
          <w:rFonts w:ascii="Arial;sans-serif" w:hAnsi="Arial;sans-serif"/>
          <w:b/>
          <w:i/>
          <w:sz w:val="20"/>
        </w:rPr>
      </w:pPr>
      <w:r>
        <w:rPr>
          <w:rFonts w:ascii="Arial;sans-serif" w:hAnsi="Arial;sans-serif"/>
          <w:b/>
          <w:i/>
          <w:sz w:val="20"/>
        </w:rPr>
        <w:t>Long-Term Debt</w:t>
      </w:r>
    </w:p>
    <w:p>
      <w:pPr>
        <w:pStyle w:val="TextBody"/>
        <w:bidi w:val="0"/>
        <w:spacing w:before="90" w:after="0"/>
        <w:jc w:val="left"/>
        <w:rPr>
          <w:rFonts w:ascii="Arial;sans-serif" w:hAnsi="Arial;sans-serif"/>
          <w:b w:val="false"/>
          <w:sz w:val="20"/>
        </w:rPr>
      </w:pPr>
      <w:r>
        <w:rPr>
          <w:rFonts w:ascii="Arial;sans-serif" w:hAnsi="Arial;sans-serif"/>
          <w:b w:val="false"/>
          <w:sz w:val="20"/>
        </w:rPr>
        <w:t>As of March 31, 2023, the aggregate principal amount of our total outstanding indebtedness was $2.5 billion, which was comprised of $700.0 million in principal amount of 2025 Notes, $600.0 million in principal amount of 2027 Notes, $400.0 million in principal amount of 2028 Notes (together with the 2025 Notes and 2027 Notes, the Notes), $694.8 million in principal amount of outstanding borrowings under our Term Loan Facility, no outstanding borrowings under our $700.0 million Revolving Credit Facility, $59.0 million in principal amount of outstanding borrowings under our direct loan facility with the Export-Import Bank of the United States (the Ex-Im Credit Facility) and $36.4 million of finance lease obligations. In January 2023, we used a portion of the proceeds from the Link-16 TDL Sale to repay all then-outstanding borrowings under our Revolving Credit Facility. For information regarding our Term Loan Facility, Revolving Credit Facility and Ex-Im Facility (collectively, the Credit Facilities) and Notes, refer to Note 8 – Senior Notes and Other Long-Term Debt to our consolidated financial statements.</w:t>
      </w:r>
    </w:p>
    <w:p>
      <w:pPr>
        <w:pStyle w:val="TextBody"/>
        <w:bidi w:val="0"/>
        <w:spacing w:before="270" w:after="0"/>
        <w:jc w:val="left"/>
        <w:rPr>
          <w:rFonts w:ascii="Times New Roman" w:hAnsi="Times New Roman"/>
          <w:sz w:val="20"/>
        </w:rPr>
      </w:pPr>
      <w:r>
        <w:rPr>
          <w:rFonts w:ascii="Arial;sans-serif" w:hAnsi="Arial;sans-serif"/>
          <w:b/>
          <w:sz w:val="20"/>
        </w:rPr>
        <w:t>Contractual Obligations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following table sets forth a summary of certain material cash requirements for known contractual obligations and commitments at March 31, 2023:</w:t>
      </w:r>
      <w:r>
        <w:rPr>
          <w:rFonts w:ascii="Times New Roman" w:hAnsi="Times New Roman"/>
          <w:sz w:val="20"/>
        </w:rPr>
        <w:t xml:space="preserve"> </w:t>
      </w:r>
    </w:p>
    <w:tbl>
      <w:tblPr>
        <w:tblW w:w="7307" w:type="dxa"/>
        <w:jc w:val="left"/>
        <w:tblInd w:w="0" w:type="dxa"/>
        <w:tblLayout w:type="fixed"/>
        <w:tblCellMar>
          <w:top w:w="28" w:type="dxa"/>
          <w:left w:w="28" w:type="dxa"/>
          <w:bottom w:w="28" w:type="dxa"/>
          <w:right w:w="28" w:type="dxa"/>
        </w:tblCellMar>
      </w:tblPr>
      <w:tblGrid>
        <w:gridCol w:w="4156"/>
        <w:gridCol w:w="146"/>
        <w:gridCol w:w="243"/>
        <w:gridCol w:w="1107"/>
        <w:gridCol w:w="146"/>
        <w:gridCol w:w="146"/>
        <w:gridCol w:w="211"/>
        <w:gridCol w:w="96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thousands, including interest where applicable)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Next 12 months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Thereafter</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vAlign w:val="center"/>
          </w:tcPr>
          <w:p>
            <w:pPr>
              <w:pStyle w:val="TableContents"/>
              <w:bidi w:val="0"/>
              <w:spacing w:before="0" w:after="0"/>
              <w:ind w:left="0" w:right="0" w:hanging="0"/>
              <w:jc w:val="center"/>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364,075</w:t>
            </w:r>
          </w:p>
        </w:tc>
        <w:tc>
          <w:tcPr>
            <w:tcW w:w="19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Notes and Other Long-Term Debt (1)</w:t>
            </w:r>
          </w:p>
        </w:tc>
        <w:tc>
          <w:tcPr>
            <w:tcW w:w="146" w:type="dxa"/>
            <w:tcBorders/>
            <w:vAlign w:val="center"/>
          </w:tcPr>
          <w:p>
            <w:pPr>
              <w:pStyle w:val="TableContents"/>
              <w:bidi w:val="0"/>
              <w:spacing w:before="0" w:after="0"/>
              <w:ind w:left="0" w:right="0" w:hanging="0"/>
              <w:jc w:val="center"/>
              <w:rPr/>
            </w:pPr>
            <w:r>
              <w:rPr/>
              <w:t> </w:t>
            </w:r>
          </w:p>
        </w:tc>
        <w:tc>
          <w:tcPr>
            <w:tcW w:w="243"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206,587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3,065,503</w:t>
            </w:r>
          </w:p>
        </w:tc>
        <w:tc>
          <w:tcPr>
            <w:tcW w:w="19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Purchase commitments including satellite-</w:t>
              <w:br/>
              <w:t>   related agreements</w:t>
            </w:r>
          </w:p>
        </w:tc>
        <w:tc>
          <w:tcPr>
            <w:tcW w:w="146" w:type="dxa"/>
            <w:tcBorders/>
            <w:vAlign w:val="center"/>
          </w:tcPr>
          <w:p>
            <w:pPr>
              <w:pStyle w:val="TableContents"/>
              <w:bidi w:val="0"/>
              <w:spacing w:before="0" w:after="0"/>
              <w:ind w:left="0" w:right="0" w:hanging="0"/>
              <w:jc w:val="center"/>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1,320,316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927,174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1,605,351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4,356,752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(1) To the extent that the interest rate on any long-term debt is variable, amounts reflected represent estimated interest payments on the applicable current outstanding balance based on the interest rate at March 31, 2023 until the applicable maturity date.</w:t>
      </w:r>
    </w:p>
    <w:p>
      <w:pPr>
        <w:pStyle w:val="TextBody"/>
        <w:bidi w:val="0"/>
        <w:spacing w:before="180" w:after="0"/>
        <w:jc w:val="left"/>
        <w:rPr>
          <w:rFonts w:ascii="Times New Roman" w:hAnsi="Times New Roman"/>
          <w:sz w:val="20"/>
        </w:rPr>
      </w:pPr>
      <w:r>
        <w:rPr>
          <w:rFonts w:ascii="Arial;sans-serif" w:hAnsi="Arial;sans-serif"/>
          <w:b w:val="false"/>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Our consolidated balance sheets included $218.5 million and $153.2 million of “other liabilities” as of March 31, 2023 and March 31, 2022, respectively, which primarily consisted of deferred income taxes, the long-term portion of deferred revenues, the long-term portion of our satellite performance incentive obligations relating to the ViaSat-1 and ViaSat-2 satellites and our long-term warranty obligations. With the exception of the long-term portion of our satellite performance incentive obligations relating to the ViaSat-1 and ViaSat-2 satellites (which is included under “Purchase commitments including satellite-related agreements”), these remaining liabilities have been excluded from the above table as the timing and/or the amount of any cash payment is uncertain. See Note 13 — Commitments to our consolidated financial statements for additional information regarding satellite performance incentive obligations relating to the ViaSat-1 and ViaSat-2 satellites. See Note 15 — Product Warranty to our consolidated financial statements for a discussion of our product warranties. Also excluded from the above table are amounts payable to the Sellers under the Purchase Agreement in the Inmarsat Transaction.</w:t>
      </w:r>
    </w:p>
    <w:p>
      <w:pPr>
        <w:pStyle w:val="TextBody"/>
        <w:bidi w:val="0"/>
        <w:spacing w:before="270" w:after="0"/>
        <w:jc w:val="left"/>
        <w:rPr>
          <w:rFonts w:ascii="Times New Roman" w:hAnsi="Times New Roman"/>
          <w:sz w:val="20"/>
        </w:rPr>
      </w:pPr>
      <w:r>
        <w:rPr>
          <w:rFonts w:ascii="Arial;sans-serif" w:hAnsi="Arial;sans-serif"/>
          <w:b/>
          <w:sz w:val="20"/>
        </w:rPr>
        <w:t>Off-Balance Sheet Arrangements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had no material off-balance sheet arrangements at March 31, 2023 as defined in Regulation S-K Item 303(b) other than as discussed under “Contractual Obligations” above or disclosed in the notes to our consolidated financial statements included in this report.</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Recent Authoritative Guidance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For information regarding recently adopted and issued accounting pronouncements, see Note 1 — The Company and a Summary of Its Significant Accounting Policies to the consolidated financial statements</w:t>
      </w:r>
      <w:r>
        <w:rPr>
          <w:rFonts w:ascii="Arial;sans-serif" w:hAnsi="Arial;sans-serif"/>
          <w:b w:val="false"/>
          <w:i/>
          <w:sz w:val="20"/>
        </w:rPr>
        <w: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66</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bookmarkStart w:id="13" w:name="item_7a_quantitative_qualitative_disclos"/>
      <w:bookmarkEnd w:id="13"/>
      <w:r>
        <w:rPr>
          <w:rFonts w:ascii="Arial;sans-serif" w:hAnsi="Arial;sans-serif"/>
          <w:b/>
          <w:sz w:val="20"/>
        </w:rPr>
        <w:t>ITEM 7A.</w:t>
      </w:r>
      <w:r>
        <w:rPr>
          <w:rFonts w:ascii="Times New Roman" w:hAnsi="Times New Roman"/>
          <w:sz w:val="20"/>
        </w:rPr>
        <w:t xml:space="preserve"> </w:t>
      </w:r>
      <w:r>
        <w:rPr>
          <w:rFonts w:ascii="Arial;sans-serif" w:hAnsi="Arial;sans-serif"/>
          <w:b/>
          <w:i/>
          <w:sz w:val="20"/>
        </w:rPr>
        <w:t>QUANTITATIVE AND QUALITATIVE DISCLOSURES ABOUT MARKET RISK</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sz w:val="20"/>
        </w:rPr>
        <w:t>Interest Rate Risk</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Our financial instruments consist of cash and cash equivalents, restricted cash,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As of March 31, 2023, we held no short-term investments.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Term Loan Facility and Revolving Credit Facility, cash equivalents, short-term investments and short-term obligations.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primary objective of our investment activities is to preserve principal while at the same time to maximize the income we receive from our investments without significantly increasing risk. To minimize this risk, we maintain a significant amount of our cash balance in money market accounts, with a significant portion held in U.S. government-backed qualified money-market securities.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$2.1 million and an insignificant amount for the fiscal years ended March 31, 2023 and 2022,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Our primary interest rate under the Term Loan Facility is the SOFR rate plus 4.50%. As of March 31, 2023, the effective interest rate on our outstanding borrowings under the Term Loan Facility was 9.95%. Our primary interest rate under the Revolving Credit Facility is the Eurodollar rate plus an applicable margin that is based on our total leverage ratio. As of March 31, 2023, the effective interest rate that would have been applied to any new Eurodollar-based borrowings under the Revolving Credit Facility was approximately 7.31%. As of March 31, 2023, we had no outstanding borrowings under our Revolving Credit Facility. Accordingly, assuming the outstanding balance under the Term Loan Facility remained constant over a year and we continued to have no outstanding borrowings under the Revolving Credit Facility, a 50 basis point increase in the interest rates would increase interest incurred, prior to effects of capitalized interest, by approximately $3.5 million over a 12-month period.</w:t>
      </w:r>
    </w:p>
    <w:p>
      <w:pPr>
        <w:pStyle w:val="TextBody"/>
        <w:bidi w:val="0"/>
        <w:spacing w:before="270" w:after="0"/>
        <w:jc w:val="left"/>
        <w:rPr>
          <w:rFonts w:ascii="Times New Roman" w:hAnsi="Times New Roman"/>
          <w:sz w:val="20"/>
        </w:rPr>
      </w:pPr>
      <w:r>
        <w:rPr>
          <w:rFonts w:ascii="Arial;sans-serif" w:hAnsi="Arial;sans-serif"/>
          <w:b/>
          <w:sz w:val="20"/>
        </w:rPr>
        <w:t>Foreign Exchange Risk</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$1.8 million and $1.3 million for the fiscal years ended March 31, 2023 and 2022, respectively.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As of March 31, 2023 and March 31, 2022, we had no foreign currency forward contracts outstanding.</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14" w:name="item_8_financial_statements_supplementar"/>
      <w:bookmarkEnd w:id="14"/>
      <w:r>
        <w:rPr>
          <w:rFonts w:ascii="Arial;sans-serif" w:hAnsi="Arial;sans-serif"/>
          <w:b/>
          <w:sz w:val="20"/>
        </w:rPr>
        <w:t>ITEM 8.</w:t>
      </w:r>
      <w:r>
        <w:rPr>
          <w:rFonts w:ascii="Times New Roman" w:hAnsi="Times New Roman"/>
          <w:sz w:val="20"/>
        </w:rPr>
        <w:t xml:space="preserve"> </w:t>
      </w:r>
      <w:r>
        <w:rPr>
          <w:rFonts w:ascii="Arial;sans-serif" w:hAnsi="Arial;sans-serif"/>
          <w:b/>
          <w:i/>
          <w:sz w:val="20"/>
        </w:rPr>
        <w:t>FINANCIAL STATEMENTS AND SUPPLEMENTARY DATA</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Our consolidated financial statements at March 31, 2023 and March 31, 2022 and for each of the three fiscal years in the period ended March 31, 2023, and the Report of PricewaterhouseCoopers LLP, Independent Registered Public Accounting Firm (PCAOB ID 238), are included in this report on pages F-1 through F-46.</w:t>
      </w:r>
    </w:p>
    <w:p>
      <w:pPr>
        <w:pStyle w:val="TextBody"/>
        <w:bidi w:val="0"/>
        <w:spacing w:before="240" w:after="0"/>
        <w:jc w:val="center"/>
        <w:rPr>
          <w:rFonts w:ascii="Arial;sans-serif" w:hAnsi="Arial;sans-serif"/>
          <w:b w:val="false"/>
          <w:sz w:val="20"/>
        </w:rPr>
      </w:pPr>
      <w:r>
        <w:rPr>
          <w:rFonts w:ascii="Arial;sans-serif" w:hAnsi="Arial;sans-serif"/>
          <w:b w:val="false"/>
          <w:sz w:val="20"/>
        </w:rPr>
        <w:t>67</w:t>
      </w:r>
    </w:p>
    <w:p>
      <w:pPr>
        <w:pStyle w:val="HorizontalLine"/>
        <w:pBdr>
          <w:bottom w:val="double" w:sz="2" w:space="0" w:color="808080"/>
        </w:pBdr>
        <w:bidi w:val="0"/>
        <w:spacing w:before="0" w:after="283"/>
        <w:jc w:val="left"/>
        <w:rPr/>
      </w:pPr>
      <w:r>
        <w:rPr/>
      </w:r>
    </w:p>
    <w:p>
      <w:pPr>
        <w:pStyle w:val="TextBody"/>
        <w:bidi w:val="0"/>
        <w:spacing w:before="270" w:after="0"/>
        <w:jc w:val="left"/>
        <w:rPr>
          <w:rFonts w:ascii="Arial;sans-serif" w:hAnsi="Arial;sans-serif"/>
          <w:b/>
          <w:sz w:val="20"/>
        </w:rPr>
      </w:pPr>
      <w:r>
        <w:rPr>
          <w:rFonts w:ascii="Arial;sans-serif" w:hAnsi="Arial;sans-serif"/>
          <w:b/>
          <w:sz w:val="20"/>
        </w:rPr>
        <w:t>Summarized Quarterly Data (Unaudited)</w:t>
      </w:r>
    </w:p>
    <w:p>
      <w:pPr>
        <w:pStyle w:val="TextBody"/>
        <w:bidi w:val="0"/>
        <w:spacing w:before="90" w:after="0"/>
        <w:jc w:val="left"/>
        <w:rPr>
          <w:rFonts w:ascii="Times New Roman" w:hAnsi="Times New Roman"/>
          <w:sz w:val="20"/>
        </w:rPr>
      </w:pPr>
      <w:r>
        <w:rPr>
          <w:rFonts w:ascii="Arial;sans-serif" w:hAnsi="Arial;sans-serif"/>
          <w:b w:val="false"/>
          <w:sz w:val="20"/>
        </w:rPr>
        <w:t>The following financial information reflects all normal recurring adjustments which are, in the opinion of management, necessary for the fair statement of the results for the interim periods. Summarized quarterly data for fiscal years 2023 and 2022 are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404"/>
        <w:gridCol w:w="146"/>
        <w:gridCol w:w="211"/>
        <w:gridCol w:w="796"/>
        <w:gridCol w:w="166"/>
        <w:gridCol w:w="146"/>
        <w:gridCol w:w="218"/>
        <w:gridCol w:w="822"/>
        <w:gridCol w:w="166"/>
        <w:gridCol w:w="146"/>
        <w:gridCol w:w="211"/>
        <w:gridCol w:w="796"/>
        <w:gridCol w:w="166"/>
        <w:gridCol w:w="146"/>
        <w:gridCol w:w="211"/>
        <w:gridCol w:w="961"/>
        <w:gridCol w:w="493"/>
      </w:tblGrid>
      <w:tr>
        <w:trPr/>
        <w:tc>
          <w:tcPr>
            <w:tcW w:w="4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4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1st Quarter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2nd Quarter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3rd Quarter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4th Quarter</w:t>
            </w:r>
          </w:p>
        </w:tc>
        <w:tc>
          <w:tcPr>
            <w:tcW w:w="4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62"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 except per share data)</w:t>
            </w:r>
          </w:p>
        </w:tc>
        <w:tc>
          <w:tcPr>
            <w:tcW w:w="493" w:type="dxa"/>
            <w:tcBorders/>
            <w:vAlign w:val="center"/>
          </w:tcPr>
          <w:p>
            <w:pPr>
              <w:pStyle w:val="TableContents"/>
              <w:bidi w:val="0"/>
              <w:spacing w:before="0" w:after="0"/>
              <w:ind w:left="0" w:right="0" w:hanging="0"/>
              <w:jc w:val="center"/>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2023</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3" w:type="dxa"/>
            <w:tcBorders/>
            <w:vAlign w:val="center"/>
          </w:tcPr>
          <w:p>
            <w:pPr>
              <w:pStyle w:val="TableContents"/>
              <w:bidi w:val="0"/>
              <w:spacing w:before="0" w:after="0"/>
              <w:ind w:left="0" w:right="0" w:hanging="0"/>
              <w:jc w:val="righ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575,056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663,559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651,444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666,099</w:t>
            </w:r>
          </w:p>
        </w:tc>
        <w:tc>
          <w:tcPr>
            <w:tcW w:w="493" w:type="dxa"/>
            <w:tcBorders/>
            <w:vAlign w:val="center"/>
          </w:tcPr>
          <w:p>
            <w:pPr>
              <w:pStyle w:val="TableContents"/>
              <w:bidi w:val="0"/>
              <w:spacing w:before="0" w:after="0"/>
              <w:ind w:left="0" w:right="0" w:hanging="0"/>
              <w:jc w:val="lef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(56,638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(31,311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(72,692</w:t>
            </w:r>
          </w:p>
        </w:tc>
        <w:tc>
          <w:tcPr>
            <w:tcW w:w="4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(38,564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(69,743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(44,758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(58,574</w:t>
            </w:r>
          </w:p>
        </w:tc>
        <w:tc>
          <w:tcPr>
            <w:tcW w:w="4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net of tax*</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17,525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22,187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1,258,342</w:t>
            </w:r>
          </w:p>
        </w:tc>
        <w:tc>
          <w:tcPr>
            <w:tcW w:w="493" w:type="dxa"/>
            <w:tcBorders/>
            <w:vAlign w:val="center"/>
          </w:tcPr>
          <w:p>
            <w:pPr>
              <w:pStyle w:val="TableContents"/>
              <w:bidi w:val="0"/>
              <w:spacing w:before="0" w:after="0"/>
              <w:ind w:left="0" w:right="0" w:hanging="0"/>
              <w:jc w:val="lef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(21,039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(47,556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(40,425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1,199,768</w:t>
            </w:r>
          </w:p>
        </w:tc>
        <w:tc>
          <w:tcPr>
            <w:tcW w:w="493" w:type="dxa"/>
            <w:tcBorders/>
            <w:vAlign w:val="center"/>
          </w:tcPr>
          <w:p>
            <w:pPr>
              <w:pStyle w:val="TableContents"/>
              <w:bidi w:val="0"/>
              <w:spacing w:before="0" w:after="0"/>
              <w:ind w:left="0" w:right="0" w:hanging="0"/>
              <w:jc w:val="lef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attributable to Viasat, Inc.*</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(21,564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(48,240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(42,228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1,196,838</w:t>
            </w:r>
          </w:p>
        </w:tc>
        <w:tc>
          <w:tcPr>
            <w:tcW w:w="493" w:type="dxa"/>
            <w:tcBorders/>
            <w:vAlign w:val="center"/>
          </w:tcPr>
          <w:p>
            <w:pPr>
              <w:pStyle w:val="TableContents"/>
              <w:bidi w:val="0"/>
              <w:spacing w:before="0" w:after="0"/>
              <w:ind w:left="0" w:right="0" w:hanging="0"/>
              <w:jc w:val="lef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per share attributable</w:t>
              <w:br/>
              <w:t>   to Viasat, Inc. common stockholders - basic:</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3" w:type="dxa"/>
            <w:tcBorders/>
            <w:vAlign w:val="center"/>
          </w:tcPr>
          <w:p>
            <w:pPr>
              <w:pStyle w:val="TableContents"/>
              <w:bidi w:val="0"/>
              <w:spacing w:before="0" w:after="0"/>
              <w:ind w:left="0" w:right="0" w:firstLine="280"/>
              <w:jc w:val="right"/>
              <w:rPr/>
            </w:pPr>
            <w:r>
              <w:rPr/>
              <w:t> </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(0.52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(0.93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(0.80</w:t>
            </w:r>
          </w:p>
        </w:tc>
        <w:tc>
          <w:tcPr>
            <w:tcW w:w="49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Discontinued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16.36</w:t>
            </w:r>
          </w:p>
        </w:tc>
        <w:tc>
          <w:tcPr>
            <w:tcW w:w="493"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15.56</w:t>
            </w:r>
          </w:p>
        </w:tc>
        <w:tc>
          <w:tcPr>
            <w:tcW w:w="4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per share attributable</w:t>
              <w:br/>
              <w:t>   to Viasat, Inc. common stockholders - diluted:</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3" w:type="dxa"/>
            <w:tcBorders/>
            <w:vAlign w:val="center"/>
          </w:tcPr>
          <w:p>
            <w:pPr>
              <w:pStyle w:val="TableContents"/>
              <w:bidi w:val="0"/>
              <w:spacing w:before="0" w:after="0"/>
              <w:ind w:left="0" w:right="0" w:firstLine="280"/>
              <w:jc w:val="right"/>
              <w:rPr/>
            </w:pPr>
            <w:r>
              <w:rPr/>
              <w:t> </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(0.52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(0.93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(0.80</w:t>
            </w:r>
          </w:p>
        </w:tc>
        <w:tc>
          <w:tcPr>
            <w:tcW w:w="49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Discontinued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16.36</w:t>
            </w:r>
          </w:p>
        </w:tc>
        <w:tc>
          <w:tcPr>
            <w:tcW w:w="493"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15.56</w:t>
            </w:r>
          </w:p>
        </w:tc>
        <w:tc>
          <w:tcPr>
            <w:tcW w:w="4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2022</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3" w:type="dxa"/>
            <w:tcBorders/>
            <w:vAlign w:val="center"/>
          </w:tcPr>
          <w:p>
            <w:pPr>
              <w:pStyle w:val="TableContents"/>
              <w:bidi w:val="0"/>
              <w:spacing w:before="0" w:after="0"/>
              <w:ind w:left="0" w:right="0" w:hanging="0"/>
              <w:jc w:val="righ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575,439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609,726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625,267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606,747</w:t>
            </w:r>
          </w:p>
        </w:tc>
        <w:tc>
          <w:tcPr>
            <w:tcW w:w="493" w:type="dxa"/>
            <w:tcBorders/>
            <w:vAlign w:val="center"/>
          </w:tcPr>
          <w:p>
            <w:pPr>
              <w:pStyle w:val="TableContents"/>
              <w:bidi w:val="0"/>
              <w:spacing w:before="0" w:after="0"/>
              <w:ind w:left="0" w:right="0" w:hanging="0"/>
              <w:jc w:val="lef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(11,674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(24,096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(28,731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(48,640</w:t>
            </w:r>
          </w:p>
        </w:tc>
        <w:tc>
          <w:tcPr>
            <w:tcW w:w="4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(4,338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(21,168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(30,443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(45,725</w:t>
            </w:r>
          </w:p>
        </w:tc>
        <w:tc>
          <w:tcPr>
            <w:tcW w:w="4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net of tax*</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26,318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26,453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24,070</w:t>
            </w:r>
          </w:p>
        </w:tc>
        <w:tc>
          <w:tcPr>
            <w:tcW w:w="493" w:type="dxa"/>
            <w:tcBorders/>
            <w:vAlign w:val="center"/>
          </w:tcPr>
          <w:p>
            <w:pPr>
              <w:pStyle w:val="TableContents"/>
              <w:bidi w:val="0"/>
              <w:spacing w:before="0" w:after="0"/>
              <w:ind w:left="0" w:right="0" w:hanging="0"/>
              <w:jc w:val="left"/>
              <w:rPr/>
            </w:pPr>
            <w:r>
              <w:rPr/>
              <w:t> </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(3,990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(21,655</w:t>
            </w:r>
          </w:p>
        </w:tc>
        <w:tc>
          <w:tcPr>
            <w:tcW w:w="4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attributable to Viasat, Inc.*</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16,968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(6,613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(29,180</w:t>
            </w:r>
          </w:p>
        </w:tc>
        <w:tc>
          <w:tcPr>
            <w:tcW w:w="4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per share attributable</w:t>
              <w:br/>
              <w:t>   to Viasat, Inc. common stockholders - basic:</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3" w:type="dxa"/>
            <w:tcBorders/>
            <w:vAlign w:val="center"/>
          </w:tcPr>
          <w:p>
            <w:pPr>
              <w:pStyle w:val="TableContents"/>
              <w:bidi w:val="0"/>
              <w:spacing w:before="0" w:after="0"/>
              <w:ind w:left="0" w:right="0" w:firstLine="280"/>
              <w:jc w:val="right"/>
              <w:rPr/>
            </w:pPr>
            <w:r>
              <w:rPr/>
              <w:t> </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(0.71</w:t>
            </w:r>
          </w:p>
        </w:tc>
        <w:tc>
          <w:tcPr>
            <w:tcW w:w="49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Discontinued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0.32</w:t>
            </w:r>
          </w:p>
        </w:tc>
        <w:tc>
          <w:tcPr>
            <w:tcW w:w="493"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(0.39</w:t>
            </w:r>
          </w:p>
        </w:tc>
        <w:tc>
          <w:tcPr>
            <w:tcW w:w="4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per share attributable</w:t>
              <w:br/>
              <w:t>   to Viasat, Inc. common stockholders - diluted:</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4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firstLine="280"/>
              <w:jc w:val="left"/>
              <w:rPr/>
            </w:pPr>
            <w:r>
              <w:rPr/>
              <w:t> </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(0.71</w:t>
            </w:r>
          </w:p>
        </w:tc>
        <w:tc>
          <w:tcPr>
            <w:tcW w:w="49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Discontinued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0.32</w:t>
            </w:r>
          </w:p>
        </w:tc>
        <w:tc>
          <w:tcPr>
            <w:tcW w:w="493"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4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(0.39</w:t>
            </w:r>
          </w:p>
        </w:tc>
        <w:tc>
          <w:tcPr>
            <w:tcW w:w="4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 Certain prior period quarterly amounts have been adjusted by an insignificant amount from the amounts previously reported in our Quarterly Report on Form 10-Q for the quarter ended September 30, 2022, due to the determination that certain contracts could not be novated in connection with the closing of the Link-16 TDL Sale.</w:t>
      </w:r>
    </w:p>
    <w:p>
      <w:pPr>
        <w:pStyle w:val="TextBody"/>
        <w:bidi w:val="0"/>
        <w:spacing w:before="180" w:after="0"/>
        <w:jc w:val="left"/>
        <w:rPr>
          <w:rFonts w:ascii="Arial;sans-serif" w:hAnsi="Arial;sans-serif"/>
          <w:b w:val="false"/>
          <w:sz w:val="20"/>
        </w:rPr>
      </w:pPr>
      <w:r>
        <w:rPr>
          <w:rFonts w:ascii="Arial;sans-serif" w:hAnsi="Arial;sans-serif"/>
          <w:b w:val="false"/>
          <w:sz w:val="20"/>
        </w:rPr>
        <w:t>On January 3, 2023, the Company completed the Link-16 TDL Sale, and as a result the fourth quarter of fiscal year 2023 included the impact of the gain of approximately $1.66 billion (net of costs to sell of $40.8 million) within net income (loss) from discontinued operations, net of tax on the consolidated statements of operations and comprehensive income (loss) for fiscal year 2023.</w:t>
      </w:r>
    </w:p>
    <w:p>
      <w:pPr>
        <w:pStyle w:val="TextBody"/>
        <w:bidi w:val="0"/>
        <w:spacing w:before="180" w:after="0"/>
        <w:jc w:val="left"/>
        <w:rPr>
          <w:rFonts w:ascii="Times New Roman" w:hAnsi="Times New Roman"/>
          <w:sz w:val="20"/>
        </w:rPr>
      </w:pPr>
      <w:r>
        <w:rPr>
          <w:rFonts w:ascii="Arial;sans-serif" w:hAnsi="Arial;sans-serif"/>
          <w:b w:val="false"/>
          <w:sz w:val="20"/>
        </w:rPr>
        <w:t>The summarized quarterly data above includes the operating results of RigNet and EBI from the date of acquisition on April 30, 2021. Therefore the first quarter of fiscal year 2022 only includes two months of operating results, whereas the remaining quarters of fiscal year 2022 and all quarters in fiscal year 2023 include a full quarter of operating results.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Basic and diluted net income (loss) per share are computed independently for each of the quarters presented. Therefore, the sum of quarterly basic and diluted per share information may not equal annual basic and diluted net income per share.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68</w:t>
      </w:r>
    </w:p>
    <w:p>
      <w:pPr>
        <w:pStyle w:val="HorizontalLine"/>
        <w:pBdr>
          <w:bottom w:val="double" w:sz="2" w:space="0" w:color="808080"/>
        </w:pBdr>
        <w:bidi w:val="0"/>
        <w:spacing w:before="0" w:after="283"/>
        <w:jc w:val="left"/>
        <w:rPr/>
      </w:pPr>
      <w:r>
        <w:rPr/>
      </w:r>
    </w:p>
    <w:p>
      <w:pPr>
        <w:pStyle w:val="TextBody"/>
        <w:bidi w:val="0"/>
        <w:spacing w:before="270" w:after="0"/>
        <w:jc w:val="left"/>
        <w:rPr>
          <w:rFonts w:ascii="Times New Roman" w:hAnsi="Times New Roman"/>
          <w:sz w:val="20"/>
        </w:rPr>
      </w:pPr>
      <w:bookmarkStart w:id="15" w:name="item_9_changes_in_disagreements_with_acc"/>
      <w:bookmarkEnd w:id="15"/>
      <w:r>
        <w:rPr>
          <w:rFonts w:ascii="Arial;sans-serif" w:hAnsi="Arial;sans-serif"/>
          <w:b/>
          <w:sz w:val="20"/>
        </w:rPr>
        <w:t>ITEM 9.</w:t>
      </w:r>
      <w:r>
        <w:rPr>
          <w:rFonts w:ascii="Times New Roman" w:hAnsi="Times New Roman"/>
          <w:sz w:val="20"/>
        </w:rPr>
        <w:t xml:space="preserve"> </w:t>
      </w:r>
      <w:r>
        <w:rPr>
          <w:rFonts w:ascii="Arial;sans-serif" w:hAnsi="Arial;sans-serif"/>
          <w:b/>
          <w:i/>
          <w:sz w:val="20"/>
        </w:rPr>
        <w:t>CHANGES IN AND DISAGREEMENTS WITH ACCOUNTANTS ON ACCOUNTING AND FINANCIAL DISCLOSURE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None.</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16" w:name="item_9a_controls_procedures"/>
      <w:bookmarkEnd w:id="16"/>
      <w:r>
        <w:rPr>
          <w:rFonts w:ascii="Arial;sans-serif" w:hAnsi="Arial;sans-serif"/>
          <w:b/>
          <w:sz w:val="20"/>
        </w:rPr>
        <w:t>ITEM 9A.</w:t>
      </w:r>
      <w:r>
        <w:rPr>
          <w:rFonts w:ascii="Times New Roman" w:hAnsi="Times New Roman"/>
          <w:sz w:val="20"/>
        </w:rPr>
        <w:t xml:space="preserve"> </w:t>
      </w:r>
      <w:r>
        <w:rPr>
          <w:rFonts w:ascii="Arial;sans-serif" w:hAnsi="Arial;sans-serif"/>
          <w:b/>
          <w:i/>
          <w:sz w:val="20"/>
        </w:rPr>
        <w:t>CONTROLS</w:t>
      </w:r>
      <w:r>
        <w:rPr>
          <w:rFonts w:ascii="Times New Roman" w:hAnsi="Times New Roman"/>
          <w:sz w:val="20"/>
        </w:rPr>
        <w:t xml:space="preserve"> </w:t>
      </w:r>
      <w:r>
        <w:rPr>
          <w:rFonts w:ascii="Arial;sans-serif" w:hAnsi="Arial;sans-serif"/>
          <w:b/>
          <w:i/>
          <w:sz w:val="20"/>
        </w:rPr>
        <w:t>AND PROCEDURES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sz w:val="20"/>
        </w:rPr>
        <w:t>Evaluation of Disclosure Controls and Procedures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As required by SEC Rule 13a-15(b), we carried out an evaluation, with the participation of our management, including our Chief Executive Officer and Chief Financial Officer, of the effectiveness of our disclosure controls and procedures as of March 31, 2023, the end of the period covered by this report. Based upon the foregoing, our Chief Executive Officer and Chief Financial Officer concluded that our disclosure controls and procedures were effective at a reasonable assurance level as of March 31, 2023.</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Management’s Report on Internal Control Over Financial Reporting</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sans-serif" w:hAnsi="Arial;sans-serif"/>
          <w:b w:val="false"/>
          <w:i/>
          <w:sz w:val="20"/>
        </w:rPr>
        <w:t>Internal Control — Integrated Framework (2013)</w:t>
      </w:r>
      <w:r>
        <w:rPr>
          <w:rFonts w:ascii="Times New Roman" w:hAnsi="Times New Roman"/>
          <w:sz w:val="20"/>
        </w:rPr>
        <w:t xml:space="preserve"> </w:t>
      </w:r>
      <w:r>
        <w:rPr>
          <w:rFonts w:ascii="Arial;sans-serif" w:hAnsi="Arial;sans-serif"/>
          <w:b w:val="false"/>
          <w:sz w:val="20"/>
        </w:rPr>
        <w:t>issued by the Committee of Sponsoring Organizations of the Treadway Commission. Based on this evaluation, the company’s management concluded that its internal control over financial reporting was effective as of March 31, 2023.</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180" w:after="0"/>
        <w:jc w:val="left"/>
        <w:rPr>
          <w:rFonts w:ascii="Times New Roman" w:hAnsi="Times New Roman"/>
          <w:sz w:val="20"/>
        </w:rPr>
      </w:pPr>
      <w:r>
        <w:rPr>
          <w:rFonts w:ascii="Arial;sans-serif" w:hAnsi="Arial;sans-serif"/>
          <w:b w:val="false"/>
          <w:sz w:val="20"/>
        </w:rPr>
        <w:t>The company’s independent registered public accounting firm has audited the effectiveness of the company’s internal control over financial reporting as of March 31, 2023, as stated in their report which appears on page F-1.</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Changes in Internal Control Over Financial Reporting</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2023, there were no changes in our internal control over financial reporting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17" w:name="item_9b_or_information"/>
      <w:bookmarkEnd w:id="17"/>
      <w:r>
        <w:rPr>
          <w:rFonts w:ascii="Arial;sans-serif" w:hAnsi="Arial;sans-serif"/>
          <w:b/>
          <w:sz w:val="20"/>
        </w:rPr>
        <w:t>ITEM 9B.</w:t>
      </w:r>
      <w:r>
        <w:rPr>
          <w:rFonts w:ascii="Times New Roman" w:hAnsi="Times New Roman"/>
          <w:sz w:val="20"/>
        </w:rPr>
        <w:t xml:space="preserve"> </w:t>
      </w:r>
      <w:r>
        <w:rPr>
          <w:rFonts w:ascii="Arial;sans-serif" w:hAnsi="Arial;sans-serif"/>
          <w:b/>
          <w:i/>
          <w:sz w:val="20"/>
        </w:rPr>
        <w:t>OTHER</w:t>
      </w:r>
      <w:r>
        <w:rPr>
          <w:rFonts w:ascii="Times New Roman" w:hAnsi="Times New Roman"/>
          <w:sz w:val="20"/>
        </w:rPr>
        <w:t xml:space="preserve"> </w:t>
      </w:r>
      <w:r>
        <w:rPr>
          <w:rFonts w:ascii="Arial;sans-serif" w:hAnsi="Arial;sans-serif"/>
          <w:b/>
          <w:i/>
          <w:sz w:val="20"/>
        </w:rPr>
        <w:t>INFORMATION</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None.</w:t>
      </w:r>
    </w:p>
    <w:p>
      <w:pPr>
        <w:pStyle w:val="TextBody"/>
        <w:bidi w:val="0"/>
        <w:spacing w:before="270" w:after="0"/>
        <w:jc w:val="left"/>
        <w:rPr>
          <w:rFonts w:ascii="Times New Roman" w:hAnsi="Times New Roman"/>
          <w:sz w:val="20"/>
        </w:rPr>
      </w:pPr>
      <w:bookmarkStart w:id="18" w:name="item_9c_disclosure_regarding_foreign_jur"/>
      <w:bookmarkEnd w:id="18"/>
      <w:r>
        <w:rPr>
          <w:rFonts w:ascii="Arial;sans-serif" w:hAnsi="Arial;sans-serif"/>
          <w:b/>
          <w:sz w:val="20"/>
        </w:rPr>
        <w:t>ITEM 9C.</w:t>
      </w:r>
      <w:r>
        <w:rPr>
          <w:rFonts w:ascii="Times New Roman" w:hAnsi="Times New Roman"/>
          <w:sz w:val="20"/>
        </w:rPr>
        <w:t xml:space="preserve"> </w:t>
      </w:r>
      <w:r>
        <w:rPr>
          <w:rFonts w:ascii="Arial;sans-serif" w:hAnsi="Arial;sans-serif"/>
          <w:b/>
          <w:i/>
          <w:sz w:val="20"/>
        </w:rPr>
        <w:t>DISCLOSURE REGARDING FOREIGN JURISDICTIONS THAT PREVENT INSPECTIONS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Not applicable.</w:t>
      </w:r>
    </w:p>
    <w:p>
      <w:pPr>
        <w:pStyle w:val="TextBody"/>
        <w:bidi w:val="0"/>
        <w:spacing w:before="240" w:after="0"/>
        <w:jc w:val="center"/>
        <w:rPr>
          <w:rFonts w:ascii="Arial;sans-serif" w:hAnsi="Arial;sans-serif"/>
          <w:b w:val="false"/>
          <w:sz w:val="20"/>
        </w:rPr>
      </w:pPr>
      <w:r>
        <w:rPr>
          <w:rFonts w:ascii="Arial;sans-serif" w:hAnsi="Arial;sans-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19" w:name="part_iii"/>
      <w:bookmarkEnd w:id="19"/>
      <w:r>
        <w:rPr>
          <w:rFonts w:ascii="Arial;sans-serif" w:hAnsi="Arial;sans-serif"/>
          <w:b/>
          <w:sz w:val="20"/>
        </w:rPr>
        <w:t>PART III</w:t>
      </w:r>
      <w:r>
        <w:rPr>
          <w:rFonts w:ascii="Times New Roman" w:hAnsi="Times New Roman"/>
          <w:sz w:val="20"/>
        </w:rPr>
        <w:t xml:space="preserve"> </w:t>
      </w:r>
    </w:p>
    <w:p>
      <w:pPr>
        <w:pStyle w:val="TextBody"/>
        <w:bidi w:val="0"/>
        <w:spacing w:before="180" w:after="0"/>
        <w:jc w:val="left"/>
        <w:rPr>
          <w:rFonts w:ascii="Times New Roman" w:hAnsi="Times New Roman"/>
          <w:sz w:val="20"/>
        </w:rPr>
      </w:pPr>
      <w:bookmarkStart w:id="20" w:name="item_10_directors_executive_ficers_corpo"/>
      <w:bookmarkEnd w:id="20"/>
      <w:r>
        <w:rPr>
          <w:rFonts w:ascii="Arial;sans-serif" w:hAnsi="Arial;sans-serif"/>
          <w:b/>
          <w:sz w:val="20"/>
        </w:rPr>
        <w:t>ITEM 10.</w:t>
      </w:r>
      <w:r>
        <w:rPr>
          <w:rFonts w:ascii="Times New Roman" w:hAnsi="Times New Roman"/>
          <w:sz w:val="20"/>
        </w:rPr>
        <w:t xml:space="preserve"> </w:t>
      </w:r>
      <w:r>
        <w:rPr>
          <w:rFonts w:ascii="Arial;sans-serif" w:hAnsi="Arial;sans-serif"/>
          <w:b/>
          <w:i/>
          <w:sz w:val="20"/>
        </w:rPr>
        <w:t>DIRECTORS, EXECUTIVE OFFICERS AND CORPORATE GOVERNANCE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information required by this item is included in our definitive Proxy Statement to be filed with the SEC in connection with our 2023 Annual Meeting of Stockholders (the Proxy Statement) under the headings “Corporate Governance Principles and Board Matters,” “Election of Directors” and “Ownership of Securities,” and is incorporated herein by reference.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information required by this item relating to our executive officers is included under the caption “Executive Officers” in Part I of this Form 10-K and is incorporated herein by reference into this section.</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sans-serif" w:hAnsi="Arial;sans-serif"/>
          <w:b w:val="false"/>
          <w:i/>
          <w:sz w:val="20"/>
        </w:rPr>
        <w:t>www.viasat.com</w:t>
      </w:r>
      <w:r>
        <w:rPr>
          <w:rFonts w:ascii="Arial;sans-serif" w:hAnsi="Arial;sans-serif"/>
          <w:b w:val="false"/>
          <w:sz w:val="20"/>
        </w:rPr>
        <w:t>. We intend to disclose future amendments to certain provisions of our code of ethics, or waivers of such provisions granted to executive officers and directors, on our website within four business days following the date of such amendment or waiver.</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21" w:name="item_11_executive_compensation"/>
      <w:bookmarkEnd w:id="21"/>
      <w:r>
        <w:rPr>
          <w:rFonts w:ascii="Arial;sans-serif" w:hAnsi="Arial;sans-serif"/>
          <w:b/>
          <w:sz w:val="20"/>
        </w:rPr>
        <w:t>ITEM 11.</w:t>
      </w:r>
      <w:r>
        <w:rPr>
          <w:rFonts w:ascii="Times New Roman" w:hAnsi="Times New Roman"/>
          <w:sz w:val="20"/>
        </w:rPr>
        <w:t xml:space="preserve"> </w:t>
      </w:r>
      <w:r>
        <w:rPr>
          <w:rFonts w:ascii="Arial;sans-serif" w:hAnsi="Arial;sans-serif"/>
          <w:b/>
          <w:i/>
          <w:sz w:val="20"/>
        </w:rPr>
        <w:t>EXECUTIVE COMPENSATION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information required by this item is included in the Proxy Statement under the heading “Executive Compensation” and is incorporated herein by reference.</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22" w:name="item_12_security_ownership_certain_benef"/>
      <w:bookmarkEnd w:id="22"/>
      <w:r>
        <w:rPr>
          <w:rFonts w:ascii="Arial;sans-serif" w:hAnsi="Arial;sans-serif"/>
          <w:b/>
          <w:sz w:val="20"/>
        </w:rPr>
        <w:t>ITEM 12.</w:t>
      </w:r>
      <w:r>
        <w:rPr>
          <w:rFonts w:ascii="Times New Roman" w:hAnsi="Times New Roman"/>
          <w:sz w:val="20"/>
        </w:rPr>
        <w:t xml:space="preserve"> </w:t>
      </w:r>
      <w:r>
        <w:rPr>
          <w:rFonts w:ascii="Arial;sans-serif" w:hAnsi="Arial;sans-serif"/>
          <w:b/>
          <w:i/>
          <w:sz w:val="20"/>
        </w:rPr>
        <w:t>SECURITY OWNERSHIP OF CERTAIN BENEFICIAL OWNERS AND MANAGEMENT AND RELATED STOCKHOLDER MATTERS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information required by this item is included in the Proxy Statement under the headings “Ownership of Securities” and “Executive Compensation — Equity Compensation Plan Information,” and is incorporated herein by reference.</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23" w:name="item_13_certain_relationships_related_tr"/>
      <w:bookmarkEnd w:id="23"/>
      <w:r>
        <w:rPr>
          <w:rFonts w:ascii="Arial;sans-serif" w:hAnsi="Arial;sans-serif"/>
          <w:b/>
          <w:sz w:val="20"/>
        </w:rPr>
        <w:t>ITEM 13.</w:t>
      </w:r>
      <w:r>
        <w:rPr>
          <w:rFonts w:ascii="Times New Roman" w:hAnsi="Times New Roman"/>
          <w:sz w:val="20"/>
        </w:rPr>
        <w:t xml:space="preserve"> </w:t>
      </w:r>
      <w:r>
        <w:rPr>
          <w:rFonts w:ascii="Arial;sans-serif" w:hAnsi="Arial;sans-serif"/>
          <w:b/>
          <w:i/>
          <w:sz w:val="20"/>
        </w:rPr>
        <w:t>CERTAIN RELATIONSHIPS AND RELATED</w:t>
      </w:r>
      <w:r>
        <w:rPr>
          <w:rFonts w:ascii="Times New Roman" w:hAnsi="Times New Roman"/>
          <w:sz w:val="20"/>
        </w:rPr>
        <w:t xml:space="preserve"> </w:t>
      </w:r>
      <w:r>
        <w:rPr>
          <w:rFonts w:ascii="Arial;sans-serif" w:hAnsi="Arial;sans-serif"/>
          <w:b/>
          <w:i/>
          <w:sz w:val="20"/>
        </w:rPr>
        <w:t>TRANSACTIONS, AND DIRECTOR INDEPENDENCE</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information required by this item is included in the Proxy Statement under the headings “Corporate Governance Principles and Board Matters” and “Certain Relationships and Related Transactions,” and is incorporated herein by reference.</w:t>
      </w:r>
      <w:r>
        <w:rPr>
          <w:rFonts w:ascii="Times New Roman" w:hAnsi="Times New Roman"/>
          <w:sz w:val="20"/>
        </w:rPr>
        <w:t xml:space="preserve"> </w:t>
      </w:r>
    </w:p>
    <w:p>
      <w:pPr>
        <w:pStyle w:val="TextBody"/>
        <w:bidi w:val="0"/>
        <w:spacing w:before="270" w:after="0"/>
        <w:jc w:val="left"/>
        <w:rPr>
          <w:rFonts w:ascii="Times New Roman" w:hAnsi="Times New Roman"/>
          <w:sz w:val="20"/>
        </w:rPr>
      </w:pPr>
      <w:bookmarkStart w:id="24" w:name="item_14_principal_accounting_fees_servic"/>
      <w:bookmarkEnd w:id="24"/>
      <w:r>
        <w:rPr>
          <w:rFonts w:ascii="Arial;sans-serif" w:hAnsi="Arial;sans-serif"/>
          <w:b/>
          <w:sz w:val="20"/>
        </w:rPr>
        <w:t>ITEM 14.</w:t>
      </w:r>
      <w:r>
        <w:rPr>
          <w:rFonts w:ascii="Times New Roman" w:hAnsi="Times New Roman"/>
          <w:sz w:val="20"/>
        </w:rPr>
        <w:t xml:space="preserve"> </w:t>
      </w:r>
      <w:r>
        <w:rPr>
          <w:rFonts w:ascii="Arial;sans-serif" w:hAnsi="Arial;sans-serif"/>
          <w:b/>
          <w:i/>
          <w:sz w:val="20"/>
        </w:rPr>
        <w:t>PRINCIPAL ACCOUNTING FEES AND SERVICES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information required by this item is included in the Proxy Statement under the heading “Ratification of Appointment of Independent Registered Public Accounting Firm” and is incorporated herein by reference.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25" w:name="part_iv"/>
      <w:bookmarkEnd w:id="25"/>
      <w:r>
        <w:rPr>
          <w:rFonts w:ascii="Arial;sans-serif" w:hAnsi="Arial;sans-serif"/>
          <w:b/>
          <w:sz w:val="20"/>
        </w:rPr>
        <w:t>PART</w:t>
      </w:r>
      <w:r>
        <w:rPr>
          <w:rFonts w:ascii="Times New Roman" w:hAnsi="Times New Roman"/>
          <w:sz w:val="20"/>
        </w:rPr>
        <w:t xml:space="preserve"> </w:t>
      </w:r>
      <w:r>
        <w:rPr>
          <w:rFonts w:ascii="Arial;sans-serif" w:hAnsi="Arial;sans-serif"/>
          <w:b/>
          <w:sz w:val="20"/>
        </w:rPr>
        <w:t>IV</w:t>
      </w:r>
      <w:r>
        <w:rPr>
          <w:rFonts w:ascii="Times New Roman" w:hAnsi="Times New Roman"/>
          <w:sz w:val="20"/>
        </w:rPr>
        <w:t xml:space="preserve"> </w:t>
      </w:r>
    </w:p>
    <w:p>
      <w:pPr>
        <w:pStyle w:val="TextBody"/>
        <w:bidi w:val="0"/>
        <w:spacing w:before="180" w:after="0"/>
        <w:jc w:val="left"/>
        <w:rPr>
          <w:rFonts w:ascii="Times New Roman" w:hAnsi="Times New Roman"/>
          <w:sz w:val="20"/>
        </w:rPr>
      </w:pPr>
      <w:bookmarkStart w:id="26" w:name="item_15_exhibits_financial_statement_sch"/>
      <w:bookmarkEnd w:id="26"/>
      <w:r>
        <w:rPr>
          <w:rFonts w:ascii="Arial;sans-serif" w:hAnsi="Arial;sans-serif"/>
          <w:b/>
          <w:sz w:val="20"/>
        </w:rPr>
        <w:t>ITEM 15.</w:t>
      </w:r>
      <w:r>
        <w:rPr>
          <w:rFonts w:ascii="Times New Roman" w:hAnsi="Times New Roman"/>
          <w:sz w:val="20"/>
        </w:rPr>
        <w:t xml:space="preserve"> </w:t>
      </w:r>
      <w:r>
        <w:rPr>
          <w:rFonts w:ascii="Arial;sans-serif" w:hAnsi="Arial;sans-serif"/>
          <w:b/>
          <w:i/>
          <w:sz w:val="20"/>
        </w:rPr>
        <w:t>EXHIBITS, FINANCIAL STATEMENT SCHEDULES</w:t>
      </w:r>
      <w:r>
        <w:rPr>
          <w:rFonts w:ascii="Times New Roman" w:hAnsi="Times New Roman"/>
          <w:sz w:val="20"/>
        </w:rPr>
        <w:t xml:space="preserve"> </w:t>
      </w:r>
    </w:p>
    <w:p>
      <w:pPr>
        <w:pStyle w:val="TextBody"/>
        <w:bidi w:val="0"/>
        <w:spacing w:before="90" w:after="0"/>
        <w:jc w:val="left"/>
        <w:rPr>
          <w:rFonts w:ascii="Arial" w:hAnsi="Arial"/>
          <w:b w:val="false"/>
          <w:sz w:val="20"/>
        </w:rPr>
      </w:pPr>
      <w:r>
        <w:rPr>
          <w:rFonts w:ascii="Arial" w:hAnsi="Arial"/>
          <w:b w:val="false"/>
          <w:sz w:val="20"/>
        </w:rPr>
        <w:t>(a)</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following documents are filed as part of this report: </w:t>
      </w:r>
    </w:p>
    <w:p>
      <w:pPr>
        <w:pStyle w:val="TextBody"/>
        <w:bidi w:val="0"/>
        <w:spacing w:before="90" w:after="0"/>
        <w:jc w:val="left"/>
        <w:rPr>
          <w:rFonts w:ascii="Arial" w:hAnsi="Arial"/>
          <w:b w:val="false"/>
          <w:sz w:val="20"/>
        </w:rPr>
      </w:pPr>
      <w:r>
        <w:rPr>
          <w:rFonts w:ascii="Arial" w:hAnsi="Arial"/>
          <w:b w:val="false"/>
          <w:sz w:val="20"/>
        </w:rPr>
        <w:t>(1)</w:t>
      </w:r>
    </w:p>
    <w:p>
      <w:pPr>
        <w:pStyle w:val="TextBody"/>
        <w:bidi w:val="0"/>
        <w:spacing w:before="90" w:after="283"/>
        <w:jc w:val="left"/>
        <w:rPr>
          <w:rFonts w:ascii="Arial;sans-serif" w:hAnsi="Arial;sans-serif"/>
          <w:b w:val="false"/>
          <w:sz w:val="20"/>
        </w:rPr>
      </w:pPr>
      <w:r>
        <w:rPr>
          <w:rFonts w:ascii="Arial;sans-serif" w:hAnsi="Arial;sans-serif"/>
          <w:b w:val="false"/>
          <w:sz w:val="20"/>
        </w:rPr>
        <w:t>Consolidated Financial Statements</w:t>
      </w:r>
    </w:p>
    <w:tbl>
      <w:tblPr>
        <w:tblW w:w="10205" w:type="dxa"/>
        <w:jc w:val="left"/>
        <w:tblInd w:w="0" w:type="dxa"/>
        <w:tblLayout w:type="fixed"/>
        <w:tblCellMar>
          <w:top w:w="28" w:type="dxa"/>
          <w:left w:w="28" w:type="dxa"/>
          <w:bottom w:w="28" w:type="dxa"/>
          <w:right w:w="28" w:type="dxa"/>
        </w:tblCellMar>
      </w:tblPr>
      <w:tblGrid>
        <w:gridCol w:w="323"/>
        <w:gridCol w:w="8954"/>
        <w:gridCol w:w="146"/>
        <w:gridCol w:w="782"/>
      </w:tblGrid>
      <w:tr>
        <w:trPr/>
        <w:tc>
          <w:tcPr>
            <w:tcW w:w="323" w:type="dxa"/>
            <w:tcBorders/>
            <w:vAlign w:val="center"/>
          </w:tcPr>
          <w:p>
            <w:pPr>
              <w:pStyle w:val="TableContents"/>
              <w:bidi w:val="0"/>
              <w:spacing w:before="0" w:after="283"/>
              <w:jc w:val="left"/>
              <w:rPr>
                <w:sz w:val="4"/>
                <w:szCs w:val="4"/>
              </w:rPr>
            </w:pPr>
            <w:r>
              <w:rPr>
                <w:sz w:val="4"/>
                <w:szCs w:val="4"/>
              </w:rPr>
            </w:r>
          </w:p>
        </w:tc>
        <w:tc>
          <w:tcPr>
            <w:tcW w:w="8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23" w:type="dxa"/>
            <w:tcBorders/>
            <w:vAlign w:val="center"/>
          </w:tcPr>
          <w:p>
            <w:pPr>
              <w:pStyle w:val="TableContents"/>
              <w:bidi w:val="0"/>
              <w:spacing w:before="0" w:after="0"/>
              <w:ind w:left="0" w:right="0" w:hanging="0"/>
              <w:jc w:val="left"/>
              <w:rPr/>
            </w:pPr>
            <w:r>
              <w:rPr/>
              <w:t> </w:t>
            </w:r>
          </w:p>
        </w:tc>
        <w:tc>
          <w:tcPr>
            <w:tcW w:w="89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Arial;sans-serif" w:hAnsi="Arial;sans-serif"/>
                <w:b/>
                <w:sz w:val="16"/>
              </w:rPr>
              <w:t>Page</w:t>
            </w:r>
            <w:r>
              <w:rPr>
                <w:rFonts w:ascii="Arial;sans-serif" w:hAnsi="Arial;sans-serif"/>
                <w:b w:val="false"/>
                <w:sz w:val="16"/>
              </w:rPr>
              <w:br/>
            </w:r>
            <w:r>
              <w:rPr>
                <w:rFonts w:ascii="Arial;sans-serif" w:hAnsi="Arial;sans-serif"/>
                <w:b/>
                <w:sz w:val="16"/>
              </w:rPr>
              <w:t>Number</w:t>
            </w:r>
          </w:p>
        </w:tc>
      </w:tr>
      <w:tr>
        <w:trPr/>
        <w:tc>
          <w:tcPr>
            <w:tcW w:w="323" w:type="dxa"/>
            <w:tcBorders/>
            <w:vAlign w:val="center"/>
          </w:tcPr>
          <w:p>
            <w:pPr>
              <w:pStyle w:val="TableContents"/>
              <w:bidi w:val="0"/>
              <w:spacing w:before="0" w:after="0"/>
              <w:ind w:left="0" w:right="0" w:hanging="0"/>
              <w:jc w:val="left"/>
              <w:rPr/>
            </w:pPr>
            <w:r>
              <w:rPr/>
              <w:t> </w:t>
            </w:r>
          </w:p>
        </w:tc>
        <w:tc>
          <w:tcPr>
            <w:tcW w:w="8954" w:type="dxa"/>
            <w:tcBorders/>
            <w:vAlign w:val="center"/>
          </w:tcPr>
          <w:p>
            <w:pPr>
              <w:pStyle w:val="TableContents"/>
              <w:bidi w:val="0"/>
              <w:spacing w:before="0" w:after="0"/>
              <w:ind w:left="0" w:right="0" w:hanging="0"/>
              <w:jc w:val="left"/>
              <w:rPr/>
            </w:pPr>
            <w:hyperlink w:anchor="report_independent_registered_public_acc">
              <w:r>
                <w:rPr>
                  <w:rStyle w:val="InternetLink"/>
                  <w:rFonts w:ascii="Arial;sans-serif" w:hAnsi="Arial;sans-serif"/>
                  <w:b w:val="false"/>
                  <w:sz w:val="20"/>
                  <w:u w:val="single"/>
                </w:rPr>
                <w:t>Report of Independent Registered Public Accounting Firm</w:t>
              </w:r>
            </w:hyperlink>
          </w:p>
        </w:tc>
        <w:tc>
          <w:tcPr>
            <w:tcW w:w="146" w:type="dxa"/>
            <w:tcBorders/>
            <w:vAlign w:val="center"/>
          </w:tcPr>
          <w:p>
            <w:pPr>
              <w:pStyle w:val="TableContents"/>
              <w:bidi w:val="0"/>
              <w:spacing w:before="0" w:after="15"/>
              <w:ind w:left="0" w:right="0" w:hanging="0"/>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ind w:left="0" w:right="0" w:hanging="0"/>
              <w:jc w:val="right"/>
              <w:rPr>
                <w:rFonts w:ascii="Arial;sans-serif" w:hAnsi="Arial;sans-serif"/>
                <w:b w:val="false"/>
                <w:sz w:val="20"/>
              </w:rPr>
            </w:pPr>
            <w:r>
              <w:rPr>
                <w:rFonts w:ascii="Arial;sans-serif" w:hAnsi="Arial;sans-serif"/>
                <w:b w:val="false"/>
                <w:sz w:val="20"/>
              </w:rPr>
              <w:t>F-1</w:t>
            </w:r>
          </w:p>
        </w:tc>
      </w:tr>
      <w:tr>
        <w:trPr/>
        <w:tc>
          <w:tcPr>
            <w:tcW w:w="323" w:type="dxa"/>
            <w:tcBorders/>
            <w:vAlign w:val="center"/>
          </w:tcPr>
          <w:p>
            <w:pPr>
              <w:pStyle w:val="TableContents"/>
              <w:bidi w:val="0"/>
              <w:spacing w:before="0" w:after="0"/>
              <w:ind w:left="0" w:right="0" w:hanging="0"/>
              <w:jc w:val="left"/>
              <w:rPr/>
            </w:pPr>
            <w:r>
              <w:rPr/>
              <w:t> </w:t>
            </w:r>
          </w:p>
        </w:tc>
        <w:tc>
          <w:tcPr>
            <w:tcW w:w="8954" w:type="dxa"/>
            <w:tcBorders/>
            <w:vAlign w:val="center"/>
          </w:tcPr>
          <w:p>
            <w:pPr>
              <w:pStyle w:val="TableContents"/>
              <w:bidi w:val="0"/>
              <w:spacing w:before="0" w:after="0"/>
              <w:ind w:left="0" w:right="0" w:hanging="0"/>
              <w:jc w:val="left"/>
              <w:rPr/>
            </w:pPr>
            <w:hyperlink w:anchor="consolidated_balance_sheets">
              <w:r>
                <w:rPr>
                  <w:rStyle w:val="InternetLink"/>
                  <w:rFonts w:ascii="Arial;sans-serif" w:hAnsi="Arial;sans-serif"/>
                  <w:b w:val="false"/>
                  <w:sz w:val="20"/>
                  <w:u w:val="single"/>
                </w:rPr>
                <w:t>Consolidated Balance Sheets as of March 31, 2023 and March 31, 2022</w:t>
              </w:r>
            </w:hyperlink>
          </w:p>
        </w:tc>
        <w:tc>
          <w:tcPr>
            <w:tcW w:w="146" w:type="dxa"/>
            <w:tcBorders/>
            <w:vAlign w:val="center"/>
          </w:tcPr>
          <w:p>
            <w:pPr>
              <w:pStyle w:val="TableContents"/>
              <w:bidi w:val="0"/>
              <w:spacing w:before="0" w:after="15"/>
              <w:ind w:left="0" w:right="0" w:hanging="0"/>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ind w:left="0" w:right="0" w:hanging="0"/>
              <w:jc w:val="right"/>
              <w:rPr>
                <w:rFonts w:ascii="Arial;sans-serif" w:hAnsi="Arial;sans-serif"/>
                <w:b w:val="false"/>
                <w:sz w:val="20"/>
              </w:rPr>
            </w:pPr>
            <w:r>
              <w:rPr>
                <w:rFonts w:ascii="Arial;sans-serif" w:hAnsi="Arial;sans-serif"/>
                <w:b w:val="false"/>
                <w:sz w:val="20"/>
              </w:rPr>
              <w:t>F-3</w:t>
            </w:r>
          </w:p>
        </w:tc>
      </w:tr>
      <w:tr>
        <w:trPr/>
        <w:tc>
          <w:tcPr>
            <w:tcW w:w="323" w:type="dxa"/>
            <w:tcBorders/>
            <w:vAlign w:val="center"/>
          </w:tcPr>
          <w:p>
            <w:pPr>
              <w:pStyle w:val="TableContents"/>
              <w:bidi w:val="0"/>
              <w:spacing w:before="0" w:after="0"/>
              <w:ind w:left="0" w:right="0" w:hanging="0"/>
              <w:jc w:val="left"/>
              <w:rPr/>
            </w:pPr>
            <w:r>
              <w:rPr/>
              <w:t> </w:t>
            </w:r>
          </w:p>
        </w:tc>
        <w:tc>
          <w:tcPr>
            <w:tcW w:w="8954" w:type="dxa"/>
            <w:tcBorders/>
            <w:vAlign w:val="center"/>
          </w:tcPr>
          <w:p>
            <w:pPr>
              <w:pStyle w:val="TableContents"/>
              <w:bidi w:val="0"/>
              <w:spacing w:before="0" w:after="0"/>
              <w:ind w:left="0" w:right="0" w:hanging="0"/>
              <w:jc w:val="left"/>
              <w:rPr/>
            </w:pPr>
            <w:hyperlink w:anchor="consolidated_statements_operations_compr">
              <w:r>
                <w:rPr>
                  <w:rStyle w:val="InternetLink"/>
                  <w:rFonts w:ascii="Arial;sans-serif" w:hAnsi="Arial;sans-serif"/>
                  <w:b w:val="false"/>
                  <w:sz w:val="20"/>
                  <w:u w:val="single"/>
                </w:rPr>
                <w:t>Consolidated Statements of Operations and Comprehensive Income (Loss) for the fiscal years ended March 31, 2023, March 31, 2022 and March 31, 2021</w:t>
              </w:r>
            </w:hyperlink>
          </w:p>
        </w:tc>
        <w:tc>
          <w:tcPr>
            <w:tcW w:w="146" w:type="dxa"/>
            <w:tcBorders/>
            <w:vAlign w:val="center"/>
          </w:tcPr>
          <w:p>
            <w:pPr>
              <w:pStyle w:val="TableContents"/>
              <w:bidi w:val="0"/>
              <w:spacing w:before="0" w:after="15"/>
              <w:ind w:left="0" w:right="0" w:hanging="0"/>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ind w:left="0" w:right="0" w:hanging="0"/>
              <w:jc w:val="right"/>
              <w:rPr>
                <w:rFonts w:ascii="Arial;sans-serif" w:hAnsi="Arial;sans-serif"/>
                <w:b w:val="false"/>
                <w:sz w:val="20"/>
              </w:rPr>
            </w:pPr>
            <w:r>
              <w:rPr>
                <w:rFonts w:ascii="Arial;sans-serif" w:hAnsi="Arial;sans-serif"/>
                <w:b w:val="false"/>
                <w:sz w:val="20"/>
              </w:rPr>
              <w:t>F-4</w:t>
            </w:r>
          </w:p>
        </w:tc>
      </w:tr>
      <w:tr>
        <w:trPr/>
        <w:tc>
          <w:tcPr>
            <w:tcW w:w="323" w:type="dxa"/>
            <w:tcBorders/>
            <w:vAlign w:val="center"/>
          </w:tcPr>
          <w:p>
            <w:pPr>
              <w:pStyle w:val="TableContents"/>
              <w:bidi w:val="0"/>
              <w:spacing w:before="0" w:after="0"/>
              <w:ind w:left="0" w:right="0" w:hanging="0"/>
              <w:jc w:val="left"/>
              <w:rPr/>
            </w:pPr>
            <w:r>
              <w:rPr/>
              <w:t> </w:t>
            </w:r>
          </w:p>
        </w:tc>
        <w:tc>
          <w:tcPr>
            <w:tcW w:w="8954" w:type="dxa"/>
            <w:tcBorders/>
            <w:vAlign w:val="center"/>
          </w:tcPr>
          <w:p>
            <w:pPr>
              <w:pStyle w:val="TableContents"/>
              <w:bidi w:val="0"/>
              <w:spacing w:before="0" w:after="0"/>
              <w:ind w:left="0" w:right="0" w:hanging="0"/>
              <w:jc w:val="left"/>
              <w:rPr/>
            </w:pPr>
            <w:hyperlink w:anchor="consolidated_statements_cash_flows">
              <w:r>
                <w:rPr>
                  <w:rStyle w:val="InternetLink"/>
                  <w:rFonts w:ascii="Arial;sans-serif" w:hAnsi="Arial;sans-serif"/>
                  <w:b w:val="false"/>
                  <w:sz w:val="20"/>
                  <w:u w:val="single"/>
                </w:rPr>
                <w:t>Consolidated Statements of Cash Flows for the fiscal years ended March 31, 2023, March 31, 2022 and March 31, 2021</w:t>
              </w:r>
            </w:hyperlink>
          </w:p>
        </w:tc>
        <w:tc>
          <w:tcPr>
            <w:tcW w:w="146" w:type="dxa"/>
            <w:tcBorders/>
            <w:vAlign w:val="center"/>
          </w:tcPr>
          <w:p>
            <w:pPr>
              <w:pStyle w:val="TableContents"/>
              <w:bidi w:val="0"/>
              <w:spacing w:before="0" w:after="15"/>
              <w:ind w:left="0" w:right="0" w:hanging="0"/>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ind w:left="0" w:right="0" w:hanging="0"/>
              <w:jc w:val="right"/>
              <w:rPr>
                <w:rFonts w:ascii="Arial;sans-serif" w:hAnsi="Arial;sans-serif"/>
                <w:b w:val="false"/>
                <w:sz w:val="20"/>
              </w:rPr>
            </w:pPr>
            <w:r>
              <w:rPr>
                <w:rFonts w:ascii="Arial;sans-serif" w:hAnsi="Arial;sans-serif"/>
                <w:b w:val="false"/>
                <w:sz w:val="20"/>
              </w:rPr>
              <w:t>F-5</w:t>
            </w:r>
          </w:p>
        </w:tc>
      </w:tr>
      <w:tr>
        <w:trPr/>
        <w:tc>
          <w:tcPr>
            <w:tcW w:w="323" w:type="dxa"/>
            <w:tcBorders/>
            <w:vAlign w:val="center"/>
          </w:tcPr>
          <w:p>
            <w:pPr>
              <w:pStyle w:val="TableContents"/>
              <w:bidi w:val="0"/>
              <w:spacing w:before="0" w:after="0"/>
              <w:ind w:left="0" w:right="0" w:hanging="0"/>
              <w:jc w:val="left"/>
              <w:rPr/>
            </w:pPr>
            <w:r>
              <w:rPr/>
              <w:t> </w:t>
            </w:r>
          </w:p>
        </w:tc>
        <w:tc>
          <w:tcPr>
            <w:tcW w:w="8954" w:type="dxa"/>
            <w:tcBorders/>
            <w:vAlign w:val="center"/>
          </w:tcPr>
          <w:p>
            <w:pPr>
              <w:pStyle w:val="TableContents"/>
              <w:bidi w:val="0"/>
              <w:spacing w:before="0" w:after="0"/>
              <w:ind w:left="0" w:right="0" w:hanging="0"/>
              <w:jc w:val="left"/>
              <w:rPr/>
            </w:pPr>
            <w:hyperlink w:anchor="consolidated_statements_equity">
              <w:r>
                <w:rPr>
                  <w:rStyle w:val="InternetLink"/>
                  <w:rFonts w:ascii="Arial;sans-serif" w:hAnsi="Arial;sans-serif"/>
                  <w:b w:val="false"/>
                  <w:sz w:val="20"/>
                  <w:u w:val="single"/>
                </w:rPr>
                <w:t>Consolidated Statements of Equity for the fiscal years ended March 31, 2023, March 31, 2022 and March 31, 2021</w:t>
              </w:r>
            </w:hyperlink>
          </w:p>
        </w:tc>
        <w:tc>
          <w:tcPr>
            <w:tcW w:w="146" w:type="dxa"/>
            <w:tcBorders/>
            <w:vAlign w:val="center"/>
          </w:tcPr>
          <w:p>
            <w:pPr>
              <w:pStyle w:val="TableContents"/>
              <w:bidi w:val="0"/>
              <w:spacing w:before="0" w:after="15"/>
              <w:ind w:left="0" w:right="0" w:hanging="0"/>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ind w:left="0" w:right="0" w:hanging="0"/>
              <w:jc w:val="right"/>
              <w:rPr>
                <w:rFonts w:ascii="Arial;sans-serif" w:hAnsi="Arial;sans-serif"/>
                <w:b w:val="false"/>
                <w:sz w:val="20"/>
              </w:rPr>
            </w:pPr>
            <w:r>
              <w:rPr>
                <w:rFonts w:ascii="Arial;sans-serif" w:hAnsi="Arial;sans-serif"/>
                <w:b w:val="false"/>
                <w:sz w:val="20"/>
              </w:rPr>
              <w:t>F-6</w:t>
            </w:r>
          </w:p>
        </w:tc>
      </w:tr>
      <w:tr>
        <w:trPr/>
        <w:tc>
          <w:tcPr>
            <w:tcW w:w="323" w:type="dxa"/>
            <w:tcBorders/>
            <w:vAlign w:val="center"/>
          </w:tcPr>
          <w:p>
            <w:pPr>
              <w:pStyle w:val="TableContents"/>
              <w:bidi w:val="0"/>
              <w:spacing w:before="0" w:after="0"/>
              <w:ind w:left="0" w:right="0" w:hanging="0"/>
              <w:jc w:val="left"/>
              <w:rPr/>
            </w:pPr>
            <w:r>
              <w:rPr/>
              <w:t> </w:t>
            </w:r>
          </w:p>
        </w:tc>
        <w:tc>
          <w:tcPr>
            <w:tcW w:w="8954" w:type="dxa"/>
            <w:tcBorders/>
            <w:vAlign w:val="center"/>
          </w:tcPr>
          <w:p>
            <w:pPr>
              <w:pStyle w:val="TableContents"/>
              <w:bidi w:val="0"/>
              <w:spacing w:before="0" w:after="0"/>
              <w:ind w:left="0" w:right="0" w:hanging="0"/>
              <w:jc w:val="left"/>
              <w:rPr/>
            </w:pPr>
            <w:hyperlink w:anchor="notes_to_consolidated_financial_statemen">
              <w:r>
                <w:rPr>
                  <w:rStyle w:val="InternetLink"/>
                  <w:rFonts w:ascii="Arial;sans-serif" w:hAnsi="Arial;sans-serif"/>
                  <w:b w:val="false"/>
                  <w:sz w:val="20"/>
                  <w:u w:val="single"/>
                </w:rPr>
                <w:t>Notes to the Consolidated Financial Statements</w:t>
              </w:r>
            </w:hyperlink>
          </w:p>
        </w:tc>
        <w:tc>
          <w:tcPr>
            <w:tcW w:w="146" w:type="dxa"/>
            <w:tcBorders/>
            <w:vAlign w:val="center"/>
          </w:tcPr>
          <w:p>
            <w:pPr>
              <w:pStyle w:val="TableContents"/>
              <w:bidi w:val="0"/>
              <w:spacing w:before="0" w:after="15"/>
              <w:ind w:left="0" w:right="0" w:hanging="0"/>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ind w:left="0" w:right="0" w:hanging="0"/>
              <w:jc w:val="right"/>
              <w:rPr>
                <w:rFonts w:ascii="Arial;sans-serif" w:hAnsi="Arial;sans-serif"/>
                <w:b w:val="false"/>
                <w:sz w:val="20"/>
              </w:rPr>
            </w:pPr>
            <w:r>
              <w:rPr>
                <w:rFonts w:ascii="Arial;sans-serif" w:hAnsi="Arial;sans-serif"/>
                <w:b w:val="false"/>
                <w:sz w:val="20"/>
              </w:rPr>
              <w:t>F-7</w:t>
            </w:r>
          </w:p>
        </w:tc>
      </w:tr>
      <w:tr>
        <w:trPr/>
        <w:tc>
          <w:tcPr>
            <w:tcW w:w="32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w:t>
            </w:r>
          </w:p>
        </w:tc>
        <w:tc>
          <w:tcPr>
            <w:tcW w:w="8954" w:type="dxa"/>
            <w:tcBorders/>
            <w:vAlign w:val="center"/>
          </w:tcPr>
          <w:p>
            <w:pPr>
              <w:pStyle w:val="TableContents"/>
              <w:bidi w:val="0"/>
              <w:spacing w:before="0" w:after="0"/>
              <w:ind w:left="0" w:right="0" w:hanging="0"/>
              <w:jc w:val="left"/>
              <w:rPr/>
            </w:pPr>
            <w:hyperlink w:anchor="schedule_ii">
              <w:r>
                <w:rPr>
                  <w:rStyle w:val="InternetLink"/>
                  <w:rFonts w:ascii="Arial;sans-serif" w:hAnsi="Arial;sans-serif"/>
                  <w:b w:val="false"/>
                  <w:sz w:val="20"/>
                  <w:u w:val="single"/>
                </w:rPr>
                <w:t>Schedule II — Valuation and Qualifying Accounts for the three fiscal years ended March 31, 202</w:t>
              </w:r>
            </w:hyperlink>
            <w:r>
              <w:rPr>
                <w:rFonts w:ascii="Arial;sans-serif" w:hAnsi="Arial;sans-serif"/>
                <w:b w:val="false"/>
                <w:sz w:val="20"/>
                <w:u w:val="single"/>
              </w:rPr>
              <w:t>3</w:t>
            </w:r>
            <w:r>
              <w:rPr>
                <w:rFonts w:ascii="Times New Roman" w:hAnsi="Times New Roman"/>
                <w:sz w:val="20"/>
              </w:rPr>
              <w:t xml:space="preserve"> </w:t>
            </w:r>
          </w:p>
        </w:tc>
        <w:tc>
          <w:tcPr>
            <w:tcW w:w="146" w:type="dxa"/>
            <w:tcBorders/>
            <w:vAlign w:val="center"/>
          </w:tcPr>
          <w:p>
            <w:pPr>
              <w:pStyle w:val="TableContents"/>
              <w:bidi w:val="0"/>
              <w:spacing w:before="0" w:after="15"/>
              <w:ind w:left="0" w:right="0" w:hanging="0"/>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ind w:left="0" w:right="0" w:hanging="0"/>
              <w:jc w:val="right"/>
              <w:rPr>
                <w:rFonts w:ascii="Arial;sans-serif" w:hAnsi="Arial;sans-serif"/>
                <w:b w:val="false"/>
                <w:sz w:val="20"/>
              </w:rPr>
            </w:pPr>
            <w:r>
              <w:rPr>
                <w:rFonts w:ascii="Arial;sans-serif" w:hAnsi="Arial;sans-serif"/>
                <w:b w:val="false"/>
                <w:sz w:val="20"/>
              </w:rPr>
              <w:t>II-1</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All other schedules are omitted because they are not applicable or the required information is shown in the financial statements or notes thereto.</w:t>
      </w:r>
    </w:p>
    <w:p>
      <w:pPr>
        <w:pStyle w:val="TextBody"/>
        <w:bidi w:val="0"/>
        <w:spacing w:before="90" w:after="0"/>
        <w:jc w:val="left"/>
        <w:rPr>
          <w:rFonts w:ascii="Arial" w:hAnsi="Arial"/>
          <w:b w:val="false"/>
          <w:sz w:val="20"/>
        </w:rPr>
      </w:pPr>
      <w:r>
        <w:rPr>
          <w:rFonts w:ascii="Arial" w:hAnsi="Arial"/>
          <w:b w:val="false"/>
          <w:sz w:val="20"/>
        </w:rPr>
        <w:t>(3)</w:t>
      </w:r>
    </w:p>
    <w:p>
      <w:pPr>
        <w:pStyle w:val="TextBody"/>
        <w:bidi w:val="0"/>
        <w:spacing w:before="90" w:after="283"/>
        <w:jc w:val="left"/>
        <w:rPr>
          <w:rFonts w:ascii="Arial;sans-serif" w:hAnsi="Arial;sans-serif"/>
          <w:b w:val="false"/>
          <w:sz w:val="20"/>
        </w:rPr>
      </w:pPr>
      <w:r>
        <w:rPr>
          <w:rFonts w:ascii="Arial;sans-serif" w:hAnsi="Arial;sans-serif"/>
          <w:b w:val="false"/>
          <w:sz w:val="20"/>
        </w:rPr>
        <w:t>Exhibits</w:t>
      </w:r>
    </w:p>
    <w:tbl>
      <w:tblPr>
        <w:tblW w:w="10205" w:type="dxa"/>
        <w:jc w:val="left"/>
        <w:tblInd w:w="0" w:type="dxa"/>
        <w:tblLayout w:type="fixed"/>
        <w:tblCellMar>
          <w:top w:w="28" w:type="dxa"/>
          <w:left w:w="28" w:type="dxa"/>
          <w:bottom w:w="28" w:type="dxa"/>
          <w:right w:w="28" w:type="dxa"/>
        </w:tblCellMar>
      </w:tblPr>
      <w:tblGrid>
        <w:gridCol w:w="656"/>
        <w:gridCol w:w="5121"/>
        <w:gridCol w:w="1017"/>
        <w:gridCol w:w="764"/>
        <w:gridCol w:w="457"/>
        <w:gridCol w:w="727"/>
        <w:gridCol w:w="676"/>
        <w:gridCol w:w="594"/>
        <w:gridCol w:w="193"/>
      </w:tblGrid>
      <w:tr>
        <w:trPr/>
        <w:tc>
          <w:tcPr>
            <w:tcW w:w="656" w:type="dxa"/>
            <w:tcBorders/>
            <w:vAlign w:val="center"/>
          </w:tcPr>
          <w:p>
            <w:pPr>
              <w:pStyle w:val="TableContents"/>
              <w:bidi w:val="0"/>
              <w:spacing w:before="0" w:after="283"/>
              <w:jc w:val="left"/>
              <w:rPr>
                <w:sz w:val="4"/>
                <w:szCs w:val="4"/>
              </w:rPr>
            </w:pPr>
            <w:r>
              <w:rPr>
                <w:sz w:val="4"/>
                <w:szCs w:val="4"/>
              </w:rPr>
            </w:r>
          </w:p>
        </w:tc>
        <w:tc>
          <w:tcPr>
            <w:tcW w:w="512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4"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656" w:type="dxa"/>
            <w:vMerge w:val="restart"/>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3"/>
              </w:rPr>
            </w:pPr>
            <w:r>
              <w:rPr>
                <w:rFonts w:ascii="Arial;sans-serif" w:hAnsi="Arial;sans-serif"/>
                <w:b/>
                <w:sz w:val="13"/>
              </w:rPr>
              <w:t>Exhibit</w:t>
            </w:r>
          </w:p>
          <w:p>
            <w:pPr>
              <w:pStyle w:val="TableContents"/>
              <w:bidi w:val="0"/>
              <w:spacing w:before="0" w:after="0"/>
              <w:ind w:left="0" w:right="0" w:hanging="0"/>
              <w:jc w:val="center"/>
              <w:rPr>
                <w:rFonts w:ascii="Arial;sans-serif" w:hAnsi="Arial;sans-serif"/>
                <w:b/>
                <w:sz w:val="13"/>
              </w:rPr>
            </w:pPr>
            <w:r>
              <w:rPr>
                <w:rFonts w:ascii="Arial;sans-serif" w:hAnsi="Arial;sans-serif"/>
                <w:b/>
                <w:sz w:val="13"/>
              </w:rPr>
              <w:t>Number</w:t>
            </w:r>
          </w:p>
        </w:tc>
        <w:tc>
          <w:tcPr>
            <w:tcW w:w="5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965" w:type="dxa"/>
            <w:gridSpan w:val="4"/>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3"/>
              </w:rPr>
            </w:pPr>
            <w:r>
              <w:rPr>
                <w:rFonts w:ascii="Arial;sans-serif" w:hAnsi="Arial;sans-serif"/>
                <w:b/>
                <w:sz w:val="13"/>
              </w:rPr>
              <w:t>Incorporated by Reference</w:t>
            </w:r>
            <w:r>
              <w:rPr>
                <w:rFonts w:ascii="Times New Roman" w:hAnsi="Times New Roman"/>
                <w:sz w:val="13"/>
              </w:rPr>
              <w:t xml:space="preserve"> </w:t>
            </w:r>
          </w:p>
        </w:tc>
        <w:tc>
          <w:tcPr>
            <w:tcW w:w="676" w:type="dxa"/>
            <w:vMerge w:val="restart"/>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Arial;sans-serif" w:hAnsi="Arial;sans-serif"/>
                <w:b/>
                <w:sz w:val="12"/>
              </w:rPr>
              <w:t>Filed or</w:t>
              <w:br/>
              <w:t>Furnished</w:t>
              <w:br/>
              <w:t>Herewith</w:t>
            </w:r>
            <w:r>
              <w:rPr>
                <w:rFonts w:ascii="Times New Roman" w:hAnsi="Times New Roman"/>
                <w:sz w:val="12"/>
              </w:rPr>
              <w:t xml:space="preserve"> </w:t>
            </w:r>
          </w:p>
        </w:tc>
        <w:tc>
          <w:tcPr>
            <w:tcW w:w="594"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656" w:type="dxa"/>
            <w:vMerge w:val="continue"/>
            <w:tcBorders/>
            <w:tcMar>
              <w:top w:w="0" w:type="dxa"/>
              <w:left w:w="0" w:type="dxa"/>
              <w:bottom w:w="0" w:type="dxa"/>
              <w:right w:w="0" w:type="dxa"/>
            </w:tcMar>
            <w:vAlign w:val="center"/>
          </w:tcPr>
          <w:p>
            <w:pPr>
              <w:pStyle w:val="Normal"/>
              <w:bidi w:val="0"/>
              <w:jc w:val="left"/>
              <w:rPr/>
            </w:pPr>
            <w:r>
              <w:rPr/>
            </w:r>
          </w:p>
        </w:tc>
        <w:tc>
          <w:tcPr>
            <w:tcW w:w="51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3"/>
              </w:rPr>
            </w:pPr>
            <w:r>
              <w:rPr>
                <w:rFonts w:ascii="Arial;sans-serif" w:hAnsi="Arial;sans-serif"/>
                <w:b/>
                <w:sz w:val="13"/>
              </w:rPr>
              <w:t>Exhibit Description</w:t>
            </w:r>
          </w:p>
          <w:p>
            <w:pPr>
              <w:pStyle w:val="TableContents"/>
              <w:pBdr>
                <w:top w:val="single" w:sz="8" w:space="1" w:color="000000"/>
              </w:pBdr>
              <w:bidi w:val="0"/>
              <w:spacing w:before="20" w:after="0"/>
              <w:ind w:left="0" w:right="0" w:hanging="0"/>
              <w:jc w:val="left"/>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3"/>
              </w:rPr>
            </w:pPr>
            <w:r>
              <w:rPr>
                <w:rFonts w:ascii="Arial;sans-serif" w:hAnsi="Arial;sans-serif"/>
                <w:b/>
                <w:sz w:val="13"/>
              </w:rPr>
              <w:t>Form</w:t>
            </w:r>
            <w:r>
              <w:rPr>
                <w:rFonts w:ascii="Times New Roman" w:hAnsi="Times New Roman"/>
                <w:sz w:val="13"/>
              </w:rPr>
              <w:t xml:space="preserve">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3"/>
              </w:rPr>
            </w:pPr>
            <w:r>
              <w:rPr>
                <w:rFonts w:ascii="Arial;sans-serif" w:hAnsi="Arial;sans-serif"/>
                <w:b/>
                <w:sz w:val="13"/>
              </w:rPr>
              <w:t>File No.</w:t>
            </w:r>
            <w:r>
              <w:rPr>
                <w:rFonts w:ascii="Times New Roman" w:hAnsi="Times New Roman"/>
                <w:sz w:val="13"/>
              </w:rPr>
              <w:t xml:space="preserve">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3"/>
              </w:rPr>
            </w:pPr>
            <w:r>
              <w:rPr>
                <w:rFonts w:ascii="Arial;sans-serif" w:hAnsi="Arial;sans-serif"/>
                <w:b/>
                <w:sz w:val="13"/>
              </w:rPr>
              <w:t>Exhibit</w:t>
            </w:r>
            <w:r>
              <w:rPr>
                <w:rFonts w:ascii="Times New Roman" w:hAnsi="Times New Roman"/>
                <w:sz w:val="13"/>
              </w:rPr>
              <w:t xml:space="preserve"> </w:t>
            </w:r>
          </w:p>
        </w:tc>
        <w:tc>
          <w:tcPr>
            <w:tcW w:w="676" w:type="dxa"/>
            <w:vMerge w:val="continue"/>
            <w:tcBorders/>
            <w:tcMar>
              <w:top w:w="0" w:type="dxa"/>
              <w:left w:w="0" w:type="dxa"/>
              <w:bottom w:w="0" w:type="dxa"/>
              <w:right w:w="0" w:type="dxa"/>
            </w:tcMar>
            <w:vAlign w:val="center"/>
          </w:tcPr>
          <w:p>
            <w:pPr>
              <w:pStyle w:val="Normal"/>
              <w:bidi w:val="0"/>
              <w:jc w:val="left"/>
              <w:rPr/>
            </w:pPr>
            <w:r>
              <w:rPr/>
            </w:r>
          </w:p>
        </w:tc>
        <w:tc>
          <w:tcPr>
            <w:tcW w:w="59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3"/>
              </w:rPr>
            </w:pPr>
            <w:r>
              <w:rPr>
                <w:rFonts w:ascii="Arial;sans-serif" w:hAnsi="Arial;sans-serif"/>
                <w:b/>
                <w:sz w:val="13"/>
              </w:rPr>
              <w:t>Filing Date</w:t>
            </w:r>
            <w:r>
              <w:rPr>
                <w:rFonts w:ascii="Times New Roman" w:hAnsi="Times New Roman"/>
                <w:sz w:val="13"/>
              </w:rPr>
              <w:t xml:space="preserve">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2.1*</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
              <w:r>
                <w:rPr>
                  <w:rStyle w:val="InternetLink"/>
                  <w:rFonts w:ascii="Arial;sans-serif" w:hAnsi="Arial;sans-serif"/>
                  <w:b w:val="false"/>
                  <w:sz w:val="18"/>
                  <w:u w:val="single"/>
                </w:rPr>
                <w:t>Share Purchase Agreement, dated as of November 8, 2021, by and among Viasat, Inc. and the shareholders of Connect Topco Limited party thereto</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11/08/2021</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left"/>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2.1(A)</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w:anchor="vsat-ex2_1a.htm">
              <w:r>
                <w:rPr>
                  <w:rStyle w:val="InternetLink"/>
                  <w:rFonts w:ascii="Arial;sans-serif" w:hAnsi="Arial;sans-serif"/>
                  <w:b w:val="false"/>
                  <w:sz w:val="18"/>
                  <w:u w:val="single"/>
                </w:rPr>
                <w:t>Letter agreement, dated as of April 11, 2023, by and among Viasat, Inc. and the shareholders of Connect Topco Limited party thereto</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left"/>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2.2*</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4">
              <w:r>
                <w:rPr>
                  <w:rStyle w:val="InternetLink"/>
                  <w:rFonts w:ascii="Arial;sans-serif" w:hAnsi="Arial;sans-serif"/>
                  <w:b w:val="false"/>
                  <w:sz w:val="18"/>
                  <w:u w:val="single"/>
                </w:rPr>
                <w:t>Asset Purchase Agreement, dated as of October 1, 2022, by and between Viasat, Inc. and L3Harris Technologies, Inc.</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10/03/2022</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left"/>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3.1</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5">
              <w:r>
                <w:rPr>
                  <w:rStyle w:val="InternetLink"/>
                  <w:rFonts w:ascii="Arial;sans-serif" w:hAnsi="Arial;sans-serif"/>
                  <w:b w:val="false"/>
                  <w:sz w:val="18"/>
                  <w:u w:val="single"/>
                </w:rPr>
                <w:t>Second Amended and Restated Certificate of Incorporation of ViaSat, Inc.</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10-Q</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11/14/2000</w:t>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3.2</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6">
              <w:r>
                <w:rPr>
                  <w:rStyle w:val="InternetLink"/>
                  <w:rFonts w:ascii="Arial;sans-serif" w:hAnsi="Arial;sans-serif"/>
                  <w:b w:val="false"/>
                  <w:sz w:val="18"/>
                  <w:u w:val="single"/>
                </w:rPr>
                <w:t>Second Amended and Restated Bylaws of ViaSat, Inc.</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12/04/2012</w:t>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4.1</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rFonts w:ascii="Arial;sans-serif" w:hAnsi="Arial;sans-serif"/>
                <w:b w:val="false"/>
                <w:sz w:val="18"/>
              </w:rPr>
            </w:pPr>
            <w:r>
              <w:rPr>
                <w:rFonts w:ascii="Arial;sans-serif" w:hAnsi="Arial;sans-serif"/>
                <w:b w:val="false"/>
                <w:sz w:val="18"/>
              </w:rPr>
              <w:t>Form of Common Stock Certificate (p)</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S-1/A</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333-13183</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11/05/1996</w:t>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4.2</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7">
              <w:r>
                <w:rPr>
                  <w:rStyle w:val="InternetLink"/>
                  <w:rFonts w:ascii="Arial;sans-serif" w:hAnsi="Arial;sans-serif"/>
                  <w:b w:val="false"/>
                  <w:sz w:val="18"/>
                  <w:u w:val="single"/>
                </w:rPr>
                <w:t>Indenture dated as of September 21, 2017, between ViaSat, Inc. and Wilmington Trust, National Association, as trustee</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09/21/2017</w:t>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4.3</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8">
              <w:r>
                <w:rPr>
                  <w:rStyle w:val="InternetLink"/>
                  <w:rFonts w:ascii="Arial;sans-serif" w:hAnsi="Arial;sans-serif"/>
                  <w:b w:val="false"/>
                  <w:sz w:val="18"/>
                  <w:u w:val="single"/>
                </w:rPr>
                <w:t>Form of 5.625% Senior Note due 2025 of ViaSat, Inc. (attached as Exhibit A to the Indenture filed as Exhibit 4.2 hereto)</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09/21/2017</w:t>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4.4</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9">
              <w:r>
                <w:rPr>
                  <w:rStyle w:val="InternetLink"/>
                  <w:rFonts w:ascii="Arial;sans-serif" w:hAnsi="Arial;sans-serif"/>
                  <w:b w:val="false"/>
                  <w:sz w:val="18"/>
                  <w:u w:val="single"/>
                </w:rPr>
                <w:t>Indenture, dated as of March 27, 2019, between Viasat, Inc. and Wilmington Trust, National Association, as trustee and as collateral trustee</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03/27/2019</w:t>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4.5</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10">
              <w:r>
                <w:rPr>
                  <w:rStyle w:val="InternetLink"/>
                  <w:rFonts w:ascii="Arial;sans-serif" w:hAnsi="Arial;sans-serif"/>
                  <w:b w:val="false"/>
                  <w:sz w:val="18"/>
                  <w:u w:val="single"/>
                </w:rPr>
                <w:t>Form of 5.625% Senior Secured Note due 2027 of Viasat, Inc. (attached as Exhibit A to the Indenture filed as Exhibit 4.4 hereto)</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03/27/2019</w:t>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4.6</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11">
              <w:r>
                <w:rPr>
                  <w:rStyle w:val="InternetLink"/>
                  <w:rFonts w:ascii="Arial;sans-serif" w:hAnsi="Arial;sans-serif"/>
                  <w:b w:val="false"/>
                  <w:sz w:val="18"/>
                  <w:u w:val="single"/>
                </w:rPr>
                <w:t>Indenture, dated as of June 24, 2020, between Viasat, Inc. and Wilmington Trust, National Association, as trustee.</w:t>
              </w:r>
            </w:hyperlink>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4.1</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06/24/2020</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87" w:type="dxa"/>
            <w:gridSpan w:val="2"/>
            <w:tcBorders/>
          </w:tcPr>
          <w:p>
            <w:pPr>
              <w:pStyle w:val="TableContents"/>
              <w:bidi w:val="0"/>
              <w:spacing w:before="0" w:after="283"/>
              <w:jc w:val="left"/>
              <w:rPr>
                <w:sz w:val="4"/>
                <w:szCs w:val="4"/>
              </w:rPr>
            </w:pPr>
            <w:r>
              <w:rPr>
                <w:sz w:val="4"/>
                <w:szCs w:val="4"/>
              </w:rPr>
            </w:r>
          </w:p>
        </w:tc>
      </w:tr>
      <w:tr>
        <w:trPr/>
        <w:tc>
          <w:tcPr>
            <w:tcW w:w="65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5121"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01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5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87" w:type="dxa"/>
            <w:gridSpan w:val="2"/>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Arial;sans-serif" w:hAnsi="Arial;sans-serif"/>
          <w:b w:val="false"/>
          <w:sz w:val="20"/>
        </w:rPr>
      </w:pPr>
      <w:r>
        <w:rPr>
          <w:rFonts w:ascii="Arial;sans-serif" w:hAnsi="Arial;sans-serif"/>
          <w:b w:val="false"/>
          <w:sz w:val="20"/>
        </w:rPr>
        <w:t>71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918"/>
        <w:gridCol w:w="6186"/>
        <w:gridCol w:w="438"/>
        <w:gridCol w:w="908"/>
        <w:gridCol w:w="721"/>
        <w:gridCol w:w="761"/>
        <w:gridCol w:w="273"/>
      </w:tblGrid>
      <w:tr>
        <w:trPr/>
        <w:tc>
          <w:tcPr>
            <w:tcW w:w="918" w:type="dxa"/>
            <w:tcBorders/>
            <w:vAlign w:val="center"/>
          </w:tcPr>
          <w:p>
            <w:pPr>
              <w:pStyle w:val="TableContents"/>
              <w:bidi w:val="0"/>
              <w:spacing w:before="0" w:after="283"/>
              <w:jc w:val="left"/>
              <w:rPr>
                <w:sz w:val="4"/>
                <w:szCs w:val="4"/>
              </w:rPr>
            </w:pPr>
            <w:r>
              <w:rPr>
                <w:sz w:val="4"/>
                <w:szCs w:val="4"/>
              </w:rPr>
            </w:r>
          </w:p>
        </w:tc>
        <w:tc>
          <w:tcPr>
            <w:tcW w:w="618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4.7</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12">
              <w:r>
                <w:rPr>
                  <w:rStyle w:val="InternetLink"/>
                  <w:rFonts w:ascii="Arial;sans-serif" w:hAnsi="Arial;sans-serif"/>
                  <w:b w:val="false"/>
                  <w:sz w:val="18"/>
                  <w:u w:val="single"/>
                </w:rPr>
                <w:t>Form of 6.500% Senior Note due 2028 of Viasat, Inc. (attached as Exhibit A to the Indenture filed as Exhibit 4.6 hereto)</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4.1</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06/24/2020</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4.8</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13">
              <w:r>
                <w:rPr>
                  <w:rStyle w:val="InternetLink"/>
                  <w:rFonts w:ascii="Arial;sans-serif" w:hAnsi="Arial;sans-serif"/>
                  <w:b w:val="false"/>
                  <w:sz w:val="18"/>
                  <w:u w:val="single"/>
                </w:rPr>
                <w:t>Description of Registered Securities</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4.6</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05/29/2020</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5"/>
              <w:jc w:val="center"/>
              <w:rPr>
                <w:rFonts w:ascii="Arial;sans-serif" w:hAnsi="Arial;sans-serif"/>
                <w:b w:val="false"/>
                <w:sz w:val="18"/>
              </w:rPr>
            </w:pPr>
            <w:r>
              <w:rPr>
                <w:rFonts w:ascii="Arial;sans-serif" w:hAnsi="Arial;sans-serif"/>
                <w:b w:val="false"/>
                <w:sz w:val="18"/>
              </w:rPr>
              <w:t>10.1*</w:t>
            </w:r>
          </w:p>
        </w:tc>
        <w:tc>
          <w:tcPr>
            <w:tcW w:w="6186" w:type="dxa"/>
            <w:tcBorders/>
            <w:tcMar>
              <w:top w:w="0" w:type="dxa"/>
              <w:left w:w="0" w:type="dxa"/>
              <w:bottom w:w="0" w:type="dxa"/>
              <w:right w:w="0" w:type="dxa"/>
            </w:tcMar>
            <w:vAlign w:val="center"/>
          </w:tcPr>
          <w:p>
            <w:pPr>
              <w:pStyle w:val="TableContents"/>
              <w:bidi w:val="0"/>
              <w:spacing w:before="0" w:after="0"/>
              <w:ind w:left="115" w:right="0" w:hanging="0"/>
              <w:jc w:val="left"/>
              <w:rPr/>
            </w:pPr>
            <w:hyperlink r:id="rId14">
              <w:r>
                <w:rPr>
                  <w:rStyle w:val="InternetLink"/>
                  <w:rFonts w:ascii="Arial;sans-serif" w:hAnsi="Arial;sans-serif"/>
                  <w:b w:val="false"/>
                  <w:sz w:val="18"/>
                  <w:u w:val="single"/>
                </w:rPr>
                <w:t>Stockholders Agreement, dated as of November 8, 2021, by and among Viasat, Inc. and the shareholders of Connect Topco Limited party thereto</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10.3</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11/08/2021</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10.2</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15">
              <w:r>
                <w:rPr>
                  <w:rStyle w:val="InternetLink"/>
                  <w:rFonts w:ascii="Arial;sans-serif" w:hAnsi="Arial;sans-serif"/>
                  <w:b w:val="false"/>
                  <w:sz w:val="18"/>
                  <w:u w:val="single"/>
                </w:rPr>
                <w:t>Form of Indemnification Agreement between ViaSat, Inc. and each of its directors and officers</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99.1</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03/07/2008</w:t>
            </w:r>
          </w:p>
        </w:tc>
        <w:tc>
          <w:tcPr>
            <w:tcW w:w="2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left"/>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5"/>
              <w:jc w:val="center"/>
              <w:rPr>
                <w:rFonts w:ascii="Arial;sans-serif" w:hAnsi="Arial;sans-serif"/>
                <w:b w:val="false"/>
                <w:sz w:val="18"/>
              </w:rPr>
            </w:pPr>
            <w:r>
              <w:rPr>
                <w:rFonts w:ascii="Arial;sans-serif" w:hAnsi="Arial;sans-serif"/>
                <w:b w:val="false"/>
                <w:sz w:val="18"/>
              </w:rPr>
              <w:t>10.3**</w:t>
            </w:r>
          </w:p>
        </w:tc>
        <w:tc>
          <w:tcPr>
            <w:tcW w:w="6186" w:type="dxa"/>
            <w:tcBorders/>
            <w:tcMar>
              <w:top w:w="0" w:type="dxa"/>
              <w:left w:w="0" w:type="dxa"/>
              <w:bottom w:w="0" w:type="dxa"/>
              <w:right w:w="0" w:type="dxa"/>
            </w:tcMar>
            <w:vAlign w:val="center"/>
          </w:tcPr>
          <w:p>
            <w:pPr>
              <w:pStyle w:val="TableContents"/>
              <w:bidi w:val="0"/>
              <w:spacing w:before="0" w:after="0"/>
              <w:ind w:left="115" w:right="0" w:hanging="0"/>
              <w:jc w:val="left"/>
              <w:rPr/>
            </w:pPr>
            <w:hyperlink r:id="rId16">
              <w:r>
                <w:rPr>
                  <w:rStyle w:val="InternetLink"/>
                  <w:rFonts w:ascii="Arial;sans-serif" w:hAnsi="Arial;sans-serif"/>
                  <w:b w:val="false"/>
                  <w:sz w:val="18"/>
                  <w:u w:val="single"/>
                </w:rPr>
                <w:t>Viasat, Inc. Employee Stock Purchase Plan (As Amended and Restated Effective September 2, 2021)</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10.2</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09/03/2021</w:t>
            </w:r>
          </w:p>
        </w:tc>
        <w:tc>
          <w:tcPr>
            <w:tcW w:w="2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10.4**</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17">
              <w:r>
                <w:rPr>
                  <w:rStyle w:val="InternetLink"/>
                  <w:rFonts w:ascii="Arial;sans-serif" w:hAnsi="Arial;sans-serif"/>
                  <w:b w:val="false"/>
                  <w:sz w:val="18"/>
                  <w:u w:val="single"/>
                </w:rPr>
                <w:t>1996 Equity Participation Plan of Viasat, Inc. (As Amended and Restated Effective September 2, 2022)</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09/02/2022</w:t>
            </w:r>
          </w:p>
        </w:tc>
        <w:tc>
          <w:tcPr>
            <w:tcW w:w="2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10.5**</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18">
              <w:r>
                <w:rPr>
                  <w:rStyle w:val="InternetLink"/>
                  <w:rFonts w:ascii="Arial;sans-serif" w:hAnsi="Arial;sans-serif"/>
                  <w:b w:val="false"/>
                  <w:sz w:val="18"/>
                  <w:u w:val="single"/>
                </w:rPr>
                <w:t>Form of Stock Option Agreement for the 1996 Equity Participation Plan of ViaSat, Inc.</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10.4</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05/26/2015</w:t>
            </w:r>
          </w:p>
        </w:tc>
        <w:tc>
          <w:tcPr>
            <w:tcW w:w="2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10.6**</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19">
              <w:r>
                <w:rPr>
                  <w:rStyle w:val="InternetLink"/>
                  <w:rFonts w:ascii="Arial;sans-serif" w:hAnsi="Arial;sans-serif"/>
                  <w:b w:val="false"/>
                  <w:sz w:val="18"/>
                  <w:u w:val="single"/>
                </w:rPr>
                <w:t>Form of Performance Stock Option Agreement for the 1996 Equity Participation Plan of ViaSat, Inc.</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10-Q</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02/9/2018</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10.7**</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0">
              <w:r>
                <w:rPr>
                  <w:rStyle w:val="InternetLink"/>
                  <w:rFonts w:ascii="Arial;sans-serif" w:hAnsi="Arial;sans-serif"/>
                  <w:b w:val="false"/>
                  <w:sz w:val="18"/>
                  <w:u w:val="single"/>
                </w:rPr>
                <w:t>Form of Restricted Stock Unit Award Agreement for the 1996 Equity Participation Plan of ViaSat, Inc.—Global</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10.5</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05/25/2017</w:t>
            </w:r>
          </w:p>
        </w:tc>
        <w:tc>
          <w:tcPr>
            <w:tcW w:w="2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10.8**</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1">
              <w:r>
                <w:rPr>
                  <w:rStyle w:val="InternetLink"/>
                  <w:rFonts w:ascii="Arial;sans-serif" w:hAnsi="Arial;sans-serif"/>
                  <w:b w:val="false"/>
                  <w:sz w:val="18"/>
                  <w:u w:val="single"/>
                </w:rPr>
                <w:t>Form of Restricted Stock Unit Award Agreement for the 1996 Equity Participation Plan of ViaSat, Inc.—Independent Director</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10.6</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05/26/2015</w:t>
            </w:r>
          </w:p>
        </w:tc>
        <w:tc>
          <w:tcPr>
            <w:tcW w:w="2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10.9**</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2">
              <w:r>
                <w:rPr>
                  <w:rStyle w:val="InternetLink"/>
                  <w:rFonts w:ascii="Arial;sans-serif" w:hAnsi="Arial;sans-serif"/>
                  <w:b w:val="false"/>
                  <w:sz w:val="18"/>
                  <w:u w:val="single"/>
                </w:rPr>
                <w:t>Form of Restricted Stock Unit Award Agreement for the 1996 Equity Participation Plan of ViaSat, Inc.—Executive</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10.7</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05/26/2015</w:t>
            </w:r>
          </w:p>
        </w:tc>
        <w:tc>
          <w:tcPr>
            <w:tcW w:w="2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10.10**</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3">
              <w:r>
                <w:rPr>
                  <w:rStyle w:val="InternetLink"/>
                  <w:rFonts w:ascii="Arial;sans-serif" w:hAnsi="Arial;sans-serif"/>
                  <w:b w:val="false"/>
                  <w:sz w:val="18"/>
                  <w:u w:val="single"/>
                </w:rPr>
                <w:t>Form of Change in Control Severance Agreement between ViaSat, Inc. and each of its executive officers</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08/04/2010</w:t>
            </w:r>
          </w:p>
        </w:tc>
        <w:tc>
          <w:tcPr>
            <w:tcW w:w="2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10.10.1**</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4">
              <w:r>
                <w:rPr>
                  <w:rStyle w:val="InternetLink"/>
                  <w:rFonts w:ascii="Arial;sans-serif" w:hAnsi="Arial;sans-serif"/>
                  <w:b w:val="false"/>
                  <w:sz w:val="18"/>
                  <w:u w:val="single"/>
                </w:rPr>
                <w:t>Form of First Amendment to Change in Control Severance Agreement between ViaSat, Inc. and each of its executive officers</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10-K</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10.12.1</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5/31/2022</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10.11**</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w:anchor="vsat-ex10_11.htm">
              <w:r>
                <w:rPr>
                  <w:rStyle w:val="InternetLink"/>
                  <w:rFonts w:ascii="Arial;sans-serif" w:hAnsi="Arial;sans-serif"/>
                  <w:b w:val="false"/>
                  <w:sz w:val="18"/>
                  <w:u w:val="single"/>
                </w:rPr>
                <w:t>Severance Agreement, dated as of April 13, 2023, by and between Viasat, Inc. and K. Guru Gowrappan</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10.12**</w:t>
            </w:r>
          </w:p>
        </w:tc>
        <w:tc>
          <w:tcPr>
            <w:tcW w:w="618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5">
              <w:r>
                <w:rPr>
                  <w:rStyle w:val="InternetLink"/>
                  <w:rFonts w:ascii="Arial;sans-serif" w:hAnsi="Arial;sans-serif"/>
                  <w:b w:val="false"/>
                  <w:sz w:val="18"/>
                  <w:u w:val="single"/>
                </w:rPr>
                <w:t>RigNet, Inc. 2010 Omnibus Incentive Plan</w:t>
              </w:r>
            </w:hyperlink>
          </w:p>
        </w:tc>
        <w:tc>
          <w:tcPr>
            <w:tcW w:w="43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S-8</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333-255690</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10.3</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04/30/2021</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Arial;sans-serif" w:hAnsi="Arial;sans-serif"/>
          <w:b w:val="false"/>
          <w:sz w:val="20"/>
        </w:rPr>
      </w:pPr>
      <w:r>
        <w:rPr>
          <w:rFonts w:ascii="Arial;sans-serif" w:hAnsi="Arial;sans-serif"/>
          <w:b w:val="false"/>
          <w:sz w:val="20"/>
        </w:rPr>
        <w:t>72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96"/>
        <w:gridCol w:w="6447"/>
        <w:gridCol w:w="413"/>
        <w:gridCol w:w="852"/>
        <w:gridCol w:w="721"/>
        <w:gridCol w:w="683"/>
        <w:gridCol w:w="193"/>
      </w:tblGrid>
      <w:tr>
        <w:trPr/>
        <w:tc>
          <w:tcPr>
            <w:tcW w:w="896" w:type="dxa"/>
            <w:tcBorders/>
            <w:vAlign w:val="center"/>
          </w:tcPr>
          <w:p>
            <w:pPr>
              <w:pStyle w:val="TableContents"/>
              <w:bidi w:val="0"/>
              <w:spacing w:before="0" w:after="283"/>
              <w:jc w:val="left"/>
              <w:rPr>
                <w:sz w:val="4"/>
                <w:szCs w:val="4"/>
              </w:rPr>
            </w:pPr>
            <w:r>
              <w:rPr>
                <w:sz w:val="4"/>
                <w:szCs w:val="4"/>
              </w:rPr>
            </w:r>
          </w:p>
        </w:tc>
        <w:tc>
          <w:tcPr>
            <w:tcW w:w="644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10.12.1**</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6">
              <w:r>
                <w:rPr>
                  <w:rStyle w:val="InternetLink"/>
                  <w:rFonts w:ascii="Arial;sans-serif" w:hAnsi="Arial;sans-serif"/>
                  <w:b w:val="false"/>
                  <w:sz w:val="18"/>
                  <w:u w:val="single"/>
                </w:rPr>
                <w:t>Amendment to RigNet, Inc. 2010 Omnibus Incentive Plan</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S-8</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333-255690</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10.4</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04/30/2021</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10.13**</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7">
              <w:r>
                <w:rPr>
                  <w:rStyle w:val="InternetLink"/>
                  <w:rFonts w:ascii="Arial;sans-serif" w:hAnsi="Arial;sans-serif"/>
                  <w:b w:val="false"/>
                  <w:sz w:val="18"/>
                  <w:u w:val="single"/>
                </w:rPr>
                <w:t>RigNet, Inc. 2019 Omnibus Incentive Plan</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S-8</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333-255690</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10.5</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04/30/2021</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10.13.1**</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8">
              <w:r>
                <w:rPr>
                  <w:rStyle w:val="InternetLink"/>
                  <w:rFonts w:ascii="Arial;sans-serif" w:hAnsi="Arial;sans-serif"/>
                  <w:b w:val="false"/>
                  <w:sz w:val="18"/>
                  <w:u w:val="single"/>
                </w:rPr>
                <w:t>Amendment to RigNet, Inc. 2019 Omnibus Incentive Plan</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S-8</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333-255690</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10.6</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04/30/2021</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10.14**</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29">
              <w:r>
                <w:rPr>
                  <w:rStyle w:val="InternetLink"/>
                  <w:rFonts w:ascii="Arial;sans-serif" w:hAnsi="Arial;sans-serif"/>
                  <w:b w:val="false"/>
                  <w:sz w:val="18"/>
                  <w:u w:val="single"/>
                </w:rPr>
                <w:t>Restricted Stock Unit Award Agreement, by and between RigNet, Inc. and Errol Olivier, effective as of January 8, 2020</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S-8</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333-255690</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10.8</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04/30/2021</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10.15</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0">
              <w:r>
                <w:rPr>
                  <w:rStyle w:val="InternetLink"/>
                  <w:rFonts w:ascii="Arial;sans-serif" w:hAnsi="Arial;sans-serif"/>
                  <w:b w:val="false"/>
                  <w:sz w:val="18"/>
                  <w:u w:val="single"/>
                </w:rPr>
                <w:t>Credit Agreement dated as of November 26, 2013, by and among ViaSat, Inc., Union Bank, N.A. (as agent) and the other lenders party thereto</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11/26/2013</w:t>
            </w:r>
          </w:p>
        </w:tc>
        <w:tc>
          <w:tcPr>
            <w:tcW w:w="19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10.15.1</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1">
              <w:r>
                <w:rPr>
                  <w:rStyle w:val="InternetLink"/>
                  <w:rFonts w:ascii="Arial;sans-serif" w:hAnsi="Arial;sans-serif"/>
                  <w:b w:val="false"/>
                  <w:sz w:val="18"/>
                  <w:u w:val="single"/>
                </w:rPr>
                <w:t>First Amendment to Credit Agreement and Other Loan Documents dated as of March 12, 2015, by and among ViaSat, Inc., Union Bank, N.A. (as agent) and the other lenders party thereto</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10.2</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03/13/2015</w:t>
            </w:r>
          </w:p>
        </w:tc>
        <w:tc>
          <w:tcPr>
            <w:tcW w:w="19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10.15.2</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2">
              <w:r>
                <w:rPr>
                  <w:rStyle w:val="InternetLink"/>
                  <w:rFonts w:ascii="Arial;sans-serif" w:hAnsi="Arial;sans-serif"/>
                  <w:b w:val="false"/>
                  <w:sz w:val="18"/>
                  <w:u w:val="single"/>
                </w:rPr>
                <w:t>Second Amendment to Credit Agreement and Other Loan Documents dated as of May 24, 2016, by and among Viasat, Inc., MUFG Union Bank, N.A. (as agent) and the other lenders party thereto</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05/24/2016</w:t>
            </w:r>
          </w:p>
        </w:tc>
        <w:tc>
          <w:tcPr>
            <w:tcW w:w="19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9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10.15.3</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3">
              <w:r>
                <w:rPr>
                  <w:rStyle w:val="InternetLink"/>
                  <w:rFonts w:ascii="Arial;sans-serif" w:hAnsi="Arial;sans-serif"/>
                  <w:b w:val="false"/>
                  <w:sz w:val="18"/>
                  <w:u w:val="single"/>
                </w:rPr>
                <w:t>Third Amendment to Credit Agreement dated as of May 24, 2018 by and among Viasat, Inc., MUFG Union Bank, N.A. (as agent) and the other lenders party thereto</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10-K</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10.10.3</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05/30/2018</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10.15.4</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4">
              <w:r>
                <w:rPr>
                  <w:rStyle w:val="InternetLink"/>
                  <w:rFonts w:ascii="Arial;sans-serif" w:hAnsi="Arial;sans-serif"/>
                  <w:b w:val="false"/>
                  <w:sz w:val="18"/>
                  <w:u w:val="single"/>
                </w:rPr>
                <w:t>Fourth Amendment to Credit Agreement dated as of January 18, 2019, by and among Viasat, Inc., MUFG Union Bank, N.A. (as administrative agent and collateral agent) and the other lenders party thereto</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01/22/2019</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5"/>
              <w:jc w:val="center"/>
              <w:rPr>
                <w:rFonts w:ascii="Arial;sans-serif" w:hAnsi="Arial;sans-serif"/>
                <w:b w:val="false"/>
                <w:sz w:val="18"/>
              </w:rPr>
            </w:pPr>
            <w:r>
              <w:rPr>
                <w:rFonts w:ascii="Arial;sans-serif" w:hAnsi="Arial;sans-serif"/>
                <w:b w:val="false"/>
                <w:sz w:val="18"/>
              </w:rPr>
              <w:t>10.15.5</w:t>
            </w:r>
          </w:p>
        </w:tc>
        <w:tc>
          <w:tcPr>
            <w:tcW w:w="6447" w:type="dxa"/>
            <w:tcBorders/>
            <w:tcMar>
              <w:top w:w="0" w:type="dxa"/>
              <w:left w:w="0" w:type="dxa"/>
              <w:bottom w:w="0" w:type="dxa"/>
              <w:right w:w="0" w:type="dxa"/>
            </w:tcMar>
            <w:vAlign w:val="center"/>
          </w:tcPr>
          <w:p>
            <w:pPr>
              <w:pStyle w:val="TableContents"/>
              <w:bidi w:val="0"/>
              <w:spacing w:before="0" w:after="0"/>
              <w:ind w:left="115" w:right="0" w:hanging="0"/>
              <w:jc w:val="left"/>
              <w:rPr/>
            </w:pPr>
            <w:hyperlink r:id="rId35">
              <w:r>
                <w:rPr>
                  <w:rStyle w:val="InternetLink"/>
                  <w:rFonts w:ascii="Arial;sans-serif" w:hAnsi="Arial;sans-serif"/>
                  <w:b w:val="false"/>
                  <w:sz w:val="18"/>
                  <w:u w:val="single"/>
                </w:rPr>
                <w:t>Fifth Amendment to Credit Agreement, dated as of November 23, 2021, by and among Viasat, Inc., MUFG Union Bank, N.A. (as administrative agent and collateral agent), and the other lenders party thereto</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11/30/2021</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10.15.6</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6">
              <w:r>
                <w:rPr>
                  <w:rStyle w:val="InternetLink"/>
                  <w:rFonts w:ascii="Arial;sans-serif" w:hAnsi="Arial;sans-serif"/>
                  <w:b w:val="false"/>
                  <w:sz w:val="18"/>
                  <w:u w:val="single"/>
                </w:rPr>
                <w:t>Sixth Amendment to Credit Agreement, dated as of March 4, 2022, by and among Viasat, Inc., MUFG Union Bank, N.A. (as administrative agent and collateral agent), and the other lenders party thereto</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10.2</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03/04/2022</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9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10.16</w:t>
            </w:r>
          </w:p>
        </w:tc>
        <w:tc>
          <w:tcPr>
            <w:tcW w:w="6447"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7">
              <w:r>
                <w:rPr>
                  <w:rStyle w:val="InternetLink"/>
                  <w:rFonts w:ascii="Arial;sans-serif" w:hAnsi="Arial;sans-serif"/>
                  <w:b w:val="false"/>
                  <w:sz w:val="18"/>
                  <w:u w:val="single"/>
                </w:rPr>
                <w:t>Credit Agreement dated as of March 12, 2015, by and among ViaSat Technologies Limited, ViaSat, Inc., JPMorgan Chase Bank, National Association (as Ex-Im facility agent) and the Export-Import Bank of the United States</w:t>
              </w:r>
            </w:hyperlink>
          </w:p>
        </w:tc>
        <w:tc>
          <w:tcPr>
            <w:tcW w:w="41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85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03/13/2015</w:t>
            </w:r>
          </w:p>
        </w:tc>
        <w:tc>
          <w:tcPr>
            <w:tcW w:w="19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240" w:after="0"/>
        <w:jc w:val="center"/>
        <w:rPr>
          <w:rFonts w:ascii="Arial;sans-serif" w:hAnsi="Arial;sans-serif"/>
          <w:b w:val="false"/>
          <w:sz w:val="20"/>
        </w:rPr>
      </w:pPr>
      <w:r>
        <w:rPr>
          <w:rFonts w:ascii="Arial;sans-serif" w:hAnsi="Arial;sans-serif"/>
          <w:b w:val="false"/>
          <w:sz w:val="20"/>
        </w:rPr>
        <w:t>73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49"/>
        <w:gridCol w:w="6816"/>
        <w:gridCol w:w="411"/>
        <w:gridCol w:w="729"/>
        <w:gridCol w:w="466"/>
        <w:gridCol w:w="660"/>
        <w:gridCol w:w="274"/>
      </w:tblGrid>
      <w:tr>
        <w:trPr/>
        <w:tc>
          <w:tcPr>
            <w:tcW w:w="849" w:type="dxa"/>
            <w:tcBorders/>
            <w:vAlign w:val="center"/>
          </w:tcPr>
          <w:p>
            <w:pPr>
              <w:pStyle w:val="TableContents"/>
              <w:bidi w:val="0"/>
              <w:spacing w:before="0" w:after="283"/>
              <w:jc w:val="left"/>
              <w:rPr>
                <w:sz w:val="4"/>
                <w:szCs w:val="4"/>
              </w:rPr>
            </w:pPr>
            <w:r>
              <w:rPr>
                <w:sz w:val="4"/>
                <w:szCs w:val="4"/>
              </w:rPr>
            </w:r>
          </w:p>
        </w:tc>
        <w:tc>
          <w:tcPr>
            <w:tcW w:w="68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left"/>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10.16.1</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8">
              <w:r>
                <w:rPr>
                  <w:rStyle w:val="InternetLink"/>
                  <w:rFonts w:ascii="Arial;sans-serif" w:hAnsi="Arial;sans-serif"/>
                  <w:b w:val="false"/>
                  <w:sz w:val="18"/>
                  <w:u w:val="single"/>
                </w:rPr>
                <w:t>First Amendment to Credit Agreement, dated as of June 12, 2015, by and among ViaSat Technologies Limited, ViaSat, Inc., JPMorgan Chase Bank, National Association (as Ex-Im Facility Agent) and the Export-Import Bank of the United States</w:t>
              </w:r>
            </w:hyperlink>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10-Q</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08/10/2015</w:t>
            </w:r>
          </w:p>
        </w:tc>
        <w:tc>
          <w:tcPr>
            <w:tcW w:w="27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10.16.2</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39">
              <w:r>
                <w:rPr>
                  <w:rStyle w:val="InternetLink"/>
                  <w:rFonts w:ascii="Arial;sans-serif" w:hAnsi="Arial;sans-serif"/>
                  <w:b w:val="false"/>
                  <w:sz w:val="18"/>
                  <w:u w:val="single"/>
                </w:rPr>
                <w:t>Second Amendment Agreement, dated as of March 23, 2016, by and among ViaSat Technologies Limited, ViaSat, Inc., JPMorgan Chase Bank, National Association (as Ex-Im Facility Agent) and the Export-Import Bank of the United States</w:t>
              </w:r>
            </w:hyperlink>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03/24/2016</w:t>
            </w:r>
          </w:p>
        </w:tc>
        <w:tc>
          <w:tcPr>
            <w:tcW w:w="27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10.16.3</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40">
              <w:r>
                <w:rPr>
                  <w:rStyle w:val="InternetLink"/>
                  <w:rFonts w:ascii="Arial;sans-serif" w:hAnsi="Arial;sans-serif"/>
                  <w:b w:val="false"/>
                  <w:sz w:val="18"/>
                  <w:u w:val="single"/>
                </w:rPr>
                <w:t>Third Amendment Agreement, dated as of October 11, 2016, by and among ViaSat Technologies Limited, ViaSat, Inc., JPMorgan Chase Bank, National Association (as Ex-Im Facility Agent) and the Export-Import Bank of the United States</w:t>
              </w:r>
            </w:hyperlink>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10/12/2016</w:t>
            </w:r>
          </w:p>
        </w:tc>
        <w:tc>
          <w:tcPr>
            <w:tcW w:w="27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10.16.4</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41">
              <w:r>
                <w:rPr>
                  <w:rStyle w:val="InternetLink"/>
                  <w:rFonts w:ascii="Arial;sans-serif" w:hAnsi="Arial;sans-serif"/>
                  <w:b w:val="false"/>
                  <w:sz w:val="18"/>
                  <w:u w:val="single"/>
                </w:rPr>
                <w:t>Fourth Amendment to Credit Agreement, dated as of July 17, 2018, by and among Viasat Technologies Limited, Viasat, Inc., JPMorgan Chase Bank, National Association (as Ex-Im Facility Agent) and the Export-Import Bank of the United States</w:t>
              </w:r>
            </w:hyperlink>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07/23/2018</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10.16.5</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42">
              <w:r>
                <w:rPr>
                  <w:rStyle w:val="InternetLink"/>
                  <w:rFonts w:ascii="Arial;sans-serif" w:hAnsi="Arial;sans-serif"/>
                  <w:b w:val="false"/>
                  <w:sz w:val="18"/>
                  <w:u w:val="single"/>
                </w:rPr>
                <w:t>Fifth Amendment Agreement, dated as of February 28, 2019, by and among Viasat Technologies Limited, Viasat, Inc., JPMorgan Chase Bank, National Association (as Ex-Im Facility Agent) and the Export-Import Bank of the United States</w:t>
              </w:r>
            </w:hyperlink>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02/28/2019</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10.16.6</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43">
              <w:r>
                <w:rPr>
                  <w:rStyle w:val="InternetLink"/>
                  <w:rFonts w:ascii="Arial;sans-serif" w:hAnsi="Arial;sans-serif"/>
                  <w:b w:val="false"/>
                  <w:sz w:val="18"/>
                  <w:u w:val="single"/>
                </w:rPr>
                <w:t>Sixth Amendment to Credit Agreement, dated as of August 3, 2022, among Viasat Technologies Limited, Viasat, Inc., JP Morgan Chase Bank, National Association, and the Export-Import Bank of the United States</w:t>
              </w:r>
            </w:hyperlink>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10-Q</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10.2</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08/09/2022</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10.17</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r:id="rId44">
              <w:r>
                <w:rPr>
                  <w:rStyle w:val="InternetLink"/>
                  <w:rFonts w:ascii="Arial;sans-serif" w:hAnsi="Arial;sans-serif"/>
                  <w:b w:val="false"/>
                  <w:sz w:val="18"/>
                  <w:u w:val="single"/>
                </w:rPr>
                <w:t>Credit Agreement, dated as of March 4, 2022, by and among Viasat, Inc., Bank of America, N.A. (as administrative agent and collateral agent), and the other lenders party thereto</w:t>
              </w:r>
            </w:hyperlink>
          </w:p>
        </w:tc>
        <w:tc>
          <w:tcPr>
            <w:tcW w:w="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000-21767</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03/04/2022</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21.1</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w:anchor="vsat-ex21_1.htm">
              <w:r>
                <w:rPr>
                  <w:rStyle w:val="InternetLink"/>
                  <w:rFonts w:ascii="Arial;sans-serif" w:hAnsi="Arial;sans-serif"/>
                  <w:b w:val="false"/>
                  <w:sz w:val="18"/>
                  <w:u w:val="single"/>
                </w:rPr>
                <w:t>Subsidiaries</w:t>
              </w:r>
            </w:hyperlink>
          </w:p>
        </w:tc>
        <w:tc>
          <w:tcPr>
            <w:tcW w:w="4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23.1</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w:anchor="vsat-ex23_1.htm">
              <w:r>
                <w:rPr>
                  <w:rStyle w:val="InternetLink"/>
                  <w:rFonts w:ascii="Arial;sans-serif" w:hAnsi="Arial;sans-serif"/>
                  <w:b w:val="false"/>
                  <w:sz w:val="18"/>
                  <w:u w:val="single"/>
                </w:rPr>
                <w:t>Consent of PricewaterhouseCoopers LLP, Independent Registered Public Accounting Firm</w:t>
              </w:r>
            </w:hyperlink>
          </w:p>
        </w:tc>
        <w:tc>
          <w:tcPr>
            <w:tcW w:w="4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24.1</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w:anchor="power_of_a">
              <w:r>
                <w:rPr>
                  <w:rStyle w:val="InternetLink"/>
                  <w:rFonts w:ascii="Arial;sans-serif" w:hAnsi="Arial;sans-serif"/>
                  <w:b w:val="false"/>
                  <w:sz w:val="18"/>
                  <w:u w:val="single"/>
                </w:rPr>
                <w:t>Power of Attorney (see signature page)</w:t>
              </w:r>
            </w:hyperlink>
          </w:p>
        </w:tc>
        <w:tc>
          <w:tcPr>
            <w:tcW w:w="4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4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31.1</w:t>
            </w:r>
          </w:p>
        </w:tc>
        <w:tc>
          <w:tcPr>
            <w:tcW w:w="6816" w:type="dxa"/>
            <w:tcBorders/>
            <w:tcMar>
              <w:top w:w="0" w:type="dxa"/>
              <w:left w:w="0" w:type="dxa"/>
              <w:bottom w:w="0" w:type="dxa"/>
              <w:right w:w="0" w:type="dxa"/>
            </w:tcMar>
            <w:vAlign w:val="center"/>
          </w:tcPr>
          <w:p>
            <w:pPr>
              <w:pStyle w:val="TableContents"/>
              <w:bidi w:val="0"/>
              <w:spacing w:before="0" w:after="0"/>
              <w:ind w:left="113" w:right="0" w:hanging="0"/>
              <w:jc w:val="left"/>
              <w:rPr/>
            </w:pPr>
            <w:hyperlink w:anchor="vsat-ex31_1.htm">
              <w:r>
                <w:rPr>
                  <w:rStyle w:val="InternetLink"/>
                  <w:rFonts w:ascii="Arial;sans-serif" w:hAnsi="Arial;sans-serif"/>
                  <w:b w:val="false"/>
                  <w:sz w:val="18"/>
                  <w:u w:val="single"/>
                </w:rPr>
                <w:t>Certification Pursuant to Section 302 of the Sarbanes-Oxley Act of 2002 of Chief Executive Officer</w:t>
              </w:r>
            </w:hyperlink>
          </w:p>
        </w:tc>
        <w:tc>
          <w:tcPr>
            <w:tcW w:w="4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bl>
    <w:p>
      <w:pPr>
        <w:pStyle w:val="TextBody"/>
        <w:bidi w:val="0"/>
        <w:spacing w:before="240" w:after="0"/>
        <w:jc w:val="center"/>
        <w:rPr>
          <w:rFonts w:ascii="Arial;sans-serif" w:hAnsi="Arial;sans-serif"/>
          <w:b w:val="false"/>
          <w:sz w:val="20"/>
        </w:rPr>
      </w:pPr>
      <w:r>
        <w:rPr>
          <w:rFonts w:ascii="Arial;sans-serif" w:hAnsi="Arial;sans-serif"/>
          <w:b w:val="false"/>
          <w:sz w:val="20"/>
        </w:rPr>
        <w:t>74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25"/>
        <w:gridCol w:w="8524"/>
        <w:gridCol w:w="146"/>
        <w:gridCol w:w="146"/>
        <w:gridCol w:w="146"/>
        <w:gridCol w:w="146"/>
        <w:gridCol w:w="272"/>
      </w:tblGrid>
      <w:tr>
        <w:trPr/>
        <w:tc>
          <w:tcPr>
            <w:tcW w:w="825" w:type="dxa"/>
            <w:tcBorders/>
            <w:vAlign w:val="center"/>
          </w:tcPr>
          <w:p>
            <w:pPr>
              <w:pStyle w:val="TableContents"/>
              <w:bidi w:val="0"/>
              <w:spacing w:before="0" w:after="283"/>
              <w:jc w:val="left"/>
              <w:rPr>
                <w:sz w:val="4"/>
                <w:szCs w:val="4"/>
              </w:rPr>
            </w:pPr>
            <w:r>
              <w:rPr>
                <w:sz w:val="4"/>
                <w:szCs w:val="4"/>
              </w:rPr>
            </w:r>
          </w:p>
        </w:tc>
        <w:tc>
          <w:tcPr>
            <w:tcW w:w="8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31.2</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hyperlink w:anchor="vsat-ex31_2.htm">
              <w:r>
                <w:rPr>
                  <w:rStyle w:val="InternetLink"/>
                  <w:rFonts w:ascii="Arial;sans-serif" w:hAnsi="Arial;sans-serif"/>
                  <w:b w:val="false"/>
                  <w:sz w:val="18"/>
                  <w:u w:val="single"/>
                </w:rPr>
                <w:t>Certification Pursuant to Section 302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32.1</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hyperlink w:anchor="vsat-ex32_1.htm">
              <w:r>
                <w:rPr>
                  <w:rStyle w:val="InternetLink"/>
                  <w:rFonts w:ascii="Arial;sans-serif" w:hAnsi="Arial;sans-serif"/>
                  <w:b w:val="false"/>
                  <w:sz w:val="18"/>
                  <w:u w:val="single"/>
                </w:rPr>
                <w:t>Certifications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left"/>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101.INS</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rFonts w:ascii="Arial;sans-serif" w:hAnsi="Arial;sans-serif"/>
                <w:b w:val="false"/>
                <w:sz w:val="18"/>
              </w:rPr>
            </w:pPr>
            <w:r>
              <w:rPr>
                <w:rFonts w:ascii="Arial;sans-serif" w:hAnsi="Arial;sans-serif"/>
                <w:b w:val="false"/>
                <w:sz w:val="18"/>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101.SCH</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rFonts w:ascii="Arial;sans-serif" w:hAnsi="Arial;sans-serif"/>
                <w:b w:val="false"/>
                <w:sz w:val="18"/>
              </w:rPr>
            </w:pPr>
            <w:r>
              <w:rPr>
                <w:rFonts w:ascii="Arial;sans-serif" w:hAnsi="Arial;sans-serif"/>
                <w:b w:val="false"/>
                <w:sz w:val="18"/>
              </w:rPr>
              <w:t>Inline XBRL Taxonomy Extension Schema</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101.CAL</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rFonts w:ascii="Arial;sans-serif" w:hAnsi="Arial;sans-serif"/>
                <w:b w:val="false"/>
                <w:sz w:val="18"/>
              </w:rPr>
            </w:pPr>
            <w:r>
              <w:rPr>
                <w:rFonts w:ascii="Arial;sans-serif" w:hAnsi="Arial;sans-serif"/>
                <w:b w:val="false"/>
                <w:sz w:val="18"/>
              </w:rPr>
              <w:t>Inline XBRL Taxonomy Extension Calculation Linkbase</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101.DEF</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rFonts w:ascii="Arial;sans-serif" w:hAnsi="Arial;sans-serif"/>
                <w:b w:val="false"/>
                <w:sz w:val="18"/>
              </w:rPr>
            </w:pPr>
            <w:r>
              <w:rPr>
                <w:rFonts w:ascii="Arial;sans-serif" w:hAnsi="Arial;sans-serif"/>
                <w:b w:val="false"/>
                <w:sz w:val="18"/>
              </w:rPr>
              <w:t>Inline XBRL Taxonomy Extension Definition Linkbase</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101.LAB</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rFonts w:ascii="Arial;sans-serif" w:hAnsi="Arial;sans-serif"/>
                <w:b w:val="false"/>
                <w:sz w:val="18"/>
              </w:rPr>
            </w:pPr>
            <w:r>
              <w:rPr>
                <w:rFonts w:ascii="Arial;sans-serif" w:hAnsi="Arial;sans-serif"/>
                <w:b w:val="false"/>
                <w:sz w:val="18"/>
              </w:rPr>
              <w:t>Inline XBRL Taxonomy Extension Labels Linkbase</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101.PRE</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rFonts w:ascii="Arial;sans-serif" w:hAnsi="Arial;sans-serif"/>
                <w:b w:val="false"/>
                <w:sz w:val="18"/>
              </w:rPr>
            </w:pPr>
            <w:r>
              <w:rPr>
                <w:rFonts w:ascii="Arial;sans-serif" w:hAnsi="Arial;sans-serif"/>
                <w:b w:val="false"/>
                <w:sz w:val="18"/>
              </w:rPr>
              <w:t>Inline XBRL Taxonomy Extension Presentation Linkbase</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pPr>
            <w:r>
              <w:rPr/>
              <w:t> </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25" w:type="dxa"/>
            <w:tcBorders/>
            <w:tcMar>
              <w:top w:w="0" w:type="dxa"/>
              <w:left w:w="0" w:type="dxa"/>
              <w:bottom w:w="0" w:type="dxa"/>
              <w:right w:w="0" w:type="dxa"/>
            </w:tcMar>
            <w:vAlign w:val="center"/>
          </w:tcPr>
          <w:p>
            <w:pPr>
              <w:pStyle w:val="TableContents"/>
              <w:bidi w:val="0"/>
              <w:spacing w:before="0" w:after="0"/>
              <w:ind w:left="0" w:right="0" w:firstLine="113"/>
              <w:jc w:val="center"/>
              <w:rPr>
                <w:rFonts w:ascii="Arial;sans-serif" w:hAnsi="Arial;sans-serif"/>
                <w:b w:val="false"/>
                <w:sz w:val="18"/>
              </w:rPr>
            </w:pPr>
            <w:r>
              <w:rPr>
                <w:rFonts w:ascii="Arial;sans-serif" w:hAnsi="Arial;sans-serif"/>
                <w:b w:val="false"/>
                <w:sz w:val="18"/>
              </w:rPr>
              <w:t>104</w:t>
            </w:r>
          </w:p>
        </w:tc>
        <w:tc>
          <w:tcPr>
            <w:tcW w:w="8524" w:type="dxa"/>
            <w:tcBorders/>
            <w:tcMar>
              <w:top w:w="0" w:type="dxa"/>
              <w:left w:w="0" w:type="dxa"/>
              <w:bottom w:w="0" w:type="dxa"/>
              <w:right w:w="0" w:type="dxa"/>
            </w:tcMar>
            <w:vAlign w:val="center"/>
          </w:tcPr>
          <w:p>
            <w:pPr>
              <w:pStyle w:val="TableContents"/>
              <w:bidi w:val="0"/>
              <w:spacing w:before="0" w:after="0"/>
              <w:ind w:left="113" w:right="0" w:hanging="0"/>
              <w:jc w:val="left"/>
              <w:rPr>
                <w:rFonts w:ascii="Arial;sans-serif" w:hAnsi="Arial;sans-serif"/>
                <w:b w:val="false"/>
                <w:sz w:val="18"/>
              </w:rPr>
            </w:pPr>
            <w:r>
              <w:rPr>
                <w:rFonts w:ascii="Arial;sans-serif" w:hAnsi="Arial;sans-serif"/>
                <w:b w:val="false"/>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72"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X</w:t>
            </w:r>
          </w:p>
        </w:tc>
      </w:tr>
    </w:tbl>
    <w:p>
      <w:pPr>
        <w:pStyle w:val="TextBody"/>
        <w:bidi w:val="0"/>
        <w:spacing w:before="40" w:after="0"/>
        <w:jc w:val="left"/>
        <w:rPr>
          <w:rFonts w:ascii="Arial;sans-serif" w:hAnsi="Arial;sans-serif"/>
          <w:b w:val="false"/>
          <w:sz w:val="20"/>
        </w:rPr>
      </w:pPr>
      <w:r>
        <w:rPr>
          <w:rFonts w:ascii="Arial;sans-serif" w:hAnsi="Arial;sans-serif"/>
          <w:b w:val="false"/>
          <w:sz w:val="20"/>
        </w:rPr>
        <w:t>* Certain schedules to this Exhibit omitted pursuant to Regulation S-K Item 601(b)(2) or 601(a)(5) (as applicable). Viasat agrees to furnish a supplemental copy of any omitted schedule to the SEC upon request; provided, however, that Viasat may request confidential treatment pursuant to Rule 24b-2 of the Exchange Act for any document so furnished.</w:t>
      </w:r>
    </w:p>
    <w:p>
      <w:pPr>
        <w:pStyle w:val="TextBody"/>
        <w:bidi w:val="0"/>
        <w:spacing w:before="40" w:after="0"/>
        <w:jc w:val="left"/>
        <w:rPr>
          <w:rFonts w:ascii="Times New Roman" w:hAnsi="Times New Roman"/>
          <w:sz w:val="20"/>
        </w:rPr>
      </w:pPr>
      <w:r>
        <w:rPr>
          <w:rFonts w:ascii="Arial;sans-serif" w:hAnsi="Arial;sans-serif"/>
          <w:b w:val="false"/>
          <w:sz w:val="20"/>
        </w:rPr>
        <w:t>** Indicates management contract, compensatory plan or arrangement.</w:t>
      </w:r>
      <w:r>
        <w:rPr>
          <w:rFonts w:ascii="Times New Roman" w:hAnsi="Times New Roman"/>
          <w:sz w:val="20"/>
        </w:rPr>
        <w:t xml:space="preserve"> </w:t>
      </w:r>
    </w:p>
    <w:p>
      <w:pPr>
        <w:pStyle w:val="TextBody"/>
        <w:bidi w:val="0"/>
        <w:spacing w:before="120" w:after="0"/>
        <w:jc w:val="left"/>
        <w:rPr>
          <w:rFonts w:ascii="Arial" w:hAnsi="Arial"/>
          <w:b w:val="false"/>
          <w:sz w:val="20"/>
        </w:rPr>
      </w:pPr>
      <w:r>
        <w:rPr>
          <w:rFonts w:ascii="Arial" w:hAnsi="Arial"/>
          <w:b w:val="false"/>
          <w:sz w:val="20"/>
        </w:rPr>
        <w:t>(p)</w:t>
      </w:r>
    </w:p>
    <w:p>
      <w:pPr>
        <w:pStyle w:val="TextBody"/>
        <w:bidi w:val="0"/>
        <w:spacing w:before="120" w:after="283"/>
        <w:jc w:val="left"/>
        <w:rPr>
          <w:rFonts w:ascii="Arial;sans-serif" w:hAnsi="Arial;sans-serif"/>
          <w:b w:val="false"/>
          <w:sz w:val="20"/>
        </w:rPr>
      </w:pPr>
      <w:r>
        <w:rPr>
          <w:rFonts w:ascii="Arial;sans-serif" w:hAnsi="Arial;sans-serif"/>
          <w:b w:val="false"/>
          <w:sz w:val="20"/>
        </w:rPr>
        <w:t>Filed in paper.</w:t>
      </w:r>
    </w:p>
    <w:p>
      <w:pPr>
        <w:pStyle w:val="TextBody"/>
        <w:bidi w:val="0"/>
        <w:spacing w:before="270" w:after="0"/>
        <w:jc w:val="left"/>
        <w:rPr>
          <w:rFonts w:ascii="Times New Roman" w:hAnsi="Times New Roman"/>
          <w:sz w:val="20"/>
        </w:rPr>
      </w:pPr>
      <w:bookmarkStart w:id="27" w:name="item_16_form_10k_summary"/>
      <w:bookmarkEnd w:id="27"/>
      <w:r>
        <w:rPr>
          <w:rFonts w:ascii="Arial;sans-serif" w:hAnsi="Arial;sans-serif"/>
          <w:b/>
          <w:sz w:val="20"/>
        </w:rPr>
        <w:t>ITEM 16</w:t>
      </w:r>
      <w:r>
        <w:rPr>
          <w:rFonts w:ascii="Arial;sans-serif" w:hAnsi="Arial;sans-serif"/>
          <w:b/>
          <w:i/>
          <w:sz w:val="20"/>
        </w:rPr>
        <w:t>. FORM 10-K SUMMARY</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None.</w:t>
      </w:r>
    </w:p>
    <w:p>
      <w:pPr>
        <w:pStyle w:val="TextBody"/>
        <w:bidi w:val="0"/>
        <w:spacing w:before="240" w:after="0"/>
        <w:jc w:val="center"/>
        <w:rPr>
          <w:rFonts w:ascii="Arial;sans-serif" w:hAnsi="Arial;sans-serif"/>
          <w:b w:val="false"/>
          <w:sz w:val="20"/>
        </w:rPr>
      </w:pPr>
      <w:r>
        <w:rPr>
          <w:rFonts w:ascii="Arial;sans-serif" w:hAnsi="Arial;sans-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28" w:name="signatures"/>
      <w:bookmarkEnd w:id="28"/>
      <w:r>
        <w:rPr>
          <w:rFonts w:ascii="Arial;sans-serif" w:hAnsi="Arial;sans-serif"/>
          <w:b/>
          <w:sz w:val="20"/>
        </w:rPr>
        <w:t>SIGNATURES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5173" w:type="dxa"/>
        <w:jc w:val="left"/>
        <w:tblInd w:w="0" w:type="dxa"/>
        <w:tblLayout w:type="fixed"/>
        <w:tblCellMar>
          <w:top w:w="28" w:type="dxa"/>
          <w:left w:w="28" w:type="dxa"/>
          <w:bottom w:w="28" w:type="dxa"/>
          <w:right w:w="28" w:type="dxa"/>
        </w:tblCellMar>
      </w:tblPr>
      <w:tblGrid>
        <w:gridCol w:w="466"/>
        <w:gridCol w:w="146"/>
        <w:gridCol w:w="4561"/>
      </w:tblGrid>
      <w:tr>
        <w:trPr/>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5173" w:type="dxa"/>
            <w:gridSpan w:val="3"/>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VIASAT, INC.</w:t>
            </w:r>
          </w:p>
        </w:tc>
      </w:tr>
      <w:tr>
        <w:trPr/>
        <w:tc>
          <w:tcPr>
            <w:tcW w:w="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pPr>
            <w:r>
              <w:rPr/>
              <w:t> </w:t>
            </w:r>
          </w:p>
        </w:tc>
      </w:tr>
      <w:tr>
        <w:trPr/>
        <w:tc>
          <w:tcPr>
            <w:tcW w:w="466"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By:</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/s/ MARK DANKBERG</w:t>
            </w:r>
          </w:p>
        </w:tc>
      </w:tr>
      <w:tr>
        <w:trPr/>
        <w:tc>
          <w:tcPr>
            <w:tcW w:w="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Chairman of the Board and Chief Executive Officer</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Date: May 22, 2023</w:t>
      </w:r>
      <w:r>
        <w:rPr>
          <w:rFonts w:ascii="Times New Roman" w:hAnsi="Times New Roman"/>
          <w:sz w:val="20"/>
        </w:rPr>
        <w:t xml:space="preserve"> </w:t>
      </w:r>
    </w:p>
    <w:p>
      <w:pPr>
        <w:pStyle w:val="TextBody"/>
        <w:bidi w:val="0"/>
        <w:spacing w:before="180" w:after="0"/>
        <w:jc w:val="left"/>
        <w:rPr>
          <w:rFonts w:ascii="Times New Roman" w:hAnsi="Times New Roman"/>
          <w:sz w:val="20"/>
        </w:rPr>
      </w:pPr>
      <w:bookmarkStart w:id="29" w:name="power_of_a"/>
      <w:bookmarkEnd w:id="29"/>
      <w:r>
        <w:rPr>
          <w:rFonts w:ascii="Arial;sans-serif" w:hAnsi="Arial;sans-serif"/>
          <w:b w:val="false"/>
          <w:sz w:val="20"/>
        </w:rPr>
        <w:t>Know all persons by these presents, that each person whose signature appears below constitutes and appoints Mark Dankberg and Shawn Duffy, jointly and severally, his or her attorneys-in-fact, each with the full power of substitution, for him or her in any and all capacities, to sign any amendments to this Annual Report on Form 10-K, and to file the same, with all exhibits thereto and other documents in connection the</w:t>
      </w:r>
      <w:bookmarkStart w:id="30" w:name="know_all_persons_by_se_presents_that_eac"/>
      <w:bookmarkEnd w:id="30"/>
      <w:r>
        <w:rPr>
          <w:rFonts w:ascii="Arial;sans-serif" w:hAnsi="Arial;sans-serif"/>
          <w:b w:val="false"/>
          <w:sz w:val="20"/>
        </w:rPr>
        <w:t>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r>
        <w:rPr>
          <w:rFonts w:ascii="Times New Roman" w:hAnsi="Times New Roman"/>
          <w:sz w:val="20"/>
        </w:rPr>
        <w:t xml:space="preserve"> </w:t>
      </w:r>
    </w:p>
    <w:p>
      <w:pPr>
        <w:pStyle w:val="TextBody"/>
        <w:bidi w:val="0"/>
        <w:spacing w:before="0" w:after="0"/>
        <w:jc w:val="left"/>
        <w:rPr/>
      </w:pPr>
      <w:r>
        <w:rPr/>
        <w:t> </w:t>
      </w:r>
    </w:p>
    <w:tbl>
      <w:tblPr>
        <w:tblW w:w="8605" w:type="dxa"/>
        <w:jc w:val="left"/>
        <w:tblInd w:w="0" w:type="dxa"/>
        <w:tblLayout w:type="fixed"/>
        <w:tblCellMar>
          <w:top w:w="28" w:type="dxa"/>
          <w:left w:w="28" w:type="dxa"/>
          <w:bottom w:w="28" w:type="dxa"/>
          <w:right w:w="28" w:type="dxa"/>
        </w:tblCellMar>
      </w:tblPr>
      <w:tblGrid>
        <w:gridCol w:w="2461"/>
        <w:gridCol w:w="146"/>
        <w:gridCol w:w="4516"/>
        <w:gridCol w:w="146"/>
        <w:gridCol w:w="133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Date</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MARK DANKBERG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Chairman of the Board and Chief Executive Officer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Dankberg</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(Principal Executive Officer)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SHAWN DUFFY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Vice President and</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Shawn Duffy</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Financial Officer</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(Principal Financial and Accounting Officer)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RICHARD BALDRIDGE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Vice Chairman</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Richard Baldridge</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JAMES BRIDENSTINE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James Bridenstine</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ROBERT JOHNSON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Robert Johnson</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SEAN PAK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Sean Pak</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VARSHA RAO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Varsha Rao</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JOHN STENBIT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John Stenbit</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THERESA WISE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Theresa Wise</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31" w:name="report_independent_registered_public_acc"/>
      <w:bookmarkEnd w:id="31"/>
      <w:r>
        <w:rPr>
          <w:rFonts w:ascii="Arial;sans-serif" w:hAnsi="Arial;sans-serif"/>
          <w:b/>
          <w:sz w:val="20"/>
        </w:rPr>
        <w:t>Report of Independent Registered Public Accounting Firm</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To the Board of Directors and Stockholders of Viasat, Inc.</w:t>
      </w:r>
      <w:r>
        <w:rPr>
          <w:rFonts w:ascii="Times New Roman" w:hAnsi="Times New Roman"/>
          <w:sz w:val="20"/>
        </w:rPr>
        <w:t xml:space="preserve"> </w:t>
      </w:r>
    </w:p>
    <w:p>
      <w:pPr>
        <w:pStyle w:val="TextBody"/>
        <w:bidi w:val="0"/>
        <w:spacing w:before="0" w:after="0"/>
        <w:jc w:val="left"/>
        <w:rPr/>
      </w:pPr>
      <w:r>
        <w:rPr/>
        <w:t> </w:t>
      </w:r>
    </w:p>
    <w:p>
      <w:pPr>
        <w:pStyle w:val="TextBody"/>
        <w:bidi w:val="0"/>
        <w:spacing w:before="70" w:after="0"/>
        <w:jc w:val="left"/>
        <w:rPr>
          <w:rFonts w:ascii="Arial;sans-serif" w:hAnsi="Arial;sans-serif"/>
          <w:b/>
          <w:i/>
          <w:sz w:val="20"/>
        </w:rPr>
      </w:pPr>
      <w:r>
        <w:rPr>
          <w:rFonts w:ascii="Arial;sans-serif" w:hAnsi="Arial;sans-serif"/>
          <w:b/>
          <w:i/>
          <w:sz w:val="20"/>
        </w:rPr>
        <w:t>Opinions on the Financial Statements and Internal Control over Financial Reporting</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 xml:space="preserve">We have audited the accompanying consolidated balance sheets of Viasat, Inc. and its subsidiaries (the “Company”) as of March 31, 2023 and 2022, and the related consolidated statements of operations and comprehensive income (loss), of equity, and of cash flows for each of the three years in the period ended March 31, 2023, including the related notes and financial statement schedule listed in the index appearing under Item 15(a)(2) (collectively referred to as the “consolidated financial statements”). We also have audited the Company's internal control over financial reporting as of March 31, 2023, based on criteria established in </w:t>
      </w:r>
      <w:r>
        <w:rPr>
          <w:rFonts w:ascii="Arial;sans-serif" w:hAnsi="Arial;sans-serif"/>
          <w:b w:val="false"/>
          <w:i/>
          <w:sz w:val="20"/>
        </w:rPr>
        <w:t>Internal Control - Integrated Framework</w:t>
      </w:r>
      <w:r>
        <w:rPr>
          <w:rFonts w:ascii="Times New Roman" w:hAnsi="Times New Roman"/>
          <w:sz w:val="20"/>
        </w:rPr>
        <w:t xml:space="preserve"> </w:t>
      </w:r>
      <w:r>
        <w:rPr>
          <w:rFonts w:ascii="Arial;sans-serif" w:hAnsi="Arial;sans-serif"/>
          <w:b w:val="false"/>
          <w:sz w:val="20"/>
        </w:rPr>
        <w:t>(2013) issued by the Committee of Sponsoring Organizations of the Treadway Commission (COSO).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 xml:space="preserve">In our opinion, the consolidated financial statements referred to above present fairly, in all material respects, the financial position of the Company as of March 31, 2023 and 2022, and the results of its operations and its cash flows for each of the three years in the period ended March 31, 2023 in conformity with accounting principles generally accepted in the United States of America. Also in our opinion, the Company maintained, in all material respects, effective internal control over financial reporting as of March 31, 2023, based on criteria established in </w:t>
      </w:r>
      <w:r>
        <w:rPr>
          <w:rFonts w:ascii="Arial;sans-serif" w:hAnsi="Arial;sans-serif"/>
          <w:b w:val="false"/>
          <w:i/>
          <w:sz w:val="20"/>
        </w:rPr>
        <w:t>Internal Control - Integrated Framework</w:t>
      </w:r>
      <w:r>
        <w:rPr>
          <w:rFonts w:ascii="Times New Roman" w:hAnsi="Times New Roman"/>
          <w:sz w:val="20"/>
        </w:rPr>
        <w:t xml:space="preserve"> </w:t>
      </w:r>
      <w:r>
        <w:rPr>
          <w:rFonts w:ascii="Arial;sans-serif" w:hAnsi="Arial;sans-serif"/>
          <w:b w:val="false"/>
          <w:sz w:val="20"/>
        </w:rPr>
        <w:t>(2013) issued by the COSO.</w:t>
      </w:r>
    </w:p>
    <w:p>
      <w:pPr>
        <w:pStyle w:val="TextBody"/>
        <w:bidi w:val="0"/>
        <w:spacing w:before="0" w:after="0"/>
        <w:jc w:val="left"/>
        <w:rPr/>
      </w:pPr>
      <w:r>
        <w:rPr/>
        <w:t> </w:t>
      </w:r>
    </w:p>
    <w:p>
      <w:pPr>
        <w:pStyle w:val="TextBody"/>
        <w:bidi w:val="0"/>
        <w:spacing w:before="70" w:after="0"/>
        <w:jc w:val="left"/>
        <w:rPr>
          <w:rFonts w:ascii="Arial;sans-serif" w:hAnsi="Arial;sans-serif"/>
          <w:b/>
          <w:i/>
          <w:sz w:val="20"/>
        </w:rPr>
      </w:pPr>
      <w:r>
        <w:rPr>
          <w:rFonts w:ascii="Arial;sans-serif" w:hAnsi="Arial;sans-serif"/>
          <w:b/>
          <w:i/>
          <w:sz w:val="20"/>
        </w:rPr>
        <w:t>Basis for Opinions</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t> </w:t>
      </w:r>
    </w:p>
    <w:p>
      <w:pPr>
        <w:pStyle w:val="TextBody"/>
        <w:bidi w:val="0"/>
        <w:spacing w:before="70" w:after="0"/>
        <w:jc w:val="left"/>
        <w:rPr>
          <w:rFonts w:ascii="Arial;sans-serif" w:hAnsi="Arial;sans-serif"/>
          <w:b/>
          <w:i/>
          <w:sz w:val="20"/>
        </w:rPr>
      </w:pPr>
      <w:r>
        <w:rPr>
          <w:rFonts w:ascii="Arial;sans-serif" w:hAnsi="Arial;sans-serif"/>
          <w:b/>
          <w:i/>
          <w:sz w:val="20"/>
        </w:rPr>
        <w:t>Definition and Limitations of Internal Control over Financial Reporting</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t> </w:t>
      </w:r>
    </w:p>
    <w:p>
      <w:pPr>
        <w:pStyle w:val="TextBody"/>
        <w:bidi w:val="0"/>
        <w:spacing w:before="70" w:after="0"/>
        <w:jc w:val="left"/>
        <w:rPr>
          <w:rFonts w:ascii="Arial;sans-serif" w:hAnsi="Arial;sans-serif"/>
          <w:b/>
          <w:i/>
          <w:sz w:val="20"/>
        </w:rPr>
      </w:pPr>
      <w:r>
        <w:rPr>
          <w:rFonts w:ascii="Arial;sans-serif" w:hAnsi="Arial;sans-serif"/>
          <w:b/>
          <w:i/>
          <w:sz w:val="20"/>
        </w:rPr>
        <w:t>Critical Audit Matters</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t> </w:t>
      </w:r>
    </w:p>
    <w:p>
      <w:pPr>
        <w:pStyle w:val="TextBody"/>
        <w:bidi w:val="0"/>
        <w:spacing w:before="70" w:after="0"/>
        <w:jc w:val="left"/>
        <w:rPr>
          <w:rFonts w:ascii="Arial;sans-serif" w:hAnsi="Arial;sans-serif"/>
          <w:b w:val="false"/>
          <w:i/>
          <w:sz w:val="20"/>
        </w:rPr>
      </w:pPr>
      <w:r>
        <w:rPr>
          <w:rFonts w:ascii="Arial;sans-serif" w:hAnsi="Arial;sans-serif"/>
          <w:b w:val="false"/>
          <w:i/>
          <w:sz w:val="20"/>
        </w:rPr>
        <w:t>Revenue Recognition – Estimated Costs at Completion</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As described in Note 1 to the consolidated financial statements, the vast majority of the Company’s revenues from long-term contracts to develop and deliver complex equipment built to customer specifications are derived from contracts with the U.S. government. A portion of the Company’s total revenues of $2.6 billion for the year ended March 31, 2023 are from long-term contracts. 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principal considerations for our determination that performing procedures relating to revenue recognition – estimated costs at completion is a critical audit matter are the significant judgment by management when developing the estimated costs at completion on individual fixed-price contracts, which in turn led to a high degree of auditor judgment, subjectivity and effort in performing procedures and evaluating the estimated costs at completion related to the assessment of management’s judgment as it relates to the subcontractor performance, material costs and availability, labor costs and productivity, and the costs of overhead.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completeness and accuracy of estimated costs at completion. The procedures also included, among others, (i) evaluating and testing management’s process for developing estimates of total estimated costs at completion for long-term contracts for a sample of contracts; (ii) testing the completeness and accuracy of costs incurred to date and (iii) evaluating the reasonableness of significant estimates used by management related to subcontractor performance, material costs, labor costs, and overhead costs, and considering factors that could affect the accuracy of those estimates. Evaluating the reasonableness of the significant assumptions used involved assessing management’s ability to reasonably estimate costs at completion by (i) testing samples of third-party quotes or bids for materials and subcontractor services; (ii) assessing the reasonableness of estimates of total costs at completion in comparison to actual total costs incurred to date; (iii) recalculating estimated labor and overhead, and (iv) evaluating the timely identification of circumstances that may warrant a modification to estimated costs to complete, including actual costs in excess of estimates.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/s/ PricewaterhouseCoopers LLP</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San Diego, California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Arial;sans-serif" w:hAnsi="Arial;sans-serif"/>
          <w:b w:val="false"/>
          <w:sz w:val="20"/>
        </w:rPr>
        <w:t>May 22, 2023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We have served as the Company’s auditor since 1992.</w:t>
      </w:r>
    </w:p>
    <w:p>
      <w:pPr>
        <w:pStyle w:val="TextBody"/>
        <w:bidi w:val="0"/>
        <w:spacing w:before="240" w:after="0"/>
        <w:jc w:val="center"/>
        <w:rPr>
          <w:rFonts w:ascii="Arial;sans-serif" w:hAnsi="Arial;sans-serif"/>
          <w:b w:val="false"/>
          <w:sz w:val="20"/>
        </w:rPr>
      </w:pPr>
      <w:r>
        <w:rPr>
          <w:rFonts w:ascii="Arial;sans-serif" w:hAnsi="Arial;sans-serif"/>
          <w:b w:val="false"/>
          <w:sz w:val="20"/>
        </w:rPr>
        <w:t>F-2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32" w:name="consolidated_balance_sheets"/>
      <w:bookmarkEnd w:id="32"/>
      <w:r>
        <w:rPr>
          <w:rFonts w:ascii="Arial;sans-serif" w:hAnsi="Arial;sans-serif"/>
          <w:b/>
          <w:sz w:val="20"/>
        </w:rPr>
        <w:t>CONSOLIDATED BALANCE SHEETS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411"/>
        <w:gridCol w:w="146"/>
        <w:gridCol w:w="232"/>
        <w:gridCol w:w="1059"/>
        <w:gridCol w:w="166"/>
        <w:gridCol w:w="146"/>
        <w:gridCol w:w="232"/>
        <w:gridCol w:w="1059"/>
        <w:gridCol w:w="754"/>
      </w:tblGrid>
      <w:tr>
        <w:trPr/>
        <w:tc>
          <w:tcPr>
            <w:tcW w:w="6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6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2022</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94"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 except share data)</w:t>
            </w:r>
          </w:p>
        </w:tc>
        <w:tc>
          <w:tcPr>
            <w:tcW w:w="754" w:type="dxa"/>
            <w:tcBorders/>
            <w:vAlign w:val="center"/>
          </w:tcPr>
          <w:p>
            <w:pPr>
              <w:pStyle w:val="TableContents"/>
              <w:bidi w:val="0"/>
              <w:spacing w:before="0" w:after="0"/>
              <w:ind w:left="0" w:right="0" w:hanging="0"/>
              <w:jc w:val="center"/>
              <w:rPr/>
            </w:pPr>
            <w:r>
              <w:rPr/>
              <w:t> </w:t>
            </w:r>
          </w:p>
        </w:tc>
      </w:tr>
      <w:tr>
        <w:trPr/>
        <w:tc>
          <w:tcPr>
            <w:tcW w:w="6411"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ASSETS</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firstLine="280"/>
              <w:jc w:val="righ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1,348,854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310,459</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30,532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419,934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312,172</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268,563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197,864</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176,629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141,386</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Current assets of discontinued operations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197,591</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2,244,512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1,159,472</w:t>
            </w:r>
          </w:p>
        </w:tc>
        <w:tc>
          <w:tcPr>
            <w:tcW w:w="754" w:type="dxa"/>
            <w:tcBorders/>
            <w:vAlign w:val="center"/>
          </w:tcPr>
          <w:p>
            <w:pPr>
              <w:pStyle w:val="TableContents"/>
              <w:bidi w:val="0"/>
              <w:spacing w:before="0" w:after="0"/>
              <w:ind w:left="0" w:right="0" w:firstLine="160"/>
              <w:jc w:val="left"/>
              <w:rPr/>
            </w:pPr>
            <w:r>
              <w:rPr/>
              <w:t> </w:t>
            </w:r>
          </w:p>
        </w:tc>
      </w:tr>
      <w:tr>
        <w:trPr/>
        <w:tc>
          <w:tcPr>
            <w:tcW w:w="6411" w:type="dxa"/>
            <w:tcBorders/>
            <w:vAlign w:val="center"/>
          </w:tcPr>
          <w:p>
            <w:pPr>
              <w:pStyle w:val="TableContents"/>
              <w:bidi w:val="0"/>
              <w:spacing w:before="0" w:after="0"/>
              <w:ind w:left="16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equipment and satellites, net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4,378,283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3,704,991</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281,757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343,339</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acquired intangible assets, net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201,205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236,043</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168,710</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466,038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699,280</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Non-current assets of discontinued operations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77,511</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7,730,337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6,389,346</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6411" w:type="dxa"/>
            <w:tcBorders/>
            <w:vAlign w:val="center"/>
          </w:tcPr>
          <w:p>
            <w:pPr>
              <w:pStyle w:val="TableContents"/>
              <w:bidi w:val="0"/>
              <w:spacing w:before="0" w:after="0"/>
              <w:ind w:left="16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 </w:t>
            </w:r>
          </w:p>
        </w:tc>
      </w:tr>
      <w:tr>
        <w:trPr/>
        <w:tc>
          <w:tcPr>
            <w:tcW w:w="6411"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LIABILITIES AND EQUITY</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firstLine="280"/>
              <w:jc w:val="righ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271,548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200,673</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Accrued and other liabilities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647,232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482,564</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Current portion of long-term debt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34,911</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Current liabilities of discontinued operations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52,273</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956,719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770,421</w:t>
            </w:r>
          </w:p>
        </w:tc>
        <w:tc>
          <w:tcPr>
            <w:tcW w:w="754" w:type="dxa"/>
            <w:tcBorders/>
            <w:vAlign w:val="center"/>
          </w:tcPr>
          <w:p>
            <w:pPr>
              <w:pStyle w:val="TableContents"/>
              <w:bidi w:val="0"/>
              <w:spacing w:before="0" w:after="0"/>
              <w:ind w:left="0" w:right="0" w:firstLine="160"/>
              <w:jc w:val="left"/>
              <w:rPr/>
            </w:pPr>
            <w:r>
              <w:rPr/>
              <w:t> </w:t>
            </w:r>
          </w:p>
        </w:tc>
      </w:tr>
      <w:tr>
        <w:trPr/>
        <w:tc>
          <w:tcPr>
            <w:tcW w:w="6411" w:type="dxa"/>
            <w:tcBorders/>
            <w:vAlign w:val="center"/>
          </w:tcPr>
          <w:p>
            <w:pPr>
              <w:pStyle w:val="TableContents"/>
              <w:bidi w:val="0"/>
              <w:spacing w:before="0" w:after="0"/>
              <w:ind w:left="16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notes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1,689,186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1,686,225</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long-term debt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732,315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764,991</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273,006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316,178</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218,542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153,156</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Non-current liabilities of discontinued operations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15,781</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3,869,768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3,706,752</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Commitments and contingencies</w:t>
            </w:r>
            <w:r>
              <w:rPr>
                <w:rFonts w:ascii="Times New Roman" w:hAnsi="Times New Roman"/>
                <w:sz w:val="20"/>
              </w:rPr>
              <w:t> </w:t>
            </w:r>
            <w:r>
              <w:rPr>
                <w:rFonts w:ascii="Arial;sans-serif" w:hAnsi="Arial;sans-serif"/>
                <w:b w:val="false"/>
                <w:sz w:val="20"/>
              </w:rPr>
              <w:t>(Notes 13 and 14)</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Viasat, Inc. stockholders’ equity</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firstLine="280"/>
              <w:jc w:val="right"/>
              <w:rPr/>
            </w:pPr>
            <w:r>
              <w:rPr/>
              <w:t> </w:t>
            </w:r>
          </w:p>
        </w:tc>
      </w:tr>
      <w:tr>
        <w:trPr/>
        <w:tc>
          <w:tcPr>
            <w:tcW w:w="6411" w:type="dxa"/>
            <w:tcBorders/>
            <w:vAlign w:val="center"/>
          </w:tcPr>
          <w:p>
            <w:pPr>
              <w:pStyle w:val="TableContents"/>
              <w:bidi w:val="0"/>
              <w:spacing w:before="0" w:after="0"/>
              <w:ind w:left="280" w:right="0" w:hanging="0"/>
              <w:jc w:val="left"/>
              <w:rPr>
                <w:rFonts w:ascii="Times New Roman" w:hAnsi="Times New Roman"/>
                <w:sz w:val="20"/>
              </w:rPr>
            </w:pPr>
            <w:r>
              <w:rPr>
                <w:rFonts w:ascii="Arial;sans-serif" w:hAnsi="Arial;sans-serif"/>
                <w:b w:val="false"/>
                <w:sz w:val="20"/>
              </w:rPr>
              <w:t>Preferred stock, $0.0001</w:t>
            </w:r>
            <w:r>
              <w:rPr>
                <w:rFonts w:ascii="Times New Roman" w:hAnsi="Times New Roman"/>
                <w:sz w:val="20"/>
              </w:rPr>
              <w:t> </w:t>
            </w:r>
            <w:r>
              <w:rPr>
                <w:rFonts w:ascii="Arial;sans-serif" w:hAnsi="Arial;sans-serif"/>
                <w:b w:val="false"/>
                <w:sz w:val="20"/>
              </w:rPr>
              <w:t>par value; 5,000,000</w:t>
            </w:r>
            <w:r>
              <w:rPr>
                <w:rFonts w:ascii="Times New Roman" w:hAnsi="Times New Roman"/>
                <w:sz w:val="20"/>
              </w:rPr>
              <w:t> </w:t>
            </w:r>
            <w:r>
              <w:rPr>
                <w:rFonts w:ascii="Arial;sans-serif" w:hAnsi="Arial;sans-serif"/>
                <w:b w:val="false"/>
                <w:sz w:val="20"/>
              </w:rPr>
              <w:t>shares authorized;</w:t>
              <w:br/>
              <w:t>   no</w:t>
            </w:r>
            <w:r>
              <w:rPr>
                <w:rFonts w:ascii="Times New Roman" w:hAnsi="Times New Roman"/>
                <w:sz w:val="20"/>
              </w:rPr>
              <w:t> </w:t>
            </w:r>
            <w:r>
              <w:rPr>
                <w:rFonts w:ascii="Arial;sans-serif" w:hAnsi="Arial;sans-serif"/>
                <w:b w:val="false"/>
                <w:sz w:val="20"/>
              </w:rPr>
              <w:t>shares issued and outstanding at March 31, 2023 and 2022,</w:t>
              <w:br/>
              <w:t>   respectively</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Times New Roman" w:hAnsi="Times New Roman"/>
                <w:sz w:val="20"/>
              </w:rPr>
            </w:pPr>
            <w:r>
              <w:rPr>
                <w:rFonts w:ascii="Arial;sans-serif" w:hAnsi="Arial;sans-serif"/>
                <w:b w:val="false"/>
                <w:sz w:val="20"/>
              </w:rPr>
              <w:t>Common stock, $0.0001</w:t>
            </w:r>
            <w:r>
              <w:rPr>
                <w:rFonts w:ascii="Times New Roman" w:hAnsi="Times New Roman"/>
                <w:sz w:val="20"/>
              </w:rPr>
              <w:t> </w:t>
            </w:r>
            <w:r>
              <w:rPr>
                <w:rFonts w:ascii="Arial;sans-serif" w:hAnsi="Arial;sans-serif"/>
                <w:b w:val="false"/>
                <w:sz w:val="20"/>
              </w:rPr>
              <w:t>par value, 100,000,000</w:t>
            </w:r>
            <w:r>
              <w:rPr>
                <w:rFonts w:ascii="Times New Roman" w:hAnsi="Times New Roman"/>
                <w:sz w:val="20"/>
              </w:rPr>
              <w:t> </w:t>
            </w:r>
            <w:r>
              <w:rPr>
                <w:rFonts w:ascii="Arial;sans-serif" w:hAnsi="Arial;sans-serif"/>
                <w:b w:val="false"/>
                <w:sz w:val="20"/>
              </w:rPr>
              <w:t>shares authorized;</w:t>
              <w:br/>
              <w:t>   76,912,016</w:t>
            </w:r>
            <w:r>
              <w:rPr>
                <w:rFonts w:ascii="Times New Roman" w:hAnsi="Times New Roman"/>
                <w:sz w:val="20"/>
              </w:rPr>
              <w:t> </w:t>
            </w:r>
            <w:r>
              <w:rPr>
                <w:rFonts w:ascii="Arial;sans-serif" w:hAnsi="Arial;sans-serif"/>
                <w:b w:val="false"/>
                <w:sz w:val="20"/>
              </w:rPr>
              <w:t>and 74,428,816</w:t>
            </w:r>
            <w:r>
              <w:rPr>
                <w:rFonts w:ascii="Times New Roman" w:hAnsi="Times New Roman"/>
                <w:sz w:val="20"/>
              </w:rPr>
              <w:t> </w:t>
            </w:r>
            <w:r>
              <w:rPr>
                <w:rFonts w:ascii="Arial;sans-serif" w:hAnsi="Arial;sans-serif"/>
                <w:b w:val="false"/>
                <w:sz w:val="20"/>
              </w:rPr>
              <w:t>shares outstanding at March 31, 2023 and 2022,</w:t>
              <w:br/>
              <w:t>   respectively</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Paid-in capital</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2,540,679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2,421,950</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Retained earnings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1,318,336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233,530</w:t>
            </w:r>
          </w:p>
        </w:tc>
        <w:tc>
          <w:tcPr>
            <w:tcW w:w="754" w:type="dxa"/>
            <w:tcBorders/>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Accumulated other comprehensive income (loss)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(21,621</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Viasat, Inc. stockholders’ equity</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3,824,310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2,633,866</w:t>
            </w:r>
          </w:p>
        </w:tc>
        <w:tc>
          <w:tcPr>
            <w:tcW w:w="754" w:type="dxa"/>
            <w:tcBorders/>
            <w:vAlign w:val="center"/>
          </w:tcPr>
          <w:p>
            <w:pPr>
              <w:pStyle w:val="TableContents"/>
              <w:bidi w:val="0"/>
              <w:spacing w:before="0" w:after="0"/>
              <w:ind w:left="0" w:right="0" w:hanging="0"/>
              <w:jc w:val="left"/>
              <w:rPr/>
            </w:pPr>
            <w:r>
              <w:rPr/>
              <w:t> </w:t>
            </w:r>
          </w:p>
        </w:tc>
      </w:tr>
      <w:tr>
        <w:trPr/>
        <w:tc>
          <w:tcPr>
            <w:tcW w:w="6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Noncontrolling interest in subsidiary</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36,259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48,728</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641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equity</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3,860,569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2,682,594</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6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liabilities and equity</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7,730,337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6,389,346</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val="false"/>
          <w:sz w:val="20"/>
        </w:rPr>
        <w:t>See accompanying notes to the consolidated financial statements.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33" w:name="consolidated_statements_operations_compr"/>
      <w:bookmarkEnd w:id="33"/>
      <w:r>
        <w:rPr>
          <w:rFonts w:ascii="Arial;sans-serif" w:hAnsi="Arial;sans-serif"/>
          <w:b/>
          <w:sz w:val="20"/>
        </w:rPr>
        <w:t>CONSOLIDATED STATEMENTS OF OPERATIONS AND COMPREHENSIVE INCOME (LOSS)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428"/>
        <w:gridCol w:w="146"/>
        <w:gridCol w:w="211"/>
        <w:gridCol w:w="961"/>
        <w:gridCol w:w="166"/>
        <w:gridCol w:w="146"/>
        <w:gridCol w:w="211"/>
        <w:gridCol w:w="961"/>
        <w:gridCol w:w="166"/>
        <w:gridCol w:w="146"/>
        <w:gridCol w:w="211"/>
        <w:gridCol w:w="961"/>
        <w:gridCol w:w="491"/>
      </w:tblGrid>
      <w:tr>
        <w:trPr/>
        <w:tc>
          <w:tcPr>
            <w:tcW w:w="5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42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4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2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2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40"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 except per share data)</w:t>
            </w:r>
          </w:p>
        </w:tc>
        <w:tc>
          <w:tcPr>
            <w:tcW w:w="491" w:type="dxa"/>
            <w:tcBorders/>
            <w:vAlign w:val="center"/>
          </w:tcPr>
          <w:p>
            <w:pPr>
              <w:pStyle w:val="TableContents"/>
              <w:bidi w:val="0"/>
              <w:spacing w:before="0" w:after="0"/>
              <w:ind w:left="0" w:right="0" w:hanging="0"/>
              <w:jc w:val="center"/>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954,126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860,726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739,373</w:t>
            </w:r>
          </w:p>
        </w:tc>
        <w:tc>
          <w:tcPr>
            <w:tcW w:w="491" w:type="dxa"/>
            <w:tcBorders/>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1,602,032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1,556,453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1,181,505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2,556,158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2,417,179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1,920,878</w:t>
            </w:r>
          </w:p>
        </w:tc>
        <w:tc>
          <w:tcPr>
            <w:tcW w:w="491" w:type="dxa"/>
            <w:tcBorders/>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Cost of product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736,446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699,549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584,151</w:t>
            </w:r>
          </w:p>
        </w:tc>
        <w:tc>
          <w:tcPr>
            <w:tcW w:w="491" w:type="dxa"/>
            <w:tcBorders/>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Cost of service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1,098,308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1,011,726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771,538</w:t>
            </w:r>
          </w:p>
        </w:tc>
        <w:tc>
          <w:tcPr>
            <w:tcW w:w="491" w:type="dxa"/>
            <w:tcBorders/>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Selling, general and administrative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718,626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640,842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497,159</w:t>
            </w:r>
          </w:p>
        </w:tc>
        <w:tc>
          <w:tcPr>
            <w:tcW w:w="491" w:type="dxa"/>
            <w:tcBorders/>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Independent research and development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128,923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108,501</w:t>
            </w:r>
          </w:p>
        </w:tc>
        <w:tc>
          <w:tcPr>
            <w:tcW w:w="491" w:type="dxa"/>
            <w:tcBorders/>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Amortization of acquired intangible assets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29,811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28,729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5,482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(155,956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(113,141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(45,953</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(expense):</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income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440</w:t>
            </w:r>
          </w:p>
        </w:tc>
        <w:tc>
          <w:tcPr>
            <w:tcW w:w="491" w:type="dxa"/>
            <w:tcBorders/>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(26,809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(29,391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(32,687</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continuing operations before income taxes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(162,155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(137,910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(78,200</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(Provision for) benefit from income taxes from 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(49,418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36,517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11,194</w:t>
            </w:r>
          </w:p>
        </w:tc>
        <w:tc>
          <w:tcPr>
            <w:tcW w:w="491" w:type="dxa"/>
            <w:tcBorders/>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 in income (loss) of unconsolidated affiliate, net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(211,639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(101,674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(66,450</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net of tax</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1,302,387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99,191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83,551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1,090,748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(2,483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17,101</w:t>
            </w:r>
          </w:p>
        </w:tc>
        <w:tc>
          <w:tcPr>
            <w:tcW w:w="491" w:type="dxa"/>
            <w:tcBorders/>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net income (loss) attributable to noncontrolling</w:t>
              <w:br/>
              <w:t>   interest, net of tax</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13,410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attributable to Viasat, Inc.</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1,084,806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3,691</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per share attributable to Viasat, Inc.</w:t>
              <w:br/>
              <w:t>   common stockholders - basic:</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(1.20</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Discontinued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0.06</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per share attributable to Viasat, Inc.</w:t>
              <w:br/>
              <w:t>   common stockholders - diluted:</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Continuing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(1.20</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Discontinued operations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0.06</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Shares used in computing basic net income (loss) per share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75,915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66,444</w:t>
            </w:r>
          </w:p>
        </w:tc>
        <w:tc>
          <w:tcPr>
            <w:tcW w:w="491" w:type="dxa"/>
            <w:tcBorders/>
            <w:vAlign w:val="center"/>
          </w:tcPr>
          <w:p>
            <w:pPr>
              <w:pStyle w:val="TableContents"/>
              <w:bidi w:val="0"/>
              <w:spacing w:before="0" w:after="0"/>
              <w:ind w:left="0" w:right="0" w:firstLine="280"/>
              <w:jc w:val="lef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Shares used in computing diluted net income (loss) per share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75,915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66,444</w:t>
            </w:r>
          </w:p>
        </w:tc>
        <w:tc>
          <w:tcPr>
            <w:tcW w:w="491" w:type="dxa"/>
            <w:tcBorders/>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Comprehensive income (loss):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righ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1,090,748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(2,483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17,101</w:t>
            </w:r>
          </w:p>
        </w:tc>
        <w:tc>
          <w:tcPr>
            <w:tcW w:w="491" w:type="dxa"/>
            <w:tcBorders/>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comprehensive income (loss), net of tax:</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42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Foreign currency translation adjustments, net of tax</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(31,424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comprehensive income (loss), net of tax</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(31,424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Comprehensive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1,077,656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(33,907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32,952</w:t>
            </w:r>
          </w:p>
        </w:tc>
        <w:tc>
          <w:tcPr>
            <w:tcW w:w="491" w:type="dxa"/>
            <w:tcBorders/>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comprehensive income (loss) attributable to</w:t>
              <w:br/>
              <w:t>   noncontrolling interest, net of tax</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13,410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Comprehensive income (loss) attributable to</w:t>
              <w:br/>
              <w:t>   Viasat, Inc.</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1,071,714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19,542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val="false"/>
          <w:sz w:val="20"/>
        </w:rPr>
        <w:t>See accompanying notes to the consolidated financial statements.</w:t>
      </w:r>
      <w:r>
        <w:rPr>
          <w:rFonts w:ascii="Times New Roman" w:hAnsi="Times New Roman"/>
          <w:sz w:val="20"/>
        </w:rPr>
        <w:t xml:space="preserve"> </w:t>
      </w:r>
    </w:p>
    <w:p>
      <w:pPr>
        <w:pStyle w:val="TextBody"/>
        <w:bidi w:val="0"/>
        <w:spacing w:before="18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34" w:name="consolidated_statements_cash_flows"/>
      <w:bookmarkEnd w:id="34"/>
      <w:r>
        <w:rPr>
          <w:rFonts w:ascii="Arial;sans-serif" w:hAnsi="Arial;sans-serif"/>
          <w:b/>
          <w:sz w:val="20"/>
        </w:rPr>
        <w:t>CONSOLIDATED STATEMENTS OF CASH FLOWS</w:t>
      </w:r>
      <w:r>
        <w:rPr>
          <w:rFonts w:ascii="Times New Roman" w:hAnsi="Times New Roman"/>
          <w:sz w:val="20"/>
        </w:rPr>
        <w:t xml:space="preserve"> </w:t>
      </w:r>
    </w:p>
    <w:p>
      <w:pPr>
        <w:pStyle w:val="TextBody"/>
        <w:bidi w:val="0"/>
        <w:spacing w:before="0" w:after="0"/>
        <w:jc w:val="left"/>
        <w:rPr/>
      </w:pPr>
      <w:r>
        <w:rPr/>
        <w:t> </w:t>
      </w:r>
    </w:p>
    <w:tbl>
      <w:tblPr>
        <w:tblW w:w="9808" w:type="dxa"/>
        <w:jc w:val="left"/>
        <w:tblInd w:w="0" w:type="dxa"/>
        <w:tblLayout w:type="fixed"/>
        <w:tblCellMar>
          <w:top w:w="28" w:type="dxa"/>
          <w:left w:w="28" w:type="dxa"/>
          <w:bottom w:w="28" w:type="dxa"/>
          <w:right w:w="28" w:type="dxa"/>
        </w:tblCellMar>
      </w:tblPr>
      <w:tblGrid>
        <w:gridCol w:w="5206"/>
        <w:gridCol w:w="146"/>
        <w:gridCol w:w="196"/>
        <w:gridCol w:w="871"/>
        <w:gridCol w:w="151"/>
        <w:gridCol w:w="146"/>
        <w:gridCol w:w="196"/>
        <w:gridCol w:w="871"/>
        <w:gridCol w:w="151"/>
        <w:gridCol w:w="146"/>
        <w:gridCol w:w="196"/>
        <w:gridCol w:w="736"/>
        <w:gridCol w:w="796"/>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52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6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Fiscal Years Ended</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March 31,</w:t>
              <w:br/>
              <w:t> 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March 31,</w:t>
              <w:br/>
              <w:t> 2022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March 31,</w:t>
              <w:br/>
              <w:t> 2021</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Cash Flows from Continuing and Discontinued Operations</w:t>
            </w:r>
          </w:p>
        </w:tc>
        <w:tc>
          <w:tcPr>
            <w:tcW w:w="146" w:type="dxa"/>
            <w:tcBorders/>
            <w:vAlign w:val="center"/>
          </w:tcPr>
          <w:p>
            <w:pPr>
              <w:pStyle w:val="TableContents"/>
              <w:bidi w:val="0"/>
              <w:spacing w:before="0" w:after="0"/>
              <w:ind w:left="0" w:right="0" w:hanging="0"/>
              <w:jc w:val="center"/>
              <w:rPr/>
            </w:pPr>
            <w:r>
              <w:rPr/>
              <w:t> </w:t>
            </w:r>
          </w:p>
        </w:tc>
        <w:tc>
          <w:tcPr>
            <w:tcW w:w="3660" w:type="dxa"/>
            <w:gridSpan w:val="10"/>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(In thousands)</w:t>
            </w:r>
          </w:p>
        </w:tc>
        <w:tc>
          <w:tcPr>
            <w:tcW w:w="796" w:type="dxa"/>
            <w:tcBorders/>
            <w:vAlign w:val="center"/>
          </w:tcPr>
          <w:p>
            <w:pPr>
              <w:pStyle w:val="TableContents"/>
              <w:bidi w:val="0"/>
              <w:spacing w:before="0" w:after="0"/>
              <w:ind w:left="0" w:right="0" w:hanging="0"/>
              <w:jc w:val="center"/>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sz w:val="15"/>
              </w:rPr>
            </w:pPr>
            <w:r>
              <w:rPr>
                <w:rFonts w:ascii="Arial;sans-serif" w:hAnsi="Arial;sans-serif"/>
                <w:b/>
                <w:sz w:val="15"/>
              </w:rPr>
              <w:t>Cash flows from operating activities:</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firstLine="200"/>
              <w:jc w:val="right"/>
              <w:rPr/>
            </w:pPr>
            <w:r>
              <w:rPr/>
              <w:t> </w:t>
            </w:r>
          </w:p>
        </w:tc>
      </w:tr>
      <w:tr>
        <w:trPr/>
        <w:tc>
          <w:tcPr>
            <w:tcW w:w="5206"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Net income (loss)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1,090,748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(2,483</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17,101</w:t>
            </w:r>
          </w:p>
        </w:tc>
        <w:tc>
          <w:tcPr>
            <w:tcW w:w="796" w:type="dxa"/>
            <w:tcBorders/>
            <w:vAlign w:val="center"/>
          </w:tcPr>
          <w:p>
            <w:pPr>
              <w:pStyle w:val="TableContents"/>
              <w:bidi w:val="0"/>
              <w:spacing w:before="0" w:after="0"/>
              <w:ind w:left="0" w:right="0" w:hanging="0"/>
              <w:jc w:val="left"/>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sz w:val="15"/>
              </w:rPr>
            </w:pPr>
            <w:r>
              <w:rPr>
                <w:rFonts w:ascii="Arial;sans-serif" w:hAnsi="Arial;sans-serif"/>
                <w:b/>
                <w:sz w:val="15"/>
              </w:rPr>
              <w:t>Adjustments to reconcile net income (loss) to net cash provided</w:t>
              <w:br/>
              <w:t>   by operating activities:</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firstLine="400"/>
              <w:jc w:val="righ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Depreciation</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409,564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407,376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330,861</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Amortization of intangible assets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90,813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88,071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66,241</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Stock-based compensation expense</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84,459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86,808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84,879</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Loss on disposition of fixed assets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45,892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46,793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39,442</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Gain on disposition of business prior to costs to sell</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(1,702,686</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Deferred income taxes and other non-cash adjustments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380,672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(11,772</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7,773</w:t>
            </w:r>
          </w:p>
        </w:tc>
        <w:tc>
          <w:tcPr>
            <w:tcW w:w="796" w:type="dxa"/>
            <w:tcBorders/>
            <w:vAlign w:val="center"/>
          </w:tcPr>
          <w:p>
            <w:pPr>
              <w:pStyle w:val="TableContents"/>
              <w:bidi w:val="0"/>
              <w:spacing w:before="0" w:after="0"/>
              <w:ind w:left="0" w:right="0" w:firstLine="200"/>
              <w:jc w:val="left"/>
              <w:rPr/>
            </w:pPr>
            <w:r>
              <w:rPr/>
              <w:t> </w:t>
            </w:r>
          </w:p>
        </w:tc>
      </w:tr>
      <w:tr>
        <w:trPr/>
        <w:tc>
          <w:tcPr>
            <w:tcW w:w="5206"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Increase (decrease) in cash resulting from changes in operating assets</w:t>
              <w:br/>
              <w:t>   and liabilities, net of effect of acquisitions:</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firstLine="400"/>
              <w:jc w:val="righ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Accounts receivable</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(128,149</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(60,488</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84,411</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Inventories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(73,135</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(2,300</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(42,460</w:t>
            </w:r>
          </w:p>
        </w:tc>
        <w:tc>
          <w:tcPr>
            <w:tcW w:w="796" w:type="dxa"/>
            <w:tcBorders/>
            <w:vAlign w:val="center"/>
          </w:tcPr>
          <w:p>
            <w:pPr>
              <w:pStyle w:val="TableContents"/>
              <w:bidi w:val="0"/>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Other assets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1,125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26,854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36,431</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Accounts payable</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35,514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25,444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(24,363</w:t>
            </w:r>
          </w:p>
        </w:tc>
        <w:tc>
          <w:tcPr>
            <w:tcW w:w="796" w:type="dxa"/>
            <w:tcBorders/>
            <w:vAlign w:val="center"/>
          </w:tcPr>
          <w:p>
            <w:pPr>
              <w:pStyle w:val="TableContents"/>
              <w:bidi w:val="0"/>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Accrued liabilities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184,257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(48,827</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154,898</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Other liabilities</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(51,213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(49,835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(27,999</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600" w:right="0" w:hanging="0"/>
              <w:jc w:val="left"/>
              <w:rPr>
                <w:rFonts w:ascii="Arial;sans-serif" w:hAnsi="Arial;sans-serif"/>
                <w:b w:val="false"/>
                <w:sz w:val="15"/>
              </w:rPr>
            </w:pPr>
            <w:r>
              <w:rPr>
                <w:rFonts w:ascii="Arial;sans-serif" w:hAnsi="Arial;sans-serif"/>
                <w:b w:val="false"/>
                <w:sz w:val="15"/>
              </w:rPr>
              <w:t>Net cash provided by (used in) operating activities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367,861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505,641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727,215</w:t>
            </w:r>
          </w:p>
        </w:tc>
        <w:tc>
          <w:tcPr>
            <w:tcW w:w="796" w:type="dxa"/>
            <w:tcBorders/>
            <w:vAlign w:val="center"/>
          </w:tcPr>
          <w:p>
            <w:pPr>
              <w:pStyle w:val="TableContents"/>
              <w:bidi w:val="0"/>
              <w:spacing w:before="0" w:after="0"/>
              <w:ind w:left="0" w:right="0" w:hanging="0"/>
              <w:jc w:val="left"/>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sz w:val="15"/>
              </w:rPr>
            </w:pPr>
            <w:r>
              <w:rPr>
                <w:rFonts w:ascii="Arial;sans-serif" w:hAnsi="Arial;sans-serif"/>
                <w:b/>
                <w:sz w:val="15"/>
              </w:rPr>
              <w:t>Cash flows from investing activities:</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firstLine="200"/>
              <w:jc w:val="right"/>
              <w:rPr/>
            </w:pPr>
            <w:r>
              <w:rPr/>
              <w:t> </w:t>
            </w:r>
          </w:p>
        </w:tc>
      </w:tr>
      <w:tr>
        <w:trPr/>
        <w:tc>
          <w:tcPr>
            <w:tcW w:w="5206"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Purchase of property, equipment and satellites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(1,076,968</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(938,280</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(827,241</w:t>
            </w:r>
          </w:p>
        </w:tc>
        <w:tc>
          <w:tcPr>
            <w:tcW w:w="796" w:type="dxa"/>
            <w:tcBorders/>
            <w:vAlign w:val="center"/>
          </w:tcPr>
          <w:p>
            <w:pPr>
              <w:pStyle w:val="TableContents"/>
              <w:bidi w:val="0"/>
              <w:spacing w:before="0" w:after="0"/>
              <w:ind w:left="0" w:right="0" w:firstLine="2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Cash paid for patents, licenses and other assets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(87,349</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(52,030</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(58,030</w:t>
            </w:r>
          </w:p>
        </w:tc>
        <w:tc>
          <w:tcPr>
            <w:tcW w:w="796" w:type="dxa"/>
            <w:tcBorders/>
            <w:vAlign w:val="center"/>
          </w:tcPr>
          <w:p>
            <w:pPr>
              <w:pStyle w:val="TableContents"/>
              <w:bidi w:val="0"/>
              <w:spacing w:before="0" w:after="0"/>
              <w:ind w:left="0" w:right="0" w:firstLine="2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Proceeds from sale of business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1,932,354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firstLine="200"/>
              <w:jc w:val="left"/>
              <w:rPr/>
            </w:pPr>
            <w:r>
              <w:rPr/>
              <w:t> </w:t>
            </w:r>
          </w:p>
        </w:tc>
      </w:tr>
      <w:tr>
        <w:trPr/>
        <w:tc>
          <w:tcPr>
            <w:tcW w:w="5206"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Payments related to acquisition of businesses, net of cash acquired</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(139,533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206" w:type="dxa"/>
            <w:tcBorders/>
            <w:vAlign w:val="center"/>
          </w:tcPr>
          <w:p>
            <w:pPr>
              <w:pStyle w:val="TableContents"/>
              <w:bidi w:val="0"/>
              <w:spacing w:before="0" w:after="0"/>
              <w:ind w:left="600" w:right="0" w:hanging="0"/>
              <w:jc w:val="left"/>
              <w:rPr>
                <w:rFonts w:ascii="Arial;sans-serif" w:hAnsi="Arial;sans-serif"/>
                <w:b w:val="false"/>
                <w:sz w:val="15"/>
              </w:rPr>
            </w:pPr>
            <w:r>
              <w:rPr>
                <w:rFonts w:ascii="Arial;sans-serif" w:hAnsi="Arial;sans-serif"/>
                <w:b w:val="false"/>
                <w:sz w:val="15"/>
              </w:rPr>
              <w:t>Net cash provided by (used in) investing activities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768,037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(1,129,843</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(885,271</w:t>
            </w:r>
          </w:p>
        </w:tc>
        <w:tc>
          <w:tcPr>
            <w:tcW w:w="7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0" w:right="0" w:hanging="0"/>
              <w:jc w:val="left"/>
              <w:rPr>
                <w:rFonts w:ascii="Arial;sans-serif" w:hAnsi="Arial;sans-serif"/>
                <w:b/>
                <w:sz w:val="15"/>
              </w:rPr>
            </w:pPr>
            <w:r>
              <w:rPr>
                <w:rFonts w:ascii="Arial;sans-serif" w:hAnsi="Arial;sans-serif"/>
                <w:b/>
                <w:sz w:val="15"/>
              </w:rPr>
              <w:t>Cash flows from financing activities:</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firstLine="400"/>
              <w:jc w:val="righ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Proceeds from debt borrowings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540,000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1,266,000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400,000</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Payments on debt borrowings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(576,474</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(610,401</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(420,552</w:t>
            </w:r>
          </w:p>
        </w:tc>
        <w:tc>
          <w:tcPr>
            <w:tcW w:w="796" w:type="dxa"/>
            <w:tcBorders/>
            <w:vAlign w:val="center"/>
          </w:tcPr>
          <w:p>
            <w:pPr>
              <w:pStyle w:val="TableContents"/>
              <w:bidi w:val="0"/>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Payments of debt issuance costs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(1,511</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(6,261</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(5,060</w:t>
            </w:r>
          </w:p>
        </w:tc>
        <w:tc>
          <w:tcPr>
            <w:tcW w:w="796" w:type="dxa"/>
            <w:tcBorders/>
            <w:vAlign w:val="center"/>
          </w:tcPr>
          <w:p>
            <w:pPr>
              <w:pStyle w:val="TableContents"/>
              <w:bidi w:val="0"/>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Repurchase of shares by majority-owned subsidiary</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(30,000</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Proceeds from issuance of common stock under equity plans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21,686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20,549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19,101</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Purchase of common stock in treasury (immediately retired)</w:t>
              <w:br/>
              <w:t>   related to tax withholdings for stock-based compensation</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(16,493</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(22,969</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(13,676</w:t>
            </w:r>
          </w:p>
        </w:tc>
        <w:tc>
          <w:tcPr>
            <w:tcW w:w="796" w:type="dxa"/>
            <w:tcBorders/>
            <w:vAlign w:val="center"/>
          </w:tcPr>
          <w:p>
            <w:pPr>
              <w:pStyle w:val="TableContents"/>
              <w:bidi w:val="0"/>
              <w:spacing w:before="0" w:after="0"/>
              <w:ind w:left="0" w:right="0" w:firstLine="4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Proceeds from common stock issued in private placement, net</w:t>
              <w:br/>
              <w:t>   of issuance costs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174,749</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Other financing activities</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(3,336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(3,288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(4,871</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600" w:right="0" w:hanging="0"/>
              <w:jc w:val="left"/>
              <w:rPr>
                <w:rFonts w:ascii="Arial;sans-serif" w:hAnsi="Arial;sans-serif"/>
                <w:b w:val="false"/>
                <w:sz w:val="15"/>
              </w:rPr>
            </w:pPr>
            <w:r>
              <w:rPr>
                <w:rFonts w:ascii="Arial;sans-serif" w:hAnsi="Arial;sans-serif"/>
                <w:b w:val="false"/>
                <w:sz w:val="15"/>
              </w:rPr>
              <w:t>Net cash provided by (used in) financing activities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(66,128</w:t>
            </w:r>
          </w:p>
        </w:tc>
        <w:tc>
          <w:tcPr>
            <w:tcW w:w="15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643,630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149,691</w:t>
            </w:r>
          </w:p>
        </w:tc>
        <w:tc>
          <w:tcPr>
            <w:tcW w:w="796" w:type="dxa"/>
            <w:tcBorders/>
            <w:vAlign w:val="center"/>
          </w:tcPr>
          <w:p>
            <w:pPr>
              <w:pStyle w:val="TableContents"/>
              <w:bidi w:val="0"/>
              <w:spacing w:before="0" w:after="0"/>
              <w:ind w:left="0" w:right="0" w:hanging="0"/>
              <w:jc w:val="left"/>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Effect of exchange rate changes on cash</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(843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(4,918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Net increase (decrease) in cash and cash equivalents and restricted cash</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1,068,927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14,510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(8,360</w:t>
            </w:r>
          </w:p>
        </w:tc>
        <w:tc>
          <w:tcPr>
            <w:tcW w:w="7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r>
      <w:tr>
        <w:trPr/>
        <w:tc>
          <w:tcPr>
            <w:tcW w:w="5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Cash and cash equivalents and restricted cash at beginning of fiscal year</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310,459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295,949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304,309</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Cash and cash equivalents and restricted cash at end of fiscal year</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1,379,386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310,459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295,949</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sz w:val="15"/>
              </w:rPr>
            </w:pPr>
            <w:r>
              <w:rPr>
                <w:rFonts w:ascii="Arial;sans-serif" w:hAnsi="Arial;sans-serif"/>
                <w:b/>
                <w:sz w:val="15"/>
              </w:rPr>
              <w:t>Supplemental information:</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firstLine="200"/>
              <w:jc w:val="right"/>
              <w:rPr/>
            </w:pPr>
            <w:r>
              <w:rPr/>
              <w:t> </w:t>
            </w:r>
          </w:p>
        </w:tc>
      </w:tr>
      <w:tr>
        <w:trPr/>
        <w:tc>
          <w:tcPr>
            <w:tcW w:w="5206"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Cash paid for interest (net of amounts capitalized)</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11,000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14,627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23,526</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206"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Cash paid for income taxes, net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16,491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17,144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6,670</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06" w:type="dxa"/>
            <w:tcBorders/>
            <w:vAlign w:val="center"/>
          </w:tcPr>
          <w:p>
            <w:pPr>
              <w:pStyle w:val="TableContents"/>
              <w:bidi w:val="0"/>
              <w:spacing w:before="0" w:after="0"/>
              <w:ind w:left="0" w:right="0" w:hanging="0"/>
              <w:jc w:val="left"/>
              <w:rPr>
                <w:rFonts w:ascii="Arial;sans-serif" w:hAnsi="Arial;sans-serif"/>
                <w:b/>
                <w:sz w:val="15"/>
              </w:rPr>
            </w:pPr>
            <w:r>
              <w:rPr>
                <w:rFonts w:ascii="Arial;sans-serif" w:hAnsi="Arial;sans-serif"/>
                <w:b/>
                <w:sz w:val="15"/>
              </w:rPr>
              <w:t>Non-cash investing and financing activities:</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firstLine="400"/>
              <w:jc w:val="righ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Capital expenditures not paid for during the period</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72,630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67,931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32,616</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Issuance of common stock in satisfaction of certain accrued</w:t>
              <w:br/>
              <w:t>   employee compensation liabilities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27,619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24,488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25,406</w:t>
            </w:r>
          </w:p>
        </w:tc>
        <w:tc>
          <w:tcPr>
            <w:tcW w:w="796" w:type="dxa"/>
            <w:tcBorders/>
            <w:vAlign w:val="center"/>
          </w:tcPr>
          <w:p>
            <w:pPr>
              <w:pStyle w:val="TableContents"/>
              <w:bidi w:val="0"/>
              <w:spacing w:before="0" w:after="0"/>
              <w:ind w:left="0" w:right="0" w:firstLine="400"/>
              <w:jc w:val="left"/>
              <w:rPr/>
            </w:pPr>
            <w:r>
              <w:rPr/>
              <w:t> </w:t>
            </w:r>
          </w:p>
        </w:tc>
      </w:tr>
      <w:tr>
        <w:trPr/>
        <w:tc>
          <w:tcPr>
            <w:tcW w:w="5206" w:type="dxa"/>
            <w:tcBorders/>
            <w:vAlign w:val="center"/>
          </w:tcPr>
          <w:p>
            <w:pPr>
              <w:pStyle w:val="TableContents"/>
              <w:bidi w:val="0"/>
              <w:spacing w:before="0" w:after="0"/>
              <w:ind w:left="400" w:right="0" w:hanging="0"/>
              <w:jc w:val="left"/>
              <w:rPr>
                <w:rFonts w:ascii="Arial;sans-serif" w:hAnsi="Arial;sans-serif"/>
                <w:b w:val="false"/>
                <w:sz w:val="15"/>
              </w:rPr>
            </w:pPr>
            <w:r>
              <w:rPr>
                <w:rFonts w:ascii="Arial;sans-serif" w:hAnsi="Arial;sans-serif"/>
                <w:b w:val="false"/>
                <w:sz w:val="15"/>
              </w:rPr>
              <w:t>Issuance of common stock in connection with acquisition</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87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207,169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73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See accompanying notes to the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F-5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bookmarkStart w:id="35" w:name="consolidated_statements_equity"/>
      <w:bookmarkEnd w:id="35"/>
      <w:r>
        <w:rPr>
          <w:rFonts w:ascii="Arial;sans-serif" w:hAnsi="Arial;sans-serif"/>
          <w:b/>
          <w:sz w:val="20"/>
        </w:rPr>
        <w:t>CONSOLIDATED STATEMENTS OF EQUITY</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25"/>
        <w:gridCol w:w="146"/>
        <w:gridCol w:w="146"/>
        <w:gridCol w:w="796"/>
        <w:gridCol w:w="146"/>
        <w:gridCol w:w="146"/>
        <w:gridCol w:w="201"/>
        <w:gridCol w:w="385"/>
        <w:gridCol w:w="146"/>
        <w:gridCol w:w="146"/>
        <w:gridCol w:w="181"/>
        <w:gridCol w:w="721"/>
        <w:gridCol w:w="151"/>
        <w:gridCol w:w="146"/>
        <w:gridCol w:w="181"/>
        <w:gridCol w:w="721"/>
        <w:gridCol w:w="151"/>
        <w:gridCol w:w="146"/>
        <w:gridCol w:w="263"/>
        <w:gridCol w:w="833"/>
        <w:gridCol w:w="151"/>
        <w:gridCol w:w="146"/>
        <w:gridCol w:w="249"/>
        <w:gridCol w:w="787"/>
        <w:gridCol w:w="151"/>
        <w:gridCol w:w="146"/>
        <w:gridCol w:w="181"/>
        <w:gridCol w:w="721"/>
        <w:gridCol w:w="196"/>
      </w:tblGrid>
      <w:tr>
        <w:trPr/>
        <w:tc>
          <w:tcPr>
            <w:tcW w:w="1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60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Viasat, Inc. Stockholders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r>
      <w:tr>
        <w:trPr/>
        <w:tc>
          <w:tcPr>
            <w:tcW w:w="17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r>
      <w:tr>
        <w:trPr/>
        <w:tc>
          <w:tcPr>
            <w:tcW w:w="17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Number of</w:t>
              <w:br/>
              <w:t>Shares</w:t>
              <w:br/>
              <w:t>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Paid-in</w:t>
              <w:b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Accumulated</w:t>
              <w:br/>
              <w:t>Other</w:t>
              <w:br/>
              <w:t>Comprehensive</w:t>
              <w:br/>
              <w:t>Income (Loss)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Noncontrolling</w:t>
              <w:br/>
              <w:t>Interest in</w:t>
              <w:br/>
              <w:t>Subsidiary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Total</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138" w:type="dxa"/>
            <w:gridSpan w:val="26"/>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(In thousands, except share data)</w:t>
            </w:r>
          </w:p>
        </w:tc>
        <w:tc>
          <w:tcPr>
            <w:tcW w:w="196" w:type="dxa"/>
            <w:tcBorders/>
            <w:vAlign w:val="center"/>
          </w:tcPr>
          <w:p>
            <w:pPr>
              <w:pStyle w:val="TableContents"/>
              <w:bidi w:val="0"/>
              <w:spacing w:before="0" w:after="0"/>
              <w:ind w:left="0" w:right="0" w:hanging="0"/>
              <w:jc w:val="center"/>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Balance at March 31, 2020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62,147,140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1,788,456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245,373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33"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(6,048</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8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22,355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2,050,142</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Issuance of stock under</w:t>
              <w:br/>
              <w:t>   Employee Stock</w:t>
              <w:br/>
              <w:t>   Purchase Plan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638,792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19,101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19,101</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Common stock issued in</w:t>
              <w:br/>
              <w:t>   private placement, net</w:t>
              <w:br/>
              <w:t>   of issuance costs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4,474,559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174,748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174,749</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98,560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98,560</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Shares issued in settlement</w:t>
              <w:br/>
              <w:t>   of certain accrued</w:t>
              <w:br/>
              <w:t>   employee compensation</w:t>
              <w:br/>
              <w:t>   liabilities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580,846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25,406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25,406</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RSU awards vesting, net of</w:t>
              <w:br/>
              <w:t>   shares withheld for taxes</w:t>
              <w:br/>
              <w:t>   which have been retired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687,796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(13,676</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(13,676</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Net income (loss)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3,691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13,410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17,101</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 comprehensive income (loss),</w:t>
              <w:br/>
              <w:t>   net of tax</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15,851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15,851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Balance at March 31, 2021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68,529,133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2,092,595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249,064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33"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9,803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8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35,765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2,387,234</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Exercise of stock options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1,526</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Issuance of stock under</w:t>
              <w:br/>
              <w:t>   Employee Stock</w:t>
              <w:br/>
              <w:t>   Purchase Plan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586,203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19,023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19,023</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100,118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100,118</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Shares issued in settlement</w:t>
              <w:br/>
              <w:t>   of certain accrued</w:t>
              <w:br/>
              <w:t>   employee compensation</w:t>
              <w:br/>
              <w:t>   liabilities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457,130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24,488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24,488</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RSU awards vesting, net of</w:t>
              <w:br/>
              <w:t>   shares withheld for taxes</w:t>
              <w:br/>
              <w:t>   which have been retired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829,054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(22,969</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(22,969</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Shares issued in connection</w:t>
              <w:br/>
              <w:t>   with acquisition of business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4,000,189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207,169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207,169</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(88</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(88</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Net income (loss)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(15,534</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13,051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(2,483</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 comprehensive</w:t>
              <w:br/>
              <w:t>   income (loss), net of tax</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(31,424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(31,424</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Balance at March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74,428,816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2,421,950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233,530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33"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(21,621</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8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48,728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2,682,594</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Issuance of stock under</w:t>
              <w:br/>
              <w:t>   Employee Stock</w:t>
              <w:br/>
              <w:t>   Purchase Plan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873,739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21,686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21,686</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97,701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97,701</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Shares issued in settlement</w:t>
              <w:br/>
              <w:t>   of certain accrued</w:t>
              <w:br/>
              <w:t>   employee compensation</w:t>
              <w:br/>
              <w:t>   liabilities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719,989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27,618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27,619</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RSU awards vesting, net of</w:t>
              <w:br/>
              <w:t>   shares withheld for taxes</w:t>
              <w:br/>
              <w:t>   which have been retired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889,472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(16,493</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(16,493</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 noncontrolling interest activity</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(11,783</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(18,411</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(30,194</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Net income (loss)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1,084,806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5,942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1,090,748</w:t>
            </w:r>
          </w:p>
        </w:tc>
        <w:tc>
          <w:tcPr>
            <w:tcW w:w="196" w:type="dxa"/>
            <w:tcBorders/>
            <w:vAlign w:val="center"/>
          </w:tcPr>
          <w:p>
            <w:pPr>
              <w:pStyle w:val="TableContents"/>
              <w:bidi w:val="0"/>
              <w:spacing w:before="0" w:after="0"/>
              <w:ind w:left="0" w:right="0" w:hanging="0"/>
              <w:jc w:val="left"/>
              <w:rPr/>
            </w:pPr>
            <w:r>
              <w:rPr/>
              <w:t> </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 comprehensive</w:t>
              <w:br/>
              <w:t>   income (loss), net of tax</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(13,092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(13,092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72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Balance at March 31, 2023</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76,912,016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2,540,679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1,318,336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(34,713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36,259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3,860,569</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val="false"/>
          <w:sz w:val="20"/>
        </w:rPr>
        <w:t>See accompanying notes to the consolidated financial statements.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bookmarkStart w:id="36" w:name="notes_to_consolidated_financial_statemen"/>
      <w:bookmarkEnd w:id="36"/>
      <w:r>
        <w:rPr>
          <w:rFonts w:ascii="Arial;sans-serif" w:hAnsi="Arial;sans-serif"/>
          <w:b/>
          <w:sz w:val="20"/>
        </w:rPr>
        <w:t>NOTES TO THE CONSOLIDATED FINANCIAL STATEMENTS</w:t>
      </w:r>
    </w:p>
    <w:p>
      <w:pPr>
        <w:pStyle w:val="TextBody"/>
        <w:bidi w:val="0"/>
        <w:spacing w:before="180" w:after="0"/>
        <w:jc w:val="left"/>
        <w:rPr>
          <w:rFonts w:ascii="Times New Roman" w:hAnsi="Times New Roman"/>
          <w:sz w:val="20"/>
        </w:rPr>
      </w:pPr>
      <w:r>
        <w:rPr>
          <w:rFonts w:ascii="Arial;sans-serif" w:hAnsi="Arial;sans-serif"/>
          <w:b/>
          <w:sz w:val="20"/>
        </w:rPr>
        <w:t>Note 1 — The Company and a Summary of Its Significant Accounting Policies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i/>
          <w:sz w:val="20"/>
        </w:rPr>
        <w:t>The Company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Viasat, Inc. (also referred to hereafter as the “Company” or “Viasat”) is an innovator in communications technologies and services, including high-speed and cost-effective broadband and advanced communications products and services.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Principles of consolidation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Company’s consolidated financial statements include the assets, liabilities and results of operations of Viasat, its wholly owned subsidiaries and its majority-owned subsidiary, TrellisWare Technologies, Inc. (TrellisWare). During the first quarter of fiscal year 2022, the Company completed the acquisitions of the remaining 51% interest in Euro Broadband Infrastructure Sàrl (EBI) and RigNet, Inc. (RigNet) (see Note 5 — Acquisitions for more information). The acquisitions were accounted for as purchases and accordingly, the consolidated financial statements include the operating results of EBI and RigNet from the dates of acquisition.</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w:t>
      </w:r>
    </w:p>
    <w:p>
      <w:pPr>
        <w:pStyle w:val="TextBody"/>
        <w:bidi w:val="0"/>
        <w:spacing w:before="180" w:after="0"/>
        <w:jc w:val="left"/>
        <w:rPr>
          <w:rFonts w:ascii="Arial;sans-serif" w:hAnsi="Arial;sans-serif"/>
          <w:b w:val="false"/>
          <w:sz w:val="20"/>
        </w:rPr>
      </w:pPr>
      <w:r>
        <w:rPr>
          <w:rFonts w:ascii="Arial;sans-serif" w:hAnsi="Arial;sans-serif"/>
          <w:b w:val="false"/>
          <w:sz w:val="20"/>
        </w:rPr>
        <w:t>Certain prior period amounts have been reclassified to conform to the current period presentation.</w:t>
      </w:r>
    </w:p>
    <w:p>
      <w:pPr>
        <w:pStyle w:val="TextBody"/>
        <w:bidi w:val="0"/>
        <w:spacing w:before="270" w:after="0"/>
        <w:jc w:val="left"/>
        <w:rPr>
          <w:rFonts w:ascii="Arial;sans-serif" w:hAnsi="Arial;sans-serif"/>
          <w:b/>
          <w:i/>
          <w:sz w:val="20"/>
        </w:rPr>
      </w:pPr>
      <w:r>
        <w:rPr>
          <w:rFonts w:ascii="Arial;sans-serif" w:hAnsi="Arial;sans-serif"/>
          <w:b/>
          <w:i/>
          <w:sz w:val="20"/>
        </w:rPr>
        <w:t>Discontinued Operations</w:t>
      </w:r>
    </w:p>
    <w:p>
      <w:pPr>
        <w:pStyle w:val="TextBody"/>
        <w:bidi w:val="0"/>
        <w:spacing w:before="90" w:after="0"/>
        <w:jc w:val="left"/>
        <w:rPr>
          <w:rFonts w:ascii="Times New Roman" w:hAnsi="Times New Roman"/>
          <w:sz w:val="20"/>
        </w:rPr>
      </w:pPr>
      <w:r>
        <w:rPr>
          <w:rFonts w:ascii="Arial;sans-serif" w:hAnsi="Arial;sans-serif"/>
          <w:b w:val="false"/>
          <w:sz w:val="20"/>
        </w:rPr>
        <w:t>On October 1, 2022, the Company entered into an Asset Purchase Agreement to sell certain assets and assign certain liabilities comprising the Company’s Link-16 Tactical Data Links business (the Link-16 TDL Business), part of the Company’s government systems segment, to L3Harris Technologies, Inc. (L3Harris) in exchange for approximately $1.96</w:t>
      </w:r>
      <w:r>
        <w:rPr>
          <w:rFonts w:ascii="Times New Roman" w:hAnsi="Times New Roman"/>
          <w:sz w:val="20"/>
        </w:rPr>
        <w:t xml:space="preserve"> </w:t>
      </w:r>
      <w:r>
        <w:rPr>
          <w:rFonts w:ascii="Arial;sans-serif" w:hAnsi="Arial;sans-serif"/>
          <w:b w:val="false"/>
          <w:sz w:val="20"/>
        </w:rPr>
        <w:t>billion in cash, subject to adjustments</w:t>
      </w:r>
      <w:r>
        <w:rPr>
          <w:rFonts w:ascii="Times New Roman" w:hAnsi="Times New Roman"/>
          <w:sz w:val="20"/>
        </w:rPr>
        <w:t xml:space="preserve"> </w:t>
      </w:r>
      <w:r>
        <w:rPr>
          <w:rFonts w:ascii="Arial;sans-serif" w:hAnsi="Arial;sans-serif"/>
          <w:b w:val="false"/>
          <w:sz w:val="20"/>
        </w:rPr>
        <w:t>(the Link-16 TDL Sale). In accordance with the authoritative guidance for discontinued operations (Accounting Standards Codification (ASC) 205-20), the Company determined that the Link-16 TDL Business met held-for sale and discontinued operations accounting criteria at the end of the second quarter of fiscal year 2023. Accordingly, the Company classified the results of the Link-16 TDL Business as discontinued operations in its consolidated statements of operations for all periods presented. Additionally, the related assets and liabilities associated with the Link-16 TDL Business were classified as held for sale and discontinued operations in the consolidated balance sheet as of March 31, 2022. On January 3, 2023, the Company completed the Link-16 TDL Sale. See Note 4 — Discontinued Operations for additional information.</w:t>
      </w:r>
    </w:p>
    <w:p>
      <w:pPr>
        <w:pStyle w:val="TextBody"/>
        <w:bidi w:val="0"/>
        <w:spacing w:before="270" w:after="0"/>
        <w:jc w:val="left"/>
        <w:rPr>
          <w:rFonts w:ascii="Times New Roman" w:hAnsi="Times New Roman"/>
          <w:sz w:val="20"/>
        </w:rPr>
      </w:pPr>
      <w:r>
        <w:rPr>
          <w:rFonts w:ascii="Arial;sans-serif" w:hAnsi="Arial;sans-serif"/>
          <w:b/>
          <w:i/>
          <w:sz w:val="20"/>
        </w:rPr>
        <w:t>Management estimates and assumptions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Cash equivalents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Cash equivalents consist of highly liquid investments with original maturities of three months or less at the date of purchase, with a significant portion held in U.S. government-backed qualified money-market securities.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Arial;sans-serif" w:hAnsi="Arial;sans-serif"/>
          <w:b/>
          <w:i/>
          <w:sz w:val="20"/>
        </w:rPr>
      </w:pPr>
      <w:r>
        <w:rPr>
          <w:rFonts w:ascii="Arial;sans-serif" w:hAnsi="Arial;sans-serif"/>
          <w:b/>
          <w:i/>
          <w:sz w:val="20"/>
        </w:rPr>
        <w:t>Restricted cash</w:t>
      </w:r>
    </w:p>
    <w:p>
      <w:pPr>
        <w:pStyle w:val="TextBody"/>
        <w:bidi w:val="0"/>
        <w:spacing w:before="90" w:after="0"/>
        <w:jc w:val="left"/>
        <w:rPr>
          <w:rFonts w:ascii="Times New Roman" w:hAnsi="Times New Roman"/>
          <w:sz w:val="20"/>
        </w:rPr>
      </w:pPr>
      <w:r>
        <w:rPr>
          <w:rFonts w:ascii="Arial;sans-serif" w:hAnsi="Arial;sans-serif"/>
          <w:b w:val="false"/>
          <w:sz w:val="20"/>
        </w:rPr>
        <w:t>Restricted cash relates to deposits required by certain counterparties as collateral pursuant to outstanding letters of credit. Restricted cash as of March 31, 2023 was $30.5</w:t>
      </w:r>
      <w:r>
        <w:rPr>
          <w:rFonts w:ascii="Times New Roman" w:hAnsi="Times New Roman"/>
          <w:sz w:val="20"/>
        </w:rPr>
        <w:t xml:space="preserve"> </w:t>
      </w:r>
      <w:r>
        <w:rPr>
          <w:rFonts w:ascii="Arial;sans-serif" w:hAnsi="Arial;sans-serif"/>
          <w:b w:val="false"/>
          <w:sz w:val="20"/>
        </w:rPr>
        <w:t>million.</w:t>
      </w:r>
    </w:p>
    <w:p>
      <w:pPr>
        <w:pStyle w:val="TextBody"/>
        <w:bidi w:val="0"/>
        <w:spacing w:before="180" w:after="0"/>
        <w:jc w:val="left"/>
        <w:rPr>
          <w:rFonts w:ascii="Arial;sans-serif" w:hAnsi="Arial;sans-serif"/>
          <w:b w:val="false"/>
          <w:sz w:val="20"/>
        </w:rPr>
      </w:pPr>
      <w:r>
        <w:rPr>
          <w:rFonts w:ascii="Arial;sans-serif" w:hAnsi="Arial;sans-serif"/>
          <w:b w:val="false"/>
          <w:sz w:val="20"/>
        </w:rPr>
        <w:t>In accordance with the authoritative guidance for the statement of cash flows (ASU 230), the following table provides a reconciliation of cash and cash equivalents and restricted cash reported within the consolidated balance sheets that total to the amounts shown in the consolidated statements of cash flows.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397"/>
        <w:gridCol w:w="146"/>
        <w:gridCol w:w="211"/>
        <w:gridCol w:w="961"/>
        <w:gridCol w:w="146"/>
        <w:gridCol w:w="146"/>
        <w:gridCol w:w="211"/>
        <w:gridCol w:w="796"/>
        <w:gridCol w:w="191"/>
      </w:tblGrid>
      <w:tr>
        <w:trPr/>
        <w:tc>
          <w:tcPr>
            <w:tcW w:w="7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3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1"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739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1,348,854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310,459</w:t>
            </w:r>
          </w:p>
        </w:tc>
        <w:tc>
          <w:tcPr>
            <w:tcW w:w="191" w:type="dxa"/>
            <w:tcBorders/>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30,532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cash and cash equivalents and restricted cash shown in the consolidated statements of cash flows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1,379,386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310,459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70" w:after="0"/>
        <w:jc w:val="left"/>
        <w:rPr>
          <w:rFonts w:ascii="Times New Roman" w:hAnsi="Times New Roman"/>
          <w:sz w:val="20"/>
        </w:rPr>
      </w:pPr>
      <w:r>
        <w:rPr>
          <w:rFonts w:ascii="Arial;sans-serif" w:hAnsi="Arial;sans-serif"/>
          <w:b/>
          <w:i/>
          <w:sz w:val="20"/>
        </w:rPr>
        <w:t>Accounts receivable and allowance for doubtful accounts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Company records any unconditional rights to consideration as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Concentration of risk</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Revenues from the U.S. Government as an individual customer comprised approximately 17%, 18%</w:t>
      </w:r>
      <w:r>
        <w:rPr>
          <w:rFonts w:ascii="Times New Roman" w:hAnsi="Times New Roman"/>
          <w:sz w:val="20"/>
        </w:rPr>
        <w:t xml:space="preserve"> </w:t>
      </w:r>
      <w:r>
        <w:rPr>
          <w:rFonts w:ascii="Arial;sans-serif" w:hAnsi="Arial;sans-serif"/>
          <w:b w:val="false"/>
          <w:sz w:val="20"/>
        </w:rPr>
        <w:t>and 21%</w:t>
      </w:r>
      <w:r>
        <w:rPr>
          <w:rFonts w:ascii="Times New Roman" w:hAnsi="Times New Roman"/>
          <w:sz w:val="20"/>
        </w:rPr>
        <w:t xml:space="preserve"> </w:t>
      </w:r>
      <w:r>
        <w:rPr>
          <w:rFonts w:ascii="Arial;sans-serif" w:hAnsi="Arial;sans-serif"/>
          <w:b w:val="false"/>
          <w:sz w:val="20"/>
        </w:rPr>
        <w:t>of total revenues for fiscal years 2023, 2022 and 2021, respectively. Billed accounts receivable to the U.S. Government as of March 31, 2023 and 2022</w:t>
      </w:r>
      <w:r>
        <w:rPr>
          <w:rFonts w:ascii="Times New Roman" w:hAnsi="Times New Roman"/>
          <w:sz w:val="20"/>
        </w:rPr>
        <w:t xml:space="preserve"> </w:t>
      </w:r>
      <w:r>
        <w:rPr>
          <w:rFonts w:ascii="Arial;sans-serif" w:hAnsi="Arial;sans-serif"/>
          <w:b w:val="false"/>
          <w:sz w:val="20"/>
        </w:rPr>
        <w:t>were approximately 21% and 16%, respectively, of total billed receivables. In addition, none of the Company’s commercial customers comprised 10% or more of total revenues for fiscal years 2023, 2022 and 2021. The Company's five largest contracts generated approximately 17%, 17%</w:t>
      </w:r>
      <w:r>
        <w:rPr>
          <w:rFonts w:ascii="Times New Roman" w:hAnsi="Times New Roman"/>
          <w:sz w:val="20"/>
        </w:rPr>
        <w:t xml:space="preserve"> </w:t>
      </w:r>
      <w:r>
        <w:rPr>
          <w:rFonts w:ascii="Arial;sans-serif" w:hAnsi="Arial;sans-serif"/>
          <w:b w:val="false"/>
          <w:sz w:val="20"/>
        </w:rPr>
        <w:t>and 13%</w:t>
      </w:r>
      <w:r>
        <w:rPr>
          <w:rFonts w:ascii="Times New Roman" w:hAnsi="Times New Roman"/>
          <w:sz w:val="20"/>
        </w:rPr>
        <w:t xml:space="preserve"> </w:t>
      </w:r>
      <w:r>
        <w:rPr>
          <w:rFonts w:ascii="Arial;sans-serif" w:hAnsi="Arial;sans-serif"/>
          <w:b w:val="false"/>
          <w:sz w:val="20"/>
        </w:rPr>
        <w:t>of the Company’s total revenues for the fiscal years ended March 31, 2023, 2022 and 2021, respectively.</w:t>
      </w:r>
    </w:p>
    <w:p>
      <w:pPr>
        <w:pStyle w:val="TextBody"/>
        <w:bidi w:val="0"/>
        <w:spacing w:before="180" w:after="0"/>
        <w:jc w:val="left"/>
        <w:rPr>
          <w:rFonts w:ascii="Times New Roman" w:hAnsi="Times New Roman"/>
          <w:sz w:val="20"/>
        </w:rPr>
      </w:pPr>
      <w:r>
        <w:rPr>
          <w:rFonts w:ascii="Arial;sans-serif" w:hAnsi="Arial;sans-serif"/>
          <w:b w:val="false"/>
          <w:sz w:val="20"/>
        </w:rPr>
        <w:t>The Company relies on a limited number of contract manufacturers to produce its products.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Inventory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Inventory is valued at the lower of cost and net realizable value, cost being determined by the weighted average cost method.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i/>
          <w:sz w:val="20"/>
        </w:rPr>
        <w:t>Property, equipment and satellites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sz w:val="20"/>
        </w:rPr>
        <w:t xml:space="preserve"> </w:t>
      </w:r>
      <w:r>
        <w:rPr>
          <w:rFonts w:ascii="Arial;sans-serif" w:hAnsi="Arial;sans-serif"/>
          <w:b w:val="false"/>
          <w:sz w:val="20"/>
        </w:rPr>
        <w:t>to 38</w:t>
      </w:r>
      <w:r>
        <w:rPr>
          <w:rFonts w:ascii="Times New Roman" w:hAnsi="Times New Roman"/>
          <w:sz w:val="20"/>
        </w:rPr>
        <w:t xml:space="preserve"> </w:t>
      </w:r>
      <w:r>
        <w:rPr>
          <w:rFonts w:ascii="Arial;sans-serif" w:hAnsi="Arial;sans-serif"/>
          <w:b w:val="false"/>
          <w:sz w:val="20"/>
        </w:rPr>
        <w:t>years. Leasehold improvements are capitalized and amortized using the straight-line method over the shorter of the lease term or the life of the improvement.</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Costs related to internally developed software for internal uses are capitalized after the preliminary project stage is complete and are amortized over the estimated useful lives of the assets, which are approximately three</w:t>
      </w:r>
      <w:r>
        <w:rPr>
          <w:rFonts w:ascii="Times New Roman" w:hAnsi="Times New Roman"/>
          <w:sz w:val="20"/>
        </w:rPr>
        <w:t xml:space="preserve"> </w:t>
      </w:r>
      <w:r>
        <w:rPr>
          <w:rFonts w:ascii="Arial;sans-serif" w:hAnsi="Arial;sans-serif"/>
          <w:b w:val="false"/>
          <w:sz w:val="20"/>
        </w:rPr>
        <w:t>to seven years. Capitalized costs for internal-use software are included in property, equipment and satellites, net in the Company’s consolidated balance sheets.</w:t>
      </w:r>
    </w:p>
    <w:p>
      <w:pPr>
        <w:pStyle w:val="TextBody"/>
        <w:bidi w:val="0"/>
        <w:spacing w:before="180" w:after="0"/>
        <w:jc w:val="left"/>
        <w:rPr>
          <w:rFonts w:ascii="Times New Roman" w:hAnsi="Times New Roman"/>
          <w:sz w:val="20"/>
        </w:rPr>
      </w:pPr>
      <w:r>
        <w:rPr>
          <w:rFonts w:ascii="Arial;sans-serif" w:hAnsi="Arial;sans-serif"/>
          <w:b w:val="false"/>
          <w:sz w:val="20"/>
        </w:rPr>
        <w:t>Interest expense is capitalized on the carrying value of assets under construction, in accordance with the authoritative guidance for the capitalization of interest (ASC 835-20).</w:t>
      </w:r>
      <w:r>
        <w:rPr>
          <w:rFonts w:ascii="Times New Roman" w:hAnsi="Times New Roman"/>
          <w:sz w:val="20"/>
        </w:rPr>
        <w:t xml:space="preserve"> </w:t>
      </w:r>
      <w:r>
        <w:rPr>
          <w:rFonts w:ascii="Arial;sans-serif" w:hAnsi="Arial;sans-serif"/>
          <w:b w:val="false"/>
          <w:sz w:val="20"/>
        </w:rPr>
        <w:t>With respect to the construction of satellites, gateway and networking equipment and other assets under construction, the Company capitalized $159.7</w:t>
      </w:r>
      <w:r>
        <w:rPr>
          <w:rFonts w:ascii="Times New Roman" w:hAnsi="Times New Roman"/>
          <w:sz w:val="20"/>
        </w:rPr>
        <w:t xml:space="preserve"> </w:t>
      </w:r>
      <w:r>
        <w:rPr>
          <w:rFonts w:ascii="Arial;sans-serif" w:hAnsi="Arial;sans-serif"/>
          <w:b w:val="false"/>
          <w:sz w:val="20"/>
        </w:rPr>
        <w:t>million, $102.1</w:t>
      </w:r>
      <w:r>
        <w:rPr>
          <w:rFonts w:ascii="Times New Roman" w:hAnsi="Times New Roman"/>
          <w:sz w:val="20"/>
        </w:rPr>
        <w:t xml:space="preserve"> </w:t>
      </w:r>
      <w:r>
        <w:rPr>
          <w:rFonts w:ascii="Arial;sans-serif" w:hAnsi="Arial;sans-serif"/>
          <w:b w:val="false"/>
          <w:sz w:val="20"/>
        </w:rPr>
        <w:t>million and $81.0</w:t>
      </w:r>
      <w:r>
        <w:rPr>
          <w:rFonts w:ascii="Times New Roman" w:hAnsi="Times New Roman"/>
          <w:sz w:val="20"/>
        </w:rPr>
        <w:t xml:space="preserve"> </w:t>
      </w:r>
      <w:r>
        <w:rPr>
          <w:rFonts w:ascii="Arial;sans-serif" w:hAnsi="Arial;sans-serif"/>
          <w:b w:val="false"/>
          <w:sz w:val="20"/>
        </w:rPr>
        <w:t>million of interest expense for the fiscal years ended March 31, 2023, 2022 and 2021, respectively.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Company owns four satellites in commercial service — three over North America (ViaSat-2, ViaSat-1 and WildBlue-1) and the KA-SAT satellite over Europe, Middle East, and Africa (EMEA). In addition, the Company has lifetime leases of Ka-band capacity on two satellites. The Company successfully launched the first of its third-generation ViaSat-3 class satellites, ViaSat-3 Americas, into orbit on April 30, 2023 (which satellite is currently being prepared for commercial service) and is planning to launch two additional third-generation ViaSat-3 class satellites currently under construction to complete its global constellation.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March 31, 2023 were $395.4</w:t>
      </w:r>
      <w:r>
        <w:rPr>
          <w:rFonts w:ascii="Times New Roman" w:hAnsi="Times New Roman"/>
          <w:sz w:val="20"/>
        </w:rPr>
        <w:t xml:space="preserve"> </w:t>
      </w:r>
      <w:r>
        <w:rPr>
          <w:rFonts w:ascii="Arial;sans-serif" w:hAnsi="Arial;sans-serif"/>
          <w:b w:val="false"/>
          <w:sz w:val="20"/>
        </w:rPr>
        <w:t>million and $213.6</w:t>
      </w:r>
      <w:r>
        <w:rPr>
          <w:rFonts w:ascii="Times New Roman" w:hAnsi="Times New Roman"/>
          <w:sz w:val="20"/>
        </w:rPr>
        <w:t xml:space="preserve"> </w:t>
      </w:r>
      <w:r>
        <w:rPr>
          <w:rFonts w:ascii="Arial;sans-serif" w:hAnsi="Arial;sans-serif"/>
          <w:b w:val="false"/>
          <w:sz w:val="20"/>
        </w:rPr>
        <w:t>million, respectively. The total cost and accumulated depreciation of CPE units included in property, equipment and satellites, net, as of March 31, 2022 were $395.5</w:t>
      </w:r>
      <w:r>
        <w:rPr>
          <w:rFonts w:ascii="Times New Roman" w:hAnsi="Times New Roman"/>
          <w:sz w:val="20"/>
        </w:rPr>
        <w:t xml:space="preserve"> </w:t>
      </w:r>
      <w:r>
        <w:rPr>
          <w:rFonts w:ascii="Arial;sans-serif" w:hAnsi="Arial;sans-serif"/>
          <w:b w:val="false"/>
          <w:sz w:val="20"/>
        </w:rPr>
        <w:t>million and $210.6</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The Company and a Summary of Its Significant Accounting Policies – Leases and Note 7 — Leases for more information).</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Cloud computing arrangements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consolidated balance sheets.</w:t>
      </w:r>
    </w:p>
    <w:p>
      <w:pPr>
        <w:pStyle w:val="TextBody"/>
        <w:bidi w:val="0"/>
        <w:spacing w:before="270" w:after="0"/>
        <w:jc w:val="left"/>
        <w:rPr>
          <w:rFonts w:ascii="Arial;sans-serif" w:hAnsi="Arial;sans-serif"/>
          <w:b/>
          <w:i/>
          <w:sz w:val="20"/>
        </w:rPr>
      </w:pPr>
      <w:r>
        <w:rPr>
          <w:rFonts w:ascii="Arial;sans-serif" w:hAnsi="Arial;sans-serif"/>
          <w:b/>
          <w:i/>
          <w:sz w:val="20"/>
        </w:rPr>
        <w:t>Leases</w:t>
      </w:r>
    </w:p>
    <w:p>
      <w:pPr>
        <w:pStyle w:val="TextBody"/>
        <w:bidi w:val="0"/>
        <w:spacing w:before="90" w:after="0"/>
        <w:jc w:val="left"/>
        <w:rPr>
          <w:rFonts w:ascii="Arial;sans-serif" w:hAnsi="Arial;sans-serif"/>
          <w:b w:val="false"/>
          <w:i/>
          <w:sz w:val="20"/>
        </w:rPr>
      </w:pPr>
      <w:r>
        <w:rPr>
          <w:rFonts w:ascii="Arial;sans-serif" w:hAnsi="Arial;sans-serif"/>
          <w:b w:val="false"/>
          <w:i/>
          <w:sz w:val="20"/>
        </w:rPr>
        <w:t>Lessee accounting</w:t>
      </w:r>
    </w:p>
    <w:p>
      <w:pPr>
        <w:pStyle w:val="TextBody"/>
        <w:bidi w:val="0"/>
        <w:spacing w:before="90" w:after="0"/>
        <w:jc w:val="left"/>
        <w:rPr>
          <w:rFonts w:ascii="Times New Roman" w:hAnsi="Times New Roman"/>
          <w:sz w:val="20"/>
        </w:rPr>
      </w:pPr>
      <w:r>
        <w:rPr>
          <w:rFonts w:ascii="Arial;sans-serif" w:hAnsi="Arial;sans-serif"/>
          <w:b w:val="false"/>
          <w:sz w:val="20"/>
        </w:rPr>
        <w:t>In accordance with the authoritative guidance for leases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270" w:after="0"/>
        <w:jc w:val="left"/>
        <w:rPr>
          <w:rFonts w:ascii="Arial;sans-serif" w:hAnsi="Arial;sans-serif"/>
          <w:b w:val="false"/>
          <w:i/>
          <w:sz w:val="20"/>
        </w:rPr>
      </w:pPr>
      <w:r>
        <w:rPr>
          <w:rFonts w:ascii="Arial;sans-serif" w:hAnsi="Arial;sans-serif"/>
          <w:b w:val="false"/>
          <w:i/>
          <w:sz w:val="20"/>
        </w:rPr>
        <w:t>Lessor accounting</w:t>
      </w:r>
    </w:p>
    <w:p>
      <w:pPr>
        <w:pStyle w:val="TextBody"/>
        <w:bidi w:val="0"/>
        <w:spacing w:before="90" w:after="0"/>
        <w:jc w:val="left"/>
        <w:rPr>
          <w:rFonts w:ascii="Arial;sans-serif" w:hAnsi="Arial;sans-serif"/>
          <w:b w:val="false"/>
          <w:sz w:val="20"/>
        </w:rPr>
      </w:pPr>
      <w:r>
        <w:rPr>
          <w:rFonts w:ascii="Arial;sans-serif" w:hAnsi="Arial;sans-serif"/>
          <w:b w:val="false"/>
          <w:sz w:val="20"/>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40" w:after="0"/>
        <w:jc w:val="center"/>
        <w:rPr>
          <w:rFonts w:ascii="Arial;sans-serif" w:hAnsi="Arial;sans-serif"/>
          <w:b w:val="false"/>
          <w:sz w:val="20"/>
        </w:rPr>
      </w:pPr>
      <w:r>
        <w:rPr>
          <w:rFonts w:ascii="Arial;sans-serif" w:hAnsi="Arial;sans-serif"/>
          <w:b w:val="false"/>
          <w:sz w:val="20"/>
        </w:rPr>
        <w:t>F-10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i/>
          <w:sz w:val="20"/>
        </w:rPr>
        <w:t>Business combinations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pStyle w:val="TextBody"/>
        <w:bidi w:val="0"/>
        <w:spacing w:before="270" w:after="0"/>
        <w:jc w:val="left"/>
        <w:rPr>
          <w:rFonts w:ascii="Times New Roman" w:hAnsi="Times New Roman"/>
          <w:sz w:val="20"/>
        </w:rPr>
      </w:pPr>
      <w:r>
        <w:rPr>
          <w:rFonts w:ascii="Arial;sans-serif" w:hAnsi="Arial;sans-serif"/>
          <w:b/>
          <w:i/>
          <w:sz w:val="20"/>
        </w:rPr>
        <w:t>Goodwill and intangible assets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authoritative guidance for business combinations (ASC 805)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Patents, orbital slots and other licenses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$3.7</w:t>
      </w:r>
      <w:r>
        <w:rPr>
          <w:rFonts w:ascii="Times New Roman" w:hAnsi="Times New Roman"/>
          <w:sz w:val="20"/>
        </w:rPr>
        <w:t xml:space="preserve"> </w:t>
      </w:r>
      <w:r>
        <w:rPr>
          <w:rFonts w:ascii="Arial;sans-serif" w:hAnsi="Arial;sans-serif"/>
          <w:b w:val="false"/>
          <w:sz w:val="20"/>
        </w:rPr>
        <w:t>million and $3.5</w:t>
      </w:r>
      <w:r>
        <w:rPr>
          <w:rFonts w:ascii="Times New Roman" w:hAnsi="Times New Roman"/>
          <w:sz w:val="20"/>
        </w:rPr>
        <w:t xml:space="preserve"> </w:t>
      </w:r>
      <w:r>
        <w:rPr>
          <w:rFonts w:ascii="Arial;sans-serif" w:hAnsi="Arial;sans-serif"/>
          <w:b w:val="false"/>
          <w:sz w:val="20"/>
        </w:rPr>
        <w:t>million related to patents were included in other assets as of March 31, 2023</w:t>
      </w:r>
      <w:r>
        <w:rPr>
          <w:rFonts w:ascii="Times New Roman" w:hAnsi="Times New Roman"/>
          <w:sz w:val="20"/>
        </w:rPr>
        <w:t xml:space="preserve"> </w:t>
      </w:r>
      <w:r>
        <w:rPr>
          <w:rFonts w:ascii="Arial;sans-serif" w:hAnsi="Arial;sans-serif"/>
          <w:b w:val="false"/>
          <w:sz w:val="20"/>
        </w:rPr>
        <w:t>and 2022, respectively. The Company capitalized costs of $77.0</w:t>
      </w:r>
      <w:r>
        <w:rPr>
          <w:rFonts w:ascii="Times New Roman" w:hAnsi="Times New Roman"/>
          <w:sz w:val="20"/>
        </w:rPr>
        <w:t xml:space="preserve"> </w:t>
      </w:r>
      <w:r>
        <w:rPr>
          <w:rFonts w:ascii="Arial;sans-serif" w:hAnsi="Arial;sans-serif"/>
          <w:b w:val="false"/>
          <w:sz w:val="20"/>
        </w:rPr>
        <w:t>million and $64.1</w:t>
      </w:r>
      <w:r>
        <w:rPr>
          <w:rFonts w:ascii="Times New Roman" w:hAnsi="Times New Roman"/>
          <w:sz w:val="20"/>
        </w:rPr>
        <w:t xml:space="preserve"> </w:t>
      </w:r>
      <w:r>
        <w:rPr>
          <w:rFonts w:ascii="Arial;sans-serif" w:hAnsi="Arial;sans-serif"/>
          <w:b w:val="false"/>
          <w:sz w:val="20"/>
        </w:rPr>
        <w:t>million related to acquiring and obtaining orbital slots and other licenses included in other assets as of March 31, 2023 and 2022, respectively. Accumulated amortization related to these assets was $6.8</w:t>
      </w:r>
      <w:r>
        <w:rPr>
          <w:rFonts w:ascii="Times New Roman" w:hAnsi="Times New Roman"/>
          <w:sz w:val="20"/>
        </w:rPr>
        <w:t xml:space="preserve"> </w:t>
      </w:r>
      <w:r>
        <w:rPr>
          <w:rFonts w:ascii="Arial;sans-serif" w:hAnsi="Arial;sans-serif"/>
          <w:b w:val="false"/>
          <w:sz w:val="20"/>
        </w:rPr>
        <w:t>million and $5.4</w:t>
      </w:r>
      <w:r>
        <w:rPr>
          <w:rFonts w:ascii="Times New Roman" w:hAnsi="Times New Roman"/>
          <w:sz w:val="20"/>
        </w:rPr>
        <w:t xml:space="preserve"> </w:t>
      </w:r>
      <w:r>
        <w:rPr>
          <w:rFonts w:ascii="Arial;sans-serif" w:hAnsi="Arial;sans-serif"/>
          <w:b w:val="false"/>
          <w:sz w:val="20"/>
        </w:rPr>
        <w:t>million as of March 31, 2023 and 2022, respectively. Amortization expense related to these assets was $1.5</w:t>
      </w:r>
      <w:r>
        <w:rPr>
          <w:rFonts w:ascii="Times New Roman" w:hAnsi="Times New Roman"/>
          <w:sz w:val="20"/>
        </w:rPr>
        <w:t xml:space="preserve"> </w:t>
      </w:r>
      <w:r>
        <w:rPr>
          <w:rFonts w:ascii="Arial;sans-serif" w:hAnsi="Arial;sans-serif"/>
          <w:b w:val="false"/>
          <w:sz w:val="20"/>
        </w:rPr>
        <w:t>million and $1.1</w:t>
      </w:r>
      <w:r>
        <w:rPr>
          <w:rFonts w:ascii="Times New Roman" w:hAnsi="Times New Roman"/>
          <w:sz w:val="20"/>
        </w:rPr>
        <w:t xml:space="preserve"> </w:t>
      </w:r>
      <w:r>
        <w:rPr>
          <w:rFonts w:ascii="Arial;sans-serif" w:hAnsi="Arial;sans-serif"/>
          <w:b w:val="false"/>
          <w:sz w:val="20"/>
        </w:rPr>
        <w:t>million for the fiscal years ended March 31, 2023 and 2022, respectively, and an insignificant amount for the fiscal year ended March 31, 2021. If a patent, orbital slot or other license is rejected, abandoned or otherwise invalidated, the unamortized cost is expensed in that period. During fiscal years 2023, 2022 and 2021, the Company did not write off any significant costs due to abandonment or impairment.</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Debt issuance costs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Debt issuance costs are amortized and recognized as interest expense using the effective interest rate method, or, when the results are not materially different, on a straight-line basis over the expected term of the related debt. No, $7.8</w:t>
      </w:r>
      <w:r>
        <w:rPr>
          <w:rFonts w:ascii="Times New Roman" w:hAnsi="Times New Roman"/>
          <w:sz w:val="20"/>
        </w:rPr>
        <w:t xml:space="preserve"> </w:t>
      </w:r>
      <w:r>
        <w:rPr>
          <w:rFonts w:ascii="Arial;sans-serif" w:hAnsi="Arial;sans-serif"/>
          <w:b w:val="false"/>
          <w:sz w:val="20"/>
        </w:rPr>
        <w:t>million and $5.1</w:t>
      </w:r>
      <w:r>
        <w:rPr>
          <w:rFonts w:ascii="Times New Roman" w:hAnsi="Times New Roman"/>
          <w:sz w:val="20"/>
        </w:rPr>
        <w:t xml:space="preserve"> </w:t>
      </w:r>
      <w:r>
        <w:rPr>
          <w:rFonts w:ascii="Arial;sans-serif" w:hAnsi="Arial;sans-serif"/>
          <w:b w:val="false"/>
          <w:sz w:val="20"/>
        </w:rPr>
        <w:t>million of debt issuance costs were capitalized during fiscal years 2023, 2022 and 2021, respectively. Unamortized debt issuance costs related to extinguished debt are expensed at the time the debt is extinguished and recorded in loss on extinguishment of debt in the consolidated statements of operations and comprehensive income (loss). Debt issuance costs related to the Company's revolving credit facility (the Revolving Credit Facility) are recorded in other long-term assets in the consolidated balance sheets in accordance with the authoritative guidance for imputation of interest (ASC 835-30). Debt issuance costs related to the Company’s $700.0</w:t>
      </w:r>
      <w:r>
        <w:rPr>
          <w:rFonts w:ascii="Times New Roman" w:hAnsi="Times New Roman"/>
          <w:sz w:val="20"/>
        </w:rPr>
        <w:t xml:space="preserve"> </w:t>
      </w:r>
      <w:r>
        <w:rPr>
          <w:rFonts w:ascii="Arial;sans-serif" w:hAnsi="Arial;sans-serif"/>
          <w:b w:val="false"/>
          <w:sz w:val="20"/>
        </w:rPr>
        <w:t>million senior secured term loan facility (the Term Loan Facility), 5.625% Senior Notes due 2025 (the 2025 Notes), the Company’s 5.625% Senior Secured Notes due 2027 (the 2027 Notes), the Company’s 6.500% Senior Notes due 2028 (the 2028 Notes and, together with the 2025 Notes and the 2027 Notes, the Notes) and the Ex-Im Credit Facility are recorded as a direct deduction from the carrying amount of the related debt, consistent with debt discounts, in accordance with the authoritative guidance for imputation of interest (ASC 835-30).</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i/>
          <w:sz w:val="20"/>
        </w:rPr>
        <w:t>Software development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$222.2</w:t>
      </w:r>
      <w:r>
        <w:rPr>
          <w:rFonts w:ascii="Times New Roman" w:hAnsi="Times New Roman"/>
          <w:sz w:val="20"/>
        </w:rPr>
        <w:t xml:space="preserve"> </w:t>
      </w:r>
      <w:r>
        <w:rPr>
          <w:rFonts w:ascii="Arial;sans-serif" w:hAnsi="Arial;sans-serif"/>
          <w:b w:val="false"/>
          <w:sz w:val="20"/>
        </w:rPr>
        <w:t>million and $217.2</w:t>
      </w:r>
      <w:r>
        <w:rPr>
          <w:rFonts w:ascii="Times New Roman" w:hAnsi="Times New Roman"/>
          <w:sz w:val="20"/>
        </w:rPr>
        <w:t xml:space="preserve"> </w:t>
      </w:r>
      <w:r>
        <w:rPr>
          <w:rFonts w:ascii="Arial;sans-serif" w:hAnsi="Arial;sans-serif"/>
          <w:b w:val="false"/>
          <w:sz w:val="20"/>
        </w:rPr>
        <w:t>million related to software developed for resale were included in other assets as of March 31, 2023 and 2022, respectively. The Company capitalized $59.4</w:t>
      </w:r>
      <w:r>
        <w:rPr>
          <w:rFonts w:ascii="Times New Roman" w:hAnsi="Times New Roman"/>
          <w:sz w:val="20"/>
        </w:rPr>
        <w:t xml:space="preserve"> </w:t>
      </w:r>
      <w:r>
        <w:rPr>
          <w:rFonts w:ascii="Arial;sans-serif" w:hAnsi="Arial;sans-serif"/>
          <w:b w:val="false"/>
          <w:sz w:val="20"/>
        </w:rPr>
        <w:t>million and $42.7</w:t>
      </w:r>
      <w:r>
        <w:rPr>
          <w:rFonts w:ascii="Times New Roman" w:hAnsi="Times New Roman"/>
          <w:sz w:val="20"/>
        </w:rPr>
        <w:t xml:space="preserve"> </w:t>
      </w:r>
      <w:r>
        <w:rPr>
          <w:rFonts w:ascii="Arial;sans-serif" w:hAnsi="Arial;sans-serif"/>
          <w:b w:val="false"/>
          <w:sz w:val="20"/>
        </w:rPr>
        <w:t>million of costs related to software developed for resale for the fiscal years ended March 31, 2023 and 2022, respectively. Amortization expense for capitalized software development costs was $54.4</w:t>
      </w:r>
      <w:r>
        <w:rPr>
          <w:rFonts w:ascii="Times New Roman" w:hAnsi="Times New Roman"/>
          <w:sz w:val="20"/>
        </w:rPr>
        <w:t xml:space="preserve"> </w:t>
      </w:r>
      <w:r>
        <w:rPr>
          <w:rFonts w:ascii="Arial;sans-serif" w:hAnsi="Arial;sans-serif"/>
          <w:b w:val="false"/>
          <w:sz w:val="20"/>
        </w:rPr>
        <w:t>million, $56.5</w:t>
      </w:r>
      <w:r>
        <w:rPr>
          <w:rFonts w:ascii="Times New Roman" w:hAnsi="Times New Roman"/>
          <w:sz w:val="20"/>
        </w:rPr>
        <w:t xml:space="preserve"> </w:t>
      </w:r>
      <w:r>
        <w:rPr>
          <w:rFonts w:ascii="Arial;sans-serif" w:hAnsi="Arial;sans-serif"/>
          <w:b w:val="false"/>
          <w:sz w:val="20"/>
        </w:rPr>
        <w:t>million and $56.2</w:t>
      </w:r>
      <w:r>
        <w:rPr>
          <w:rFonts w:ascii="Times New Roman" w:hAnsi="Times New Roman"/>
          <w:sz w:val="20"/>
        </w:rPr>
        <w:t xml:space="preserve"> </w:t>
      </w:r>
      <w:r>
        <w:rPr>
          <w:rFonts w:ascii="Arial;sans-serif" w:hAnsi="Arial;sans-serif"/>
          <w:b w:val="false"/>
          <w:sz w:val="20"/>
        </w:rPr>
        <w:t>million during fiscal years 2023, 2022 and 2021, respectively.</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Impairment of long-lived and other long-term assets (property, equipment and satellites, and other assets, including goodwill)</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2023, 2022 and 2021 other than the impairment of certain right-of-use assets in the fourth quarter of fiscal year 2023. See Note 7 — Leases for additional information.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The Company accounts for its goodwill under the authoritative guidance for goodwill and other intangible assets (ASC 350) and the provisions of ASU 2017-04, Simplifying the Test for Goodwill Impairment. In accordance with the current authoritative guidance, the Company first assesses qualitative factors to determine whether it is necessary to perform the quantitative goodwill impairment test. If, after completing the qualitative assessment, the Company determines that it is more likely than not that the estimated fair value is greater than the carrying value, the Company concludes that no impairment exists. Alternatively, if the Company determines in the qualitative assessment that it is more likely than not that the fair value is less than its carrying value, then the Company performs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The Company tests goodwill for impairment during the fourth quarter every fiscal year and when an event occurs or circumstances change such that it is reasonably possible that an impairment may exist.</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In accordance with ASC 350, the Company assesses qualitative factors to determine whether goodwill is impaired. 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0"/>
        <w:jc w:val="left"/>
        <w:rPr>
          <w:rFonts w:ascii="Times New Roman" w:hAnsi="Times New Roman"/>
          <w:sz w:val="20"/>
        </w:rPr>
      </w:pPr>
      <w:r>
        <w:rPr>
          <w:rFonts w:ascii="Arial;sans-serif" w:hAnsi="Arial;sans-serif"/>
          <w:b w:val="false"/>
          <w:sz w:val="20"/>
        </w:rPr>
        <w:t>Furthermore, in addition to qualitative analysis, the Company believes it is appropriate to conduct a quantitative analysis periodically as a prudent review of its reporting unit goodwill fair values. The Company's quantitative analysis estimates the fair values of the reporting units using discounted cash flows and other indicators of fair value. The forecast of future cash flow is based on the Company's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2023, the Company concluded that estimated fair values of its reporting units significantly exceed their respective carrying values.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Based on the Company’s qualitative and quantitative assessment performed during the fourth quarter of fiscal year 2023, the Company concluded that it was more likely than not that the estimated fair value of the Company’s reporting units exceeded their carrying values as of March 31, 2023. No</w:t>
      </w:r>
      <w:r>
        <w:rPr>
          <w:rFonts w:ascii="Times New Roman" w:hAnsi="Times New Roman"/>
          <w:sz w:val="20"/>
        </w:rPr>
        <w:t xml:space="preserve"> </w:t>
      </w:r>
      <w:r>
        <w:rPr>
          <w:rFonts w:ascii="Arial;sans-serif" w:hAnsi="Arial;sans-serif"/>
          <w:b w:val="false"/>
          <w:sz w:val="20"/>
        </w:rPr>
        <w:t>impairments were recorded by the Company related to goodwill and other intangible assets for fiscal years 2023, 2022 and 2021.</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Warranty reserves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Company provides limited warranties on its products for periods of up to five years. The Company records a liability for its warranty obligations when the Company ships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Company estimates the warranty costs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the Company will make future adjustments to the recorded warranty obligation (see Note 15 — Product Warranty).</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Fair value of financial instruments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 – Fair Value Measurements).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i/>
          <w:sz w:val="20"/>
        </w:rPr>
        <w:t>Self-insurance liabilities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$7.9</w:t>
      </w:r>
      <w:r>
        <w:rPr>
          <w:rFonts w:ascii="Times New Roman" w:hAnsi="Times New Roman"/>
          <w:sz w:val="20"/>
        </w:rPr>
        <w:t xml:space="preserve"> </w:t>
      </w:r>
      <w:r>
        <w:rPr>
          <w:rFonts w:ascii="Arial;sans-serif" w:hAnsi="Arial;sans-serif"/>
          <w:b w:val="false"/>
          <w:sz w:val="20"/>
        </w:rPr>
        <w:t>million and $5.8</w:t>
      </w:r>
      <w:r>
        <w:rPr>
          <w:rFonts w:ascii="Times New Roman" w:hAnsi="Times New Roman"/>
          <w:sz w:val="20"/>
        </w:rPr>
        <w:t xml:space="preserve"> </w:t>
      </w:r>
      <w:r>
        <w:rPr>
          <w:rFonts w:ascii="Arial;sans-serif" w:hAnsi="Arial;sans-serif"/>
          <w:b w:val="false"/>
          <w:sz w:val="20"/>
        </w:rPr>
        <w:t>million as of March 31, 2023 and 2022,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Indemnification provisions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2023 and 2022, no</w:t>
      </w:r>
      <w:r>
        <w:rPr>
          <w:rFonts w:ascii="Times New Roman" w:hAnsi="Times New Roman"/>
          <w:sz w:val="20"/>
        </w:rPr>
        <w:t xml:space="preserve"> </w:t>
      </w:r>
      <w:r>
        <w:rPr>
          <w:rFonts w:ascii="Arial;sans-serif" w:hAnsi="Arial;sans-serif"/>
          <w:b w:val="false"/>
          <w:sz w:val="20"/>
        </w:rPr>
        <w:t>such amounts were accrued related to the aforementioned provisions.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Noncontrolling interests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pStyle w:val="TextBody"/>
        <w:bidi w:val="0"/>
        <w:spacing w:before="180" w:after="0"/>
        <w:jc w:val="left"/>
        <w:rPr>
          <w:rFonts w:ascii="Times New Roman" w:hAnsi="Times New Roman"/>
          <w:sz w:val="20"/>
        </w:rPr>
      </w:pPr>
      <w:r>
        <w:rPr>
          <w:rFonts w:ascii="Arial;sans-serif" w:hAnsi="Arial;sans-serif"/>
          <w:b w:val="false"/>
          <w:sz w:val="20"/>
        </w:rPr>
        <w:t>On August 15, 2022, TrellisWare, a majority-owned subsidiary of the Company, completed the repurchase of its common stock from participating stockholders for a total purchase price of approximately $30.0</w:t>
      </w:r>
      <w:r>
        <w:rPr>
          <w:rFonts w:ascii="Times New Roman" w:hAnsi="Times New Roman"/>
          <w:sz w:val="20"/>
        </w:rPr>
        <w:t xml:space="preserve"> </w:t>
      </w:r>
      <w:r>
        <w:rPr>
          <w:rFonts w:ascii="Arial;sans-serif" w:hAnsi="Arial;sans-serif"/>
          <w:b w:val="false"/>
          <w:sz w:val="20"/>
        </w:rPr>
        <w:t>million. The Company did not elect to participate in the share repurchase, and accordingly, the Company's ownership percentage of TrellisWare increased to slightly over 60% as a result of the share repurchase.</w:t>
      </w:r>
    </w:p>
    <w:p>
      <w:pPr>
        <w:pStyle w:val="TextBody"/>
        <w:bidi w:val="0"/>
        <w:spacing w:before="180" w:after="0"/>
        <w:jc w:val="left"/>
        <w:rPr>
          <w:rFonts w:ascii="Arial;sans-serif" w:hAnsi="Arial;sans-serif"/>
          <w:b w:val="false"/>
          <w:sz w:val="20"/>
        </w:rPr>
      </w:pPr>
      <w:r>
        <w:rPr>
          <w:rFonts w:ascii="Arial;sans-serif" w:hAnsi="Arial;sans-serif"/>
          <w:b w:val="false"/>
          <w:sz w:val="20"/>
        </w:rPr>
        <w:t>The following table summarizes the effect of the change in the Company's percentage ownership interest in TrellisWare on the Company's equity for the fiscal years ended March 31, 2023, 2022 and 2021:</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819"/>
        <w:gridCol w:w="146"/>
        <w:gridCol w:w="220"/>
        <w:gridCol w:w="1002"/>
        <w:gridCol w:w="166"/>
        <w:gridCol w:w="146"/>
        <w:gridCol w:w="248"/>
        <w:gridCol w:w="886"/>
        <w:gridCol w:w="166"/>
        <w:gridCol w:w="146"/>
        <w:gridCol w:w="281"/>
        <w:gridCol w:w="784"/>
        <w:gridCol w:w="195"/>
      </w:tblGrid>
      <w:tr>
        <w:trPr/>
        <w:tc>
          <w:tcPr>
            <w:tcW w:w="5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81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4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1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1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45"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5" w:type="dxa"/>
            <w:tcBorders/>
            <w:vAlign w:val="center"/>
          </w:tcPr>
          <w:p>
            <w:pPr>
              <w:pStyle w:val="TableContents"/>
              <w:bidi w:val="0"/>
              <w:spacing w:before="0" w:after="0"/>
              <w:ind w:left="0" w:right="0" w:hanging="0"/>
              <w:jc w:val="center"/>
              <w:rPr/>
            </w:pPr>
            <w:r>
              <w:rPr/>
              <w:t> </w:t>
            </w:r>
          </w:p>
        </w:tc>
      </w:tr>
      <w:tr>
        <w:trPr/>
        <w:tc>
          <w:tcPr>
            <w:tcW w:w="581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attributable to Viasat, Inc.</w:t>
            </w:r>
          </w:p>
        </w:tc>
        <w:tc>
          <w:tcPr>
            <w:tcW w:w="146" w:type="dxa"/>
            <w:tcBorders/>
            <w:vAlign w:val="center"/>
          </w:tcPr>
          <w:p>
            <w:pPr>
              <w:pStyle w:val="TableContents"/>
              <w:bidi w:val="0"/>
              <w:spacing w:before="0" w:after="0"/>
              <w:ind w:left="0" w:right="0" w:hanging="0"/>
              <w:jc w:val="center"/>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1,084,806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(15,534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3,691</w:t>
            </w:r>
          </w:p>
        </w:tc>
        <w:tc>
          <w:tcPr>
            <w:tcW w:w="195" w:type="dxa"/>
            <w:tcBorders/>
            <w:vAlign w:val="center"/>
          </w:tcPr>
          <w:p>
            <w:pPr>
              <w:pStyle w:val="TableContents"/>
              <w:bidi w:val="0"/>
              <w:spacing w:before="0" w:after="0"/>
              <w:ind w:left="0" w:right="0" w:hanging="0"/>
              <w:jc w:val="left"/>
              <w:rPr/>
            </w:pPr>
            <w:r>
              <w:rPr/>
              <w:t> </w:t>
            </w:r>
          </w:p>
        </w:tc>
      </w:tr>
      <w:tr>
        <w:trPr/>
        <w:tc>
          <w:tcPr>
            <w:tcW w:w="581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Transfers to noncontrolling interest</w:t>
            </w:r>
          </w:p>
        </w:tc>
        <w:tc>
          <w:tcPr>
            <w:tcW w:w="146" w:type="dxa"/>
            <w:tcBorders/>
            <w:vAlign w:val="center"/>
          </w:tcPr>
          <w:p>
            <w:pPr>
              <w:pStyle w:val="TableContents"/>
              <w:bidi w:val="0"/>
              <w:spacing w:before="0" w:after="0"/>
              <w:ind w:left="0" w:right="0" w:hanging="0"/>
              <w:jc w:val="center"/>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(11,783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1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Change from net income (loss) attributable to Viasat, Inc. and transfers from (to) noncontrolling interest</w:t>
            </w:r>
          </w:p>
        </w:tc>
        <w:tc>
          <w:tcPr>
            <w:tcW w:w="146" w:type="dxa"/>
            <w:tcBorders/>
            <w:vAlign w:val="center"/>
          </w:tcPr>
          <w:p>
            <w:pPr>
              <w:pStyle w:val="TableContents"/>
              <w:bidi w:val="0"/>
              <w:spacing w:before="0" w:after="0"/>
              <w:ind w:left="0" w:right="0" w:hanging="0"/>
              <w:jc w:val="center"/>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1,073,023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3,691</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i/>
          <w:sz w:val="20"/>
        </w:rPr>
        <w:t>Investments in unconsolidated affiliate — equity method</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 The Company records its share of the results of such entities within equity in income (loss) of unconsolidated affiliate, net on the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Common stock held in treasury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As of March 31, 2023 and 2022, the Company had no</w:t>
      </w:r>
      <w:r>
        <w:rPr>
          <w:rFonts w:ascii="Times New Roman" w:hAnsi="Times New Roman"/>
          <w:sz w:val="20"/>
        </w:rPr>
        <w:t xml:space="preserve"> </w:t>
      </w:r>
      <w:r>
        <w:rPr>
          <w:rFonts w:ascii="Arial;sans-serif" w:hAnsi="Arial;sans-serif"/>
          <w:b w:val="false"/>
          <w:sz w:val="20"/>
        </w:rPr>
        <w:t>shares of common stock held in treasury.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During fiscal years 2023, 2022 and 2021, the Company issued 1,376,583, 1,274,311</w:t>
      </w:r>
      <w:r>
        <w:rPr>
          <w:rFonts w:ascii="Times New Roman" w:hAnsi="Times New Roman"/>
          <w:sz w:val="20"/>
        </w:rPr>
        <w:t xml:space="preserve"> </w:t>
      </w:r>
      <w:r>
        <w:rPr>
          <w:rFonts w:ascii="Arial;sans-serif" w:hAnsi="Arial;sans-serif"/>
          <w:b w:val="false"/>
          <w:sz w:val="20"/>
        </w:rPr>
        <w:t>and 1,064,680</w:t>
      </w:r>
      <w:r>
        <w:rPr>
          <w:rFonts w:ascii="Times New Roman" w:hAnsi="Times New Roman"/>
          <w:sz w:val="20"/>
        </w:rPr>
        <w:t xml:space="preserve"> </w:t>
      </w:r>
      <w:r>
        <w:rPr>
          <w:rFonts w:ascii="Arial;sans-serif" w:hAnsi="Arial;sans-serif"/>
          <w:b w:val="false"/>
          <w:sz w:val="20"/>
        </w:rPr>
        <w:t>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487,111, 445,257</w:t>
      </w:r>
      <w:r>
        <w:rPr>
          <w:rFonts w:ascii="Times New Roman" w:hAnsi="Times New Roman"/>
          <w:sz w:val="20"/>
        </w:rPr>
        <w:t xml:space="preserve"> </w:t>
      </w:r>
      <w:r>
        <w:rPr>
          <w:rFonts w:ascii="Arial;sans-serif" w:hAnsi="Arial;sans-serif"/>
          <w:b w:val="false"/>
          <w:sz w:val="20"/>
        </w:rPr>
        <w:t>and 376,884</w:t>
      </w:r>
      <w:r>
        <w:rPr>
          <w:rFonts w:ascii="Times New Roman" w:hAnsi="Times New Roman"/>
          <w:sz w:val="20"/>
        </w:rPr>
        <w:t xml:space="preserve"> </w:t>
      </w:r>
      <w:r>
        <w:rPr>
          <w:rFonts w:ascii="Arial;sans-serif" w:hAnsi="Arial;sans-serif"/>
          <w:b w:val="false"/>
          <w:sz w:val="20"/>
        </w:rPr>
        <w:t>shares of common stock at cost and with a total value of $16.5</w:t>
      </w:r>
      <w:r>
        <w:rPr>
          <w:rFonts w:ascii="Times New Roman" w:hAnsi="Times New Roman"/>
          <w:sz w:val="20"/>
        </w:rPr>
        <w:t xml:space="preserve"> </w:t>
      </w:r>
      <w:r>
        <w:rPr>
          <w:rFonts w:ascii="Arial;sans-serif" w:hAnsi="Arial;sans-serif"/>
          <w:b w:val="false"/>
          <w:sz w:val="20"/>
        </w:rPr>
        <w:t>million, $23.0</w:t>
      </w:r>
      <w:r>
        <w:rPr>
          <w:rFonts w:ascii="Times New Roman" w:hAnsi="Times New Roman"/>
          <w:sz w:val="20"/>
        </w:rPr>
        <w:t xml:space="preserve"> </w:t>
      </w:r>
      <w:r>
        <w:rPr>
          <w:rFonts w:ascii="Arial;sans-serif" w:hAnsi="Arial;sans-serif"/>
          <w:b w:val="false"/>
          <w:sz w:val="20"/>
        </w:rPr>
        <w:t>million and $13.7</w:t>
      </w:r>
      <w:r>
        <w:rPr>
          <w:rFonts w:ascii="Times New Roman" w:hAnsi="Times New Roman"/>
          <w:sz w:val="20"/>
        </w:rPr>
        <w:t xml:space="preserve"> </w:t>
      </w:r>
      <w:r>
        <w:rPr>
          <w:rFonts w:ascii="Arial;sans-serif" w:hAnsi="Arial;sans-serif"/>
          <w:b w:val="false"/>
          <w:sz w:val="20"/>
        </w:rPr>
        <w:t>million during fiscal years 2023, 2022 and 2021,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Foreign currency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Other comprehensive loss related to the effects of foreign currency translation adjustments attributable to Viasat, Inc. during fiscal year 2023</w:t>
      </w:r>
      <w:r>
        <w:rPr>
          <w:rFonts w:ascii="Times New Roman" w:hAnsi="Times New Roman"/>
          <w:sz w:val="20"/>
        </w:rPr>
        <w:t xml:space="preserve"> </w:t>
      </w:r>
      <w:r>
        <w:rPr>
          <w:rFonts w:ascii="Arial;sans-serif" w:hAnsi="Arial;sans-serif"/>
          <w:b w:val="false"/>
          <w:sz w:val="20"/>
        </w:rPr>
        <w:t>was $13.1</w:t>
      </w:r>
      <w:r>
        <w:rPr>
          <w:rFonts w:ascii="Times New Roman" w:hAnsi="Times New Roman"/>
          <w:sz w:val="20"/>
        </w:rPr>
        <w:t xml:space="preserve"> </w:t>
      </w:r>
      <w:r>
        <w:rPr>
          <w:rFonts w:ascii="Arial;sans-serif" w:hAnsi="Arial;sans-serif"/>
          <w:b w:val="false"/>
          <w:sz w:val="20"/>
        </w:rPr>
        <w:t>million, net of an insignificant amount of tax. Other comprehensive loss related to the effects of foreign currency translation adjustments attributable to Viasat, Inc. during fiscal year 2022</w:t>
      </w:r>
      <w:r>
        <w:rPr>
          <w:rFonts w:ascii="Times New Roman" w:hAnsi="Times New Roman"/>
          <w:sz w:val="20"/>
        </w:rPr>
        <w:t xml:space="preserve"> </w:t>
      </w:r>
      <w:r>
        <w:rPr>
          <w:rFonts w:ascii="Arial;sans-serif" w:hAnsi="Arial;sans-serif"/>
          <w:b w:val="false"/>
          <w:sz w:val="20"/>
        </w:rPr>
        <w:t>was $37.3</w:t>
      </w:r>
      <w:r>
        <w:rPr>
          <w:rFonts w:ascii="Times New Roman" w:hAnsi="Times New Roman"/>
          <w:sz w:val="20"/>
        </w:rPr>
        <w:t xml:space="preserve"> </w:t>
      </w:r>
      <w:r>
        <w:rPr>
          <w:rFonts w:ascii="Arial;sans-serif" w:hAnsi="Arial;sans-serif"/>
          <w:b w:val="false"/>
          <w:sz w:val="20"/>
        </w:rPr>
        <w:t>million, or $31.4</w:t>
      </w:r>
      <w:r>
        <w:rPr>
          <w:rFonts w:ascii="Times New Roman" w:hAnsi="Times New Roman"/>
          <w:sz w:val="20"/>
        </w:rPr>
        <w:t xml:space="preserve"> </w:t>
      </w:r>
      <w:r>
        <w:rPr>
          <w:rFonts w:ascii="Arial;sans-serif" w:hAnsi="Arial;sans-serif"/>
          <w:b w:val="false"/>
          <w:sz w:val="20"/>
        </w:rPr>
        <w:t>million net of tax. Other comprehensive income related to the effects of foreign currency translation adjustments attributed to Viasat, Inc. during fiscal year 2021</w:t>
      </w:r>
      <w:r>
        <w:rPr>
          <w:rFonts w:ascii="Times New Roman" w:hAnsi="Times New Roman"/>
          <w:sz w:val="20"/>
        </w:rPr>
        <w:t xml:space="preserve"> </w:t>
      </w:r>
      <w:r>
        <w:rPr>
          <w:rFonts w:ascii="Arial;sans-serif" w:hAnsi="Arial;sans-serif"/>
          <w:b w:val="false"/>
          <w:sz w:val="20"/>
        </w:rPr>
        <w:t>was $20.4</w:t>
      </w:r>
      <w:r>
        <w:rPr>
          <w:rFonts w:ascii="Times New Roman" w:hAnsi="Times New Roman"/>
          <w:sz w:val="20"/>
        </w:rPr>
        <w:t xml:space="preserve"> </w:t>
      </w:r>
      <w:r>
        <w:rPr>
          <w:rFonts w:ascii="Arial;sans-serif" w:hAnsi="Arial;sans-serif"/>
          <w:b w:val="false"/>
          <w:sz w:val="20"/>
        </w:rPr>
        <w:t>million, or $15.9</w:t>
      </w:r>
      <w:r>
        <w:rPr>
          <w:rFonts w:ascii="Times New Roman" w:hAnsi="Times New Roman"/>
          <w:sz w:val="20"/>
        </w:rPr>
        <w:t xml:space="preserve"> </w:t>
      </w:r>
      <w:r>
        <w:rPr>
          <w:rFonts w:ascii="Arial;sans-serif" w:hAnsi="Arial;sans-serif"/>
          <w:b w:val="false"/>
          <w:sz w:val="20"/>
        </w:rPr>
        <w:t>million net of tax.</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Revenue recognition</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pStyle w:val="TextBody"/>
        <w:bidi w:val="0"/>
        <w:spacing w:before="180" w:after="0"/>
        <w:jc w:val="left"/>
        <w:rPr>
          <w:rFonts w:ascii="Arial;sans-serif" w:hAnsi="Arial;sans-serif"/>
          <w:b w:val="false"/>
          <w:sz w:val="20"/>
        </w:rPr>
      </w:pPr>
      <w:r>
        <w:rPr>
          <w:rFonts w:ascii="Arial;sans-serif" w:hAnsi="Arial;sans-serif"/>
          <w:b w:val="false"/>
          <w:sz w:val="20"/>
        </w:rPr>
        <w:t>Furthermore, from time to time, the Company participates in U.S. federal and state programs under which the government funds part of the costs of providing services in targeted locations such as unserved or under-served high cost or rural areas, or for certain types of customers. The Company accounts for funds received from the government by analogy to International Accounting Standards (IAS) 20, Accounting for Government Grants and Disclosure of Government Assistance, and recognizes funds received in the consolidated statement of operations and comprehensive income (loss) when there is reasonable assurance that it will comply with the conditions associated with the grant and the grant will be received. Recognition occurs on a systematic basis over the periods in which the entity recognizes as expenses the related costs for which the grant is intended to compensate. During the year ended March 31, 2023, the amounts recorded in the Company’s consolidated financial statements related to these types of arrangements were not material.</w:t>
      </w:r>
    </w:p>
    <w:p>
      <w:pPr>
        <w:pStyle w:val="TextBody"/>
        <w:bidi w:val="0"/>
        <w:spacing w:before="240" w:after="0"/>
        <w:jc w:val="center"/>
        <w:rPr>
          <w:rFonts w:ascii="Arial;sans-serif" w:hAnsi="Arial;sans-serif"/>
          <w:b w:val="false"/>
          <w:sz w:val="20"/>
        </w:rPr>
      </w:pPr>
      <w:r>
        <w:rPr>
          <w:rFonts w:ascii="Arial;sans-serif" w:hAnsi="Arial;sans-serif"/>
          <w:b w:val="false"/>
          <w:sz w:val="20"/>
        </w:rPr>
        <w:t>F-15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Arial;sans-serif" w:hAnsi="Arial;sans-serif"/>
          <w:b w:val="false"/>
          <w:i/>
          <w:sz w:val="20"/>
        </w:rPr>
      </w:pPr>
      <w:r>
        <w:rPr>
          <w:rFonts w:ascii="Arial;sans-serif" w:hAnsi="Arial;sans-serif"/>
          <w:b w:val="false"/>
          <w:i/>
          <w:sz w:val="20"/>
        </w:rPr>
        <w:t>Performance obligations</w:t>
      </w:r>
    </w:p>
    <w:p>
      <w:pPr>
        <w:pStyle w:val="TextBody"/>
        <w:bidi w:val="0"/>
        <w:spacing w:before="90" w:after="0"/>
        <w:jc w:val="left"/>
        <w:rPr>
          <w:rFonts w:ascii="Arial;sans-serif" w:hAnsi="Arial;sans-serif"/>
          <w:b w:val="false"/>
          <w:sz w:val="20"/>
        </w:rPr>
      </w:pPr>
      <w:r>
        <w:rPr>
          <w:rFonts w:ascii="Arial;sans-serif" w:hAnsi="Arial;sans-serif"/>
          <w:b w:val="false"/>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 842. As discussed further above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0"/>
        <w:jc w:val="left"/>
        <w:rPr>
          <w:rFonts w:ascii="Arial;sans-serif" w:hAnsi="Arial;sans-serif"/>
          <w:b w:val="false"/>
          <w:sz w:val="20"/>
        </w:rPr>
      </w:pPr>
      <w:r>
        <w:rPr>
          <w:rFonts w:ascii="Arial;sans-serif" w:hAnsi="Arial;sans-serif"/>
          <w:b w:val="false"/>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180" w:after="0"/>
        <w:jc w:val="left"/>
        <w:rPr>
          <w:rFonts w:ascii="Arial;sans-serif" w:hAnsi="Arial;sans-serif"/>
          <w:b w:val="false"/>
          <w:sz w:val="20"/>
        </w:rPr>
      </w:pPr>
      <w:r>
        <w:rPr>
          <w:rFonts w:ascii="Arial;sans-serif" w:hAnsi="Arial;sans-serif"/>
          <w:b w:val="false"/>
          <w:sz w:val="20"/>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240" w:after="0"/>
        <w:jc w:val="center"/>
        <w:rPr>
          <w:rFonts w:ascii="Arial;sans-serif" w:hAnsi="Arial;sans-serif"/>
          <w:b w:val="false"/>
          <w:sz w:val="20"/>
        </w:rPr>
      </w:pPr>
      <w:r>
        <w:rPr>
          <w:rFonts w:ascii="Arial;sans-serif" w:hAnsi="Arial;sans-serif"/>
          <w:b w:val="false"/>
          <w:sz w:val="20"/>
        </w:rPr>
        <w:t>F-16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Contract costs on U.S. Government contracts are subject to audit and review by the Defense Contracting Management Agency (DCMA), the Defense Contract Audit Agency (DCAA), and other U.S. Government agencies, as well as negotiations with U.S. Government representatives. As of March 31, 2023, the DCAA had completed its incurred cost audit for fiscal years 2004, 2016, 2019, 2020 and 2021. The DCMA approved the Company’s incurred costs for those fiscal years, with the exception of 2021, which is pending. The DCMA also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$12.9</w:t>
      </w:r>
      <w:r>
        <w:rPr>
          <w:rFonts w:ascii="Times New Roman" w:hAnsi="Times New Roman"/>
          <w:sz w:val="20"/>
        </w:rPr>
        <w:t xml:space="preserve"> </w:t>
      </w:r>
      <w:r>
        <w:rPr>
          <w:rFonts w:ascii="Arial;sans-serif" w:hAnsi="Arial;sans-serif"/>
          <w:b w:val="false"/>
          <w:sz w:val="20"/>
        </w:rPr>
        <w:t>million and $12.1</w:t>
      </w:r>
      <w:r>
        <w:rPr>
          <w:rFonts w:ascii="Times New Roman" w:hAnsi="Times New Roman"/>
          <w:sz w:val="20"/>
        </w:rPr>
        <w:t xml:space="preserve"> </w:t>
      </w:r>
      <w:r>
        <w:rPr>
          <w:rFonts w:ascii="Arial;sans-serif" w:hAnsi="Arial;sans-serif"/>
          <w:b w:val="false"/>
          <w:sz w:val="20"/>
        </w:rPr>
        <w:t>million as of March 31, 2023 and March 31, 2022, respectively, in contract-related reserves for its estimate of potential refunds to customers for potential cost adjustments on several multi-year U.S. Government cost reimbursable contracts (see Note 14 — Contingencies for more information).</w:t>
      </w:r>
    </w:p>
    <w:p>
      <w:pPr>
        <w:pStyle w:val="TextBody"/>
        <w:bidi w:val="0"/>
        <w:spacing w:before="270" w:after="0"/>
        <w:jc w:val="left"/>
        <w:rPr>
          <w:rFonts w:ascii="Arial;sans-serif" w:hAnsi="Arial;sans-serif"/>
          <w:b w:val="false"/>
          <w:i/>
          <w:sz w:val="20"/>
        </w:rPr>
      </w:pPr>
      <w:r>
        <w:rPr>
          <w:rFonts w:ascii="Arial;sans-serif" w:hAnsi="Arial;sans-serif"/>
          <w:b w:val="false"/>
          <w:i/>
          <w:sz w:val="20"/>
        </w:rPr>
        <w:t>Evaluation of transaction price</w:t>
      </w:r>
    </w:p>
    <w:p>
      <w:pPr>
        <w:pStyle w:val="TextBody"/>
        <w:bidi w:val="0"/>
        <w:spacing w:before="90" w:after="0"/>
        <w:jc w:val="left"/>
        <w:rPr>
          <w:rFonts w:ascii="Arial;sans-serif" w:hAnsi="Arial;sans-serif"/>
          <w:b w:val="false"/>
          <w:sz w:val="20"/>
        </w:rPr>
      </w:pPr>
      <w:r>
        <w:rPr>
          <w:rFonts w:ascii="Arial;sans-serif" w:hAnsi="Arial;sans-serif"/>
          <w:b w:val="false"/>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0"/>
        <w:jc w:val="left"/>
        <w:rPr>
          <w:rFonts w:ascii="Arial;sans-serif" w:hAnsi="Arial;sans-serif"/>
          <w:b w:val="false"/>
          <w:sz w:val="20"/>
        </w:rPr>
      </w:pPr>
      <w:r>
        <w:rPr>
          <w:rFonts w:ascii="Arial;sans-serif" w:hAnsi="Arial;sans-serif"/>
          <w:b w:val="false"/>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spacing w:before="240" w:after="0"/>
        <w:jc w:val="center"/>
        <w:rPr>
          <w:rFonts w:ascii="Arial;sans-serif" w:hAnsi="Arial;sans-serif"/>
          <w:b w:val="false"/>
          <w:sz w:val="20"/>
        </w:rPr>
      </w:pPr>
      <w:r>
        <w:rPr>
          <w:rFonts w:ascii="Arial;sans-serif" w:hAnsi="Arial;sans-serif"/>
          <w:b w:val="false"/>
          <w:sz w:val="20"/>
        </w:rPr>
        <w:t>F-17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Arial;sans-serif" w:hAnsi="Arial;sans-serif"/>
          <w:b w:val="false"/>
          <w:i/>
          <w:sz w:val="20"/>
        </w:rPr>
      </w:pPr>
      <w:r>
        <w:rPr>
          <w:rFonts w:ascii="Arial;sans-serif" w:hAnsi="Arial;sans-serif"/>
          <w:b w:val="false"/>
          <w:i/>
          <w:sz w:val="20"/>
        </w:rPr>
        <w:t>Transaction price allocated to remaining performance obligations</w:t>
      </w:r>
    </w:p>
    <w:p>
      <w:pPr>
        <w:pStyle w:val="TextBody"/>
        <w:bidi w:val="0"/>
        <w:spacing w:before="90" w:after="0"/>
        <w:jc w:val="left"/>
        <w:rPr>
          <w:rFonts w:ascii="Times New Roman" w:hAnsi="Times New Roman"/>
          <w:sz w:val="20"/>
        </w:rPr>
      </w:pPr>
      <w:r>
        <w:rPr>
          <w:rFonts w:ascii="Arial;sans-serif" w:hAnsi="Arial;sans-serif"/>
          <w:b w:val="false"/>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March 31, 2023, the aggregate amount of the transaction price allocated to remaining performance obligations was $1.7</w:t>
      </w:r>
      <w:r>
        <w:rPr>
          <w:rFonts w:ascii="Times New Roman" w:hAnsi="Times New Roman"/>
          <w:sz w:val="20"/>
        </w:rPr>
        <w:t xml:space="preserve"> </w:t>
      </w:r>
      <w:r>
        <w:rPr>
          <w:rFonts w:ascii="Arial;sans-serif" w:hAnsi="Arial;sans-serif"/>
          <w:b w:val="false"/>
          <w:sz w:val="20"/>
        </w:rPr>
        <w:t>billion, of which the Company expects to recognize a little over half</w:t>
      </w:r>
      <w:r>
        <w:rPr>
          <w:rFonts w:ascii="Arial;sans-serif" w:hAnsi="Arial;sans-serif"/>
          <w:sz w:val="20"/>
        </w:rPr>
        <w:t xml:space="preserve"> </w:t>
      </w:r>
      <w:r>
        <w:rPr>
          <w:rFonts w:ascii="Arial;sans-serif" w:hAnsi="Arial;sans-serif"/>
          <w:b w:val="false"/>
          <w:sz w:val="20"/>
        </w:rPr>
        <w:t>over the next 12 months, with the balance recognized thereafter.</w:t>
      </w:r>
    </w:p>
    <w:p>
      <w:pPr>
        <w:pStyle w:val="TextBody"/>
        <w:bidi w:val="0"/>
        <w:spacing w:before="270" w:after="0"/>
        <w:jc w:val="left"/>
        <w:rPr>
          <w:rFonts w:ascii="Arial;sans-serif" w:hAnsi="Arial;sans-serif"/>
          <w:b w:val="false"/>
          <w:i/>
          <w:sz w:val="20"/>
        </w:rPr>
      </w:pPr>
      <w:r>
        <w:rPr>
          <w:rFonts w:ascii="Arial;sans-serif" w:hAnsi="Arial;sans-serif"/>
          <w:b w:val="false"/>
          <w:i/>
          <w:sz w:val="20"/>
        </w:rPr>
        <w:t>Disaggregation of revenue</w:t>
      </w:r>
    </w:p>
    <w:p>
      <w:pPr>
        <w:pStyle w:val="TextBody"/>
        <w:bidi w:val="0"/>
        <w:spacing w:before="90" w:after="0"/>
        <w:jc w:val="left"/>
        <w:rPr>
          <w:rFonts w:ascii="Times New Roman" w:hAnsi="Times New Roman"/>
          <w:sz w:val="20"/>
        </w:rPr>
      </w:pPr>
      <w:r>
        <w:rPr>
          <w:rFonts w:ascii="Arial;sans-serif" w:hAnsi="Arial;sans-serif"/>
          <w:b w:val="false"/>
          <w:sz w:val="20"/>
        </w:rPr>
        <w:t>The Company operates and manages its business in three</w:t>
      </w:r>
      <w:r>
        <w:rPr>
          <w:rFonts w:ascii="Times New Roman" w:hAnsi="Times New Roman"/>
          <w:sz w:val="20"/>
        </w:rPr>
        <w:t xml:space="preserve"> </w:t>
      </w:r>
      <w:r>
        <w:rPr>
          <w:rFonts w:ascii="Arial;sans-serif" w:hAnsi="Arial;sans-serif"/>
          <w:b w:val="false"/>
          <w:sz w:val="20"/>
        </w:rPr>
        <w:t>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The following sets forth disaggregated reported revenue by segment and product and services for the fiscal years ended March 31, 2023, 2022 and 2021 (as noted above, revenue information excludes revenues from the Link-16 TDL Business, which have been classified as discontinued operations):</w:t>
      </w:r>
    </w:p>
    <w:p>
      <w:pPr>
        <w:pStyle w:val="TextBody"/>
        <w:bidi w:val="0"/>
        <w:spacing w:before="0" w:after="0"/>
        <w:jc w:val="left"/>
        <w:rPr/>
      </w:pPr>
      <w:r>
        <w:rPr/>
        <w:t> </w:t>
      </w:r>
    </w:p>
    <w:tbl>
      <w:tblPr>
        <w:tblW w:w="7518" w:type="dxa"/>
        <w:jc w:val="left"/>
        <w:tblInd w:w="0" w:type="dxa"/>
        <w:tblLayout w:type="fixed"/>
        <w:tblCellMar>
          <w:top w:w="28" w:type="dxa"/>
          <w:left w:w="28" w:type="dxa"/>
          <w:bottom w:w="28" w:type="dxa"/>
          <w:right w:w="28" w:type="dxa"/>
        </w:tblCellMar>
      </w:tblPr>
      <w:tblGrid>
        <w:gridCol w:w="1651"/>
        <w:gridCol w:w="146"/>
        <w:gridCol w:w="211"/>
        <w:gridCol w:w="961"/>
        <w:gridCol w:w="146"/>
        <w:gridCol w:w="146"/>
        <w:gridCol w:w="220"/>
        <w:gridCol w:w="831"/>
        <w:gridCol w:w="146"/>
        <w:gridCol w:w="146"/>
        <w:gridCol w:w="229"/>
        <w:gridCol w:w="867"/>
        <w:gridCol w:w="146"/>
        <w:gridCol w:w="146"/>
        <w:gridCol w:w="240"/>
        <w:gridCol w:w="1095"/>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 Ended March 31,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Satellite</w:t>
              <w:br/>
              <w:t>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Commercial</w:t>
              <w:br/>
              <w:t>Networks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Government</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 Revenues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0"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530,374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423,752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954,126</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1,210,733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82,273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309,026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1,602,032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1,210,733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612,647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732,778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2,556,158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 Ended March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Satellite</w:t>
              <w:br/>
              <w:t>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Commercial</w:t>
              <w:br/>
              <w:t>Networks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Government</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 Revenues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0"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443,435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417,291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860,726</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1,188,816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68,664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298,973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1,556,453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1,188,816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512,099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716,264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2,417,179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 Ended March 31, 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Satellite</w:t>
              <w:br/>
              <w:t>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Commercial</w:t>
              <w:br/>
              <w:t>Networks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Government</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 Revenues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0"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470,543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739,373</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868,943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260,536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1,181,505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868,943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320,856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731,079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1,920,878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Arial;sans-serif" w:hAnsi="Arial;sans-serif"/>
          <w:b w:val="false"/>
          <w:sz w:val="20"/>
        </w:rPr>
        <w:t>Revenues from the U.S. Government as an individual customer comprised approximately 17%, 18%</w:t>
      </w:r>
      <w:r>
        <w:rPr>
          <w:rFonts w:ascii="Times New Roman" w:hAnsi="Times New Roman"/>
          <w:sz w:val="20"/>
        </w:rPr>
        <w:t xml:space="preserve"> </w:t>
      </w:r>
      <w:r>
        <w:rPr>
          <w:rFonts w:ascii="Arial;sans-serif" w:hAnsi="Arial;sans-serif"/>
          <w:b w:val="false"/>
          <w:sz w:val="20"/>
        </w:rPr>
        <w:t>and 21%</w:t>
      </w:r>
      <w:r>
        <w:rPr>
          <w:rFonts w:ascii="Times New Roman" w:hAnsi="Times New Roman"/>
          <w:sz w:val="20"/>
        </w:rPr>
        <w:t xml:space="preserve"> </w:t>
      </w:r>
      <w:r>
        <w:rPr>
          <w:rFonts w:ascii="Arial;sans-serif" w:hAnsi="Arial;sans-serif"/>
          <w:b w:val="false"/>
          <w:sz w:val="20"/>
        </w:rPr>
        <w:t>of total revenues for the fiscal years ended March 31, 2023, 2022 and 2021, respectively, mainly reported within the government systems segment. Revenues from the Company’s other customers, mainly reported within the commercial networks and satellite services segments, comprised approximately 83%, 82%</w:t>
      </w:r>
      <w:r>
        <w:rPr>
          <w:rFonts w:ascii="Times New Roman" w:hAnsi="Times New Roman"/>
          <w:sz w:val="20"/>
        </w:rPr>
        <w:t xml:space="preserve"> </w:t>
      </w:r>
      <w:r>
        <w:rPr>
          <w:rFonts w:ascii="Arial;sans-serif" w:hAnsi="Arial;sans-serif"/>
          <w:b w:val="false"/>
          <w:sz w:val="20"/>
        </w:rPr>
        <w:t>and 79%</w:t>
      </w:r>
      <w:r>
        <w:rPr>
          <w:rFonts w:ascii="Times New Roman" w:hAnsi="Times New Roman"/>
          <w:sz w:val="20"/>
        </w:rPr>
        <w:t xml:space="preserve"> </w:t>
      </w:r>
      <w:r>
        <w:rPr>
          <w:rFonts w:ascii="Arial;sans-serif" w:hAnsi="Arial;sans-serif"/>
          <w:b w:val="false"/>
          <w:sz w:val="20"/>
        </w:rPr>
        <w:t>of total revenues for the fiscal years ended March 31, 2023, 2022 and 2021, respectively.</w:t>
      </w:r>
    </w:p>
    <w:p>
      <w:pPr>
        <w:pStyle w:val="TextBody"/>
        <w:bidi w:val="0"/>
        <w:spacing w:before="180" w:after="0"/>
        <w:jc w:val="left"/>
        <w:rPr>
          <w:rFonts w:ascii="Times New Roman" w:hAnsi="Times New Roman"/>
          <w:sz w:val="20"/>
        </w:rPr>
      </w:pPr>
      <w:r>
        <w:rPr>
          <w:rFonts w:ascii="Arial;sans-serif" w:hAnsi="Arial;sans-serif"/>
          <w:b w:val="false"/>
          <w:sz w:val="20"/>
        </w:rPr>
        <w:t>The Company’s satellite services segment revenues are primarily derived from the Company’s fixed broadband services, in-flight services and energy services (acquired through the RigNet acquisition).</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88%, 91% and 88% of the Company’s total revenues for these segments for the fiscal years ended March 31, 2023, 2022 and 2021,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16%, 18%</w:t>
      </w:r>
      <w:r>
        <w:rPr>
          <w:rFonts w:ascii="Times New Roman" w:hAnsi="Times New Roman"/>
          <w:sz w:val="20"/>
        </w:rPr>
        <w:t xml:space="preserve"> </w:t>
      </w:r>
      <w:r>
        <w:rPr>
          <w:rFonts w:ascii="Arial;sans-serif" w:hAnsi="Arial;sans-serif"/>
          <w:b w:val="false"/>
          <w:sz w:val="20"/>
        </w:rPr>
        <w:t>and 18%</w:t>
      </w:r>
      <w:r>
        <w:rPr>
          <w:rFonts w:ascii="Times New Roman" w:hAnsi="Times New Roman"/>
          <w:sz w:val="20"/>
        </w:rPr>
        <w:t xml:space="preserve"> </w:t>
      </w:r>
      <w:r>
        <w:rPr>
          <w:rFonts w:ascii="Arial;sans-serif" w:hAnsi="Arial;sans-serif"/>
          <w:b w:val="false"/>
          <w:sz w:val="20"/>
        </w:rPr>
        <w:t>of its total revenues for the fiscal years ended March 31, 2023, 2022 and 2021, respectively.</w:t>
      </w:r>
    </w:p>
    <w:p>
      <w:pPr>
        <w:pStyle w:val="TextBody"/>
        <w:bidi w:val="0"/>
        <w:spacing w:before="270" w:after="0"/>
        <w:jc w:val="left"/>
        <w:rPr>
          <w:rFonts w:ascii="Arial;sans-serif" w:hAnsi="Arial;sans-serif"/>
          <w:b w:val="false"/>
          <w:i/>
          <w:sz w:val="20"/>
        </w:rPr>
      </w:pPr>
      <w:r>
        <w:rPr>
          <w:rFonts w:ascii="Arial;sans-serif" w:hAnsi="Arial;sans-serif"/>
          <w:b w:val="false"/>
          <w:i/>
          <w:sz w:val="20"/>
        </w:rPr>
        <w:t>Contract balances</w:t>
      </w:r>
    </w:p>
    <w:p>
      <w:pPr>
        <w:pStyle w:val="TextBody"/>
        <w:bidi w:val="0"/>
        <w:spacing w:before="90" w:after="0"/>
        <w:jc w:val="left"/>
        <w:rPr>
          <w:rFonts w:ascii="Times New Roman" w:hAnsi="Times New Roman"/>
          <w:sz w:val="20"/>
        </w:rPr>
      </w:pPr>
      <w:r>
        <w:rPr>
          <w:rFonts w:ascii="Arial;sans-serif" w:hAnsi="Arial;sans-serif"/>
          <w:b w:val="false"/>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pStyle w:val="TextBody"/>
        <w:bidi w:val="0"/>
        <w:spacing w:before="180" w:after="0"/>
        <w:jc w:val="left"/>
        <w:rPr>
          <w:rFonts w:ascii="Times New Roman" w:hAnsi="Times New Roman"/>
          <w:sz w:val="20"/>
        </w:rPr>
      </w:pPr>
      <w:r>
        <w:rPr>
          <w:rFonts w:ascii="Arial;sans-serif" w:hAnsi="Arial;sans-serif"/>
          <w:b w:val="false"/>
          <w:sz w:val="20"/>
        </w:rPr>
        <w:t>The following table presents contract assets and liabilities as of March 31, 2023 and March 31, 2022:</w:t>
      </w:r>
      <w:r>
        <w:rPr>
          <w:rFonts w:ascii="Times New Roman" w:hAnsi="Times New Roman"/>
          <w:sz w:val="20"/>
        </w:rPr>
        <w:t xml:space="preserve"> </w:t>
      </w:r>
    </w:p>
    <w:p>
      <w:pPr>
        <w:pStyle w:val="TextBody"/>
        <w:bidi w:val="0"/>
        <w:spacing w:before="0" w:after="0"/>
        <w:jc w:val="left"/>
        <w:rPr/>
      </w:pPr>
      <w:r>
        <w:rPr/>
        <w:t> </w:t>
      </w:r>
    </w:p>
    <w:tbl>
      <w:tblPr>
        <w:tblW w:w="7699" w:type="dxa"/>
        <w:jc w:val="left"/>
        <w:tblInd w:w="0" w:type="dxa"/>
        <w:tblLayout w:type="fixed"/>
        <w:tblCellMar>
          <w:top w:w="28" w:type="dxa"/>
          <w:left w:w="28" w:type="dxa"/>
          <w:bottom w:w="28" w:type="dxa"/>
          <w:right w:w="28" w:type="dxa"/>
        </w:tblCellMar>
      </w:tblPr>
      <w:tblGrid>
        <w:gridCol w:w="5056"/>
        <w:gridCol w:w="146"/>
        <w:gridCol w:w="211"/>
        <w:gridCol w:w="796"/>
        <w:gridCol w:w="146"/>
        <w:gridCol w:w="146"/>
        <w:gridCol w:w="211"/>
        <w:gridCol w:w="796"/>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6"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0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Unbilled 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85,383</w:t>
            </w:r>
          </w:p>
        </w:tc>
        <w:tc>
          <w:tcPr>
            <w:tcW w:w="191" w:type="dxa"/>
            <w:tcBorders/>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Collections in excess of revenues and deferred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132,187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131,623</w:t>
            </w:r>
          </w:p>
        </w:tc>
        <w:tc>
          <w:tcPr>
            <w:tcW w:w="191" w:type="dxa"/>
            <w:tcBorders/>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Deferred revenues, long-term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88,983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Unbilled accounts receivable increased $19.5</w:t>
      </w:r>
      <w:r>
        <w:rPr>
          <w:rFonts w:ascii="Times New Roman" w:hAnsi="Times New Roman"/>
          <w:sz w:val="20"/>
        </w:rPr>
        <w:t xml:space="preserve"> </w:t>
      </w:r>
      <w:r>
        <w:rPr>
          <w:rFonts w:ascii="Arial;sans-serif" w:hAnsi="Arial;sans-serif"/>
          <w:b w:val="false"/>
          <w:sz w:val="20"/>
        </w:rPr>
        <w:t>million during fiscal year 2023, primarily driven by revenue recognized in the Company’s commercial networks segment in excess of billings.</w:t>
      </w:r>
    </w:p>
    <w:p>
      <w:pPr>
        <w:pStyle w:val="TextBody"/>
        <w:bidi w:val="0"/>
        <w:spacing w:before="180" w:after="0"/>
        <w:jc w:val="left"/>
        <w:rPr>
          <w:rFonts w:ascii="Arial;sans-serif" w:hAnsi="Arial;sans-serif"/>
          <w:b w:val="false"/>
          <w:sz w:val="20"/>
        </w:rPr>
      </w:pPr>
      <w:r>
        <w:rPr>
          <w:rFonts w:ascii="Arial;sans-serif" w:hAnsi="Arial;sans-serif"/>
          <w:b w:val="false"/>
          <w:sz w:val="20"/>
        </w:rPr>
        <w:t>Collections in excess of revenues and deferred revenues increased an insignificant amount during fiscal year 2023, primarily driven by advances on goods or services received in excess of revenue recognized mainly in the Company's government systems segment.</w:t>
      </w:r>
    </w:p>
    <w:p>
      <w:pPr>
        <w:pStyle w:val="TextBody"/>
        <w:bidi w:val="0"/>
        <w:spacing w:before="240" w:after="0"/>
        <w:jc w:val="center"/>
        <w:rPr>
          <w:rFonts w:ascii="Arial;sans-serif" w:hAnsi="Arial;sans-serif"/>
          <w:b w:val="false"/>
          <w:sz w:val="20"/>
        </w:rPr>
      </w:pPr>
      <w:r>
        <w:rPr>
          <w:rFonts w:ascii="Arial;sans-serif" w:hAnsi="Arial;sans-serif"/>
          <w:b w:val="false"/>
          <w:sz w:val="20"/>
        </w:rPr>
        <w:t>F-19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During the fiscal year ended March 31, 2023, the Company recognized revenue of $115.1</w:t>
      </w:r>
      <w:r>
        <w:rPr>
          <w:rFonts w:ascii="Times New Roman" w:hAnsi="Times New Roman"/>
          <w:sz w:val="20"/>
        </w:rPr>
        <w:t xml:space="preserve"> </w:t>
      </w:r>
      <w:r>
        <w:rPr>
          <w:rFonts w:ascii="Arial;sans-serif" w:hAnsi="Arial;sans-serif"/>
          <w:b w:val="false"/>
          <w:sz w:val="20"/>
        </w:rPr>
        <w:t>million that was previously included in the Company’s collections in excess of revenues and deferred revenues at March 31, 2022. During the fiscal year ended March 31, 2022, the Company recognized revenue of $171.9</w:t>
      </w:r>
      <w:r>
        <w:rPr>
          <w:rFonts w:ascii="Times New Roman" w:hAnsi="Times New Roman"/>
          <w:sz w:val="20"/>
        </w:rPr>
        <w:t xml:space="preserve"> </w:t>
      </w:r>
      <w:r>
        <w:rPr>
          <w:rFonts w:ascii="Arial;sans-serif" w:hAnsi="Arial;sans-serif"/>
          <w:b w:val="false"/>
          <w:sz w:val="20"/>
        </w:rPr>
        <w:t>million that was previously included in the Company’s collections in excess of revenues and deferred revenues at March 31, 2021.</w:t>
      </w:r>
    </w:p>
    <w:p>
      <w:pPr>
        <w:pStyle w:val="TextBody"/>
        <w:bidi w:val="0"/>
        <w:spacing w:before="270" w:after="0"/>
        <w:jc w:val="both"/>
        <w:rPr>
          <w:rFonts w:ascii="Arial;sans-serif" w:hAnsi="Arial;sans-serif"/>
          <w:b w:val="false"/>
          <w:i/>
          <w:sz w:val="20"/>
        </w:rPr>
      </w:pPr>
      <w:r>
        <w:rPr>
          <w:rFonts w:ascii="Arial;sans-serif" w:hAnsi="Arial;sans-serif"/>
          <w:b w:val="false"/>
          <w:i/>
          <w:sz w:val="20"/>
        </w:rPr>
        <w:t>Other assets and deferred costs – contracts with customers</w:t>
      </w:r>
    </w:p>
    <w:p>
      <w:pPr>
        <w:pStyle w:val="TextBody"/>
        <w:bidi w:val="0"/>
        <w:spacing w:before="90" w:after="0"/>
        <w:jc w:val="left"/>
        <w:rPr>
          <w:rFonts w:ascii="Times New Roman" w:hAnsi="Times New Roman"/>
          <w:sz w:val="20"/>
        </w:rPr>
      </w:pPr>
      <w:r>
        <w:rPr>
          <w:rFonts w:ascii="Arial;sans-serif" w:hAnsi="Arial;sans-serif"/>
          <w:b w:val="false"/>
          <w:sz w:val="20"/>
        </w:rPr>
        <w:t>Per ASC 340-40, Other Assets and Deferred Costs – Contracts with Customers, the Company recognizes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Adoption of the standard has resulted in the recognition of an asset related to commission costs incurred primarily in the Company’s satellite services segment, and recognition of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$31.5</w:t>
      </w:r>
      <w:r>
        <w:rPr>
          <w:rFonts w:ascii="Times New Roman" w:hAnsi="Times New Roman"/>
          <w:sz w:val="20"/>
        </w:rPr>
        <w:t xml:space="preserve"> </w:t>
      </w:r>
      <w:r>
        <w:rPr>
          <w:rFonts w:ascii="Arial;sans-serif" w:hAnsi="Arial;sans-serif"/>
          <w:b w:val="false"/>
          <w:sz w:val="20"/>
        </w:rPr>
        <w:t>million and $50.0</w:t>
      </w:r>
      <w:r>
        <w:rPr>
          <w:rFonts w:ascii="Times New Roman" w:hAnsi="Times New Roman"/>
          <w:sz w:val="20"/>
        </w:rPr>
        <w:t xml:space="preserve"> </w:t>
      </w:r>
      <w:r>
        <w:rPr>
          <w:rFonts w:ascii="Arial;sans-serif" w:hAnsi="Arial;sans-serif"/>
          <w:b w:val="false"/>
          <w:sz w:val="20"/>
        </w:rPr>
        <w:t>million, respectively as of March 31, 2023. Of the Company’s total deferred customer contract acquisition costs and costs to fulfill contracts, $19.8</w:t>
      </w:r>
      <w:r>
        <w:rPr>
          <w:rFonts w:ascii="Times New Roman" w:hAnsi="Times New Roman"/>
          <w:sz w:val="20"/>
        </w:rPr>
        <w:t xml:space="preserve"> </w:t>
      </w:r>
      <w:r>
        <w:rPr>
          <w:rFonts w:ascii="Arial;sans-serif" w:hAnsi="Arial;sans-serif"/>
          <w:b w:val="false"/>
          <w:sz w:val="20"/>
        </w:rPr>
        <w:t>million was included in other current assets within the prepaid expenses and other current assets caption on the Company’s consolidated balance sheet and $61.7</w:t>
      </w:r>
      <w:r>
        <w:rPr>
          <w:rFonts w:ascii="Times New Roman" w:hAnsi="Times New Roman"/>
          <w:sz w:val="20"/>
        </w:rPr>
        <w:t xml:space="preserve"> </w:t>
      </w:r>
      <w:r>
        <w:rPr>
          <w:rFonts w:ascii="Arial;sans-serif" w:hAnsi="Arial;sans-serif"/>
          <w:b w:val="false"/>
          <w:sz w:val="20"/>
        </w:rPr>
        <w:t>million was included in other assets on the Company’s consolidated balance sheet as of March 31, 2023. The Company’s deferred customer contract acquisition costs and costs to fulfill contract balances were $49.1</w:t>
      </w:r>
      <w:r>
        <w:rPr>
          <w:rFonts w:ascii="Times New Roman" w:hAnsi="Times New Roman"/>
          <w:sz w:val="20"/>
        </w:rPr>
        <w:t xml:space="preserve"> </w:t>
      </w:r>
      <w:r>
        <w:rPr>
          <w:rFonts w:ascii="Arial;sans-serif" w:hAnsi="Arial;sans-serif"/>
          <w:b w:val="false"/>
          <w:sz w:val="20"/>
        </w:rPr>
        <w:t>million and $35.0</w:t>
      </w:r>
      <w:r>
        <w:rPr>
          <w:rFonts w:ascii="Times New Roman" w:hAnsi="Times New Roman"/>
          <w:sz w:val="20"/>
        </w:rPr>
        <w:t xml:space="preserve"> </w:t>
      </w:r>
      <w:r>
        <w:rPr>
          <w:rFonts w:ascii="Arial;sans-serif" w:hAnsi="Arial;sans-serif"/>
          <w:b w:val="false"/>
          <w:sz w:val="20"/>
        </w:rPr>
        <w:t>million, respectively, as of March 31, 2022. Of the Company’s total deferred customer contract acquisition costs and costs to fulfill contracts, $24.0</w:t>
      </w:r>
      <w:r>
        <w:rPr>
          <w:rFonts w:ascii="Times New Roman" w:hAnsi="Times New Roman"/>
          <w:sz w:val="20"/>
        </w:rPr>
        <w:t xml:space="preserve"> </w:t>
      </w:r>
      <w:r>
        <w:rPr>
          <w:rFonts w:ascii="Arial;sans-serif" w:hAnsi="Arial;sans-serif"/>
          <w:b w:val="false"/>
          <w:sz w:val="20"/>
        </w:rPr>
        <w:t>million was included in other current assets within the prepaid expenses and other current assets caption on the Company’s consolidated balance sheet and $60.1</w:t>
      </w:r>
      <w:r>
        <w:rPr>
          <w:rFonts w:ascii="Times New Roman" w:hAnsi="Times New Roman"/>
          <w:sz w:val="20"/>
        </w:rPr>
        <w:t xml:space="preserve"> </w:t>
      </w:r>
      <w:r>
        <w:rPr>
          <w:rFonts w:ascii="Arial;sans-serif" w:hAnsi="Arial;sans-serif"/>
          <w:b w:val="false"/>
          <w:sz w:val="20"/>
        </w:rPr>
        <w:t>million was included in other assets on the Company’s consolidated balance sheet as of March 31, 2022. For total deferred customer contract acquisition costs and contract fulfillment costs, the Company’s amortization and reduction of carrying value associated with contract termination was $48.2</w:t>
      </w:r>
      <w:r>
        <w:rPr>
          <w:rFonts w:ascii="Times New Roman" w:hAnsi="Times New Roman"/>
          <w:sz w:val="20"/>
        </w:rPr>
        <w:t xml:space="preserve"> </w:t>
      </w:r>
      <w:r>
        <w:rPr>
          <w:rFonts w:ascii="Arial;sans-serif" w:hAnsi="Arial;sans-serif"/>
          <w:b w:val="false"/>
          <w:sz w:val="20"/>
        </w:rPr>
        <w:t>million, $56.5</w:t>
      </w:r>
      <w:r>
        <w:rPr>
          <w:rFonts w:ascii="Times New Roman" w:hAnsi="Times New Roman"/>
          <w:sz w:val="20"/>
        </w:rPr>
        <w:t xml:space="preserve"> </w:t>
      </w:r>
      <w:r>
        <w:rPr>
          <w:rFonts w:ascii="Arial;sans-serif" w:hAnsi="Arial;sans-serif"/>
          <w:b w:val="false"/>
          <w:sz w:val="20"/>
        </w:rPr>
        <w:t>million and $50.1</w:t>
      </w:r>
      <w:r>
        <w:rPr>
          <w:rFonts w:ascii="Times New Roman" w:hAnsi="Times New Roman"/>
          <w:sz w:val="20"/>
        </w:rPr>
        <w:t xml:space="preserve"> </w:t>
      </w:r>
      <w:r>
        <w:rPr>
          <w:rFonts w:ascii="Arial;sans-serif" w:hAnsi="Arial;sans-serif"/>
          <w:b w:val="false"/>
          <w:sz w:val="20"/>
        </w:rPr>
        <w:t>million for the fiscal years ended March 31, 2023, 2022 and 2021, respectively.</w:t>
      </w:r>
    </w:p>
    <w:p>
      <w:pPr>
        <w:pStyle w:val="TextBody"/>
        <w:bidi w:val="0"/>
        <w:spacing w:before="270" w:after="0"/>
        <w:jc w:val="left"/>
        <w:rPr>
          <w:rFonts w:ascii="Times New Roman" w:hAnsi="Times New Roman"/>
          <w:sz w:val="20"/>
        </w:rPr>
      </w:pPr>
      <w:r>
        <w:rPr>
          <w:rFonts w:ascii="Arial;sans-serif" w:hAnsi="Arial;sans-serif"/>
          <w:b/>
          <w:i/>
          <w:sz w:val="20"/>
        </w:rPr>
        <w:t>Advertising costs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accordance with the authoritative guidance for advertising costs (ASC 720-35), advertising costs are expensed as incurred and included in selling, general and administrative expenses. Advertising expenses for fiscal years 2023, 2022 and 2021</w:t>
      </w:r>
      <w:r>
        <w:rPr>
          <w:rFonts w:ascii="Times New Roman" w:hAnsi="Times New Roman"/>
          <w:sz w:val="20"/>
        </w:rPr>
        <w:t xml:space="preserve"> </w:t>
      </w:r>
      <w:r>
        <w:rPr>
          <w:rFonts w:ascii="Arial;sans-serif" w:hAnsi="Arial;sans-serif"/>
          <w:b w:val="false"/>
          <w:sz w:val="20"/>
        </w:rPr>
        <w:t>were $22.8</w:t>
      </w:r>
      <w:r>
        <w:rPr>
          <w:rFonts w:ascii="Times New Roman" w:hAnsi="Times New Roman"/>
          <w:sz w:val="20"/>
        </w:rPr>
        <w:t xml:space="preserve"> </w:t>
      </w:r>
      <w:r>
        <w:rPr>
          <w:rFonts w:ascii="Arial;sans-serif" w:hAnsi="Arial;sans-serif"/>
          <w:b w:val="false"/>
          <w:sz w:val="20"/>
        </w:rPr>
        <w:t>million, $23.1</w:t>
      </w:r>
      <w:r>
        <w:rPr>
          <w:rFonts w:ascii="Times New Roman" w:hAnsi="Times New Roman"/>
          <w:sz w:val="20"/>
        </w:rPr>
        <w:t xml:space="preserve"> </w:t>
      </w:r>
      <w:r>
        <w:rPr>
          <w:rFonts w:ascii="Arial;sans-serif" w:hAnsi="Arial;sans-serif"/>
          <w:b w:val="false"/>
          <w:sz w:val="20"/>
        </w:rPr>
        <w:t>million and $12.0</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270" w:after="0"/>
        <w:jc w:val="left"/>
        <w:rPr>
          <w:rFonts w:ascii="Times New Roman" w:hAnsi="Times New Roman"/>
          <w:sz w:val="20"/>
        </w:rPr>
      </w:pPr>
      <w:r>
        <w:rPr>
          <w:rFonts w:ascii="Arial;sans-serif" w:hAnsi="Arial;sans-serif"/>
          <w:b/>
          <w:i/>
          <w:sz w:val="20"/>
        </w:rPr>
        <w:t>Stock-based compensation</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recognizes excess tax benefits or deficiencies on vesting or settlement of awards as discrete items within income tax benefit or provision within net income (loss) and the related cash flows are classified within operating activities. </w:t>
      </w:r>
    </w:p>
    <w:p>
      <w:pPr>
        <w:pStyle w:val="TextBody"/>
        <w:bidi w:val="0"/>
        <w:spacing w:before="270" w:after="0"/>
        <w:jc w:val="left"/>
        <w:rPr>
          <w:rFonts w:ascii="Times New Roman" w:hAnsi="Times New Roman"/>
          <w:sz w:val="20"/>
        </w:rPr>
      </w:pPr>
      <w:r>
        <w:rPr>
          <w:rFonts w:ascii="Arial;sans-serif" w:hAnsi="Arial;sans-serif"/>
          <w:b/>
          <w:i/>
          <w:sz w:val="20"/>
        </w:rPr>
        <w:t>Independent research and development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i/>
          <w:sz w:val="20"/>
        </w:rPr>
        <w:t>Income taxes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Company’s analysis of the need for a valuation allowance on deferred tax assets considered historical as well as forecasted future operating results. In addition, the Company’s evaluation considered other factors, including the Company’s contractual backlog, history of positive earnings, current earnings trends assuming the Company’s satellite services segment continues to grow, taxable income adjusted for certain items, and forecasted income by jurisdiction. The Company also considered the period over which these net deferred tax assets can be realized and the Company’s history of not having federal tax loss carryforwards expire unused.</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Earnings per share</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(including TSR performance stock options)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w:t>
      </w:r>
    </w:p>
    <w:p>
      <w:pPr>
        <w:pStyle w:val="TextBody"/>
        <w:bidi w:val="0"/>
        <w:spacing w:before="270" w:after="0"/>
        <w:jc w:val="left"/>
        <w:rPr>
          <w:rFonts w:ascii="Times New Roman" w:hAnsi="Times New Roman"/>
          <w:sz w:val="20"/>
        </w:rPr>
      </w:pPr>
      <w:r>
        <w:rPr>
          <w:rFonts w:ascii="Arial;sans-serif" w:hAnsi="Arial;sans-serif"/>
          <w:b/>
          <w:i/>
          <w:sz w:val="20"/>
        </w:rPr>
        <w:t>Segment reporting</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The Company’s reporting segments (satellite services, commercial networks and government systems) are primarily distinguished by the type of customer and the related contractual requirements. The Company’s satellite services segment provides satellite-based broadband and related services to residential customers, Prepaid Internet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 (IP)-based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pStyle w:val="TextBody"/>
        <w:bidi w:val="0"/>
        <w:spacing w:before="240" w:after="0"/>
        <w:jc w:val="center"/>
        <w:rPr>
          <w:rFonts w:ascii="Arial;sans-serif" w:hAnsi="Arial;sans-serif"/>
          <w:b w:val="false"/>
          <w:sz w:val="20"/>
        </w:rPr>
      </w:pPr>
      <w:r>
        <w:rPr>
          <w:rFonts w:ascii="Arial;sans-serif" w:hAnsi="Arial;sans-serif"/>
          <w:b w:val="false"/>
          <w:sz w:val="20"/>
        </w:rPr>
        <w:t>F-21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Arial;sans-serif" w:hAnsi="Arial;sans-serif"/>
          <w:b/>
          <w:i/>
          <w:sz w:val="20"/>
        </w:rPr>
      </w:pPr>
      <w:r>
        <w:rPr>
          <w:rFonts w:ascii="Arial;sans-serif" w:hAnsi="Arial;sans-serif"/>
          <w:b/>
          <w:i/>
          <w:sz w:val="20"/>
        </w:rPr>
        <w:t>Recent authoritative guidance</w:t>
      </w:r>
    </w:p>
    <w:p>
      <w:pPr>
        <w:pStyle w:val="TextBody"/>
        <w:bidi w:val="0"/>
        <w:spacing w:before="90" w:after="0"/>
        <w:jc w:val="left"/>
        <w:rPr>
          <w:rFonts w:ascii="Arial;sans-serif" w:hAnsi="Arial;sans-serif"/>
          <w:b w:val="false"/>
          <w:sz w:val="20"/>
        </w:rPr>
      </w:pPr>
      <w:r>
        <w:rPr>
          <w:rFonts w:ascii="Arial;sans-serif" w:hAnsi="Arial;sans-serif"/>
          <w:b w:val="false"/>
          <w:sz w:val="20"/>
        </w:rPr>
        <w:t>In August 2020, the Financial Accounting Standards Board (FASB) issued Accounting Standards Update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Company adopted the new guidance in the first quarter of fiscal year 2023 and the guidance did not have a material impact on the Company's consolidated financial statements and disclosures.</w:t>
      </w:r>
    </w:p>
    <w:p>
      <w:pPr>
        <w:pStyle w:val="TextBody"/>
        <w:bidi w:val="0"/>
        <w:spacing w:before="180" w:after="0"/>
        <w:jc w:val="left"/>
        <w:rPr>
          <w:rFonts w:ascii="Arial;sans-serif" w:hAnsi="Arial;sans-serif"/>
          <w:b w:val="false"/>
          <w:sz w:val="20"/>
        </w:rPr>
      </w:pPr>
      <w:r>
        <w:rPr>
          <w:rFonts w:ascii="Arial;sans-serif" w:hAnsi="Arial;sans-serif"/>
          <w:b w:val="false"/>
          <w:sz w:val="20"/>
        </w:rPr>
        <w:t xml:space="preserve">In October 2021, the FASB issued ASU 2021-08, Business Combinations (ASC 805): Accounting for Contract Assets and Contract Liabilities from Contracts with Customers. ASU 2021-08 requires contract assets and contract liabilities acquired in a business combination to be recognized in accordance with ASC 606 as if the acquirer had originated the contracts. The new standard will become effective for the Company beginning in fiscal year 2024, with early adoption permitted. The impact of the new standard on the Company's consolidated financial statements and related disclosures will depend on the magnitude of future business combinations. </w:t>
      </w:r>
    </w:p>
    <w:p>
      <w:pPr>
        <w:pStyle w:val="TextBody"/>
        <w:bidi w:val="0"/>
        <w:spacing w:before="180" w:after="0"/>
        <w:jc w:val="left"/>
        <w:rPr>
          <w:rFonts w:ascii="Arial;sans-serif" w:hAnsi="Arial;sans-serif"/>
          <w:b w:val="false"/>
          <w:sz w:val="20"/>
        </w:rPr>
      </w:pPr>
      <w:r>
        <w:rPr>
          <w:rFonts w:ascii="Arial;sans-serif" w:hAnsi="Arial;sans-serif"/>
          <w:b w:val="false"/>
          <w:sz w:val="20"/>
        </w:rPr>
        <w:t>In November 2021, the FASB issued ASU 2021-10, Government Assistance (ASC 832): Disclosures by Business Entities about Government Assistance. ASU 2021-10 requires annual disclosures when an entity accounts for a transaction with a government by applying a grant or contribution accounting model by analogy to other accounting guidance. The Company adopted the new standard prospectively in fiscal year 2023. See Note 1 — The Company and a Summary of Its Significant Accounting Policies — Revenue recognition for disclosures related to these types of arrangements.</w:t>
      </w:r>
    </w:p>
    <w:p>
      <w:pPr>
        <w:pStyle w:val="TextBody"/>
        <w:bidi w:val="0"/>
        <w:spacing w:before="180" w:after="0"/>
        <w:jc w:val="left"/>
        <w:rPr>
          <w:rFonts w:ascii="Arial;sans-serif" w:hAnsi="Arial;sans-serif"/>
          <w:b w:val="false"/>
          <w:sz w:val="20"/>
        </w:rPr>
      </w:pPr>
      <w:r>
        <w:rPr>
          <w:rFonts w:ascii="Arial;sans-serif" w:hAnsi="Arial;sans-serif"/>
          <w:b w:val="false"/>
          <w:sz w:val="20"/>
        </w:rPr>
        <w:t>In March 2022, the FASB issued ASU 2022-01, Derivatives and Hedging (ASC 815): Targeted Improvements to Accounting for Hedging Activities. ASU 2022-01 made targeted improvements to the optional hedge accounting model with the objective of improving hedge accounting to better portray the economic results of an entity’s risk management activities in its financial statements. The new standard will become effective for the Company beginning in fiscal year 2024. The adoption of ASU 2022-01 is not expected to have a material impact on the Company's consolidated financial statements.</w:t>
      </w:r>
    </w:p>
    <w:p>
      <w:pPr>
        <w:pStyle w:val="TextBody"/>
        <w:bidi w:val="0"/>
        <w:spacing w:before="180" w:after="0"/>
        <w:jc w:val="left"/>
        <w:rPr>
          <w:rFonts w:ascii="Arial;sans-serif" w:hAnsi="Arial;sans-serif"/>
          <w:b w:val="false"/>
          <w:sz w:val="20"/>
        </w:rPr>
      </w:pPr>
      <w:r>
        <w:rPr>
          <w:rFonts w:ascii="Arial;sans-serif" w:hAnsi="Arial;sans-serif"/>
          <w:b w:val="false"/>
          <w:sz w:val="20"/>
        </w:rPr>
        <w:t>In March 2022, the FASB issued ASU 2022-02, Financial Instruments – Credit Losses (ASC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new standard will become effective for the Company beginning in fiscal year 2024. The adoption of ASU 2022-02 is not expected to have a material impact on the Company's consolidated financial statements and disclosures.</w:t>
      </w:r>
    </w:p>
    <w:p>
      <w:pPr>
        <w:pStyle w:val="TextBody"/>
        <w:bidi w:val="0"/>
        <w:spacing w:before="180" w:after="0"/>
        <w:jc w:val="left"/>
        <w:rPr>
          <w:rFonts w:ascii="Arial;sans-serif" w:hAnsi="Arial;sans-serif"/>
          <w:b w:val="false"/>
          <w:sz w:val="20"/>
        </w:rPr>
      </w:pPr>
      <w:r>
        <w:rPr>
          <w:rFonts w:ascii="Arial;sans-serif" w:hAnsi="Arial;sans-serif"/>
          <w:b w:val="false"/>
          <w:sz w:val="20"/>
        </w:rPr>
        <w:t>In June 2022, the FASB issued ASU 2022-03, Fair Value Measurement (ASC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new standard will become effective for the Company beginning in fiscal year 2025. The Company is currently evaluating the impact of this standard on its consolidated financial statements and disclosures.</w:t>
      </w:r>
    </w:p>
    <w:p>
      <w:pPr>
        <w:pStyle w:val="TextBody"/>
        <w:bidi w:val="0"/>
        <w:spacing w:before="240" w:after="0"/>
        <w:jc w:val="center"/>
        <w:rPr>
          <w:rFonts w:ascii="Arial;sans-serif" w:hAnsi="Arial;sans-serif"/>
          <w:b w:val="false"/>
          <w:sz w:val="20"/>
        </w:rPr>
      </w:pPr>
      <w:r>
        <w:rPr>
          <w:rFonts w:ascii="Arial;sans-serif" w:hAnsi="Arial;sans-serif"/>
          <w:b w:val="false"/>
          <w:sz w:val="20"/>
        </w:rPr>
        <w:t>F-22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In September 2022, the FASB issued ASU 2022-04, Liabilities – Supplier Finance Programs (Subtopic 405-50): Disclosure of Supplier Finance Program Obligations. ASU 2022-04 enhances the transparency of supplier finance programs. In each annual reporting period, the buyer in a supplier finance program is required to disclose information about the key terms of the program, the outstanding confirmed amounts, a rollforward of such amounts, and a description of where those obligations are presented in the balance sheet. In each interim reporting period, the buyer should disclose the outstanding confirmed amounts as of the end of the interim period. The new standard will become effective for the Company beginning in fiscal year 2024, except for the amendment on rollfoward information, which will become effective in fiscal year 2025. The adoption of ASU 2022-04 is not expected to have a material impact on the Company's disclosures.</w:t>
      </w:r>
    </w:p>
    <w:p>
      <w:pPr>
        <w:pStyle w:val="TextBody"/>
        <w:bidi w:val="0"/>
        <w:spacing w:before="180" w:after="0"/>
        <w:jc w:val="left"/>
        <w:rPr>
          <w:rFonts w:ascii="Arial;sans-serif" w:hAnsi="Arial;sans-serif"/>
          <w:b w:val="false"/>
          <w:sz w:val="20"/>
        </w:rPr>
      </w:pPr>
      <w:r>
        <w:rPr>
          <w:rFonts w:ascii="Arial;sans-serif" w:hAnsi="Arial;sans-serif"/>
          <w:b w:val="false"/>
          <w:sz w:val="20"/>
        </w:rPr>
        <w:t>In December 2022, the FASB issued ASU 2022-06, Reference Rate Reform (ASC 848): Deferral of the Sunset Date of Topic 848. ASU 2022-06 extends the period of time entities can utilize the reference rate reform relief guidance under ASU 2020-04 from December 31, 2022 to December 31, 2024. ASU 2020-04, Reference Rate Reform (ASC 848): Facilitation of the Effects of Reference Rate Reform on Financial Reporting provided temporary optional guidance to ease the potential accounting burden associated with the transition away from reference rates (such as the London Interbank Offered Rate). ASU 2022-06 was effective upon issuance. The Company adopted this guidance upon issuance with no impact to the Company's consolidated financial statements and disclosures.</w:t>
      </w:r>
    </w:p>
    <w:p>
      <w:pPr>
        <w:pStyle w:val="TextBody"/>
        <w:bidi w:val="0"/>
        <w:spacing w:before="180" w:after="0"/>
        <w:jc w:val="left"/>
        <w:rPr>
          <w:rFonts w:ascii="Arial;sans-serif" w:hAnsi="Arial;sans-serif"/>
          <w:b w:val="false"/>
          <w:sz w:val="20"/>
        </w:rPr>
      </w:pPr>
      <w:r>
        <w:rPr>
          <w:rFonts w:ascii="Arial;sans-serif" w:hAnsi="Arial;sans-serif"/>
          <w:b w:val="false"/>
          <w:sz w:val="20"/>
        </w:rPr>
        <w:t>In March 2023, the FASB issued ASU 2023-01, Leases (Topic 842) - Common Control Agreements. The amendments in this update that apply to public business entities clarify the accounting for leasehold improvements associated with common control leases. The new standard will become effective for the Company beginning in fiscal year 2025. The Company is currently evaluating the impact of this standard on its consolidated financial statements and disclosures.</w:t>
      </w:r>
    </w:p>
    <w:p>
      <w:pPr>
        <w:pStyle w:val="TextBody"/>
        <w:bidi w:val="0"/>
        <w:spacing w:before="180" w:after="0"/>
        <w:jc w:val="left"/>
        <w:rPr>
          <w:rFonts w:ascii="Times New Roman" w:hAnsi="Times New Roman"/>
          <w:sz w:val="20"/>
        </w:rPr>
      </w:pPr>
      <w:r>
        <w:rPr>
          <w:rFonts w:ascii="Arial;sans-serif" w:hAnsi="Arial;sans-serif"/>
          <w:b w:val="false"/>
          <w:sz w:val="20"/>
        </w:rPr>
        <w:br/>
      </w:r>
      <w:r>
        <w:rPr>
          <w:rFonts w:ascii="Times New Roman" w:hAnsi="Times New Roman"/>
          <w:sz w:val="20"/>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F-23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80" w:after="0"/>
        <w:jc w:val="left"/>
        <w:rPr>
          <w:rFonts w:ascii="Times New Roman" w:hAnsi="Times New Roman"/>
          <w:sz w:val="20"/>
        </w:rPr>
      </w:pPr>
      <w:r>
        <w:rPr>
          <w:rFonts w:ascii="Arial;sans-serif" w:hAnsi="Arial;sans-serif"/>
          <w:b/>
          <w:sz w:val="20"/>
        </w:rPr>
        <w:t>Note 2 — Composition of Certain Balance Sheet Captions</w:t>
      </w:r>
      <w:r>
        <w:rPr>
          <w:rFonts w:ascii="Times New Roman" w:hAnsi="Times New Roman"/>
          <w:sz w:val="20"/>
        </w:rPr>
        <w:t xml:space="preserve"> </w:t>
      </w:r>
    </w:p>
    <w:p>
      <w:pPr>
        <w:pStyle w:val="TextBody"/>
        <w:bidi w:val="0"/>
        <w:spacing w:before="0" w:after="0"/>
        <w:jc w:val="left"/>
        <w:rPr/>
      </w:pPr>
      <w:r>
        <w:rPr/>
        <w:t> </w:t>
      </w:r>
    </w:p>
    <w:tbl>
      <w:tblPr>
        <w:tblW w:w="9865" w:type="dxa"/>
        <w:jc w:val="left"/>
        <w:tblInd w:w="0" w:type="dxa"/>
        <w:tblLayout w:type="fixed"/>
        <w:tblCellMar>
          <w:top w:w="28" w:type="dxa"/>
          <w:left w:w="28" w:type="dxa"/>
          <w:bottom w:w="28" w:type="dxa"/>
          <w:right w:w="28" w:type="dxa"/>
        </w:tblCellMar>
      </w:tblPr>
      <w:tblGrid>
        <w:gridCol w:w="6571"/>
        <w:gridCol w:w="146"/>
        <w:gridCol w:w="226"/>
        <w:gridCol w:w="1004"/>
        <w:gridCol w:w="151"/>
        <w:gridCol w:w="146"/>
        <w:gridCol w:w="226"/>
        <w:gridCol w:w="1004"/>
        <w:gridCol w:w="39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As of</w:t>
              <w:br/>
              <w:t>March 31, 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As of</w:t>
              <w:br/>
              <w:t>March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57" w:type="dxa"/>
            <w:gridSpan w:val="6"/>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657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Accounts receivable, net:</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Billed</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327,148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233,948</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Unbilled</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104,889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85,383</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Allowance for doubtful accounts</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(12,103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(7,159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r>
      <w:tr>
        <w:trPr/>
        <w:tc>
          <w:tcPr>
            <w:tcW w:w="6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419,934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312,172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Inventories:</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Raw materials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68,655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62,520</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Work in process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25,347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21,702</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Finished goods</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174,561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113,642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268,563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197,864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Prepaid expenses and other current assets:</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Prepaid expenses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115,701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102,433</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Other</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60,928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38,953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176,629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141,386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Property, equipment and satellites, net:</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571"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5"/>
              </w:rPr>
              <w:t>Equipment and software (estimated useful life of 3-7</w:t>
            </w:r>
            <w:r>
              <w:rPr>
                <w:rFonts w:ascii="Times New Roman" w:hAnsi="Times New Roman"/>
                <w:sz w:val="20"/>
              </w:rPr>
              <w:t> </w:t>
            </w:r>
            <w:r>
              <w:rPr>
                <w:rFonts w:ascii="Arial;sans-serif" w:hAnsi="Arial;sans-serif"/>
                <w:b w:val="false"/>
                <w:sz w:val="15"/>
              </w:rPr>
              <w:t>years)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1,917,243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1,676,736</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5"/>
              </w:rPr>
              <w:t>CPE leased equipment (estimated useful life of 4-5</w:t>
            </w:r>
            <w:r>
              <w:rPr>
                <w:rFonts w:ascii="Times New Roman" w:hAnsi="Times New Roman"/>
                <w:sz w:val="20"/>
              </w:rPr>
              <w:t> </w:t>
            </w:r>
            <w:r>
              <w:rPr>
                <w:rFonts w:ascii="Arial;sans-serif" w:hAnsi="Arial;sans-serif"/>
                <w:b w:val="false"/>
                <w:sz w:val="15"/>
              </w:rPr>
              <w:t>years)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395,427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395,539</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5"/>
              </w:rPr>
              <w:t>Furniture and fixtures (estimated useful life of 7</w:t>
            </w:r>
            <w:r>
              <w:rPr>
                <w:rFonts w:ascii="Times New Roman" w:hAnsi="Times New Roman"/>
                <w:sz w:val="20"/>
              </w:rPr>
              <w:t> </w:t>
            </w:r>
            <w:r>
              <w:rPr>
                <w:rFonts w:ascii="Arial;sans-serif" w:hAnsi="Arial;sans-serif"/>
                <w:b w:val="false"/>
                <w:sz w:val="15"/>
              </w:rPr>
              <w:t>years)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58,807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57,847</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5"/>
              </w:rPr>
              <w:t>Leasehold improvements (estimated useful life of 2-17</w:t>
            </w:r>
            <w:r>
              <w:rPr>
                <w:rFonts w:ascii="Times New Roman" w:hAnsi="Times New Roman"/>
                <w:sz w:val="20"/>
              </w:rPr>
              <w:t> </w:t>
            </w:r>
            <w:r>
              <w:rPr>
                <w:rFonts w:ascii="Arial;sans-serif" w:hAnsi="Arial;sans-serif"/>
                <w:b w:val="false"/>
                <w:sz w:val="15"/>
              </w:rPr>
              <w:t>years)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151,827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149,982</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5"/>
              </w:rPr>
              <w:t>Buildings (estimated useful life of 12-38</w:t>
            </w:r>
            <w:r>
              <w:rPr>
                <w:rFonts w:ascii="Times New Roman" w:hAnsi="Times New Roman"/>
                <w:sz w:val="20"/>
              </w:rPr>
              <w:t> </w:t>
            </w:r>
            <w:r>
              <w:rPr>
                <w:rFonts w:ascii="Arial;sans-serif" w:hAnsi="Arial;sans-serif"/>
                <w:b w:val="false"/>
                <w:sz w:val="15"/>
              </w:rPr>
              <w:t>years)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12,487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12,440</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Land</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3,873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3,944</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Construction in progress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685,646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381,679</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5"/>
              </w:rPr>
              <w:t>Satellites (estimated useful life of 7-17</w:t>
            </w:r>
            <w:r>
              <w:rPr>
                <w:rFonts w:ascii="Times New Roman" w:hAnsi="Times New Roman"/>
                <w:sz w:val="20"/>
              </w:rPr>
              <w:t> </w:t>
            </w:r>
            <w:r>
              <w:rPr>
                <w:rFonts w:ascii="Arial;sans-serif" w:hAnsi="Arial;sans-serif"/>
                <w:b w:val="false"/>
                <w:sz w:val="15"/>
              </w:rPr>
              <w:t>years)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1,056,313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1,059,182</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5"/>
              </w:rPr>
              <w:t>Satellite Ka-band capacity obtained under finance leases (estimated useful life of 7-11</w:t>
            </w:r>
            <w:r>
              <w:rPr>
                <w:rFonts w:ascii="Times New Roman" w:hAnsi="Times New Roman"/>
                <w:sz w:val="20"/>
              </w:rPr>
              <w:t> </w:t>
            </w:r>
            <w:r>
              <w:rPr>
                <w:rFonts w:ascii="Arial;sans-serif" w:hAnsi="Arial;sans-serif"/>
                <w:b w:val="false"/>
                <w:sz w:val="15"/>
              </w:rPr>
              <w:t>years)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175,712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173,480</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Satellites under construction</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2,252,908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1,808,474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6,710,243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5,719,303</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Less: accumulated depreciation and amortization</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(2,331,960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(2,014,312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r>
      <w:tr>
        <w:trPr/>
        <w:tc>
          <w:tcPr>
            <w:tcW w:w="6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4,378,283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3,704,991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Other assets:</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Deferred income taxes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23,724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304,642</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Capitalized software costs, net</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222,155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217,159</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Patents, orbital slots and other licenses, net</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73,932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62,200</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Other</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146,227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115,279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466,038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699,280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Accrued and other liabilities:</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Collections in excess of revenues and deferred revenues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132,187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131,623</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Accrued employee compensation</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125,349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108,456</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Accrued vacation</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45,177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48,097</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Warranty reserve, current portion</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2,806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2,804</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Operating lease liabilities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50,639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49,988</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Income taxes payable</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113,905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7,872</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Other</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177,169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133,724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647,232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482,564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Other liabilities:</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Deferred revenues, long-term portion</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84,747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88,983</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Warranty reserve, long-term portion</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2,544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2,548</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Satellite performance incentive obligations, long-term portion</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14,654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18,651</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Deferred income taxes</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85,989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16,869</w:t>
            </w:r>
          </w:p>
        </w:tc>
        <w:tc>
          <w:tcPr>
            <w:tcW w:w="391" w:type="dxa"/>
            <w:tcBorders/>
            <w:vAlign w:val="center"/>
          </w:tcPr>
          <w:p>
            <w:pPr>
              <w:pStyle w:val="TableContents"/>
              <w:bidi w:val="0"/>
              <w:spacing w:before="0" w:after="0"/>
              <w:ind w:left="0" w:right="0" w:firstLine="200"/>
              <w:jc w:val="left"/>
              <w:rPr/>
            </w:pPr>
            <w:r>
              <w:rPr/>
              <w:t> </w:t>
            </w:r>
          </w:p>
        </w:tc>
      </w:tr>
      <w:tr>
        <w:trPr/>
        <w:tc>
          <w:tcPr>
            <w:tcW w:w="6571" w:type="dxa"/>
            <w:tcBorders/>
            <w:vAlign w:val="center"/>
          </w:tcPr>
          <w:p>
            <w:pPr>
              <w:pStyle w:val="TableContents"/>
              <w:bidi w:val="0"/>
              <w:spacing w:before="0" w:after="0"/>
              <w:ind w:left="200" w:right="0" w:hanging="0"/>
              <w:jc w:val="left"/>
              <w:rPr>
                <w:rFonts w:ascii="Arial;sans-serif" w:hAnsi="Arial;sans-serif"/>
                <w:b w:val="false"/>
                <w:sz w:val="15"/>
              </w:rPr>
            </w:pPr>
            <w:r>
              <w:rPr>
                <w:rFonts w:ascii="Arial;sans-serif" w:hAnsi="Arial;sans-serif"/>
                <w:b w:val="false"/>
                <w:sz w:val="15"/>
              </w:rPr>
              <w:t>Other</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30,608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26,105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218,542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153,156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F-24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90" w:after="0"/>
        <w:jc w:val="left"/>
        <w:rPr>
          <w:rFonts w:ascii="Times New Roman" w:hAnsi="Times New Roman"/>
          <w:sz w:val="20"/>
        </w:rPr>
      </w:pPr>
      <w:r>
        <w:rPr>
          <w:rFonts w:ascii="Arial;sans-serif" w:hAnsi="Arial;sans-serif"/>
          <w:b/>
          <w:sz w:val="20"/>
        </w:rPr>
        <w:t>Note 3 — Fair Value Measurements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r>
        <w:rPr>
          <w:rFonts w:ascii="Times New Roman" w:hAnsi="Times New Roman"/>
          <w:sz w:val="20"/>
        </w:rPr>
        <w:t xml:space="preserv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Level 1 — Inputs based on quoted market prices for identical assets or liabilities in active markets at the measurement date. </w:t>
      </w:r>
    </w:p>
    <w:p>
      <w:pPr>
        <w:pStyle w:val="TextBody"/>
        <w:bidi w:val="0"/>
        <w:spacing w:before="90" w:after="0"/>
        <w:jc w:val="left"/>
        <w:rPr/>
      </w:pPr>
      <w:r>
        <w:rPr/>
        <w:t>•</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 </w:t>
      </w:r>
    </w:p>
    <w:p>
      <w:pPr>
        <w:pStyle w:val="TextBody"/>
        <w:bidi w:val="0"/>
        <w:spacing w:before="90" w:after="0"/>
        <w:jc w:val="left"/>
        <w:rPr/>
      </w:pPr>
      <w:r>
        <w:rPr/>
        <w:t>•</w:t>
      </w:r>
    </w:p>
    <w:p>
      <w:pPr>
        <w:pStyle w:val="TextBody"/>
        <w:bidi w:val="0"/>
        <w:spacing w:before="90" w:after="283"/>
        <w:jc w:val="left"/>
        <w:rPr>
          <w:rFonts w:ascii="Arial;sans-serif" w:hAnsi="Arial;sans-serif"/>
          <w:b w:val="false"/>
          <w:sz w:val="20"/>
        </w:rPr>
      </w:pPr>
      <w:r>
        <w:rPr>
          <w:rFonts w:ascii="Arial;sans-serif" w:hAnsi="Arial;sans-serif"/>
          <w:b w:val="false"/>
          <w:sz w:val="20"/>
        </w:rPr>
        <w:t xml:space="preserve">Level 3 — Inputs which reflect management’s best estimate of what market participants would use in pricing the asset or liability at the measurement date. The inputs are unobservable in the market and significant to the instrument’s valuation. </w:t>
      </w:r>
    </w:p>
    <w:p>
      <w:pPr>
        <w:pStyle w:val="TextBody"/>
        <w:bidi w:val="0"/>
        <w:spacing w:before="180" w:after="0"/>
        <w:jc w:val="left"/>
        <w:rPr>
          <w:rFonts w:ascii="Times New Roman" w:hAnsi="Times New Roman"/>
          <w:sz w:val="20"/>
        </w:rPr>
      </w:pPr>
      <w:r>
        <w:rPr>
          <w:rFonts w:ascii="Arial;sans-serif" w:hAnsi="Arial;sans-serif"/>
          <w:b w:val="false"/>
          <w:sz w:val="20"/>
        </w:rPr>
        <w:t>The Company had $757.6</w:t>
      </w:r>
      <w:r>
        <w:rPr>
          <w:rFonts w:ascii="Times New Roman" w:hAnsi="Times New Roman"/>
          <w:sz w:val="20"/>
        </w:rPr>
        <w:t xml:space="preserve"> </w:t>
      </w:r>
      <w:r>
        <w:rPr>
          <w:rFonts w:ascii="Arial;sans-serif" w:hAnsi="Arial;sans-serif"/>
          <w:b w:val="false"/>
          <w:sz w:val="20"/>
        </w:rPr>
        <w:t>million and $5.0</w:t>
      </w:r>
      <w:r>
        <w:rPr>
          <w:rFonts w:ascii="Times New Roman" w:hAnsi="Times New Roman"/>
          <w:sz w:val="20"/>
        </w:rPr>
        <w:t xml:space="preserve"> </w:t>
      </w:r>
      <w:r>
        <w:rPr>
          <w:rFonts w:ascii="Arial;sans-serif" w:hAnsi="Arial;sans-serif"/>
          <w:b w:val="false"/>
          <w:sz w:val="20"/>
        </w:rPr>
        <w:t>million in cash equivalents (Level 1) as of March 31, 2023 and March 31, 2022, respectively, and no</w:t>
      </w:r>
      <w:r>
        <w:rPr>
          <w:rFonts w:ascii="Times New Roman" w:hAnsi="Times New Roman"/>
          <w:sz w:val="20"/>
        </w:rPr>
        <w:t xml:space="preserve"> </w:t>
      </w:r>
      <w:r>
        <w:rPr>
          <w:rFonts w:ascii="Arial;sans-serif" w:hAnsi="Arial;sans-serif"/>
          <w:b w:val="false"/>
          <w:sz w:val="20"/>
        </w:rPr>
        <w:t>liabilities as of both March 31, 2023 and March 31, 2022, measured at fair value on a recurring basis.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following section describes the valuation methodologies the Company uses to measure financial instruments at fair value: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Cash equivalents</w:t>
      </w:r>
      <w:r>
        <w:rPr>
          <w:rFonts w:ascii="Times New Roman" w:hAnsi="Times New Roman"/>
          <w:sz w:val="20"/>
        </w:rPr>
        <w:t xml:space="preserve"> — </w:t>
      </w:r>
      <w:r>
        <w:rPr>
          <w:rFonts w:ascii="Arial;sans-serif" w:hAnsi="Arial;sans-serif"/>
          <w:b w:val="false"/>
          <w:sz w:val="20"/>
        </w:rPr>
        <w:t>The Company’s cash equivalents consist of money market funds, with a significant portion held in U.S. government-backed qualified money-market securities. Money market funds are valued using quoted prices for identical assets in an active market with sufficient volume and frequency of transactions (Level 1).</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Contingencies</w:t>
      </w:r>
      <w:r>
        <w:rPr>
          <w:rFonts w:ascii="Times New Roman" w:hAnsi="Times New Roman"/>
          <w:sz w:val="20"/>
        </w:rPr>
        <w:t xml:space="preserve"> — </w:t>
      </w:r>
      <w:r>
        <w:rPr>
          <w:rFonts w:ascii="Arial;sans-serif" w:hAnsi="Arial;sans-serif"/>
          <w:b w:val="false"/>
          <w:sz w:val="20"/>
        </w:rPr>
        <w:t>In connection with the acquisition of the remaining 51% interest in EBI on April 30, 2021 (see Note 5 — Acquisitions for more information), part of the purchase price consideration will not be determined until two years after the closing date, when the Company may pay or receive up to €20.0</w:t>
      </w:r>
      <w:r>
        <w:rPr>
          <w:rFonts w:ascii="Arial;sans-serif" w:hAnsi="Arial;sans-serif"/>
          <w:sz w:val="20"/>
        </w:rPr>
        <w:t xml:space="preserve"> </w:t>
      </w:r>
      <w:r>
        <w:rPr>
          <w:rFonts w:ascii="Arial;sans-serif" w:hAnsi="Arial;sans-serif"/>
          <w:b w:val="false"/>
          <w:sz w:val="20"/>
        </w:rPr>
        <w:t>million, or approximately $21.6</w:t>
      </w:r>
      <w:r>
        <w:rPr>
          <w:rFonts w:ascii="Arial;sans-serif" w:hAnsi="Arial;sans-serif"/>
          <w:sz w:val="20"/>
        </w:rPr>
        <w:t xml:space="preserve"> </w:t>
      </w:r>
      <w:r>
        <w:rPr>
          <w:rFonts w:ascii="Arial;sans-serif" w:hAnsi="Arial;sans-serif"/>
          <w:b w:val="false"/>
          <w:sz w:val="20"/>
        </w:rPr>
        <w:t>million, in cash. 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current assets within the prepaid expenses and other current assets caption on the Company's consolidated balance sheets and any change to fair value is recorded in the Company’s consolidated statements of operations each reporting period. As of and for the fiscal years ended March 31, 2023 and 2022, the Company’s fair value estimate, and change in fair value of the contingent consideration were immaterial.</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i/>
          <w:sz w:val="20"/>
        </w:rPr>
        <w:t>Long-term debt</w:t>
      </w:r>
      <w:r>
        <w:rPr>
          <w:rFonts w:ascii="Times New Roman" w:hAnsi="Times New Roman"/>
          <w:sz w:val="20"/>
        </w:rPr>
        <w:t xml:space="preserve"> — </w:t>
      </w:r>
      <w:r>
        <w:rPr>
          <w:rFonts w:ascii="Arial;sans-serif" w:hAnsi="Arial;sans-serif"/>
          <w:b w:val="false"/>
          <w:sz w:val="20"/>
        </w:rPr>
        <w:t>The Company’s long-term debt consists of borrowings under its Term Loan Facility, Revolving Credit Facility and Ex-Im Credit Facility (collectively, the Credit Facilities), $700.0</w:t>
      </w:r>
      <w:r>
        <w:rPr>
          <w:rFonts w:ascii="Times New Roman" w:hAnsi="Times New Roman"/>
          <w:sz w:val="20"/>
        </w:rPr>
        <w:t xml:space="preserve"> </w:t>
      </w:r>
      <w:r>
        <w:rPr>
          <w:rFonts w:ascii="Arial;sans-serif" w:hAnsi="Arial;sans-serif"/>
          <w:b w:val="false"/>
          <w:sz w:val="20"/>
        </w:rPr>
        <w:t>million in aggregate principal amount of 2025 Notes, $600.0</w:t>
      </w:r>
      <w:r>
        <w:rPr>
          <w:rFonts w:ascii="Times New Roman" w:hAnsi="Times New Roman"/>
          <w:sz w:val="20"/>
        </w:rPr>
        <w:t xml:space="preserve"> </w:t>
      </w:r>
      <w:r>
        <w:rPr>
          <w:rFonts w:ascii="Arial;sans-serif" w:hAnsi="Arial;sans-serif"/>
          <w:b w:val="false"/>
          <w:sz w:val="20"/>
        </w:rPr>
        <w:t>million in aggregate principal amount of 2027 Notes, $400.0</w:t>
      </w:r>
      <w:r>
        <w:rPr>
          <w:rFonts w:ascii="Times New Roman" w:hAnsi="Times New Roman"/>
          <w:sz w:val="20"/>
        </w:rPr>
        <w:t xml:space="preserve"> </w:t>
      </w:r>
      <w:r>
        <w:rPr>
          <w:rFonts w:ascii="Arial;sans-serif" w:hAnsi="Arial;sans-serif"/>
          <w:b w:val="false"/>
          <w:sz w:val="20"/>
        </w:rPr>
        <w:t>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Term Loan Facility, the Ex-Im Credit Facility, the 2025 Notes, the 2027 Notes and the 2028 Notes is reported at amortized cost. However, for disclosure purposes, the Company is required to measure the fair value of outstanding debt on a recurring basis. The fair value of the Company’s long-term debt related to the Term Loan Facility and the Revolving Credit Facility approximates its carrying amount due to its variable interest rate, which approximates a market interest rate. As of March 31, 2023 and 2022, the fair value of the Company’s long-term debt related to the Ex-Im Credit Facility was determined based on a discounted cash flow analysis using observable market interest rates for instruments with similar terms (Level 2) and was approximately $57.1</w:t>
      </w:r>
      <w:r>
        <w:rPr>
          <w:rFonts w:ascii="Times New Roman" w:hAnsi="Times New Roman"/>
          <w:sz w:val="20"/>
        </w:rPr>
        <w:t xml:space="preserve"> </w:t>
      </w:r>
      <w:r>
        <w:rPr>
          <w:rFonts w:ascii="Arial;sans-serif" w:hAnsi="Arial;sans-serif"/>
          <w:b w:val="false"/>
          <w:sz w:val="20"/>
        </w:rPr>
        <w:t>million and $78.0</w:t>
      </w:r>
      <w:r>
        <w:rPr>
          <w:rFonts w:ascii="Times New Roman" w:hAnsi="Times New Roman"/>
          <w:sz w:val="20"/>
        </w:rPr>
        <w:t xml:space="preserve"> </w:t>
      </w:r>
      <w:r>
        <w:rPr>
          <w:rFonts w:ascii="Arial;sans-serif" w:hAnsi="Arial;sans-serif"/>
          <w:b w:val="false"/>
          <w:sz w:val="20"/>
        </w:rPr>
        <w:t>million, respectively. As of March 31, 2023 and 2022, the estimated fair value of the Company’s outstanding long-term debt related to each series of Notes was determined based on actual or estimated bids and offers for such series of Notes in an over-the-counter market (Level 2) and was $661.5</w:t>
      </w:r>
      <w:r>
        <w:rPr>
          <w:rFonts w:ascii="Times New Roman" w:hAnsi="Times New Roman"/>
          <w:sz w:val="20"/>
        </w:rPr>
        <w:t xml:space="preserve"> </w:t>
      </w:r>
      <w:r>
        <w:rPr>
          <w:rFonts w:ascii="Arial;sans-serif" w:hAnsi="Arial;sans-serif"/>
          <w:b w:val="false"/>
          <w:sz w:val="20"/>
        </w:rPr>
        <w:t>million and $682.5</w:t>
      </w:r>
      <w:r>
        <w:rPr>
          <w:rFonts w:ascii="Times New Roman" w:hAnsi="Times New Roman"/>
          <w:sz w:val="20"/>
        </w:rPr>
        <w:t xml:space="preserve"> </w:t>
      </w:r>
      <w:r>
        <w:rPr>
          <w:rFonts w:ascii="Arial;sans-serif" w:hAnsi="Arial;sans-serif"/>
          <w:b w:val="false"/>
          <w:sz w:val="20"/>
        </w:rPr>
        <w:t>million, respectively, for the 2025 Notes, $561.7</w:t>
      </w:r>
      <w:r>
        <w:rPr>
          <w:rFonts w:ascii="Times New Roman" w:hAnsi="Times New Roman"/>
          <w:sz w:val="20"/>
        </w:rPr>
        <w:t xml:space="preserve"> </w:t>
      </w:r>
      <w:r>
        <w:rPr>
          <w:rFonts w:ascii="Arial;sans-serif" w:hAnsi="Arial;sans-serif"/>
          <w:b w:val="false"/>
          <w:sz w:val="20"/>
        </w:rPr>
        <w:t>million and $588.8</w:t>
      </w:r>
      <w:r>
        <w:rPr>
          <w:rFonts w:ascii="Times New Roman" w:hAnsi="Times New Roman"/>
          <w:sz w:val="20"/>
        </w:rPr>
        <w:t xml:space="preserve"> </w:t>
      </w:r>
      <w:r>
        <w:rPr>
          <w:rFonts w:ascii="Arial;sans-serif" w:hAnsi="Arial;sans-serif"/>
          <w:b w:val="false"/>
          <w:sz w:val="20"/>
        </w:rPr>
        <w:t>million, respectively, for the 2027 Notes, and $292.0</w:t>
      </w:r>
      <w:r>
        <w:rPr>
          <w:rFonts w:ascii="Times New Roman" w:hAnsi="Times New Roman"/>
          <w:sz w:val="20"/>
        </w:rPr>
        <w:t xml:space="preserve"> </w:t>
      </w:r>
      <w:r>
        <w:rPr>
          <w:rFonts w:ascii="Arial;sans-serif" w:hAnsi="Arial;sans-serif"/>
          <w:b w:val="false"/>
          <w:sz w:val="20"/>
        </w:rPr>
        <w:t>million and $382.7</w:t>
      </w:r>
      <w:r>
        <w:rPr>
          <w:rFonts w:ascii="Times New Roman" w:hAnsi="Times New Roman"/>
          <w:sz w:val="20"/>
        </w:rPr>
        <w:t xml:space="preserve"> </w:t>
      </w:r>
      <w:r>
        <w:rPr>
          <w:rFonts w:ascii="Arial;sans-serif" w:hAnsi="Arial;sans-serif"/>
          <w:b w:val="false"/>
          <w:sz w:val="20"/>
        </w:rPr>
        <w:t>million, respectively, for the 2028 Notes.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F-25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i/>
          <w:sz w:val="20"/>
        </w:rPr>
        <w:t>Satellite performance incentive obligations</w:t>
      </w:r>
      <w:r>
        <w:rPr>
          <w:rFonts w:ascii="Times New Roman" w:hAnsi="Times New Roman"/>
          <w:sz w:val="20"/>
        </w:rPr>
        <w:t xml:space="preserve"> — </w:t>
      </w:r>
      <w:r>
        <w:rPr>
          <w:rFonts w:ascii="Arial;sans-serif" w:hAnsi="Arial;sans-serif"/>
          <w:b w:val="false"/>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March 31, 2023 and 2022, the Company’s estimated satellite performance incentive obligations relating to certain satellites in commercial service, including accrued interest, were $20.0</w:t>
      </w:r>
      <w:r>
        <w:rPr>
          <w:rFonts w:ascii="Times New Roman" w:hAnsi="Times New Roman"/>
          <w:sz w:val="20"/>
        </w:rPr>
        <w:t xml:space="preserve"> </w:t>
      </w:r>
      <w:r>
        <w:rPr>
          <w:rFonts w:ascii="Arial;sans-serif" w:hAnsi="Arial;sans-serif"/>
          <w:b w:val="false"/>
          <w:sz w:val="20"/>
        </w:rPr>
        <w:t>million and $23.7</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bidi w:val="0"/>
        <w:spacing w:before="270" w:after="0"/>
        <w:jc w:val="left"/>
        <w:rPr>
          <w:rFonts w:ascii="Arial;sans-serif" w:hAnsi="Arial;sans-serif"/>
          <w:b/>
          <w:sz w:val="20"/>
        </w:rPr>
      </w:pPr>
      <w:r>
        <w:rPr>
          <w:rFonts w:ascii="Arial;sans-serif" w:hAnsi="Arial;sans-serif"/>
          <w:b/>
          <w:sz w:val="20"/>
        </w:rPr>
        <w:t>Note 4 — Discontinued Operations</w:t>
      </w:r>
    </w:p>
    <w:p>
      <w:pPr>
        <w:pStyle w:val="TextBody"/>
        <w:bidi w:val="0"/>
        <w:spacing w:before="90" w:after="0"/>
        <w:jc w:val="left"/>
        <w:rPr>
          <w:rFonts w:ascii="Times New Roman" w:hAnsi="Times New Roman"/>
          <w:sz w:val="20"/>
        </w:rPr>
      </w:pPr>
      <w:r>
        <w:rPr>
          <w:rFonts w:ascii="Arial;sans-serif" w:hAnsi="Arial;sans-serif"/>
          <w:b w:val="false"/>
          <w:sz w:val="20"/>
        </w:rPr>
        <w:t>On October 1, 2022, the Company entered into an Asset Purchase Agreement to sell the Link-16 TDL Business in its government systems segment to L3Harris in exchange for approximately $1.96</w:t>
      </w:r>
      <w:r>
        <w:rPr>
          <w:rFonts w:ascii="Times New Roman" w:hAnsi="Times New Roman"/>
          <w:sz w:val="20"/>
        </w:rPr>
        <w:t xml:space="preserve"> </w:t>
      </w:r>
      <w:r>
        <w:rPr>
          <w:rFonts w:ascii="Arial;sans-serif" w:hAnsi="Arial;sans-serif"/>
          <w:b w:val="false"/>
          <w:sz w:val="20"/>
        </w:rPr>
        <w:t>billion in cash, subject to adjustments. In accordance with ASC 205-20, the Company determined that the Link-16 TDL Business met held-for sale and discontinued operations accounting criteria at the end of the second quarter of fiscal year 2023. Accordingly, the Company</w:t>
      </w:r>
      <w:r>
        <w:rPr>
          <w:rFonts w:ascii="Times New Roman" w:hAnsi="Times New Roman"/>
          <w:sz w:val="20"/>
        </w:rPr>
        <w:t xml:space="preserve"> </w:t>
      </w:r>
      <w:r>
        <w:rPr>
          <w:rFonts w:ascii="Arial;sans-serif" w:hAnsi="Arial;sans-serif"/>
          <w:b w:val="false"/>
          <w:sz w:val="20"/>
        </w:rPr>
        <w:t>classified the results of the Link-16 TDL Business as discontinued operations in its consolidated statements of operations for all periods presented. Additionally, the related assets and liabilities associated with the Link-16 TDL Business were classified as held for sale and discontinued operations in the consolidated balance sheet as of March 31, 2022.</w:t>
      </w:r>
    </w:p>
    <w:p>
      <w:pPr>
        <w:pStyle w:val="TextBody"/>
        <w:bidi w:val="0"/>
        <w:spacing w:before="180" w:after="0"/>
        <w:jc w:val="left"/>
        <w:rPr>
          <w:rFonts w:ascii="Times New Roman" w:hAnsi="Times New Roman"/>
          <w:sz w:val="20"/>
        </w:rPr>
      </w:pPr>
      <w:r>
        <w:rPr>
          <w:rFonts w:ascii="Arial;sans-serif" w:hAnsi="Arial;sans-serif"/>
          <w:b w:val="false"/>
          <w:sz w:val="20"/>
        </w:rPr>
        <w:t>On January 3, 2023, the Company completed the Link-16 TDL Sale, and as a result the fourth quarter of fiscal year 2023 included the impact of the gain of approximately $1.66</w:t>
      </w:r>
      <w:r>
        <w:rPr>
          <w:rFonts w:ascii="Times New Roman" w:hAnsi="Times New Roman"/>
          <w:sz w:val="20"/>
        </w:rPr>
        <w:t xml:space="preserve"> </w:t>
      </w:r>
      <w:r>
        <w:rPr>
          <w:rFonts w:ascii="Arial;sans-serif" w:hAnsi="Arial;sans-serif"/>
          <w:b w:val="false"/>
          <w:sz w:val="20"/>
        </w:rPr>
        <w:t>billion (net of costs to sell of $40.8</w:t>
      </w:r>
      <w:r>
        <w:rPr>
          <w:rFonts w:ascii="Times New Roman" w:hAnsi="Times New Roman"/>
          <w:sz w:val="20"/>
        </w:rPr>
        <w:t xml:space="preserve"> </w:t>
      </w:r>
      <w:r>
        <w:rPr>
          <w:rFonts w:ascii="Arial;sans-serif" w:hAnsi="Arial;sans-serif"/>
          <w:b w:val="false"/>
          <w:sz w:val="20"/>
        </w:rPr>
        <w:t>million) within net income (loss) from</w:t>
      </w:r>
      <w:r>
        <w:rPr>
          <w:rFonts w:ascii="Times New Roman" w:hAnsi="Times New Roman"/>
          <w:sz w:val="20"/>
        </w:rPr>
        <w:t xml:space="preserve"> </w:t>
      </w:r>
      <w:r>
        <w:rPr>
          <w:rFonts w:ascii="Arial;sans-serif" w:hAnsi="Arial;sans-serif"/>
          <w:b w:val="false"/>
          <w:sz w:val="20"/>
        </w:rPr>
        <w:t>discontinued operations, net of tax on the consolidated statements of operations and comprehensive income (loss) for fiscal year 2023. The Link-16 TDL Sale substantially reduced both debt and net leverage, and allows closer alignment in investment synergies between the Company's government systems segment and its other business segments.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In connection with the closing of the Link-16 TDL Sale on January 3, 2023, the Company and L3Harris entered into certain ancillary commercial agreements, including certain license agreements for the cross-licensing by each party of certain intellectual property rights relating to the Link-16 TDL Business and the Company’s retained businesses, a supply agreement with respect to the supply of certain Link-16 and related products following the closing, and certain services agreements for the provision of engineering and support services for the transition of the Link-16 TDL Business following the closing, in each case subject to the terms and conditions set forth therein. The impact of these agreements on the Company's consolidated financial statements was not significant.</w:t>
      </w:r>
    </w:p>
    <w:p>
      <w:pPr>
        <w:pStyle w:val="TextBody"/>
        <w:bidi w:val="0"/>
        <w:spacing w:before="180" w:after="0"/>
        <w:jc w:val="left"/>
        <w:rPr>
          <w:rFonts w:ascii="Arial;sans-serif" w:hAnsi="Arial;sans-serif"/>
          <w:b w:val="false"/>
          <w:sz w:val="20"/>
        </w:rPr>
      </w:pPr>
      <w:r>
        <w:rPr>
          <w:rFonts w:ascii="Arial;sans-serif" w:hAnsi="Arial;sans-serif"/>
          <w:b w:val="false"/>
          <w:sz w:val="20"/>
        </w:rPr>
        <w:t>The following table presents key components of assets and liabilities that were classified as discontinued operations on the consolidated balance sheet as of March 31, 2022:</w:t>
      </w:r>
    </w:p>
    <w:p>
      <w:pPr>
        <w:pStyle w:val="TextBody"/>
        <w:bidi w:val="0"/>
        <w:spacing w:before="0" w:after="0"/>
        <w:jc w:val="left"/>
        <w:rPr/>
      </w:pPr>
      <w:r>
        <w:rPr/>
        <w:t> </w:t>
      </w:r>
    </w:p>
    <w:tbl>
      <w:tblPr>
        <w:tblW w:w="5778" w:type="dxa"/>
        <w:jc w:val="left"/>
        <w:tblInd w:w="0" w:type="dxa"/>
        <w:tblLayout w:type="fixed"/>
        <w:tblCellMar>
          <w:top w:w="28" w:type="dxa"/>
          <w:left w:w="28" w:type="dxa"/>
          <w:bottom w:w="28" w:type="dxa"/>
          <w:right w:w="28" w:type="dxa"/>
        </w:tblCellMar>
      </w:tblPr>
      <w:tblGrid>
        <w:gridCol w:w="3856"/>
        <w:gridCol w:w="146"/>
        <w:gridCol w:w="273"/>
        <w:gridCol w:w="1032"/>
        <w:gridCol w:w="47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center"/>
              <w:rPr/>
            </w:pPr>
            <w:r>
              <w:rPr/>
              <w:t> </w:t>
            </w:r>
          </w:p>
        </w:tc>
        <w:tc>
          <w:tcPr>
            <w:tcW w:w="471" w:type="dxa"/>
            <w:tcBorders/>
            <w:vAlign w:val="center"/>
          </w:tcPr>
          <w:p>
            <w:pPr>
              <w:pStyle w:val="TableContents"/>
              <w:bidi w:val="0"/>
              <w:spacing w:before="0" w:after="0"/>
              <w:ind w:left="0" w:right="0" w:firstLine="280"/>
              <w:jc w:val="center"/>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Accounts receivable, net</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47,097</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Inventories</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144,026</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6,468</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Property, equipment, and satellites, net</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36,921</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lease right-of-use assets</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12,837</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Goodwill</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21,403</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assets</w:t>
            </w:r>
          </w:p>
        </w:tc>
        <w:tc>
          <w:tcPr>
            <w:tcW w:w="146" w:type="dxa"/>
            <w:tcBorders/>
            <w:vAlign w:val="center"/>
          </w:tcPr>
          <w:p>
            <w:pPr>
              <w:pStyle w:val="TableContents"/>
              <w:bidi w:val="0"/>
              <w:spacing w:before="0" w:after="0"/>
              <w:ind w:left="0" w:right="0" w:hanging="0"/>
              <w:jc w:val="center"/>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6,350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assets of discontinued operations</w:t>
            </w:r>
          </w:p>
        </w:tc>
        <w:tc>
          <w:tcPr>
            <w:tcW w:w="146" w:type="dxa"/>
            <w:tcBorders/>
            <w:vAlign w:val="center"/>
          </w:tcPr>
          <w:p>
            <w:pPr>
              <w:pStyle w:val="TableContents"/>
              <w:bidi w:val="0"/>
              <w:spacing w:before="0" w:after="0"/>
              <w:ind w:left="0" w:right="0" w:hanging="0"/>
              <w:jc w:val="center"/>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275,102</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18,415</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Accrued and other liabilities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33,858</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11,486</w:t>
            </w:r>
          </w:p>
        </w:tc>
        <w:tc>
          <w:tcPr>
            <w:tcW w:w="471" w:type="dxa"/>
            <w:tcBorders/>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4,295</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8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liabilities of discontinued operations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68,054</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F-26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The operating results of the discontinued operations only reflect revenues and expenses that are directly attributable to the Link-16 TDL Business that will be eliminated from continuing operations. The following table presents key components of “Net income (loss) from discontinued operations, net of tax” for the fiscal years ended March 31, 2023, 2022 and 2021:</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383"/>
        <w:gridCol w:w="146"/>
        <w:gridCol w:w="221"/>
        <w:gridCol w:w="1008"/>
        <w:gridCol w:w="166"/>
        <w:gridCol w:w="146"/>
        <w:gridCol w:w="246"/>
        <w:gridCol w:w="928"/>
        <w:gridCol w:w="166"/>
        <w:gridCol w:w="146"/>
        <w:gridCol w:w="246"/>
        <w:gridCol w:w="928"/>
        <w:gridCol w:w="475"/>
      </w:tblGrid>
      <w:tr>
        <w:trPr/>
        <w:tc>
          <w:tcPr>
            <w:tcW w:w="5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38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1"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475" w:type="dxa"/>
            <w:tcBorders/>
            <w:vAlign w:val="center"/>
          </w:tcPr>
          <w:p>
            <w:pPr>
              <w:pStyle w:val="TableContents"/>
              <w:bidi w:val="0"/>
              <w:spacing w:before="0" w:after="0"/>
              <w:ind w:left="0" w:right="0" w:hanging="0"/>
              <w:jc w:val="center"/>
              <w:rPr/>
            </w:pPr>
            <w:r>
              <w:rPr/>
              <w:t> </w:t>
            </w:r>
          </w:p>
        </w:tc>
      </w:tr>
      <w:tr>
        <w:trPr/>
        <w:tc>
          <w:tcPr>
            <w:tcW w:w="538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1"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75" w:type="dxa"/>
            <w:tcBorders/>
            <w:vAlign w:val="center"/>
          </w:tcPr>
          <w:p>
            <w:pPr>
              <w:pStyle w:val="TableContents"/>
              <w:bidi w:val="0"/>
              <w:spacing w:before="0" w:after="0"/>
              <w:ind w:left="0" w:right="0" w:hanging="0"/>
              <w:jc w:val="center"/>
              <w:rPr/>
            </w:pPr>
            <w:r>
              <w:rPr/>
              <w:t> </w:t>
            </w:r>
          </w:p>
        </w:tc>
      </w:tr>
      <w:tr>
        <w:trPr/>
        <w:tc>
          <w:tcPr>
            <w:tcW w:w="53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247,069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370,456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335,229</w:t>
            </w:r>
          </w:p>
        </w:tc>
        <w:tc>
          <w:tcPr>
            <w:tcW w:w="475" w:type="dxa"/>
            <w:tcBorders/>
            <w:vAlign w:val="center"/>
          </w:tcPr>
          <w:p>
            <w:pPr>
              <w:pStyle w:val="TableContents"/>
              <w:bidi w:val="0"/>
              <w:spacing w:before="0" w:after="0"/>
              <w:ind w:left="0" w:right="0" w:hanging="0"/>
              <w:jc w:val="left"/>
              <w:rPr/>
            </w:pPr>
            <w:r>
              <w:rPr/>
              <w:t> </w:t>
            </w:r>
          </w:p>
        </w:tc>
      </w:tr>
      <w:tr>
        <w:trPr/>
        <w:tc>
          <w:tcPr>
            <w:tcW w:w="53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475" w:type="dxa"/>
            <w:tcBorders/>
            <w:vAlign w:val="center"/>
          </w:tcPr>
          <w:p>
            <w:pPr>
              <w:pStyle w:val="TableContents"/>
              <w:bidi w:val="0"/>
              <w:spacing w:before="0" w:after="0"/>
              <w:ind w:left="0" w:right="0" w:firstLine="280"/>
              <w:jc w:val="right"/>
              <w:rPr/>
            </w:pPr>
            <w:r>
              <w:rPr/>
              <w:t> </w:t>
            </w:r>
          </w:p>
        </w:tc>
      </w:tr>
      <w:tr>
        <w:trPr/>
        <w:tc>
          <w:tcPr>
            <w:tcW w:w="538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157,355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228,847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208,595</w:t>
            </w:r>
          </w:p>
        </w:tc>
        <w:tc>
          <w:tcPr>
            <w:tcW w:w="475" w:type="dxa"/>
            <w:tcBorders/>
            <w:vAlign w:val="center"/>
          </w:tcPr>
          <w:p>
            <w:pPr>
              <w:pStyle w:val="TableContents"/>
              <w:bidi w:val="0"/>
              <w:spacing w:before="0" w:after="0"/>
              <w:ind w:left="0" w:right="0" w:firstLine="280"/>
              <w:jc w:val="left"/>
              <w:rPr/>
            </w:pPr>
            <w:r>
              <w:rPr/>
              <w:t> </w:t>
            </w:r>
          </w:p>
        </w:tc>
      </w:tr>
      <w:tr>
        <w:trPr/>
        <w:tc>
          <w:tcPr>
            <w:tcW w:w="538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operating expenses</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24,062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22,448</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before income taxes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65,652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121,471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104,186</w:t>
            </w:r>
          </w:p>
        </w:tc>
        <w:tc>
          <w:tcPr>
            <w:tcW w:w="475" w:type="dxa"/>
            <w:tcBorders/>
            <w:vAlign w:val="center"/>
          </w:tcPr>
          <w:p>
            <w:pPr>
              <w:pStyle w:val="TableContents"/>
              <w:bidi w:val="0"/>
              <w:spacing w:before="0" w:after="0"/>
              <w:ind w:left="0" w:right="0" w:hanging="0"/>
              <w:jc w:val="left"/>
              <w:rPr/>
            </w:pPr>
            <w:r>
              <w:rPr/>
              <w:t> </w:t>
            </w:r>
          </w:p>
        </w:tc>
      </w:tr>
      <w:tr>
        <w:trPr/>
        <w:tc>
          <w:tcPr>
            <w:tcW w:w="53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Gain on disposal of discontinued operations before income taxes, net of costs to sell</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1,661,891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 </w:t>
            </w:r>
          </w:p>
        </w:tc>
      </w:tr>
      <w:tr>
        <w:trPr/>
        <w:tc>
          <w:tcPr>
            <w:tcW w:w="53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(425,156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(22,280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(20,635</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3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net of tax</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1,302,387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99,191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83,551</w:t>
            </w:r>
          </w:p>
        </w:tc>
        <w:tc>
          <w:tcPr>
            <w:tcW w:w="4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left"/>
        <w:rPr>
          <w:rFonts w:ascii="Arial;sans-serif" w:hAnsi="Arial;sans-serif"/>
          <w:b w:val="false"/>
          <w:sz w:val="20"/>
        </w:rPr>
      </w:pPr>
      <w:r>
        <w:rPr>
          <w:rFonts w:ascii="Arial;sans-serif" w:hAnsi="Arial;sans-serif"/>
          <w:b w:val="false"/>
          <w:sz w:val="20"/>
        </w:rPr>
        <w:t>The cash flows related to discontinued operations have not been segregated and are included in the consolidated statements of cash flows. The following table presents key cash flow and non-cash information related to discontinued operations for the fiscal years ended March 31, 2023, 2022 and 2021:</w:t>
      </w:r>
    </w:p>
    <w:p>
      <w:pPr>
        <w:pStyle w:val="TextBody"/>
        <w:bidi w:val="0"/>
        <w:spacing w:before="0" w:after="0"/>
        <w:jc w:val="left"/>
        <w:rPr/>
      </w:pPr>
      <w:r>
        <w:rPr/>
        <w:t> </w:t>
      </w:r>
    </w:p>
    <w:tbl>
      <w:tblPr>
        <w:tblW w:w="7672" w:type="dxa"/>
        <w:jc w:val="left"/>
        <w:tblInd w:w="0" w:type="dxa"/>
        <w:tblLayout w:type="fixed"/>
        <w:tblCellMar>
          <w:top w:w="28" w:type="dxa"/>
          <w:left w:w="28" w:type="dxa"/>
          <w:bottom w:w="28" w:type="dxa"/>
          <w:right w:w="28" w:type="dxa"/>
        </w:tblCellMar>
      </w:tblPr>
      <w:tblGrid>
        <w:gridCol w:w="2971"/>
        <w:gridCol w:w="146"/>
        <w:gridCol w:w="294"/>
        <w:gridCol w:w="966"/>
        <w:gridCol w:w="146"/>
        <w:gridCol w:w="146"/>
        <w:gridCol w:w="294"/>
        <w:gridCol w:w="966"/>
        <w:gridCol w:w="146"/>
        <w:gridCol w:w="146"/>
        <w:gridCol w:w="294"/>
        <w:gridCol w:w="96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64"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91" w:type="dxa"/>
            <w:tcBorders/>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64"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Depreciation</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6,824</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Amortization of intangible assets</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3,152</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Capital expenditures</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15,403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70" w:after="0"/>
        <w:jc w:val="left"/>
        <w:rPr>
          <w:rFonts w:ascii="Arial;sans-serif" w:hAnsi="Arial;sans-serif"/>
          <w:b/>
          <w:sz w:val="20"/>
        </w:rPr>
      </w:pPr>
      <w:r>
        <w:rPr>
          <w:rFonts w:ascii="Arial;sans-serif" w:hAnsi="Arial;sans-serif"/>
          <w:b/>
          <w:sz w:val="20"/>
        </w:rPr>
        <w:t>Note 5 — Acquisitions</w:t>
      </w:r>
    </w:p>
    <w:p>
      <w:pPr>
        <w:pStyle w:val="TextBody"/>
        <w:bidi w:val="0"/>
        <w:spacing w:before="90" w:after="0"/>
        <w:jc w:val="left"/>
        <w:rPr>
          <w:rFonts w:ascii="Arial;sans-serif" w:hAnsi="Arial;sans-serif"/>
          <w:b/>
          <w:i/>
          <w:sz w:val="20"/>
        </w:rPr>
      </w:pPr>
      <w:r>
        <w:rPr>
          <w:rFonts w:ascii="Arial;sans-serif" w:hAnsi="Arial;sans-serif"/>
          <w:b/>
          <w:i/>
          <w:sz w:val="20"/>
        </w:rPr>
        <w:t>Inmarsat Transaction</w:t>
      </w:r>
    </w:p>
    <w:p>
      <w:pPr>
        <w:pStyle w:val="TextBody"/>
        <w:bidi w:val="0"/>
        <w:spacing w:before="90" w:after="0"/>
        <w:jc w:val="left"/>
        <w:rPr>
          <w:rFonts w:ascii="Times New Roman" w:hAnsi="Times New Roman"/>
          <w:sz w:val="20"/>
        </w:rPr>
      </w:pPr>
      <w:r>
        <w:rPr>
          <w:rFonts w:ascii="Arial;sans-serif" w:hAnsi="Arial;sans-serif"/>
          <w:b w:val="false"/>
          <w:sz w:val="20"/>
        </w:rPr>
        <w:t>On November 8, 2021, the Company entered into a Share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Share Purchase Agreement, the Company will purchase all of the issued and outstanding shares of Inmarsat from the Sellers upon the terms and subject to the conditions set forth therein (the Inmarsat Transaction). The total consideration payable by the Company under the Share Purchase Agreement consists of $850.0</w:t>
      </w:r>
      <w:r>
        <w:rPr>
          <w:rFonts w:ascii="Times New Roman" w:hAnsi="Times New Roman"/>
          <w:sz w:val="20"/>
        </w:rPr>
        <w:t xml:space="preserve"> </w:t>
      </w:r>
      <w:r>
        <w:rPr>
          <w:rFonts w:ascii="Arial;sans-serif" w:hAnsi="Arial;sans-serif"/>
          <w:b w:val="false"/>
          <w:sz w:val="20"/>
        </w:rPr>
        <w:t>million in cash, subject to adjustments (including a reduction of $299.3</w:t>
      </w:r>
      <w:r>
        <w:rPr>
          <w:rFonts w:ascii="Times New Roman" w:hAnsi="Times New Roman"/>
          <w:sz w:val="20"/>
        </w:rPr>
        <w:t xml:space="preserve"> </w:t>
      </w:r>
      <w:r>
        <w:rPr>
          <w:rFonts w:ascii="Arial;sans-serif" w:hAnsi="Arial;sans-serif"/>
          <w:b w:val="false"/>
          <w:sz w:val="20"/>
        </w:rPr>
        <w:t>million as a result of the dividend paid by Inmarsat in April 2022), and approximately 46.36</w:t>
      </w:r>
      <w:r>
        <w:rPr>
          <w:rFonts w:ascii="Times New Roman" w:hAnsi="Times New Roman"/>
          <w:sz w:val="20"/>
        </w:rPr>
        <w:t xml:space="preserve"> </w:t>
      </w:r>
      <w:r>
        <w:rPr>
          <w:rFonts w:ascii="Arial;sans-serif" w:hAnsi="Arial;sans-serif"/>
          <w:b w:val="false"/>
          <w:sz w:val="20"/>
        </w:rPr>
        <w:t>million unregistered shares of the Company’s common stock.</w:t>
      </w:r>
    </w:p>
    <w:p>
      <w:pPr>
        <w:pStyle w:val="TextBody"/>
        <w:bidi w:val="0"/>
        <w:spacing w:before="180" w:after="0"/>
        <w:jc w:val="left"/>
        <w:rPr>
          <w:rFonts w:ascii="Times New Roman" w:hAnsi="Times New Roman"/>
          <w:sz w:val="20"/>
        </w:rPr>
      </w:pPr>
      <w:r>
        <w:rPr>
          <w:rFonts w:ascii="Arial;sans-serif" w:hAnsi="Arial;sans-serif"/>
          <w:b w:val="false"/>
          <w:sz w:val="20"/>
        </w:rPr>
        <w:t>The Company's stockholders approved the issuance of shares in the transaction and an amendment to the Company’s certificate of incorporation to increase the number of shares of common stock authorized for issuance at a special meeting held on June 21, 2022.</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closing of the Inmarsat Transaction is subject to customary closing conditions, including receipt of regulatory approvals and clearances. The Share Purchase Agreement contains certain termination rights for both the Company and certain of the Sellers and further provides that, upon termination of the Share Purchase Agreement under certain circumstances, the Company may be obligated to pay a termination fee of up to $200.0</w:t>
      </w:r>
      <w:r>
        <w:rPr>
          <w:rFonts w:ascii="Times New Roman" w:hAnsi="Times New Roman"/>
          <w:sz w:val="20"/>
        </w:rPr>
        <w:t xml:space="preserve"> </w:t>
      </w:r>
      <w:r>
        <w:rPr>
          <w:rFonts w:ascii="Arial;sans-serif" w:hAnsi="Arial;sans-serif"/>
          <w:b w:val="false"/>
          <w:sz w:val="20"/>
        </w:rPr>
        <w:t>million or to reimburse certain out-of-pocket expenses of certain Sellers up to $40.0</w:t>
      </w:r>
      <w:r>
        <w:rPr>
          <w:rFonts w:ascii="Times New Roman" w:hAnsi="Times New Roman"/>
          <w:sz w:val="20"/>
        </w:rPr>
        <w:t xml:space="preserve"> </w:t>
      </w:r>
      <w:r>
        <w:rPr>
          <w:rFonts w:ascii="Arial;sans-serif" w:hAnsi="Arial;sans-serif"/>
          <w:b w:val="false"/>
          <w:sz w:val="20"/>
        </w:rPr>
        <w:t>million.</w:t>
      </w:r>
    </w:p>
    <w:p>
      <w:pPr>
        <w:pStyle w:val="TextBody"/>
        <w:bidi w:val="0"/>
        <w:spacing w:before="180" w:after="0"/>
        <w:jc w:val="left"/>
        <w:rPr>
          <w:rFonts w:ascii="Times New Roman" w:hAnsi="Times New Roman"/>
          <w:sz w:val="20"/>
        </w:rPr>
      </w:pPr>
      <w:r>
        <w:rPr>
          <w:rFonts w:ascii="Arial;sans-serif" w:hAnsi="Arial;sans-serif"/>
          <w:b w:val="false"/>
          <w:sz w:val="20"/>
        </w:rPr>
        <w:t>The Company has obtained financing commitments for an additional $1.6</w:t>
      </w:r>
      <w:r>
        <w:rPr>
          <w:rFonts w:ascii="Times New Roman" w:hAnsi="Times New Roman"/>
          <w:sz w:val="20"/>
        </w:rPr>
        <w:t xml:space="preserve"> </w:t>
      </w:r>
      <w:r>
        <w:rPr>
          <w:rFonts w:ascii="Arial;sans-serif" w:hAnsi="Arial;sans-serif"/>
          <w:b w:val="false"/>
          <w:sz w:val="20"/>
        </w:rPr>
        <w:t>billion of new debt facilities in connection with the Inmarsat Transaction (which may be secured and/or unsecured). The Company also plans to assume $2.1</w:t>
      </w:r>
      <w:r>
        <w:rPr>
          <w:rFonts w:ascii="Times New Roman" w:hAnsi="Times New Roman"/>
          <w:sz w:val="20"/>
        </w:rPr>
        <w:t xml:space="preserve"> </w:t>
      </w:r>
      <w:r>
        <w:rPr>
          <w:rFonts w:ascii="Arial;sans-serif" w:hAnsi="Arial;sans-serif"/>
          <w:b w:val="false"/>
          <w:sz w:val="20"/>
        </w:rPr>
        <w:t>billion in principal amount of Inmarsat senior secured bonds and the outstanding indebtedness under Inmarsat’s $2.4</w:t>
      </w:r>
      <w:r>
        <w:rPr>
          <w:rFonts w:ascii="Times New Roman" w:hAnsi="Times New Roman"/>
          <w:sz w:val="20"/>
        </w:rPr>
        <w:t xml:space="preserve"> </w:t>
      </w:r>
      <w:r>
        <w:rPr>
          <w:rFonts w:ascii="Arial;sans-serif" w:hAnsi="Arial;sans-serif"/>
          <w:b w:val="false"/>
          <w:sz w:val="20"/>
        </w:rPr>
        <w:t>billion senior secured credit facilities.</w:t>
      </w:r>
    </w:p>
    <w:p>
      <w:pPr>
        <w:pStyle w:val="TextBody"/>
        <w:bidi w:val="0"/>
        <w:spacing w:before="240" w:after="0"/>
        <w:jc w:val="center"/>
        <w:rPr>
          <w:rFonts w:ascii="Arial;sans-serif" w:hAnsi="Arial;sans-serif"/>
          <w:b w:val="false"/>
          <w:sz w:val="20"/>
        </w:rPr>
      </w:pPr>
      <w:r>
        <w:rPr>
          <w:rFonts w:ascii="Arial;sans-serif" w:hAnsi="Arial;sans-serif"/>
          <w:b w:val="false"/>
          <w:sz w:val="20"/>
        </w:rPr>
        <w:t>F-27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i/>
          <w:sz w:val="20"/>
        </w:rPr>
        <w:t>Euro Broadband Infrastructure Sàrl</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On April</w:t>
      </w:r>
      <w:r>
        <w:rPr>
          <w:rFonts w:ascii="Times New Roman" w:hAnsi="Times New Roman"/>
          <w:sz w:val="20"/>
        </w:rPr>
        <w:t xml:space="preserve"> </w:t>
      </w:r>
      <w:r>
        <w:rPr>
          <w:rFonts w:ascii="Arial;sans-serif" w:hAnsi="Arial;sans-serif"/>
          <w:b w:val="false"/>
          <w:sz w:val="20"/>
        </w:rPr>
        <w:t>30, 2021, the Company acquired the remaining 51% interest in EBI, a broadband services provider, from Eutelsat. By completing the acquisition, the Company gained 100% ownership and control of EBI and the KA-SAT satellite over EMEA and related ground infrastructure. Goodwill recognized in the transaction was recorded within the Company's satellite services segment. The goodwill recognized was not deductible for U.S. and foreign income tax purposes.</w:t>
      </w:r>
    </w:p>
    <w:p>
      <w:pPr>
        <w:pStyle w:val="TextBody"/>
        <w:bidi w:val="0"/>
        <w:spacing w:before="180" w:after="0"/>
        <w:jc w:val="left"/>
        <w:rPr>
          <w:rFonts w:ascii="Times New Roman" w:hAnsi="Times New Roman"/>
          <w:sz w:val="20"/>
        </w:rPr>
      </w:pPr>
      <w:r>
        <w:rPr>
          <w:rFonts w:ascii="Arial;sans-serif" w:hAnsi="Arial;sans-serif"/>
          <w:b w:val="false"/>
          <w:sz w:val="20"/>
        </w:rPr>
        <w:t>Prior to the acquisition date, the Company owned a 49% interest in EBI and accounted for the investment using the equity method of accounting. The acquisition of the remaining equity interest in EBI was accounted for as a step acquisition in accordance with ASC 805. Accordingly, the Company allocated the purchase price of the acquired company to the net tangible assets and intangible assets acquired based upon their estimated fair values. The Company remeasured the previously held equity method investment to its fair value based upon a valuation of the acquired business, as of the date of acquisition. The Company considered multiple factors in determining the fair value of the previously held equity method investment, including, (i) the price negotiated with the selling shareholder for the remaining 51% interest in EBI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consolidated statements of operations and comprehensive income (loss) in the first quarter of fiscal year 2022.</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purchase price of $327.4</w:t>
      </w:r>
      <w:r>
        <w:rPr>
          <w:rFonts w:ascii="Times New Roman" w:hAnsi="Times New Roman"/>
          <w:sz w:val="20"/>
        </w:rPr>
        <w:t xml:space="preserve"> </w:t>
      </w:r>
      <w:r>
        <w:rPr>
          <w:rFonts w:ascii="Arial;sans-serif" w:hAnsi="Arial;sans-serif"/>
          <w:b w:val="false"/>
          <w:sz w:val="20"/>
        </w:rPr>
        <w:t>million was primarily comprised of $167.0</w:t>
      </w:r>
      <w:r>
        <w:rPr>
          <w:rFonts w:ascii="Times New Roman" w:hAnsi="Times New Roman"/>
          <w:sz w:val="20"/>
        </w:rPr>
        <w:t xml:space="preserve"> </w:t>
      </w:r>
      <w:r>
        <w:rPr>
          <w:rFonts w:ascii="Arial;sans-serif" w:hAnsi="Arial;sans-serif"/>
          <w:b w:val="false"/>
          <w:sz w:val="20"/>
        </w:rPr>
        <w:t>million of cash, net of what is currently estimated to be an immaterial amount of estimated purchase price consideration to be settled among the parties over the 24 months (up to plus or minus €20.0</w:t>
      </w:r>
      <w:r>
        <w:rPr>
          <w:rFonts w:ascii="Arial;sans-serif" w:hAnsi="Arial;sans-serif"/>
          <w:sz w:val="20"/>
        </w:rPr>
        <w:t xml:space="preserve"> </w:t>
      </w:r>
      <w:r>
        <w:rPr>
          <w:rFonts w:ascii="Arial;sans-serif" w:hAnsi="Arial;sans-serif"/>
          <w:b w:val="false"/>
          <w:sz w:val="20"/>
        </w:rPr>
        <w:t>million, or approximately $21.6</w:t>
      </w:r>
      <w:r>
        <w:rPr>
          <w:rFonts w:ascii="Times New Roman" w:hAnsi="Times New Roman"/>
          <w:sz w:val="20"/>
        </w:rPr>
        <w:t xml:space="preserve"> </w:t>
      </w:r>
      <w:r>
        <w:rPr>
          <w:rFonts w:ascii="Arial;sans-serif" w:hAnsi="Arial;sans-serif"/>
          <w:b w:val="false"/>
          <w:sz w:val="20"/>
        </w:rPr>
        <w:t>million, see Note 3 — Fair Value Measurements for more information) from the closing date (which after consideration of approximately $121.7</w:t>
      </w:r>
      <w:r>
        <w:rPr>
          <w:rFonts w:ascii="Times New Roman" w:hAnsi="Times New Roman"/>
          <w:sz w:val="20"/>
        </w:rPr>
        <w:t xml:space="preserve"> </w:t>
      </w:r>
      <w:r>
        <w:rPr>
          <w:rFonts w:ascii="Arial;sans-serif" w:hAnsi="Arial;sans-serif"/>
          <w:b w:val="false"/>
          <w:sz w:val="20"/>
        </w:rPr>
        <w:t>million of EBI’s cash on hand, resulted in a net cash outlay of approximately $51.0</w:t>
      </w:r>
      <w:r>
        <w:rPr>
          <w:rFonts w:ascii="Times New Roman" w:hAnsi="Times New Roman"/>
          <w:sz w:val="20"/>
        </w:rPr>
        <w:t xml:space="preserve"> </w:t>
      </w:r>
      <w:r>
        <w:rPr>
          <w:rFonts w:ascii="Arial;sans-serif" w:hAnsi="Arial;sans-serif"/>
          <w:b w:val="false"/>
          <w:sz w:val="20"/>
        </w:rPr>
        <w:t>million) and the fair value of previously held equity method investment of approximately $160.4</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The purchase price allocation of the acquired assets and assumed liabilities based on the estimated fair values as of April 30, 2021, slightly adjusted since the close of the acquisition, primarily between goodwill, identifiable intangible assets and property, equipment and satellites, is as follows:</w:t>
      </w:r>
    </w:p>
    <w:p>
      <w:pPr>
        <w:pStyle w:val="TextBody"/>
        <w:bidi w:val="0"/>
        <w:spacing w:before="0" w:after="0"/>
        <w:jc w:val="left"/>
        <w:rPr/>
      </w:pPr>
      <w:r>
        <w:rPr/>
        <w:t> </w:t>
      </w:r>
    </w:p>
    <w:tbl>
      <w:tblPr>
        <w:tblW w:w="4723" w:type="dxa"/>
        <w:jc w:val="left"/>
        <w:tblInd w:w="0" w:type="dxa"/>
        <w:tblLayout w:type="fixed"/>
        <w:tblCellMar>
          <w:top w:w="28" w:type="dxa"/>
          <w:left w:w="28" w:type="dxa"/>
          <w:bottom w:w="28" w:type="dxa"/>
          <w:right w:w="28" w:type="dxa"/>
        </w:tblCellMar>
      </w:tblPr>
      <w:tblGrid>
        <w:gridCol w:w="3091"/>
        <w:gridCol w:w="146"/>
        <w:gridCol w:w="267"/>
        <w:gridCol w:w="1008"/>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154,207</w:t>
            </w:r>
          </w:p>
        </w:tc>
        <w:tc>
          <w:tcPr>
            <w:tcW w:w="21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equipment and satellites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109,028</w:t>
            </w:r>
          </w:p>
        </w:tc>
        <w:tc>
          <w:tcPr>
            <w:tcW w:w="21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Identifiable intangible assets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26,574</w:t>
            </w:r>
          </w:p>
        </w:tc>
        <w:tc>
          <w:tcPr>
            <w:tcW w:w="21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assets acquired</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290,604</w:t>
            </w:r>
          </w:p>
        </w:tc>
        <w:tc>
          <w:tcPr>
            <w:tcW w:w="21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liabilities assumed</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(5,914</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42,662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consideration transferred</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327,352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Amounts assigned to identifiable intangible assets are being amortized on a straight-line basis over their determined useful lives (which approximates the economic pattern of benefit) and are as follows as of April 30, 2021:</w:t>
      </w:r>
    </w:p>
    <w:p>
      <w:pPr>
        <w:pStyle w:val="TextBody"/>
        <w:bidi w:val="0"/>
        <w:spacing w:before="0" w:after="0"/>
        <w:jc w:val="left"/>
        <w:rPr/>
      </w:pPr>
      <w:r>
        <w:rPr/>
        <w:t> </w:t>
      </w:r>
    </w:p>
    <w:tbl>
      <w:tblPr>
        <w:tblW w:w="6630" w:type="dxa"/>
        <w:jc w:val="left"/>
        <w:tblInd w:w="0" w:type="dxa"/>
        <w:tblLayout w:type="fixed"/>
        <w:tblCellMar>
          <w:top w:w="28" w:type="dxa"/>
          <w:left w:w="28" w:type="dxa"/>
          <w:bottom w:w="28" w:type="dxa"/>
          <w:right w:w="28" w:type="dxa"/>
        </w:tblCellMar>
      </w:tblPr>
      <w:tblGrid>
        <w:gridCol w:w="3076"/>
        <w:gridCol w:w="146"/>
        <w:gridCol w:w="297"/>
        <w:gridCol w:w="978"/>
        <w:gridCol w:w="146"/>
        <w:gridCol w:w="146"/>
        <w:gridCol w:w="675"/>
        <w:gridCol w:w="975"/>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 Value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Average Useful Life</w:t>
            </w:r>
          </w:p>
        </w:tc>
        <w:tc>
          <w:tcPr>
            <w:tcW w:w="19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Trade name</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identifiable intangible assets</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26,574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At the closing of the acquisition, EBI became a wholly owned subsidiary of the Company and EBI’s operations have been included in the Company’s consolidated financial statements in the Company’s satellite services segment (with an insignificant amount included in the Company's commercial networks segment) commencing on the acquisition date.</w:t>
      </w:r>
    </w:p>
    <w:p>
      <w:pPr>
        <w:pStyle w:val="TextBody"/>
        <w:bidi w:val="0"/>
        <w:spacing w:before="180" w:after="0"/>
        <w:jc w:val="left"/>
        <w:rPr>
          <w:rFonts w:ascii="Arial;sans-serif" w:hAnsi="Arial;sans-serif"/>
          <w:b w:val="false"/>
          <w:sz w:val="20"/>
        </w:rPr>
      </w:pPr>
      <w:r>
        <w:rPr>
          <w:rFonts w:ascii="Arial;sans-serif" w:hAnsi="Arial;sans-serif"/>
          <w:b w:val="false"/>
          <w:sz w:val="20"/>
        </w:rPr>
        <w:t>As EBI’s results of operations are not material to the Company’s consolidated results of operations, pro forma results of operations for this acquisition have not been presented.</w:t>
      </w:r>
    </w:p>
    <w:p>
      <w:pPr>
        <w:pStyle w:val="TextBody"/>
        <w:bidi w:val="0"/>
        <w:spacing w:before="240" w:after="0"/>
        <w:jc w:val="center"/>
        <w:rPr>
          <w:rFonts w:ascii="Arial;sans-serif" w:hAnsi="Arial;sans-serif"/>
          <w:b w:val="false"/>
          <w:sz w:val="20"/>
        </w:rPr>
      </w:pPr>
      <w:r>
        <w:rPr>
          <w:rFonts w:ascii="Arial;sans-serif" w:hAnsi="Arial;sans-serif"/>
          <w:b w:val="false"/>
          <w:sz w:val="20"/>
        </w:rPr>
        <w:t>F-28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i/>
          <w:sz w:val="20"/>
        </w:rPr>
        <w:t>RigNet, Inc.</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On April 30, 2021, the Company completed the acquisition of all outstanding shares of RigNet, a publicly held leading provider of ultra-secure, intelligent networking solutions and specialized applications. Goodwill recognized in the transaction was recorded within the Company's satellite services segment. The goodwill recognized was not deductible for U.S. and foreign income tax purposes.</w:t>
      </w:r>
    </w:p>
    <w:p>
      <w:pPr>
        <w:pStyle w:val="TextBody"/>
        <w:bidi w:val="0"/>
        <w:spacing w:before="180" w:after="0"/>
        <w:jc w:val="left"/>
        <w:rPr>
          <w:rFonts w:ascii="Times New Roman" w:hAnsi="Times New Roman"/>
          <w:sz w:val="20"/>
        </w:rPr>
      </w:pPr>
      <w:r>
        <w:rPr>
          <w:rFonts w:ascii="Arial;sans-serif" w:hAnsi="Arial;sans-serif"/>
          <w:b w:val="false"/>
          <w:sz w:val="20"/>
        </w:rPr>
        <w:t>The consideration transferred of approximately $317.9</w:t>
      </w:r>
      <w:r>
        <w:rPr>
          <w:rFonts w:ascii="Times New Roman" w:hAnsi="Times New Roman"/>
          <w:sz w:val="20"/>
        </w:rPr>
        <w:t xml:space="preserve"> </w:t>
      </w:r>
      <w:r>
        <w:rPr>
          <w:rFonts w:ascii="Arial;sans-serif" w:hAnsi="Arial;sans-serif"/>
          <w:b w:val="false"/>
          <w:sz w:val="20"/>
        </w:rPr>
        <w:t>million was primarily comprised of $207.2</w:t>
      </w:r>
      <w:r>
        <w:rPr>
          <w:rFonts w:ascii="Times New Roman" w:hAnsi="Times New Roman"/>
          <w:sz w:val="20"/>
        </w:rPr>
        <w:t xml:space="preserve"> </w:t>
      </w:r>
      <w:r>
        <w:rPr>
          <w:rFonts w:ascii="Arial;sans-serif" w:hAnsi="Arial;sans-serif"/>
          <w:b w:val="false"/>
          <w:sz w:val="20"/>
        </w:rPr>
        <w:t>million of the fair value of approximately 4.0</w:t>
      </w:r>
      <w:r>
        <w:rPr>
          <w:rFonts w:ascii="Times New Roman" w:hAnsi="Times New Roman"/>
          <w:sz w:val="20"/>
        </w:rPr>
        <w:t xml:space="preserve"> </w:t>
      </w:r>
      <w:r>
        <w:rPr>
          <w:rFonts w:ascii="Arial;sans-serif" w:hAnsi="Arial;sans-serif"/>
          <w:b w:val="false"/>
          <w:sz w:val="20"/>
        </w:rPr>
        <w:t>million shares of the Company’s common stock issued at the closing date, $107.3</w:t>
      </w:r>
      <w:r>
        <w:rPr>
          <w:rFonts w:ascii="Times New Roman" w:hAnsi="Times New Roman"/>
          <w:sz w:val="20"/>
        </w:rPr>
        <w:t xml:space="preserve"> </w:t>
      </w:r>
      <w:r>
        <w:rPr>
          <w:rFonts w:ascii="Arial;sans-serif" w:hAnsi="Arial;sans-serif"/>
          <w:b w:val="false"/>
          <w:sz w:val="20"/>
        </w:rPr>
        <w:t>million related to the pay down of outstanding borrowings of RigNet’s revolving credit facility, a de minimis amount in cash consideration in respect of fractional shares to the former shareholders of RigNet and an insignificant amount of other consideration. In connection with the RigNet acquisition, the Company recorded zero</w:t>
      </w:r>
      <w:r>
        <w:rPr>
          <w:rFonts w:ascii="Times New Roman" w:hAnsi="Times New Roman"/>
          <w:sz w:val="20"/>
        </w:rPr>
        <w:t xml:space="preserve"> </w:t>
      </w:r>
      <w:r>
        <w:rPr>
          <w:rFonts w:ascii="Arial;sans-serif" w:hAnsi="Arial;sans-serif"/>
          <w:b w:val="false"/>
          <w:sz w:val="20"/>
        </w:rPr>
        <w:t>and approximately $7.2</w:t>
      </w:r>
      <w:r>
        <w:rPr>
          <w:rFonts w:ascii="Times New Roman" w:hAnsi="Times New Roman"/>
          <w:sz w:val="20"/>
        </w:rPr>
        <w:t xml:space="preserve"> </w:t>
      </w:r>
      <w:r>
        <w:rPr>
          <w:rFonts w:ascii="Arial;sans-serif" w:hAnsi="Arial;sans-serif"/>
          <w:b w:val="false"/>
          <w:sz w:val="20"/>
        </w:rPr>
        <w:t>million of merger-related transaction costs for the fiscal years ended March 31, 2023 and March 31, 2022, respectively, included in selling, general and administrative expenses.</w:t>
      </w:r>
    </w:p>
    <w:p>
      <w:pPr>
        <w:pStyle w:val="TextBody"/>
        <w:bidi w:val="0"/>
        <w:spacing w:before="180" w:after="0"/>
        <w:jc w:val="left"/>
        <w:rPr>
          <w:rFonts w:ascii="Arial;sans-serif" w:hAnsi="Arial;sans-serif"/>
          <w:b w:val="false"/>
          <w:sz w:val="20"/>
        </w:rPr>
      </w:pPr>
      <w:r>
        <w:rPr>
          <w:rFonts w:ascii="Arial;sans-serif" w:hAnsi="Arial;sans-serif"/>
          <w:b w:val="false"/>
          <w:sz w:val="20"/>
        </w:rPr>
        <w:t>The purchase price allocation of the acquired assets and assumed liabilities based on the estimated fair values as of April 30, 2021 is as follows:</w:t>
      </w:r>
    </w:p>
    <w:p>
      <w:pPr>
        <w:pStyle w:val="TextBody"/>
        <w:bidi w:val="0"/>
        <w:spacing w:before="0" w:after="0"/>
        <w:jc w:val="left"/>
        <w:rPr/>
      </w:pPr>
      <w:r>
        <w:rPr/>
        <w:t> </w:t>
      </w:r>
    </w:p>
    <w:tbl>
      <w:tblPr>
        <w:tblW w:w="4723" w:type="dxa"/>
        <w:jc w:val="left"/>
        <w:tblInd w:w="0" w:type="dxa"/>
        <w:tblLayout w:type="fixed"/>
        <w:tblCellMar>
          <w:top w:w="28" w:type="dxa"/>
          <w:left w:w="28" w:type="dxa"/>
          <w:bottom w:w="28" w:type="dxa"/>
          <w:right w:w="28" w:type="dxa"/>
        </w:tblCellMar>
      </w:tblPr>
      <w:tblGrid>
        <w:gridCol w:w="3091"/>
        <w:gridCol w:w="146"/>
        <w:gridCol w:w="267"/>
        <w:gridCol w:w="1008"/>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88,166</w:t>
            </w:r>
          </w:p>
        </w:tc>
        <w:tc>
          <w:tcPr>
            <w:tcW w:w="21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equipment and satellites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63,191</w:t>
            </w:r>
          </w:p>
        </w:tc>
        <w:tc>
          <w:tcPr>
            <w:tcW w:w="21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Identifiable intangible assets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221,540</w:t>
            </w:r>
          </w:p>
        </w:tc>
        <w:tc>
          <w:tcPr>
            <w:tcW w:w="21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assets acquired</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386,247</w:t>
            </w:r>
          </w:p>
        </w:tc>
        <w:tc>
          <w:tcPr>
            <w:tcW w:w="21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(66,006</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(31,433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liabilities assumed</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(97,439</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29,132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consideration transferred</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317,940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Amounts assigned to identifiable intangible assets are being amortized on a straight-line basis over their determined useful lives (which approximates the economic pattern of benefit) and are as follows as of April 30, 2021:</w:t>
      </w:r>
    </w:p>
    <w:p>
      <w:pPr>
        <w:pStyle w:val="TextBody"/>
        <w:bidi w:val="0"/>
        <w:spacing w:before="0" w:after="0"/>
        <w:jc w:val="left"/>
        <w:rPr/>
      </w:pPr>
      <w:r>
        <w:rPr/>
        <w:t> </w:t>
      </w:r>
    </w:p>
    <w:tbl>
      <w:tblPr>
        <w:tblW w:w="6630" w:type="dxa"/>
        <w:jc w:val="left"/>
        <w:tblInd w:w="0" w:type="dxa"/>
        <w:tblLayout w:type="fixed"/>
        <w:tblCellMar>
          <w:top w:w="28" w:type="dxa"/>
          <w:left w:w="28" w:type="dxa"/>
          <w:bottom w:w="28" w:type="dxa"/>
          <w:right w:w="28" w:type="dxa"/>
        </w:tblCellMar>
      </w:tblPr>
      <w:tblGrid>
        <w:gridCol w:w="3076"/>
        <w:gridCol w:w="146"/>
        <w:gridCol w:w="267"/>
        <w:gridCol w:w="1008"/>
        <w:gridCol w:w="146"/>
        <w:gridCol w:w="146"/>
        <w:gridCol w:w="520"/>
        <w:gridCol w:w="1130"/>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 Value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Average Useful Life</w:t>
            </w:r>
          </w:p>
        </w:tc>
        <w:tc>
          <w:tcPr>
            <w:tcW w:w="19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Technology</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Trade name</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25,540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identifiable intangible assets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221,540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Management determined the fair value of acquired customer relationships intangible asset by applying the multi-period excess earnings method, which involved the use of significant estimates and assumptions related to forecasted revenue growth rate, gross margin, contributory asset charges, customer attrition rate and discount rate. In connection with the acquisition, the Company assumed a contingent liability associated with a RigNet predecessor subsidiary of approximately $13.8</w:t>
      </w:r>
      <w:r>
        <w:rPr>
          <w:rFonts w:ascii="Times New Roman" w:hAnsi="Times New Roman"/>
          <w:sz w:val="20"/>
        </w:rPr>
        <w:t xml:space="preserve"> </w:t>
      </w:r>
      <w:r>
        <w:rPr>
          <w:rFonts w:ascii="Arial;sans-serif" w:hAnsi="Arial;sans-serif"/>
          <w:b w:val="false"/>
          <w:sz w:val="20"/>
        </w:rPr>
        <w:t>million, which represented the maximum amount payable under the terms of the agreement. As of March 31, 2023, no</w:t>
      </w:r>
      <w:r>
        <w:rPr>
          <w:rFonts w:ascii="Times New Roman" w:hAnsi="Times New Roman"/>
          <w:sz w:val="20"/>
        </w:rPr>
        <w:t xml:space="preserve"> </w:t>
      </w:r>
      <w:r>
        <w:rPr>
          <w:rFonts w:ascii="Arial;sans-serif" w:hAnsi="Arial;sans-serif"/>
          <w:b w:val="false"/>
          <w:sz w:val="20"/>
        </w:rPr>
        <w:t>amount remains payable as the maximum amount payable was paid during the first and second quarters of fiscal year 2022.</w:t>
      </w:r>
    </w:p>
    <w:p>
      <w:pPr>
        <w:pStyle w:val="TextBody"/>
        <w:bidi w:val="0"/>
        <w:spacing w:before="180" w:after="0"/>
        <w:jc w:val="left"/>
        <w:rPr>
          <w:rFonts w:ascii="Times New Roman" w:hAnsi="Times New Roman"/>
          <w:sz w:val="20"/>
        </w:rPr>
      </w:pPr>
      <w:r>
        <w:rPr>
          <w:rFonts w:ascii="Arial;sans-serif" w:hAnsi="Arial;sans-serif"/>
          <w:b w:val="false"/>
          <w:sz w:val="20"/>
        </w:rPr>
        <w:t>The consolidated financial statements include the operating results of RigNet from the date of acquisition. Since the acquisition date on April 30, 2021, the Company recorded approximately $180.2</w:t>
      </w:r>
      <w:r>
        <w:rPr>
          <w:rFonts w:ascii="Times New Roman" w:hAnsi="Times New Roman"/>
          <w:sz w:val="20"/>
        </w:rPr>
        <w:t xml:space="preserve"> </w:t>
      </w:r>
      <w:r>
        <w:rPr>
          <w:rFonts w:ascii="Arial;sans-serif" w:hAnsi="Arial;sans-serif"/>
          <w:b w:val="false"/>
          <w:sz w:val="20"/>
        </w:rPr>
        <w:t>million in revenue for the fiscal year ended March 31, 2022, and $31.2</w:t>
      </w:r>
      <w:r>
        <w:rPr>
          <w:rFonts w:ascii="Times New Roman" w:hAnsi="Times New Roman"/>
          <w:sz w:val="20"/>
        </w:rPr>
        <w:t xml:space="preserve"> </w:t>
      </w:r>
      <w:r>
        <w:rPr>
          <w:rFonts w:ascii="Arial;sans-serif" w:hAnsi="Arial;sans-serif"/>
          <w:b w:val="false"/>
          <w:sz w:val="20"/>
        </w:rPr>
        <w:t>million of net losses for the fiscal year ended March 31, 2022, with respect to the RigNet business primarily in the Company’s satellite services segment (with a portion included in its commercial networks segment) in the consolidated statements of operations.</w:t>
      </w:r>
    </w:p>
    <w:p>
      <w:pPr>
        <w:pStyle w:val="TextBody"/>
        <w:bidi w:val="0"/>
        <w:spacing w:before="240" w:after="0"/>
        <w:jc w:val="center"/>
        <w:rPr>
          <w:rFonts w:ascii="Arial;sans-serif" w:hAnsi="Arial;sans-serif"/>
          <w:b w:val="false"/>
          <w:sz w:val="20"/>
        </w:rPr>
      </w:pPr>
      <w:r>
        <w:rPr>
          <w:rFonts w:ascii="Arial;sans-serif" w:hAnsi="Arial;sans-serif"/>
          <w:b w:val="false"/>
          <w:sz w:val="20"/>
        </w:rPr>
        <w:t>F-29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Arial;sans-serif" w:hAnsi="Arial;sans-serif"/>
          <w:b w:val="false"/>
          <w:i/>
          <w:sz w:val="20"/>
        </w:rPr>
      </w:pPr>
      <w:r>
        <w:rPr>
          <w:rFonts w:ascii="Arial;sans-serif" w:hAnsi="Arial;sans-serif"/>
          <w:b w:val="false"/>
          <w:i/>
          <w:sz w:val="20"/>
        </w:rPr>
        <w:t>Unaudited Pro Forma Financial Information</w:t>
      </w:r>
    </w:p>
    <w:p>
      <w:pPr>
        <w:pStyle w:val="TextBody"/>
        <w:bidi w:val="0"/>
        <w:spacing w:before="90" w:after="0"/>
        <w:jc w:val="left"/>
        <w:rPr>
          <w:rFonts w:ascii="Arial;sans-serif" w:hAnsi="Arial;sans-serif"/>
          <w:b w:val="false"/>
          <w:sz w:val="20"/>
        </w:rPr>
      </w:pPr>
      <w:r>
        <w:rPr>
          <w:rFonts w:ascii="Arial;sans-serif" w:hAnsi="Arial;sans-serif"/>
          <w:b w:val="false"/>
          <w:sz w:val="20"/>
        </w:rPr>
        <w:t>The unaudited financial information in the table below summarizes the combined results of operations for the Company and RigNet on a pro forma basis, as though the companies had been combined as of the beginning of fiscal year 2021, April 1, 2020.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fiscal years ended March 31, 2022 and 2021 includes the business combination accounting effects primarily related to the amortization and depreciation changes from acquired intangible and tangible assets, acquisition-related transaction costs and related tax effects.</w:t>
      </w:r>
    </w:p>
    <w:p>
      <w:pPr>
        <w:pStyle w:val="TextBody"/>
        <w:bidi w:val="0"/>
        <w:spacing w:before="0" w:after="0"/>
        <w:jc w:val="left"/>
        <w:rPr/>
      </w:pPr>
      <w:r>
        <w:rPr/>
        <w:t> </w:t>
      </w:r>
    </w:p>
    <w:tbl>
      <w:tblPr>
        <w:tblW w:w="7150" w:type="dxa"/>
        <w:jc w:val="left"/>
        <w:tblInd w:w="0" w:type="dxa"/>
        <w:tblLayout w:type="fixed"/>
        <w:tblCellMar>
          <w:top w:w="28" w:type="dxa"/>
          <w:left w:w="28" w:type="dxa"/>
          <w:bottom w:w="28" w:type="dxa"/>
          <w:right w:w="28" w:type="dxa"/>
        </w:tblCellMar>
      </w:tblPr>
      <w:tblGrid>
        <w:gridCol w:w="3961"/>
        <w:gridCol w:w="146"/>
        <w:gridCol w:w="227"/>
        <w:gridCol w:w="1033"/>
        <w:gridCol w:w="166"/>
        <w:gridCol w:w="146"/>
        <w:gridCol w:w="227"/>
        <w:gridCol w:w="1033"/>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2"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2,799,252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2,449,881</w:t>
            </w:r>
          </w:p>
        </w:tc>
        <w:tc>
          <w:tcPr>
            <w:tcW w:w="211"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attributable to Viasat, Inc.</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(19,957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(43,866</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90" w:after="0"/>
        <w:jc w:val="left"/>
        <w:rPr>
          <w:rFonts w:ascii="Times New Roman" w:hAnsi="Times New Roman"/>
          <w:sz w:val="20"/>
        </w:rPr>
      </w:pPr>
      <w:r>
        <w:rPr>
          <w:rFonts w:ascii="Arial;sans-serif" w:hAnsi="Arial;sans-serif"/>
          <w:b/>
          <w:sz w:val="20"/>
        </w:rPr>
        <w:t>Note 6 — Goodwill and Acquired Intangible Assets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During fiscal year 2023, the decrease in the Company’s goodwill relating to its continuing operations primarily related to the derecognition of an insignificant amount (approximately $8.5</w:t>
      </w:r>
      <w:r>
        <w:rPr>
          <w:rFonts w:ascii="Times New Roman" w:hAnsi="Times New Roman"/>
          <w:sz w:val="20"/>
        </w:rPr>
        <w:t xml:space="preserve"> </w:t>
      </w:r>
      <w:r>
        <w:rPr>
          <w:rFonts w:ascii="Arial;sans-serif" w:hAnsi="Arial;sans-serif"/>
          <w:b w:val="false"/>
          <w:sz w:val="20"/>
        </w:rPr>
        <w:t>million) of goodwill during the fourth quarter of fiscal year 2023 in our government systems segment that was previously not classified as held for sale. See Note 4 — Discontinued Operations — for more information on discontinued operations. Additionally, the Company recorded an insignificant decrease of goodwill related to foreign currency translation effects across all three segments. During fiscal year 2022, the increase in the Company’s goodwill primarily related to the acquisitions of the remaining 51% interest in EBI and of RigNet on April 30, 2021 (see Note 5 — Acquisitions for more information), partially offset by foreign currency translation effects recorded within all three of the Company’s segments.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Other acquired intangible assets are amortized using the straight-line method over their estimated useful lives of two</w:t>
      </w:r>
      <w:r>
        <w:rPr>
          <w:rFonts w:ascii="Arial;sans-serif" w:hAnsi="Arial;sans-serif"/>
          <w:sz w:val="20"/>
        </w:rPr>
        <w:t xml:space="preserve"> </w:t>
      </w:r>
      <w:r>
        <w:rPr>
          <w:rFonts w:ascii="Arial;sans-serif" w:hAnsi="Arial;sans-serif"/>
          <w:b w:val="false"/>
          <w:sz w:val="20"/>
        </w:rPr>
        <w:t>to</w:t>
      </w:r>
      <w:r>
        <w:rPr>
          <w:rFonts w:ascii="Arial;sans-serif" w:hAnsi="Arial;sans-serif"/>
          <w:sz w:val="20"/>
        </w:rPr>
        <w:t xml:space="preserve"> </w:t>
      </w:r>
      <w:r>
        <w:rPr>
          <w:rFonts w:ascii="Arial;sans-serif" w:hAnsi="Arial;sans-serif"/>
          <w:b w:val="false"/>
          <w:sz w:val="20"/>
        </w:rPr>
        <w:t>20 years</w:t>
      </w:r>
      <w:r>
        <w:rPr>
          <w:rFonts w:ascii="Arial;sans-serif" w:hAnsi="Arial;sans-serif"/>
          <w:sz w:val="20"/>
        </w:rPr>
        <w:t xml:space="preserve"> </w:t>
      </w:r>
      <w:r>
        <w:rPr>
          <w:rFonts w:ascii="Arial;sans-serif" w:hAnsi="Arial;sans-serif"/>
          <w:b w:val="false"/>
          <w:sz w:val="20"/>
        </w:rPr>
        <w:t>(which approximates the economic pattern of benefit).</w:t>
      </w:r>
      <w:r>
        <w:rPr>
          <w:rFonts w:ascii="Times New Roman" w:hAnsi="Times New Roman"/>
          <w:sz w:val="20"/>
        </w:rPr>
        <w:t xml:space="preserve"> </w:t>
      </w:r>
      <w:r>
        <w:rPr>
          <w:rFonts w:ascii="Arial;sans-serif" w:hAnsi="Arial;sans-serif"/>
          <w:b w:val="false"/>
          <w:sz w:val="20"/>
        </w:rPr>
        <w:t>Amortization expense related to other acquired intangible assets was $29.8</w:t>
      </w:r>
      <w:r>
        <w:rPr>
          <w:rFonts w:ascii="Times New Roman" w:hAnsi="Times New Roman"/>
          <w:sz w:val="20"/>
        </w:rPr>
        <w:t xml:space="preserve"> </w:t>
      </w:r>
      <w:r>
        <w:rPr>
          <w:rFonts w:ascii="Arial;sans-serif" w:hAnsi="Arial;sans-serif"/>
          <w:b w:val="false"/>
          <w:sz w:val="20"/>
        </w:rPr>
        <w:t>million, $28.7</w:t>
      </w:r>
      <w:r>
        <w:rPr>
          <w:rFonts w:ascii="Times New Roman" w:hAnsi="Times New Roman"/>
          <w:sz w:val="20"/>
        </w:rPr>
        <w:t xml:space="preserve"> </w:t>
      </w:r>
      <w:r>
        <w:rPr>
          <w:rFonts w:ascii="Arial;sans-serif" w:hAnsi="Arial;sans-serif"/>
          <w:b w:val="false"/>
          <w:sz w:val="20"/>
        </w:rPr>
        <w:t>million and $5.5</w:t>
      </w:r>
      <w:r>
        <w:rPr>
          <w:rFonts w:ascii="Times New Roman" w:hAnsi="Times New Roman"/>
          <w:sz w:val="20"/>
        </w:rPr>
        <w:t xml:space="preserve"> </w:t>
      </w:r>
      <w:r>
        <w:rPr>
          <w:rFonts w:ascii="Arial;sans-serif" w:hAnsi="Arial;sans-serif"/>
          <w:b w:val="false"/>
          <w:sz w:val="20"/>
        </w:rPr>
        <w:t>million for the fiscal years ended March 31, 2023, 2022 and 2021, respectively.</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 xml:space="preserve">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 </w:t>
      </w:r>
    </w:p>
    <w:p>
      <w:pPr>
        <w:pStyle w:val="TextBody"/>
        <w:bidi w:val="0"/>
        <w:spacing w:before="0" w:after="0"/>
        <w:jc w:val="left"/>
        <w:rPr/>
      </w:pPr>
      <w:r>
        <w:rPr/>
        <w:t> </w:t>
      </w:r>
    </w:p>
    <w:tbl>
      <w:tblPr>
        <w:tblW w:w="4283" w:type="dxa"/>
        <w:jc w:val="left"/>
        <w:tblInd w:w="0" w:type="dxa"/>
        <w:tblLayout w:type="fixed"/>
        <w:tblCellMar>
          <w:top w:w="28" w:type="dxa"/>
          <w:left w:w="28" w:type="dxa"/>
          <w:bottom w:w="28" w:type="dxa"/>
          <w:right w:w="28" w:type="dxa"/>
        </w:tblCellMar>
      </w:tblPr>
      <w:tblGrid>
        <w:gridCol w:w="2671"/>
        <w:gridCol w:w="146"/>
        <w:gridCol w:w="267"/>
        <w:gridCol w:w="1008"/>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Amortization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2024</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28,635</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2025</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26,560</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2026</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26,408</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2027</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26,408</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2028</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26,331</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66,863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201,205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Other acquired intangible assets and the related accumulated amortization as of March 31, 2023 and 2022 is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83"/>
        <w:gridCol w:w="146"/>
        <w:gridCol w:w="273"/>
        <w:gridCol w:w="538"/>
        <w:gridCol w:w="146"/>
        <w:gridCol w:w="146"/>
        <w:gridCol w:w="196"/>
        <w:gridCol w:w="691"/>
        <w:gridCol w:w="146"/>
        <w:gridCol w:w="146"/>
        <w:gridCol w:w="220"/>
        <w:gridCol w:w="846"/>
        <w:gridCol w:w="166"/>
        <w:gridCol w:w="146"/>
        <w:gridCol w:w="196"/>
        <w:gridCol w:w="691"/>
        <w:gridCol w:w="146"/>
        <w:gridCol w:w="146"/>
        <w:gridCol w:w="196"/>
        <w:gridCol w:w="691"/>
        <w:gridCol w:w="146"/>
        <w:gridCol w:w="146"/>
        <w:gridCol w:w="220"/>
        <w:gridCol w:w="846"/>
        <w:gridCol w:w="166"/>
        <w:gridCol w:w="146"/>
        <w:gridCol w:w="196"/>
        <w:gridCol w:w="691"/>
        <w:gridCol w:w="193"/>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4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As of 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4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As of March 31, 2022</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Weighted</w:t>
              <w:br/>
              <w:t>Average</w:t>
              <w:br/>
              <w:t>Useful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Net Book</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Net Book</w:t>
              <w:br/>
              <w:t>Value</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(In years)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80" w:type="dxa"/>
            <w:gridSpan w:val="22"/>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(In thousands)</w:t>
            </w:r>
          </w:p>
        </w:tc>
        <w:tc>
          <w:tcPr>
            <w:tcW w:w="193" w:type="dxa"/>
            <w:tcBorders/>
            <w:vAlign w:val="center"/>
          </w:tcPr>
          <w:p>
            <w:pPr>
              <w:pStyle w:val="TableContents"/>
              <w:bidi w:val="0"/>
              <w:spacing w:before="0" w:after="0"/>
              <w:ind w:left="0" w:right="0" w:hanging="0"/>
              <w:jc w:val="center"/>
              <w:rPr/>
            </w:pPr>
            <w:r>
              <w:rPr/>
              <w:t> </w:t>
            </w:r>
          </w:p>
        </w:tc>
      </w:tr>
      <w:tr>
        <w:trPr/>
        <w:tc>
          <w:tcPr>
            <w:tcW w:w="158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Technology</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151,327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(83,949</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67,378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154,624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(71,582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83,042</w:t>
            </w:r>
          </w:p>
        </w:tc>
        <w:tc>
          <w:tcPr>
            <w:tcW w:w="193" w:type="dxa"/>
            <w:tcBorders/>
            <w:vAlign w:val="center"/>
          </w:tcPr>
          <w:p>
            <w:pPr>
              <w:pStyle w:val="TableContents"/>
              <w:bidi w:val="0"/>
              <w:spacing w:before="0" w:after="0"/>
              <w:ind w:left="0" w:right="0" w:hanging="0"/>
              <w:jc w:val="left"/>
              <w:rPr/>
            </w:pPr>
            <w:r>
              <w:rPr/>
              <w:t> </w:t>
            </w:r>
          </w:p>
        </w:tc>
      </w:tr>
      <w:tr>
        <w:trPr/>
        <w:tc>
          <w:tcPr>
            <w:tcW w:w="158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Contracts and customer relationships</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132,563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(34,202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98,361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164,635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(53,250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111,385</w:t>
            </w:r>
          </w:p>
        </w:tc>
        <w:tc>
          <w:tcPr>
            <w:tcW w:w="193" w:type="dxa"/>
            <w:tcBorders/>
            <w:vAlign w:val="center"/>
          </w:tcPr>
          <w:p>
            <w:pPr>
              <w:pStyle w:val="TableContents"/>
              <w:bidi w:val="0"/>
              <w:spacing w:before="0" w:after="0"/>
              <w:ind w:left="0" w:right="0" w:hanging="0"/>
              <w:jc w:val="left"/>
              <w:rPr/>
            </w:pPr>
            <w:r>
              <w:rPr/>
              <w:t> </w:t>
            </w:r>
          </w:p>
        </w:tc>
      </w:tr>
      <w:tr>
        <w:trPr/>
        <w:tc>
          <w:tcPr>
            <w:tcW w:w="158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Satellite co-location rights</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(8,600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(8,600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158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Trade name</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32,253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(12,657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19,596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32,463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(9,097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23,366</w:t>
            </w:r>
          </w:p>
        </w:tc>
        <w:tc>
          <w:tcPr>
            <w:tcW w:w="193" w:type="dxa"/>
            <w:tcBorders/>
            <w:vAlign w:val="center"/>
          </w:tcPr>
          <w:p>
            <w:pPr>
              <w:pStyle w:val="TableContents"/>
              <w:bidi w:val="0"/>
              <w:spacing w:before="0" w:after="0"/>
              <w:ind w:left="0" w:right="0" w:hanging="0"/>
              <w:jc w:val="left"/>
              <w:rPr/>
            </w:pPr>
            <w:r>
              <w:rPr/>
              <w:t> </w:t>
            </w:r>
          </w:p>
        </w:tc>
      </w:tr>
      <w:tr>
        <w:trPr/>
        <w:tc>
          <w:tcPr>
            <w:tcW w:w="158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Other</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21,782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(5,912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15,870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22,263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(4,013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18,250</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8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Total other acquired intangible assets</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346,525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(145,320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201,205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382,585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(146,542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236,043</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F-30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In fiscal years 2023 and 2022, the gross amount and accumulated amortization for acquired identifiable intangible assets were reduced by the retirement of fully amortized assets that were no longer in use.</w:t>
      </w:r>
    </w:p>
    <w:p>
      <w:pPr>
        <w:pStyle w:val="TextBody"/>
        <w:bidi w:val="0"/>
        <w:spacing w:before="270" w:after="0"/>
        <w:jc w:val="left"/>
        <w:rPr>
          <w:rFonts w:ascii="Arial;sans-serif" w:hAnsi="Arial;sans-serif"/>
          <w:b/>
          <w:sz w:val="20"/>
        </w:rPr>
      </w:pPr>
      <w:r>
        <w:rPr>
          <w:rFonts w:ascii="Arial;sans-serif" w:hAnsi="Arial;sans-serif"/>
          <w:b/>
          <w:sz w:val="20"/>
        </w:rPr>
        <w:t>Note 7 — Leases</w:t>
      </w:r>
    </w:p>
    <w:p>
      <w:pPr>
        <w:pStyle w:val="TextBody"/>
        <w:bidi w:val="0"/>
        <w:spacing w:before="90" w:after="0"/>
        <w:jc w:val="left"/>
        <w:rPr>
          <w:rFonts w:ascii="Times New Roman" w:hAnsi="Times New Roman"/>
          <w:sz w:val="20"/>
        </w:rPr>
      </w:pPr>
      <w:r>
        <w:rPr>
          <w:rFonts w:ascii="Arial;sans-serif" w:hAnsi="Arial;sans-serif"/>
          <w:b w:val="false"/>
          <w:sz w:val="20"/>
        </w:rPr>
        <w:t>The Company’s operating leases consist primarily of leases for office space, data centers and satellite ground facilities and have remaining terms from less than one year</w:t>
      </w:r>
      <w:r>
        <w:rPr>
          <w:rFonts w:ascii="Times New Roman" w:hAnsi="Times New Roman"/>
          <w:sz w:val="20"/>
        </w:rPr>
        <w:t xml:space="preserve"> </w:t>
      </w:r>
      <w:r>
        <w:rPr>
          <w:rFonts w:ascii="Arial;sans-serif" w:hAnsi="Arial;sans-serif"/>
          <w:b w:val="false"/>
          <w:sz w:val="20"/>
        </w:rPr>
        <w:t>to 10 years, some of which include renewal options, and some of which include options to terminate the leases within one year.</w:t>
      </w:r>
      <w:r>
        <w:rPr>
          <w:rFonts w:ascii="Times New Roman" w:hAnsi="Times New Roman"/>
          <w:sz w:val="20"/>
        </w:rPr>
        <w:t xml:space="preserve"> </w:t>
      </w:r>
      <w:r>
        <w:rPr>
          <w:rFonts w:ascii="Arial;sans-serif" w:hAnsi="Arial;sans-serif"/>
          <w:b w:val="false"/>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pStyle w:val="TextBody"/>
        <w:bidi w:val="0"/>
        <w:spacing w:before="180" w:after="0"/>
        <w:jc w:val="left"/>
        <w:rPr>
          <w:rFonts w:ascii="Times New Roman" w:hAnsi="Times New Roman"/>
          <w:sz w:val="20"/>
        </w:rPr>
      </w:pPr>
      <w:r>
        <w:rPr>
          <w:rFonts w:ascii="Arial;sans-serif" w:hAnsi="Arial;sans-serif"/>
          <w:b w:val="false"/>
          <w:sz w:val="20"/>
        </w:rPr>
        <w:t>The Company’s finance leases consist primarily of satellite lifetime Ka-band capacity leases and have remaining terms from less than one year</w:t>
      </w:r>
      <w:r>
        <w:rPr>
          <w:rFonts w:ascii="Times New Roman" w:hAnsi="Times New Roman"/>
          <w:sz w:val="20"/>
        </w:rPr>
        <w:t xml:space="preserve"> </w:t>
      </w:r>
      <w:r>
        <w:rPr>
          <w:rFonts w:ascii="Arial;sans-serif" w:hAnsi="Arial;sans-serif"/>
          <w:b w:val="false"/>
          <w:sz w:val="20"/>
        </w:rPr>
        <w:t>to three years. The Company reports assets obtained under finance leases in property, equipment and satellites, net and the current and non-current portions of its finance lease liabilities in current portion of long-term debt and other long-term debt, respectively.</w:t>
      </w:r>
    </w:p>
    <w:p>
      <w:pPr>
        <w:pStyle w:val="TextBody"/>
        <w:bidi w:val="0"/>
        <w:spacing w:before="180" w:after="0"/>
        <w:jc w:val="left"/>
        <w:rPr>
          <w:rFonts w:ascii="Times New Roman" w:hAnsi="Times New Roman"/>
          <w:sz w:val="20"/>
        </w:rPr>
      </w:pPr>
      <w:r>
        <w:rPr>
          <w:rFonts w:ascii="Arial;sans-serif" w:hAnsi="Arial;sans-serif"/>
          <w:b w:val="false"/>
          <w:sz w:val="20"/>
        </w:rPr>
        <w:t>During the fourth quarter of fiscal year 2023, after the completion of the Link-16 TDL Sale, the Company reduced its real estate footprint as part of cost-reduction measures taken in order to right-size the Company’s remaining businesses. As a result, the Company recorded an impairment of right-of-use assets of $19.1</w:t>
      </w:r>
      <w:r>
        <w:rPr>
          <w:rFonts w:ascii="Times New Roman" w:hAnsi="Times New Roman"/>
          <w:sz w:val="20"/>
        </w:rPr>
        <w:t xml:space="preserve"> </w:t>
      </w:r>
      <w:r>
        <w:rPr>
          <w:rFonts w:ascii="Arial;sans-serif" w:hAnsi="Arial;sans-serif"/>
          <w:b w:val="false"/>
          <w:sz w:val="20"/>
        </w:rPr>
        <w:t>million and an impairment of leasehold improvements and furniture and fixtures of an insignificant amount, taking into consideration the current and anticipated future market conditions for sublease income in the markets the leases are located, recorded in the consolidated statements of operations in selling, general and administrative expenses spread across each of the Company's segments.</w:t>
      </w:r>
    </w:p>
    <w:p>
      <w:pPr>
        <w:pStyle w:val="TextBody"/>
        <w:bidi w:val="0"/>
        <w:spacing w:before="180" w:after="0"/>
        <w:jc w:val="left"/>
        <w:rPr>
          <w:rFonts w:ascii="Arial;sans-serif" w:hAnsi="Arial;sans-serif"/>
          <w:b w:val="false"/>
          <w:sz w:val="20"/>
        </w:rPr>
      </w:pPr>
      <w:r>
        <w:rPr>
          <w:rFonts w:ascii="Arial;sans-serif" w:hAnsi="Arial;sans-serif"/>
          <w:b w:val="false"/>
          <w:sz w:val="20"/>
        </w:rPr>
        <w:t>The components of the Company's lease costs, weighted average lease terms and discount rates are presented in the tables below:</w:t>
      </w:r>
    </w:p>
    <w:p>
      <w:pPr>
        <w:pStyle w:val="TextBody"/>
        <w:bidi w:val="0"/>
        <w:spacing w:before="0" w:after="0"/>
        <w:jc w:val="left"/>
        <w:rPr/>
      </w:pPr>
      <w:r>
        <w:rPr/>
        <w:t> </w:t>
      </w:r>
    </w:p>
    <w:tbl>
      <w:tblPr>
        <w:tblW w:w="9707" w:type="dxa"/>
        <w:jc w:val="left"/>
        <w:tblInd w:w="0" w:type="dxa"/>
        <w:tblLayout w:type="fixed"/>
        <w:tblCellMar>
          <w:top w:w="28" w:type="dxa"/>
          <w:left w:w="28" w:type="dxa"/>
          <w:bottom w:w="28" w:type="dxa"/>
          <w:right w:w="28" w:type="dxa"/>
        </w:tblCellMar>
      </w:tblPr>
      <w:tblGrid>
        <w:gridCol w:w="4726"/>
        <w:gridCol w:w="146"/>
        <w:gridCol w:w="264"/>
        <w:gridCol w:w="996"/>
        <w:gridCol w:w="146"/>
        <w:gridCol w:w="146"/>
        <w:gridCol w:w="264"/>
        <w:gridCol w:w="996"/>
        <w:gridCol w:w="146"/>
        <w:gridCol w:w="146"/>
        <w:gridCol w:w="294"/>
        <w:gridCol w:w="966"/>
        <w:gridCol w:w="47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7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4"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471" w:type="dxa"/>
            <w:tcBorders/>
            <w:vAlign w:val="center"/>
          </w:tcPr>
          <w:p>
            <w:pPr>
              <w:pStyle w:val="TableContents"/>
              <w:bidi w:val="0"/>
              <w:spacing w:before="0" w:after="0"/>
              <w:ind w:left="0" w:right="0" w:hanging="0"/>
              <w:jc w:val="center"/>
              <w:rPr/>
            </w:pPr>
            <w:r>
              <w:rPr/>
              <w:t> </w:t>
            </w:r>
          </w:p>
        </w:tc>
      </w:tr>
      <w:tr>
        <w:trPr/>
        <w:tc>
          <w:tcPr>
            <w:tcW w:w="47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4"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71" w:type="dxa"/>
            <w:tcBorders/>
            <w:vAlign w:val="center"/>
          </w:tcPr>
          <w:p>
            <w:pPr>
              <w:pStyle w:val="TableContents"/>
              <w:bidi w:val="0"/>
              <w:spacing w:before="0" w:after="0"/>
              <w:ind w:left="0" w:right="0" w:hanging="0"/>
              <w:jc w:val="center"/>
              <w:rPr/>
            </w:pPr>
            <w:r>
              <w:rPr/>
              <w:t> </w:t>
            </w:r>
          </w:p>
        </w:tc>
      </w:tr>
      <w:tr>
        <w:trPr/>
        <w:tc>
          <w:tcPr>
            <w:tcW w:w="472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Lease cost:</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47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68,822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63,576</w:t>
            </w:r>
          </w:p>
        </w:tc>
        <w:tc>
          <w:tcPr>
            <w:tcW w:w="471" w:type="dxa"/>
            <w:tcBorders/>
            <w:vAlign w:val="center"/>
          </w:tcPr>
          <w:p>
            <w:pPr>
              <w:pStyle w:val="TableContents"/>
              <w:bidi w:val="0"/>
              <w:spacing w:before="0" w:after="0"/>
              <w:ind w:left="0" w:right="0" w:hanging="0"/>
              <w:jc w:val="left"/>
              <w:rPr/>
            </w:pPr>
            <w:r>
              <w:rPr/>
              <w:t> </w:t>
            </w:r>
          </w:p>
        </w:tc>
      </w:tr>
      <w:tr>
        <w:trPr/>
        <w:tc>
          <w:tcPr>
            <w:tcW w:w="47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Finance lease cost:</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472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Depreciation of assets obtained under finance leases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13,656</w:t>
            </w:r>
          </w:p>
        </w:tc>
        <w:tc>
          <w:tcPr>
            <w:tcW w:w="471" w:type="dxa"/>
            <w:tcBorders/>
            <w:vAlign w:val="center"/>
          </w:tcPr>
          <w:p>
            <w:pPr>
              <w:pStyle w:val="TableContents"/>
              <w:bidi w:val="0"/>
              <w:spacing w:before="0" w:after="0"/>
              <w:ind w:left="0" w:right="0" w:firstLine="280"/>
              <w:jc w:val="left"/>
              <w:rPr/>
            </w:pPr>
            <w:r>
              <w:rPr/>
              <w:t> </w:t>
            </w:r>
          </w:p>
        </w:tc>
      </w:tr>
      <w:tr>
        <w:trPr/>
        <w:tc>
          <w:tcPr>
            <w:tcW w:w="472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on lease liabilities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3,314</w:t>
            </w:r>
          </w:p>
        </w:tc>
        <w:tc>
          <w:tcPr>
            <w:tcW w:w="471" w:type="dxa"/>
            <w:tcBorders/>
            <w:vAlign w:val="center"/>
          </w:tcPr>
          <w:p>
            <w:pPr>
              <w:pStyle w:val="TableContents"/>
              <w:bidi w:val="0"/>
              <w:spacing w:before="0" w:after="0"/>
              <w:ind w:left="0" w:right="0" w:hanging="0"/>
              <w:jc w:val="left"/>
              <w:rPr/>
            </w:pPr>
            <w:r>
              <w:rPr/>
              <w:t> </w:t>
            </w:r>
          </w:p>
        </w:tc>
      </w:tr>
      <w:tr>
        <w:trPr/>
        <w:tc>
          <w:tcPr>
            <w:tcW w:w="47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Short-term lease cost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5,618</w:t>
            </w:r>
          </w:p>
        </w:tc>
        <w:tc>
          <w:tcPr>
            <w:tcW w:w="471" w:type="dxa"/>
            <w:tcBorders/>
            <w:vAlign w:val="center"/>
          </w:tcPr>
          <w:p>
            <w:pPr>
              <w:pStyle w:val="TableContents"/>
              <w:bidi w:val="0"/>
              <w:spacing w:before="0" w:after="0"/>
              <w:ind w:left="0" w:right="0" w:hanging="0"/>
              <w:jc w:val="left"/>
              <w:rPr/>
            </w:pPr>
            <w:r>
              <w:rPr/>
              <w:t> </w:t>
            </w:r>
          </w:p>
        </w:tc>
      </w:tr>
      <w:tr>
        <w:trPr/>
        <w:tc>
          <w:tcPr>
            <w:tcW w:w="47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Variable lease cost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7,176</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lease cost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131,686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102,798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93,340</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9887" w:type="dxa"/>
        <w:jc w:val="left"/>
        <w:tblInd w:w="0" w:type="dxa"/>
        <w:tblLayout w:type="fixed"/>
        <w:tblCellMar>
          <w:top w:w="28" w:type="dxa"/>
          <w:left w:w="28" w:type="dxa"/>
          <w:bottom w:w="28" w:type="dxa"/>
          <w:right w:w="28" w:type="dxa"/>
        </w:tblCellMar>
      </w:tblPr>
      <w:tblGrid>
        <w:gridCol w:w="4486"/>
        <w:gridCol w:w="146"/>
        <w:gridCol w:w="350"/>
        <w:gridCol w:w="910"/>
        <w:gridCol w:w="286"/>
        <w:gridCol w:w="146"/>
        <w:gridCol w:w="350"/>
        <w:gridCol w:w="910"/>
        <w:gridCol w:w="286"/>
        <w:gridCol w:w="146"/>
        <w:gridCol w:w="350"/>
        <w:gridCol w:w="910"/>
        <w:gridCol w:w="6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r>
          </w:p>
        </w:tc>
        <w:tc>
          <w:tcPr>
            <w:tcW w:w="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r>
          </w:p>
        </w:tc>
        <w:tc>
          <w:tcPr>
            <w:tcW w:w="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r>
          </w:p>
        </w:tc>
        <w:tc>
          <w:tcPr>
            <w:tcW w:w="611" w:type="dxa"/>
            <w:tcBorders/>
            <w:vAlign w:val="center"/>
          </w:tcPr>
          <w:p>
            <w:pPr>
              <w:pStyle w:val="TableContents"/>
              <w:bidi w:val="0"/>
              <w:spacing w:before="0" w:after="0"/>
              <w:ind w:left="0" w:right="0" w:hanging="0"/>
              <w:jc w:val="center"/>
              <w:rPr/>
            </w:pPr>
            <w:r>
              <w:rPr/>
              <w:t> </w:t>
            </w:r>
          </w:p>
        </w:tc>
      </w:tr>
      <w:tr>
        <w:trPr/>
        <w:tc>
          <w:tcPr>
            <w:tcW w:w="4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Lease term and discount rate:</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44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 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80"/>
              <w:jc w:val="left"/>
              <w:rPr/>
            </w:pPr>
            <w:r>
              <w:rPr/>
              <w:t> </w:t>
            </w:r>
          </w:p>
        </w:tc>
      </w:tr>
      <w:tr>
        <w:trPr/>
        <w:tc>
          <w:tcPr>
            <w:tcW w:w="44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w:t>
            </w:r>
          </w:p>
        </w:tc>
        <w:tc>
          <w:tcPr>
            <w:tcW w:w="611" w:type="dxa"/>
            <w:tcBorders/>
            <w:vAlign w:val="center"/>
          </w:tcPr>
          <w:p>
            <w:pPr>
              <w:pStyle w:val="TableContents"/>
              <w:bidi w:val="0"/>
              <w:spacing w:before="0" w:after="0"/>
              <w:ind w:left="0" w:right="0" w:firstLine="280"/>
              <w:jc w:val="left"/>
              <w:rPr/>
            </w:pPr>
            <w:r>
              <w:rPr/>
              <w:t> </w:t>
            </w:r>
          </w:p>
        </w:tc>
      </w:tr>
      <w:tr>
        <w:trPr/>
        <w:tc>
          <w:tcPr>
            <w:tcW w:w="44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61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448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44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4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w:t>
            </w:r>
          </w:p>
        </w:tc>
        <w:tc>
          <w:tcPr>
            <w:tcW w:w="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F-31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 xml:space="preserve">The following table details components of the consolidated statements of cash flows for operating and finance leases: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480"/>
        <w:gridCol w:w="146"/>
        <w:gridCol w:w="274"/>
        <w:gridCol w:w="900"/>
        <w:gridCol w:w="146"/>
        <w:gridCol w:w="146"/>
        <w:gridCol w:w="274"/>
        <w:gridCol w:w="900"/>
        <w:gridCol w:w="146"/>
        <w:gridCol w:w="146"/>
        <w:gridCol w:w="274"/>
        <w:gridCol w:w="900"/>
        <w:gridCol w:w="473"/>
      </w:tblGrid>
      <w:tr>
        <w:trPr/>
        <w:tc>
          <w:tcPr>
            <w:tcW w:w="5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6"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473" w:type="dxa"/>
            <w:tcBorders/>
            <w:vAlign w:val="center"/>
          </w:tcPr>
          <w:p>
            <w:pPr>
              <w:pStyle w:val="TableContents"/>
              <w:bidi w:val="0"/>
              <w:spacing w:before="0" w:after="0"/>
              <w:ind w:left="0" w:right="0" w:hanging="0"/>
              <w:jc w:val="center"/>
              <w:rPr/>
            </w:pPr>
            <w:r>
              <w:rPr/>
              <w:t> </w:t>
            </w:r>
          </w:p>
        </w:tc>
      </w:tr>
      <w:tr>
        <w:trPr/>
        <w:tc>
          <w:tcPr>
            <w:tcW w:w="54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4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6"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73" w:type="dxa"/>
            <w:tcBorders/>
            <w:vAlign w:val="center"/>
          </w:tcPr>
          <w:p>
            <w:pPr>
              <w:pStyle w:val="TableContents"/>
              <w:bidi w:val="0"/>
              <w:spacing w:before="0" w:after="0"/>
              <w:ind w:left="0" w:right="0" w:hanging="0"/>
              <w:jc w:val="center"/>
              <w:rPr/>
            </w:pPr>
            <w:r>
              <w:rPr/>
              <w:t> </w:t>
            </w:r>
          </w:p>
        </w:tc>
      </w:tr>
      <w:tr>
        <w:trPr/>
        <w:tc>
          <w:tcPr>
            <w:tcW w:w="5480"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firstLine="280"/>
              <w:jc w:val="left"/>
              <w:rPr/>
            </w:pPr>
            <w:r>
              <w:rPr/>
              <w:t> </w:t>
            </w:r>
          </w:p>
        </w:tc>
      </w:tr>
      <w:tr>
        <w:trPr/>
        <w:tc>
          <w:tcPr>
            <w:tcW w:w="5480"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cash flows from operating leases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68,763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63,167</w:t>
            </w:r>
          </w:p>
        </w:tc>
        <w:tc>
          <w:tcPr>
            <w:tcW w:w="473" w:type="dxa"/>
            <w:tcBorders/>
            <w:vAlign w:val="center"/>
          </w:tcPr>
          <w:p>
            <w:pPr>
              <w:pStyle w:val="TableContents"/>
              <w:bidi w:val="0"/>
              <w:spacing w:before="0" w:after="0"/>
              <w:ind w:left="0" w:right="0" w:firstLine="280"/>
              <w:jc w:val="left"/>
              <w:rPr/>
            </w:pPr>
            <w:r>
              <w:rPr/>
              <w:t> </w:t>
            </w:r>
          </w:p>
        </w:tc>
      </w:tr>
      <w:tr>
        <w:trPr/>
        <w:tc>
          <w:tcPr>
            <w:tcW w:w="5480"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cash flows from finance leases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3,108</w:t>
            </w:r>
          </w:p>
        </w:tc>
        <w:tc>
          <w:tcPr>
            <w:tcW w:w="473" w:type="dxa"/>
            <w:tcBorders/>
            <w:vAlign w:val="center"/>
          </w:tcPr>
          <w:p>
            <w:pPr>
              <w:pStyle w:val="TableContents"/>
              <w:bidi w:val="0"/>
              <w:spacing w:before="0" w:after="0"/>
              <w:ind w:left="0" w:right="0" w:firstLine="280"/>
              <w:jc w:val="left"/>
              <w:rPr/>
            </w:pPr>
            <w:r>
              <w:rPr/>
              <w:t> </w:t>
            </w:r>
          </w:p>
        </w:tc>
      </w:tr>
      <w:tr>
        <w:trPr/>
        <w:tc>
          <w:tcPr>
            <w:tcW w:w="5480"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Financing cash flows from finance leases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10,900</w:t>
            </w:r>
          </w:p>
        </w:tc>
        <w:tc>
          <w:tcPr>
            <w:tcW w:w="473" w:type="dxa"/>
            <w:tcBorders/>
            <w:vAlign w:val="center"/>
          </w:tcPr>
          <w:p>
            <w:pPr>
              <w:pStyle w:val="TableContents"/>
              <w:bidi w:val="0"/>
              <w:spacing w:before="0" w:after="0"/>
              <w:ind w:left="0" w:right="0" w:hanging="0"/>
              <w:jc w:val="left"/>
              <w:rPr/>
            </w:pPr>
            <w:r>
              <w:rPr/>
              <w:t> </w:t>
            </w:r>
          </w:p>
        </w:tc>
      </w:tr>
      <w:tr>
        <w:trPr/>
        <w:tc>
          <w:tcPr>
            <w:tcW w:w="54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r>
      <w:tr>
        <w:trPr/>
        <w:tc>
          <w:tcPr>
            <w:tcW w:w="5480"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Right-of-use assets obtained in exchange for lease liabilities:</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firstLine="280"/>
              <w:jc w:val="left"/>
              <w:rPr/>
            </w:pPr>
            <w:r>
              <w:rPr/>
              <w:t> </w:t>
            </w:r>
          </w:p>
        </w:tc>
      </w:tr>
      <w:tr>
        <w:trPr/>
        <w:tc>
          <w:tcPr>
            <w:tcW w:w="5480"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61,599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66,162</w:t>
            </w:r>
          </w:p>
        </w:tc>
        <w:tc>
          <w:tcPr>
            <w:tcW w:w="473" w:type="dxa"/>
            <w:tcBorders/>
            <w:vAlign w:val="center"/>
          </w:tcPr>
          <w:p>
            <w:pPr>
              <w:pStyle w:val="TableContents"/>
              <w:bidi w:val="0"/>
              <w:spacing w:before="0" w:after="0"/>
              <w:ind w:left="0" w:right="0" w:firstLine="280"/>
              <w:jc w:val="left"/>
              <w:rPr/>
            </w:pPr>
            <w:r>
              <w:rPr/>
              <w:t> </w:t>
            </w:r>
          </w:p>
        </w:tc>
      </w:tr>
      <w:tr>
        <w:trPr/>
        <w:tc>
          <w:tcPr>
            <w:tcW w:w="5480"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2,076</w:t>
            </w:r>
          </w:p>
        </w:tc>
        <w:tc>
          <w:tcPr>
            <w:tcW w:w="47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following table presents maturities of the Company’s lease liabilities as of March 31, 2023:</w:t>
      </w:r>
    </w:p>
    <w:p>
      <w:pPr>
        <w:pStyle w:val="TextBody"/>
        <w:bidi w:val="0"/>
        <w:spacing w:before="0" w:after="0"/>
        <w:jc w:val="left"/>
        <w:rPr/>
      </w:pPr>
      <w:r>
        <w:rPr/>
        <w:t> </w:t>
      </w:r>
    </w:p>
    <w:tbl>
      <w:tblPr>
        <w:tblW w:w="6765" w:type="dxa"/>
        <w:jc w:val="left"/>
        <w:tblInd w:w="0" w:type="dxa"/>
        <w:tblLayout w:type="fixed"/>
        <w:tblCellMar>
          <w:top w:w="28" w:type="dxa"/>
          <w:left w:w="28" w:type="dxa"/>
          <w:bottom w:w="28" w:type="dxa"/>
          <w:right w:w="28" w:type="dxa"/>
        </w:tblCellMar>
      </w:tblPr>
      <w:tblGrid>
        <w:gridCol w:w="3301"/>
        <w:gridCol w:w="146"/>
        <w:gridCol w:w="314"/>
        <w:gridCol w:w="1186"/>
        <w:gridCol w:w="146"/>
        <w:gridCol w:w="146"/>
        <w:gridCol w:w="312"/>
        <w:gridCol w:w="1023"/>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Operating Leases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Finance Leases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7"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2024</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67,803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13,230</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2025</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102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12,000</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2026</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102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12,000</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2027</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102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3,000</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2028</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102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83,618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future lease payments required</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386,454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102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40,230</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interest</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62,809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3,825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323,645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36,405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As of March 31, 2023, the Company had $56.1</w:t>
      </w:r>
      <w:r>
        <w:rPr>
          <w:rFonts w:ascii="Times New Roman" w:hAnsi="Times New Roman"/>
          <w:sz w:val="20"/>
        </w:rPr>
        <w:t xml:space="preserve"> </w:t>
      </w:r>
      <w:r>
        <w:rPr>
          <w:rFonts w:ascii="Arial;sans-serif" w:hAnsi="Arial;sans-serif"/>
          <w:b w:val="false"/>
          <w:sz w:val="20"/>
        </w:rPr>
        <w:t>million of additional lease commitments with lease terms of three to sixteen years.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F-32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sz w:val="20"/>
        </w:rPr>
        <w:t>Note 8 — Senior Notes and Other Long-Term Debt</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Total long-term debt consisted of the following as of March 31, 2023 and 2022:</w:t>
      </w:r>
      <w:r>
        <w:rPr>
          <w:rFonts w:ascii="Times New Roman" w:hAnsi="Times New Roman"/>
          <w:sz w:val="20"/>
        </w:rPr>
        <w:t xml:space="preserve"> </w:t>
      </w:r>
    </w:p>
    <w:p>
      <w:pPr>
        <w:pStyle w:val="TextBody"/>
        <w:bidi w:val="0"/>
        <w:spacing w:before="0" w:after="0"/>
        <w:jc w:val="left"/>
        <w:rPr/>
      </w:pPr>
      <w:r>
        <w:rPr/>
        <w:t> </w:t>
      </w:r>
    </w:p>
    <w:tbl>
      <w:tblPr>
        <w:tblW w:w="7390" w:type="dxa"/>
        <w:jc w:val="left"/>
        <w:tblInd w:w="0" w:type="dxa"/>
        <w:tblLayout w:type="fixed"/>
        <w:tblCellMar>
          <w:top w:w="28" w:type="dxa"/>
          <w:left w:w="28" w:type="dxa"/>
          <w:bottom w:w="28" w:type="dxa"/>
          <w:right w:w="28" w:type="dxa"/>
        </w:tblCellMar>
      </w:tblPr>
      <w:tblGrid>
        <w:gridCol w:w="4201"/>
        <w:gridCol w:w="146"/>
        <w:gridCol w:w="227"/>
        <w:gridCol w:w="1033"/>
        <w:gridCol w:w="166"/>
        <w:gridCol w:w="146"/>
        <w:gridCol w:w="227"/>
        <w:gridCol w:w="1033"/>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32"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2028 Notes</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400,000</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2027 Notes</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600,000</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 Notes</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700,000</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Term Loan Facility</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694,750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700,000</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Revolving Credit Facility</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Ex-Im Credit Facility</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58,957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78,609</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Finance lease obligations</w:t>
            </w:r>
            <w:r>
              <w:rPr>
                <w:rFonts w:ascii="Times New Roman" w:hAnsi="Times New Roman"/>
                <w:sz w:val="20"/>
              </w:rPr>
              <w:t> </w:t>
            </w:r>
            <w:r>
              <w:rPr>
                <w:rFonts w:ascii="Arial;sans-serif" w:hAnsi="Arial;sans-serif"/>
                <w:b w:val="false"/>
                <w:sz w:val="20"/>
              </w:rPr>
              <w:t>(see Note 7)</w:t>
            </w:r>
          </w:p>
        </w:tc>
        <w:tc>
          <w:tcPr>
            <w:tcW w:w="146" w:type="dxa"/>
            <w:tcBorders/>
            <w:vAlign w:val="center"/>
          </w:tcPr>
          <w:p>
            <w:pPr>
              <w:pStyle w:val="TableContents"/>
              <w:bidi w:val="0"/>
              <w:spacing w:before="0" w:after="0"/>
              <w:ind w:left="0" w:right="0" w:hanging="0"/>
              <w:jc w:val="center"/>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36,405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45,752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debt</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2,490,112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2,524,361</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Unamortized discount and debt issuance costs</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(30,672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(38,234</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current portion of long-term debt</w:t>
            </w:r>
          </w:p>
        </w:tc>
        <w:tc>
          <w:tcPr>
            <w:tcW w:w="146" w:type="dxa"/>
            <w:tcBorders/>
            <w:vAlign w:val="center"/>
          </w:tcPr>
          <w:p>
            <w:pPr>
              <w:pStyle w:val="TableContents"/>
              <w:bidi w:val="0"/>
              <w:spacing w:before="0" w:after="0"/>
              <w:ind w:left="0" w:right="0" w:hanging="0"/>
              <w:jc w:val="center"/>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34,911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long-term debt</w:t>
            </w:r>
          </w:p>
        </w:tc>
        <w:tc>
          <w:tcPr>
            <w:tcW w:w="146" w:type="dxa"/>
            <w:tcBorders/>
            <w:vAlign w:val="center"/>
          </w:tcPr>
          <w:p>
            <w:pPr>
              <w:pStyle w:val="TableContents"/>
              <w:bidi w:val="0"/>
              <w:spacing w:before="0" w:after="0"/>
              <w:ind w:left="0" w:right="0" w:hanging="0"/>
              <w:jc w:val="center"/>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2,421,501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2,451,216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estimated aggregate amounts and timing of payments on the Company’s long-term debt obligations as of March 31, 2023 for the next five fiscal years and thereafter were as follows (excluding the effects of discount accretion under the 2025 Notes, the 2027 Notes, the 2028 Notes, the Term Loan Facility and the Ex-Im Credit Facility):</w:t>
      </w:r>
      <w:r>
        <w:rPr>
          <w:rFonts w:ascii="Times New Roman" w:hAnsi="Times New Roman"/>
          <w:sz w:val="20"/>
        </w:rPr>
        <w:t xml:space="preserve"> </w:t>
      </w:r>
    </w:p>
    <w:p>
      <w:pPr>
        <w:pStyle w:val="TextBody"/>
        <w:bidi w:val="0"/>
        <w:spacing w:before="0" w:after="0"/>
        <w:jc w:val="left"/>
        <w:rPr/>
      </w:pPr>
      <w:r>
        <w:rPr/>
        <w:t> </w:t>
      </w:r>
    </w:p>
    <w:tbl>
      <w:tblPr>
        <w:tblW w:w="6313" w:type="dxa"/>
        <w:jc w:val="left"/>
        <w:tblInd w:w="0" w:type="dxa"/>
        <w:tblLayout w:type="fixed"/>
        <w:tblCellMar>
          <w:top w:w="28" w:type="dxa"/>
          <w:left w:w="28" w:type="dxa"/>
          <w:bottom w:w="28" w:type="dxa"/>
          <w:right w:w="28" w:type="dxa"/>
        </w:tblCellMar>
      </w:tblPr>
      <w:tblGrid>
        <w:gridCol w:w="4681"/>
        <w:gridCol w:w="146"/>
        <w:gridCol w:w="229"/>
        <w:gridCol w:w="1046"/>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0"/>
              <w:ind w:left="0" w:right="0" w:hanging="0"/>
              <w:jc w:val="left"/>
              <w:rPr>
                <w:rFonts w:ascii="Arial;sans-serif" w:hAnsi="Arial;sans-serif"/>
                <w:b/>
                <w:sz w:val="16"/>
                <w:u w:val="single"/>
              </w:rPr>
            </w:pPr>
            <w:r>
              <w:rPr>
                <w:rFonts w:ascii="Arial;sans-serif" w:hAnsi="Arial;sans-serif"/>
                <w:b/>
                <w:sz w:val="16"/>
                <w:u w:val="single"/>
              </w:rPr>
              <w:t>For the Fiscal Years Ending</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37,939</w:t>
            </w:r>
          </w:p>
        </w:tc>
        <w:tc>
          <w:tcPr>
            <w:tcW w:w="2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37,381</w:t>
            </w:r>
          </w:p>
        </w:tc>
        <w:tc>
          <w:tcPr>
            <w:tcW w:w="2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738,073</w:t>
            </w:r>
          </w:p>
        </w:tc>
        <w:tc>
          <w:tcPr>
            <w:tcW w:w="2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9,969</w:t>
            </w:r>
          </w:p>
        </w:tc>
        <w:tc>
          <w:tcPr>
            <w:tcW w:w="2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2028</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607,000</w:t>
            </w:r>
          </w:p>
        </w:tc>
        <w:tc>
          <w:tcPr>
            <w:tcW w:w="2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1,059,750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2,490,112</w:t>
            </w:r>
          </w:p>
        </w:tc>
        <w:tc>
          <w:tcPr>
            <w:tcW w:w="2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Plus: unamortized discount and debt issuance costs</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(30,672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2,459,440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90" w:after="0"/>
        <w:jc w:val="left"/>
        <w:rPr>
          <w:rFonts w:ascii="Times New Roman" w:hAnsi="Times New Roman"/>
          <w:sz w:val="20"/>
        </w:rPr>
      </w:pPr>
      <w:r>
        <w:rPr>
          <w:rFonts w:ascii="Arial;sans-serif" w:hAnsi="Arial;sans-serif"/>
          <w:b/>
          <w:i/>
          <w:sz w:val="20"/>
        </w:rPr>
        <w:t>Term Loan Facility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March 2022, the Company entered into a $700.0</w:t>
      </w:r>
      <w:r>
        <w:rPr>
          <w:rFonts w:ascii="Times New Roman" w:hAnsi="Times New Roman"/>
          <w:sz w:val="20"/>
        </w:rPr>
        <w:t xml:space="preserve"> </w:t>
      </w:r>
      <w:r>
        <w:rPr>
          <w:rFonts w:ascii="Arial;sans-serif" w:hAnsi="Arial;sans-serif"/>
          <w:b w:val="false"/>
          <w:sz w:val="20"/>
        </w:rPr>
        <w:t>million Term Loan Facility, which was fully drawn at closing and matures on March 4, 2029. At March 31, 2023, the Company had $694.8</w:t>
      </w:r>
      <w:r>
        <w:rPr>
          <w:rFonts w:ascii="Times New Roman" w:hAnsi="Times New Roman"/>
          <w:sz w:val="20"/>
        </w:rPr>
        <w:t xml:space="preserve"> </w:t>
      </w:r>
      <w:r>
        <w:rPr>
          <w:rFonts w:ascii="Arial;sans-serif" w:hAnsi="Arial;sans-serif"/>
          <w:b w:val="false"/>
          <w:sz w:val="20"/>
        </w:rPr>
        <w:t>million in principal amount of outstanding borrowings under the Term Loan Facility.</w:t>
      </w:r>
    </w:p>
    <w:p>
      <w:pPr>
        <w:pStyle w:val="TextBody"/>
        <w:bidi w:val="0"/>
        <w:spacing w:before="180" w:after="0"/>
        <w:jc w:val="left"/>
        <w:rPr>
          <w:rFonts w:ascii="Times New Roman" w:hAnsi="Times New Roman"/>
          <w:sz w:val="20"/>
        </w:rPr>
      </w:pPr>
      <w:r>
        <w:rPr>
          <w:rFonts w:ascii="Arial;sans-serif" w:hAnsi="Arial;sans-serif"/>
          <w:b w:val="false"/>
          <w:sz w:val="20"/>
        </w:rPr>
        <w:t>Borrowings under the Term Loan Facility are required to be repaid in quarterly installments of $1.75</w:t>
      </w:r>
      <w:r>
        <w:rPr>
          <w:rFonts w:ascii="Times New Roman" w:hAnsi="Times New Roman"/>
          <w:sz w:val="20"/>
        </w:rPr>
        <w:t xml:space="preserve"> </w:t>
      </w:r>
      <w:r>
        <w:rPr>
          <w:rFonts w:ascii="Arial;sans-serif" w:hAnsi="Arial;sans-serif"/>
          <w:b w:val="false"/>
          <w:sz w:val="20"/>
        </w:rPr>
        <w:t>million each, which commenced on September 30, 2022, followed by a final installment of $654.5</w:t>
      </w:r>
      <w:r>
        <w:rPr>
          <w:rFonts w:ascii="Times New Roman" w:hAnsi="Times New Roman"/>
          <w:sz w:val="20"/>
        </w:rPr>
        <w:t xml:space="preserve"> </w:t>
      </w:r>
      <w:r>
        <w:rPr>
          <w:rFonts w:ascii="Arial;sans-serif" w:hAnsi="Arial;sans-serif"/>
          <w:b w:val="false"/>
          <w:sz w:val="20"/>
        </w:rPr>
        <w:t>million at maturity. Borrowings under the Term Loan Facility bear interest, at the Company’s option, at either (1) a base rate equal to the greater of the administrative agent’s prime rate as announced from time to time, the federal funds effective rate plus 0.50%, and the forward-looking SOFR term rate administered by CME for a one-month interest period plus 1.00%, subject to a floor of 1.50% for the initial term loans, plus an applicable margin of 3.50%, or (2) the forward-looking SOFR term rate administered by CME for the applicable interest period, subject to a floor of 0.50% for the initial term loans, plus an applicable margin of 4.50%. As of March 31, 2023, the effective interest rate on the Company’s outstanding borrowings under the Term Loan Facility was 9.95%.</w:t>
      </w:r>
      <w:r>
        <w:rPr>
          <w:rFonts w:ascii="Times New Roman" w:hAnsi="Times New Roman"/>
          <w:sz w:val="20"/>
        </w:rPr>
        <w:t xml:space="preserve"> </w:t>
      </w:r>
      <w:r>
        <w:rPr>
          <w:rFonts w:ascii="Arial;sans-serif" w:hAnsi="Arial;sans-serif"/>
          <w:b w:val="false"/>
          <w:sz w:val="20"/>
        </w:rPr>
        <w:t>The Term Loan Facility is required to be guaranteed by certain significant domestic subsidiaries of the Company (as defined in the Term Loan Facility) and secured by substantially all of the Company’s and any such subsidiaries’ assets. As of March 31, 2023, none of the Company’s subsidiaries guaranteed the Term Loan Facility.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sz w:val="20"/>
        </w:rPr>
        <w:t xml:space="preserve"> </w:t>
      </w:r>
      <w:r>
        <w:rPr>
          <w:rFonts w:ascii="Arial;sans-serif" w:hAnsi="Arial;sans-serif"/>
          <w:b w:val="false"/>
          <w:sz w:val="20"/>
        </w:rPr>
        <w:t>The Company was in compliance with its financial covenants under the Term Loan Facility as of March 31, 2023.</w:t>
      </w:r>
    </w:p>
    <w:p>
      <w:pPr>
        <w:pStyle w:val="TextBody"/>
        <w:bidi w:val="0"/>
        <w:spacing w:before="240" w:after="0"/>
        <w:jc w:val="center"/>
        <w:rPr>
          <w:rFonts w:ascii="Arial;sans-serif" w:hAnsi="Arial;sans-serif"/>
          <w:b w:val="false"/>
          <w:sz w:val="20"/>
        </w:rPr>
      </w:pPr>
      <w:r>
        <w:rPr>
          <w:rFonts w:ascii="Arial;sans-serif" w:hAnsi="Arial;sans-serif"/>
          <w:b w:val="false"/>
          <w:sz w:val="20"/>
        </w:rPr>
        <w:t>F-33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Borrowings under the Term Loan Facility are recorded as current portion of long-term debt and as other long-term debt, net of unamortized discount and debt issuance costs, in the Company’s consolidated financial statements. The Term Loan Facility was issued with an original issue discount of 2.00%, or $14.0</w:t>
      </w:r>
      <w:r>
        <w:rPr>
          <w:rFonts w:ascii="Times New Roman" w:hAnsi="Times New Roman"/>
          <w:sz w:val="20"/>
        </w:rPr>
        <w:t xml:space="preserve"> </w:t>
      </w:r>
      <w:r>
        <w:rPr>
          <w:rFonts w:ascii="Arial;sans-serif" w:hAnsi="Arial;sans-serif"/>
          <w:b w:val="false"/>
          <w:sz w:val="20"/>
        </w:rPr>
        <w:t>million. The original issue discount and deferred financing cost associated with the issuance of the borrowings under the Term Loan Facility are amortized to interest expense on a straight-line basis over the term of the Term Loan Facility, the results of which are not materially different from the effective interest rate basis.</w:t>
      </w:r>
    </w:p>
    <w:p>
      <w:pPr>
        <w:pStyle w:val="TextBody"/>
        <w:bidi w:val="0"/>
        <w:spacing w:before="270" w:after="0"/>
        <w:jc w:val="left"/>
        <w:rPr>
          <w:rFonts w:ascii="Times New Roman" w:hAnsi="Times New Roman"/>
          <w:sz w:val="20"/>
        </w:rPr>
      </w:pPr>
      <w:r>
        <w:rPr>
          <w:rFonts w:ascii="Arial;sans-serif" w:hAnsi="Arial;sans-serif"/>
          <w:b/>
          <w:i/>
          <w:sz w:val="20"/>
        </w:rPr>
        <w:t>Revolving Credit Facility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As of March 31, 2023, the Revolving Credit Facility provided a $700.0</w:t>
      </w:r>
      <w:r>
        <w:rPr>
          <w:rFonts w:ascii="Times New Roman" w:hAnsi="Times New Roman"/>
          <w:sz w:val="20"/>
        </w:rPr>
        <w:t xml:space="preserve"> </w:t>
      </w:r>
      <w:r>
        <w:rPr>
          <w:rFonts w:ascii="Arial;sans-serif" w:hAnsi="Arial;sans-serif"/>
          <w:b w:val="false"/>
          <w:sz w:val="20"/>
        </w:rPr>
        <w:t>million revolving line of credit (including up to $150.0</w:t>
      </w:r>
      <w:r>
        <w:rPr>
          <w:rFonts w:ascii="Times New Roman" w:hAnsi="Times New Roman"/>
          <w:sz w:val="20"/>
        </w:rPr>
        <w:t xml:space="preserve"> </w:t>
      </w:r>
      <w:r>
        <w:rPr>
          <w:rFonts w:ascii="Arial;sans-serif" w:hAnsi="Arial;sans-serif"/>
          <w:b w:val="false"/>
          <w:sz w:val="20"/>
        </w:rPr>
        <w:t>million of letters of credit), with a maturity date of January 18, 2024. At March 31, 2023, the Company had no</w:t>
      </w:r>
      <w:r>
        <w:rPr>
          <w:rFonts w:ascii="Times New Roman" w:hAnsi="Times New Roman"/>
          <w:sz w:val="20"/>
        </w:rPr>
        <w:t xml:space="preserve"> </w:t>
      </w:r>
      <w:r>
        <w:rPr>
          <w:rFonts w:ascii="Arial;sans-serif" w:hAnsi="Arial;sans-serif"/>
          <w:b w:val="false"/>
          <w:sz w:val="20"/>
        </w:rPr>
        <w:t>outstanding borrowings under the Revolving Credit Facility and $42.6</w:t>
      </w:r>
      <w:r>
        <w:rPr>
          <w:rFonts w:ascii="Times New Roman" w:hAnsi="Times New Roman"/>
          <w:sz w:val="20"/>
        </w:rPr>
        <w:t xml:space="preserve"> </w:t>
      </w:r>
      <w:r>
        <w:rPr>
          <w:rFonts w:ascii="Arial;sans-serif" w:hAnsi="Arial;sans-serif"/>
          <w:b w:val="false"/>
          <w:sz w:val="20"/>
        </w:rPr>
        <w:t>million outstanding under standby letters of credit under the Revolving Credit Facility, leaving borrowing availability under the Revolving Credit Facility as of March 31, 2023 of $657.4</w:t>
      </w:r>
      <w:r>
        <w:rPr>
          <w:rFonts w:ascii="Times New Roman" w:hAnsi="Times New Roman"/>
          <w:sz w:val="20"/>
        </w:rPr>
        <w:t xml:space="preserve"> </w:t>
      </w:r>
      <w:r>
        <w:rPr>
          <w:rFonts w:ascii="Arial;sans-serif" w:hAnsi="Arial;sans-serif"/>
          <w:b w:val="false"/>
          <w:sz w:val="20"/>
        </w:rPr>
        <w:t>million.</w:t>
      </w:r>
    </w:p>
    <w:p>
      <w:pPr>
        <w:pStyle w:val="TextBody"/>
        <w:bidi w:val="0"/>
        <w:spacing w:before="180" w:after="0"/>
        <w:jc w:val="left"/>
        <w:rPr>
          <w:rFonts w:ascii="Times New Roman" w:hAnsi="Times New Roman"/>
          <w:sz w:val="20"/>
        </w:rPr>
      </w:pPr>
      <w:r>
        <w:rPr>
          <w:rFonts w:ascii="Arial;sans-serif" w:hAnsi="Arial;sans-serif"/>
          <w:b w:val="false"/>
          <w:sz w:val="20"/>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w:t>
      </w:r>
      <w:r>
        <w:rPr>
          <w:rFonts w:ascii="Times New Roman" w:hAnsi="Times New Roman"/>
          <w:sz w:val="20"/>
        </w:rPr>
        <w:t xml:space="preserve"> </w:t>
      </w:r>
      <w:r>
        <w:rPr>
          <w:rFonts w:ascii="Arial;sans-serif" w:hAnsi="Arial;sans-serif"/>
          <w:b w:val="false"/>
          <w:sz w:val="20"/>
        </w:rPr>
        <w:t>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March 31, 2023, none of the Company’s subsidiaries guaranteed the Revolving Credit Facility.</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March 31, 2023.</w:t>
      </w:r>
    </w:p>
    <w:p>
      <w:pPr>
        <w:pStyle w:val="TextBody"/>
        <w:bidi w:val="0"/>
        <w:spacing w:before="270" w:after="0"/>
        <w:jc w:val="left"/>
        <w:rPr>
          <w:rFonts w:ascii="Times New Roman" w:hAnsi="Times New Roman"/>
          <w:sz w:val="20"/>
        </w:rPr>
      </w:pPr>
      <w:r>
        <w:rPr>
          <w:rFonts w:ascii="Arial;sans-serif" w:hAnsi="Arial;sans-serif"/>
          <w:b/>
          <w:i/>
          <w:sz w:val="20"/>
        </w:rPr>
        <w:t>Ex-Im Credit Facility</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Ex-Im Credit Facility originally provided a $362.4</w:t>
      </w:r>
      <w:r>
        <w:rPr>
          <w:rFonts w:ascii="Times New Roman" w:hAnsi="Times New Roman"/>
          <w:sz w:val="20"/>
        </w:rPr>
        <w:t xml:space="preserve"> </w:t>
      </w:r>
      <w:r>
        <w:rPr>
          <w:rFonts w:ascii="Arial;sans-serif" w:hAnsi="Arial;sans-serif"/>
          <w:b w:val="false"/>
          <w:sz w:val="20"/>
        </w:rPr>
        <w:t>million senior secured direct loan facility, which was fully drawn. Of the $362.4</w:t>
      </w:r>
      <w:r>
        <w:rPr>
          <w:rFonts w:ascii="Times New Roman" w:hAnsi="Times New Roman"/>
          <w:sz w:val="20"/>
        </w:rPr>
        <w:t xml:space="preserve"> </w:t>
      </w:r>
      <w:r>
        <w:rPr>
          <w:rFonts w:ascii="Arial;sans-serif" w:hAnsi="Arial;sans-serif"/>
          <w:b w:val="false"/>
          <w:sz w:val="20"/>
        </w:rPr>
        <w:t>million in principal amount of borrowings made under the Ex-Im Credit Facility, $321.2</w:t>
      </w:r>
      <w:r>
        <w:rPr>
          <w:rFonts w:ascii="Times New Roman" w:hAnsi="Times New Roman"/>
          <w:sz w:val="20"/>
        </w:rPr>
        <w:t xml:space="preserve"> </w:t>
      </w:r>
      <w:r>
        <w:rPr>
          <w:rFonts w:ascii="Arial;sans-serif" w:hAnsi="Arial;sans-serif"/>
          <w:b w:val="false"/>
          <w:sz w:val="20"/>
        </w:rPr>
        <w:t>million was used to finance up to 85% of the costs of construction, launch and insurance of the ViaSat-2 satellite and related goods and services (including costs incurred on or after September 18, 2012), with the remaining $41.2</w:t>
      </w:r>
      <w:r>
        <w:rPr>
          <w:rFonts w:ascii="Times New Roman" w:hAnsi="Times New Roman"/>
          <w:sz w:val="20"/>
        </w:rPr>
        <w:t xml:space="preserve"> </w:t>
      </w:r>
      <w:r>
        <w:rPr>
          <w:rFonts w:ascii="Arial;sans-serif" w:hAnsi="Arial;sans-serif"/>
          <w:b w:val="false"/>
          <w:sz w:val="20"/>
        </w:rPr>
        <w:t>million used to finance the total exposure fees incurred under the Ex-Im Credit Facility (which included all previously accrued completion exposure fees). As of March 31, 2023, the Company had $59.0</w:t>
      </w:r>
      <w:r>
        <w:rPr>
          <w:rFonts w:ascii="Times New Roman" w:hAnsi="Times New Roman"/>
          <w:sz w:val="20"/>
        </w:rPr>
        <w:t xml:space="preserve"> </w:t>
      </w:r>
      <w:r>
        <w:rPr>
          <w:rFonts w:ascii="Arial;sans-serif" w:hAnsi="Arial;sans-serif"/>
          <w:b w:val="false"/>
          <w:sz w:val="20"/>
        </w:rPr>
        <w:t>million in principal amount of outstanding borrowings under the Ex-Im Credit Facility.</w:t>
      </w:r>
    </w:p>
    <w:p>
      <w:pPr>
        <w:pStyle w:val="TextBody"/>
        <w:bidi w:val="0"/>
        <w:spacing w:before="180" w:after="0"/>
        <w:jc w:val="left"/>
        <w:rPr>
          <w:rFonts w:ascii="Times New Roman" w:hAnsi="Times New Roman"/>
          <w:sz w:val="20"/>
        </w:rPr>
      </w:pPr>
      <w:r>
        <w:rPr>
          <w:rFonts w:ascii="Arial;sans-serif" w:hAnsi="Arial;sans-serif"/>
          <w:b w:val="false"/>
          <w:sz w:val="20"/>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w:t>
      </w:r>
      <w:r>
        <w:rPr>
          <w:rFonts w:ascii="Times New Roman" w:hAnsi="Times New Roman"/>
          <w:sz w:val="20"/>
        </w:rPr>
        <w:t xml:space="preserve"> </w:t>
      </w:r>
      <w:r>
        <w:rPr>
          <w:rFonts w:ascii="Arial;sans-serif" w:hAnsi="Arial;sans-serif"/>
          <w:b w:val="false"/>
          <w:sz w:val="20"/>
        </w:rPr>
        <w:t>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r>
        <w:rPr>
          <w:rFonts w:ascii="Times New Roman" w:hAnsi="Times New Roman"/>
          <w:sz w:val="20"/>
        </w:rPr>
        <w:t xml:space="preserve"> </w:t>
      </w:r>
      <w:r>
        <w:rPr>
          <w:rFonts w:ascii="Arial;sans-serif" w:hAnsi="Arial;sans-serif"/>
          <w:b w:val="false"/>
          <w:sz w:val="20"/>
        </w:rPr>
        <w:t>The Company was in compliance with its financial covenants under the Ex-Im Credit Facility as of March 31, 2023.</w:t>
      </w:r>
    </w:p>
    <w:p>
      <w:pPr>
        <w:pStyle w:val="TextBody"/>
        <w:bidi w:val="0"/>
        <w:spacing w:before="240" w:after="0"/>
        <w:jc w:val="center"/>
        <w:rPr>
          <w:rFonts w:ascii="Arial;sans-serif" w:hAnsi="Arial;sans-serif"/>
          <w:b w:val="false"/>
          <w:sz w:val="20"/>
        </w:rPr>
      </w:pPr>
      <w:r>
        <w:rPr>
          <w:rFonts w:ascii="Arial;sans-serif" w:hAnsi="Arial;sans-serif"/>
          <w:b w:val="false"/>
          <w:sz w:val="20"/>
        </w:rPr>
        <w:t>F-34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Borrowings under the Ex-Im Credit Facility are recorded as current portion of long-term debt and as other long-term debt, net of unamortized discount and debt issuance costs, in the Company’s consolidated financial statements. The discount of $42.3</w:t>
      </w:r>
      <w:r>
        <w:rPr>
          <w:rFonts w:ascii="Times New Roman" w:hAnsi="Times New Roman"/>
          <w:sz w:val="20"/>
        </w:rPr>
        <w:t xml:space="preserve"> </w:t>
      </w:r>
      <w:r>
        <w:rPr>
          <w:rFonts w:ascii="Arial;sans-serif" w:hAnsi="Arial;sans-serif"/>
          <w:b w:val="false"/>
          <w:sz w:val="20"/>
        </w:rPr>
        <w:t>million (consisting of the initial $6.0</w:t>
      </w:r>
      <w:r>
        <w:rPr>
          <w:rFonts w:ascii="Times New Roman" w:hAnsi="Times New Roman"/>
          <w:sz w:val="20"/>
        </w:rPr>
        <w:t xml:space="preserve"> </w:t>
      </w:r>
      <w:r>
        <w:rPr>
          <w:rFonts w:ascii="Arial;sans-serif" w:hAnsi="Arial;sans-serif"/>
          <w:b w:val="false"/>
          <w:sz w:val="20"/>
        </w:rPr>
        <w:t>million pre-exposure fee, $35.3</w:t>
      </w:r>
      <w:r>
        <w:rPr>
          <w:rFonts w:ascii="Times New Roman" w:hAnsi="Times New Roman"/>
          <w:sz w:val="20"/>
        </w:rPr>
        <w:t xml:space="preserve"> </w:t>
      </w:r>
      <w:r>
        <w:rPr>
          <w:rFonts w:ascii="Arial;sans-serif" w:hAnsi="Arial;sans-serif"/>
          <w:b w:val="false"/>
          <w:sz w:val="20"/>
        </w:rPr>
        <w:t>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pStyle w:val="TextBody"/>
        <w:bidi w:val="0"/>
        <w:spacing w:before="180" w:after="0"/>
        <w:jc w:val="left"/>
        <w:rPr>
          <w:rFonts w:ascii="Times New Roman" w:hAnsi="Times New Roman"/>
          <w:sz w:val="20"/>
        </w:rPr>
      </w:pPr>
      <w:r>
        <w:rPr>
          <w:rFonts w:ascii="Arial;sans-serif" w:hAnsi="Arial;sans-serif"/>
          <w:b w:val="false"/>
          <w:sz w:val="20"/>
        </w:rPr>
        <w:t>In August 2022, the Company amended the Ex-Im Credit Facility to provide additional covenant flexibility. Certain of the amendments will become effective at and are conditional upon the closing of the Inmarsat Transaction.</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i/>
          <w:sz w:val="20"/>
        </w:rPr>
        <w:t>Senior Notes</w:t>
      </w:r>
      <w:r>
        <w:rPr>
          <w:rFonts w:ascii="Times New Roman" w:hAnsi="Times New Roman"/>
          <w:sz w:val="20"/>
        </w:rPr>
        <w:t xml:space="preserve"> </w:t>
      </w:r>
    </w:p>
    <w:p>
      <w:pPr>
        <w:pStyle w:val="TextBody"/>
        <w:bidi w:val="0"/>
        <w:spacing w:before="90" w:after="0"/>
        <w:jc w:val="left"/>
        <w:rPr>
          <w:rFonts w:ascii="Arial;sans-serif" w:hAnsi="Arial;sans-serif"/>
          <w:b w:val="false"/>
          <w:i/>
          <w:sz w:val="20"/>
        </w:rPr>
      </w:pPr>
      <w:r>
        <w:rPr>
          <w:rFonts w:ascii="Arial;sans-serif" w:hAnsi="Arial;sans-serif"/>
          <w:b w:val="false"/>
          <w:i/>
          <w:sz w:val="20"/>
        </w:rPr>
        <w:t>Senior Notes due 2028</w:t>
      </w:r>
    </w:p>
    <w:p>
      <w:pPr>
        <w:pStyle w:val="TextBody"/>
        <w:bidi w:val="0"/>
        <w:spacing w:before="90" w:after="0"/>
        <w:jc w:val="left"/>
        <w:rPr>
          <w:rFonts w:ascii="Times New Roman" w:hAnsi="Times New Roman"/>
          <w:sz w:val="20"/>
        </w:rPr>
      </w:pPr>
      <w:r>
        <w:rPr>
          <w:rFonts w:ascii="Arial;sans-serif" w:hAnsi="Arial;sans-serif"/>
          <w:b w:val="false"/>
          <w:sz w:val="20"/>
        </w:rPr>
        <w:t>In June 2020, the Company issued $400.0</w:t>
      </w:r>
      <w:r>
        <w:rPr>
          <w:rFonts w:ascii="Times New Roman" w:hAnsi="Times New Roman"/>
          <w:sz w:val="20"/>
        </w:rPr>
        <w:t xml:space="preserve"> </w:t>
      </w:r>
      <w:r>
        <w:rPr>
          <w:rFonts w:ascii="Arial;sans-serif" w:hAnsi="Arial;sans-serif"/>
          <w:b w:val="false"/>
          <w:sz w:val="20"/>
        </w:rPr>
        <w:t>million in principal amount of 2028</w:t>
      </w:r>
      <w:r>
        <w:rPr>
          <w:rFonts w:ascii="Times New Roman" w:hAnsi="Times New Roman"/>
          <w:sz w:val="20"/>
        </w:rPr>
        <w:t xml:space="preserve"> </w:t>
      </w:r>
      <w:r>
        <w:rPr>
          <w:rFonts w:ascii="Arial;sans-serif" w:hAnsi="Arial;sans-serif"/>
          <w:b w:val="false"/>
          <w:sz w:val="20"/>
        </w:rPr>
        <w:t>Notes in a private placement to institutional buyers. The 2028 Notes were issued at face value and are recorded as long-term debt, net of debt issuance costs, in the Company’s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180" w:after="0"/>
        <w:jc w:val="left"/>
        <w:rPr>
          <w:rFonts w:ascii="Arial;sans-serif" w:hAnsi="Arial;sans-serif"/>
          <w:b w:val="false"/>
          <w:sz w:val="20"/>
        </w:rPr>
      </w:pPr>
      <w:r>
        <w:rPr>
          <w:rFonts w:ascii="Arial;sans-serif" w:hAnsi="Arial;sans-serif"/>
          <w:b w:val="false"/>
          <w:sz w:val="20"/>
        </w:rPr>
        <w:t>The 2028 Notes are required to be guaranteed on an unsecured senior basis by each of the Company’s existing and future subsidiaries that guarantees the Revolving Credit Facility. As of March 31, 2023,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180" w:after="0"/>
        <w:jc w:val="left"/>
        <w:rPr>
          <w:rFonts w:ascii="Arial;sans-serif" w:hAnsi="Arial;sans-serif"/>
          <w:b w:val="false"/>
          <w:sz w:val="20"/>
        </w:rPr>
      </w:pPr>
      <w:r>
        <w:rPr>
          <w:rFonts w:ascii="Arial;sans-serif" w:hAnsi="Arial;sans-serif"/>
          <w:b w:val="false"/>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0"/>
        <w:jc w:val="left"/>
        <w:rPr>
          <w:rFonts w:ascii="Times New Roman" w:hAnsi="Times New Roman"/>
          <w:sz w:val="20"/>
        </w:rPr>
      </w:pPr>
      <w:r>
        <w:rPr>
          <w:rFonts w:ascii="Arial;sans-serif" w:hAnsi="Arial;sans-serif"/>
          <w:b w:val="false"/>
          <w:sz w:val="20"/>
        </w:rPr>
        <w:t>Prior to July 15, 2023, the Company may redeem up to 40% of the 2028 Notes at a redemption price of 106.500% of the principal amount thereof, plus accrued and unpaid interest, if any, thereon to the redemption date, from the net cash proceeds of specified equity offerings.</w:t>
      </w:r>
      <w:r>
        <w:rPr>
          <w:rFonts w:ascii="Times New Roman" w:hAnsi="Times New Roman"/>
          <w:sz w:val="20"/>
        </w:rPr>
        <w:t xml:space="preserve"> </w:t>
      </w:r>
      <w:r>
        <w:rPr>
          <w:rFonts w:ascii="Arial;sans-serif" w:hAnsi="Arial;sans-serif"/>
          <w:b w:val="false"/>
          <w:sz w:val="20"/>
        </w:rPr>
        <w:t>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w:t>
      </w:r>
      <w:r>
        <w:rPr>
          <w:rFonts w:ascii="Times New Roman" w:hAnsi="Times New Roman"/>
          <w:sz w:val="20"/>
        </w:rPr>
        <w:t xml:space="preserve"> </w:t>
      </w:r>
      <w:r>
        <w:rPr>
          <w:rFonts w:ascii="Arial;sans-serif" w:hAnsi="Arial;sans-serif"/>
          <w:b w:val="false"/>
          <w:sz w:val="20"/>
        </w:rPr>
        <w:t>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40" w:after="0"/>
        <w:jc w:val="center"/>
        <w:rPr>
          <w:rFonts w:ascii="Arial;sans-serif" w:hAnsi="Arial;sans-serif"/>
          <w:b w:val="false"/>
          <w:sz w:val="20"/>
        </w:rPr>
      </w:pPr>
      <w:r>
        <w:rPr>
          <w:rFonts w:ascii="Arial;sans-serif" w:hAnsi="Arial;sans-serif"/>
          <w:b w:val="false"/>
          <w:sz w:val="20"/>
        </w:rPr>
        <w:t>F-35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Arial;sans-serif" w:hAnsi="Arial;sans-serif"/>
          <w:b w:val="false"/>
          <w:i/>
          <w:sz w:val="20"/>
        </w:rPr>
      </w:pPr>
      <w:r>
        <w:rPr>
          <w:rFonts w:ascii="Arial;sans-serif" w:hAnsi="Arial;sans-serif"/>
          <w:b w:val="false"/>
          <w:i/>
          <w:sz w:val="20"/>
        </w:rPr>
        <w:t>Senior Secured Notes due 2027</w:t>
      </w:r>
    </w:p>
    <w:p>
      <w:pPr>
        <w:pStyle w:val="TextBody"/>
        <w:bidi w:val="0"/>
        <w:spacing w:before="90" w:after="0"/>
        <w:jc w:val="left"/>
        <w:rPr>
          <w:rFonts w:ascii="Times New Roman" w:hAnsi="Times New Roman"/>
          <w:sz w:val="20"/>
        </w:rPr>
      </w:pPr>
      <w:r>
        <w:rPr>
          <w:rFonts w:ascii="Arial;sans-serif" w:hAnsi="Arial;sans-serif"/>
          <w:b w:val="false"/>
          <w:sz w:val="20"/>
        </w:rPr>
        <w:t>In March 2019, the Company issued $600.0</w:t>
      </w:r>
      <w:r>
        <w:rPr>
          <w:rFonts w:ascii="Times New Roman" w:hAnsi="Times New Roman"/>
          <w:sz w:val="20"/>
        </w:rPr>
        <w:t xml:space="preserve"> </w:t>
      </w:r>
      <w:r>
        <w:rPr>
          <w:rFonts w:ascii="Arial;sans-serif" w:hAnsi="Arial;sans-serif"/>
          <w:b w:val="false"/>
          <w:sz w:val="20"/>
        </w:rPr>
        <w:t>million in principal amount of 2027</w:t>
      </w:r>
      <w:r>
        <w:rPr>
          <w:rFonts w:ascii="Times New Roman" w:hAnsi="Times New Roman"/>
          <w:sz w:val="20"/>
        </w:rPr>
        <w:t xml:space="preserve"> </w:t>
      </w:r>
      <w:r>
        <w:rPr>
          <w:rFonts w:ascii="Arial;sans-serif" w:hAnsi="Arial;sans-serif"/>
          <w:b w:val="false"/>
          <w:sz w:val="20"/>
        </w:rPr>
        <w:t>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2027 Notes are required to be guaranteed on a senior secured basis by each of the Company’s existing and future subsidiaries that guarantees the Revolving Credit Facility. As of March 31, 2023, none of the Company’s subsidiaries guaranteed the 2027 Notes. The 2027 Notes are secured, equally and ratably with the Revolving Credit Facility and any future parity lien debt, by liens on substantially all of the Company’s assets.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0"/>
        <w:jc w:val="left"/>
        <w:rPr>
          <w:rFonts w:ascii="Times New Roman" w:hAnsi="Times New Roman"/>
          <w:sz w:val="20"/>
        </w:rPr>
      </w:pPr>
      <w:r>
        <w:rPr>
          <w:rFonts w:ascii="Arial;sans-serif" w:hAnsi="Arial;sans-serif"/>
          <w:b w:val="false"/>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2027 Notes may be redeemed, in whole or in part, at any time during the 12 months beginning on April 15, 2023 at a redemption price of 101.406%</w:t>
      </w:r>
      <w:r>
        <w:rPr>
          <w:rFonts w:ascii="Times New Roman" w:hAnsi="Times New Roman"/>
          <w:sz w:val="20"/>
        </w:rPr>
        <w:t xml:space="preserve"> </w:t>
      </w:r>
      <w:r>
        <w:rPr>
          <w:rFonts w:ascii="Arial;sans-serif" w:hAnsi="Arial;sans-serif"/>
          <w:b w:val="false"/>
          <w:sz w:val="20"/>
        </w:rPr>
        <w:t>and at any time on or after April 15, 2024 at a redemption price of 100%, in each case plus accrued and unpaid interest, if any, thereon to the redemption date.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val="false"/>
          <w:i/>
          <w:sz w:val="20"/>
        </w:rPr>
        <w:t>Senior Notes due 2025</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In September 2017, the Company issued $700.0</w:t>
      </w:r>
      <w:r>
        <w:rPr>
          <w:rFonts w:ascii="Times New Roman" w:hAnsi="Times New Roman"/>
          <w:sz w:val="20"/>
        </w:rPr>
        <w:t xml:space="preserve"> </w:t>
      </w:r>
      <w:r>
        <w:rPr>
          <w:rFonts w:ascii="Arial;sans-serif" w:hAnsi="Arial;sans-serif"/>
          <w:b w:val="false"/>
          <w:sz w:val="20"/>
        </w:rPr>
        <w:t>million in principal amount of 2025</w:t>
      </w:r>
      <w:r>
        <w:rPr>
          <w:rFonts w:ascii="Times New Roman" w:hAnsi="Times New Roman"/>
          <w:sz w:val="20"/>
        </w:rPr>
        <w:t xml:space="preserve"> </w:t>
      </w:r>
      <w:r>
        <w:rPr>
          <w:rFonts w:ascii="Arial;sans-serif" w:hAnsi="Arial;sans-serif"/>
          <w:b w:val="false"/>
          <w:sz w:val="20"/>
        </w:rPr>
        <w:t>Notes in a private placement to institutional buyers. The 2025 Notes were issued at face value and are recorded as long-term debt, net of debt issuance costs, in the Company’s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2025 Notes are required to be guaranteed on an unsecured senior basis by each of the Company’s existing and future subsidiaries that guarantees the Revolving Credit Facility. As of March 31, 2023,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F-36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2025 Notes may be redeemed, in whole or in part, at any time</w:t>
      </w:r>
      <w:r>
        <w:rPr>
          <w:rFonts w:ascii="Arial;sans-serif" w:hAnsi="Arial;sans-serif"/>
          <w:sz w:val="20"/>
        </w:rPr>
        <w:t xml:space="preserve"> </w:t>
      </w:r>
      <w:r>
        <w:rPr>
          <w:rFonts w:ascii="Arial;sans-serif" w:hAnsi="Arial;sans-serif"/>
          <w:b w:val="false"/>
          <w:sz w:val="20"/>
        </w:rPr>
        <w:t>at a redemption price of 100%, plus accrued and unpaid interest, if any, thereon to the redemption date.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sz w:val="20"/>
        </w:rPr>
        <w:t>Note 9 — Common Stock and Stock Plans</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From time to time, the Company files universal shelf registration statements with the SEC for the future sale of an unlimited amount of common stock, preferred stock, debt securities, depositary shares, warrants and rights, which securities may be offered from time to time, separately or together, directly by the Company, by selling security holders, or through underwriters, dealers or agents at amounts, prices, interest rates and other terms to be determined at the time of the offering.</w:t>
      </w:r>
    </w:p>
    <w:p>
      <w:pPr>
        <w:pStyle w:val="TextBody"/>
        <w:bidi w:val="0"/>
        <w:spacing w:before="180" w:after="0"/>
        <w:jc w:val="left"/>
        <w:rPr>
          <w:rFonts w:ascii="Times New Roman" w:hAnsi="Times New Roman"/>
          <w:sz w:val="20"/>
        </w:rPr>
      </w:pPr>
      <w:r>
        <w:rPr>
          <w:rFonts w:ascii="Arial;sans-serif" w:hAnsi="Arial;sans-serif"/>
          <w:b w:val="false"/>
          <w:sz w:val="20"/>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2022</w:t>
      </w:r>
      <w:r>
        <w:rPr>
          <w:rFonts w:ascii="Times New Roman" w:hAnsi="Times New Roman"/>
          <w:sz w:val="20"/>
        </w:rPr>
        <w:t xml:space="preserve"> </w:t>
      </w:r>
      <w:r>
        <w:rPr>
          <w:rFonts w:ascii="Arial;sans-serif" w:hAnsi="Arial;sans-serif"/>
          <w:b w:val="false"/>
          <w:sz w:val="20"/>
        </w:rPr>
        <w:t>through various amendments of the Equity Participation Plan, the Company increased the maximum number of shares reserved for issuance under this plan to 44,471,000</w:t>
      </w:r>
      <w:r>
        <w:rPr>
          <w:rFonts w:ascii="Times New Roman" w:hAnsi="Times New Roman"/>
          <w:sz w:val="20"/>
        </w:rPr>
        <w:t xml:space="preserve"> </w:t>
      </w:r>
      <w:r>
        <w:rPr>
          <w:rFonts w:ascii="Arial;sans-serif" w:hAnsi="Arial;sans-serif"/>
          <w:b w:val="false"/>
          <w:sz w:val="20"/>
        </w:rPr>
        <w:t>shares. The Company believes that such awards align the interests of its executive officers, employees, consultants and non-employee directors with those of its stockholders. Shares of the Company’s common stock granted under the Equity Participation Plan in the form of stock options or stock appreciation right are counted against the Equity Participation Plan share reserve on a one for one basis</w:t>
      </w:r>
      <w:r>
        <w:rPr>
          <w:rFonts w:ascii="Times New Roman" w:hAnsi="Times New Roman"/>
          <w:sz w:val="20"/>
        </w:rPr>
        <w:t xml:space="preserve"> </w:t>
      </w:r>
      <w:r>
        <w:rPr>
          <w:rFonts w:ascii="Arial;sans-serif" w:hAnsi="Arial;sans-serif"/>
          <w:b w:val="false"/>
          <w:sz w:val="20"/>
        </w:rPr>
        <w:t>and performance-based stock options are calculated assuming “maximum” performance.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subject to such awards.</w:t>
      </w:r>
      <w:r>
        <w:rPr>
          <w:rFonts w:ascii="Times New Roman" w:hAnsi="Times New Roman"/>
          <w:sz w:val="20"/>
        </w:rPr>
        <w:t xml:space="preserve"> </w:t>
      </w:r>
      <w:r>
        <w:rPr>
          <w:rFonts w:ascii="Arial;sans-serif" w:hAnsi="Arial;sans-serif"/>
          <w:b w:val="false"/>
          <w:sz w:val="20"/>
        </w:rPr>
        <w:t>Restricted stock units are granted to eligible employees and directors and represent rights to receive shares of common stock at a future date.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F-37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From November 1996 to September 2021 through various amendments of the Employee Stock Purchase Plan, the Company increased the maximum number of shares reserved for issuance under the Employee Stock Purchase Plan to 6,950,000</w:t>
      </w:r>
      <w:r>
        <w:rPr>
          <w:rFonts w:ascii="Times New Roman" w:hAnsi="Times New Roman"/>
          <w:sz w:val="20"/>
        </w:rPr>
        <w:t xml:space="preserve"> </w:t>
      </w:r>
      <w:r>
        <w:rPr>
          <w:rFonts w:ascii="Arial;sans-serif" w:hAnsi="Arial;sans-serif"/>
          <w:b w:val="false"/>
          <w:sz w:val="20"/>
        </w:rPr>
        <w:t>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Total stock-based compensation expense recognized in accordance with the authoritative guidance for share-based payments was as follows:</w:t>
      </w:r>
      <w:r>
        <w:rPr>
          <w:rFonts w:ascii="Times New Roman" w:hAnsi="Times New Roman"/>
          <w:sz w:val="20"/>
        </w:rPr>
        <w:t xml:space="preserve"> </w:t>
      </w:r>
    </w:p>
    <w:p>
      <w:pPr>
        <w:pStyle w:val="TextBody"/>
        <w:bidi w:val="0"/>
        <w:spacing w:before="0" w:after="0"/>
        <w:jc w:val="left"/>
        <w:rPr/>
      </w:pPr>
      <w:r>
        <w:rPr/>
        <w:t> </w:t>
      </w:r>
    </w:p>
    <w:tbl>
      <w:tblPr>
        <w:tblW w:w="9202" w:type="dxa"/>
        <w:jc w:val="left"/>
        <w:tblInd w:w="0" w:type="dxa"/>
        <w:tblLayout w:type="fixed"/>
        <w:tblCellMar>
          <w:top w:w="28" w:type="dxa"/>
          <w:left w:w="28" w:type="dxa"/>
          <w:bottom w:w="28" w:type="dxa"/>
          <w:right w:w="28" w:type="dxa"/>
        </w:tblCellMar>
      </w:tblPr>
      <w:tblGrid>
        <w:gridCol w:w="4441"/>
        <w:gridCol w:w="146"/>
        <w:gridCol w:w="276"/>
        <w:gridCol w:w="984"/>
        <w:gridCol w:w="166"/>
        <w:gridCol w:w="146"/>
        <w:gridCol w:w="276"/>
        <w:gridCol w:w="984"/>
        <w:gridCol w:w="166"/>
        <w:gridCol w:w="146"/>
        <w:gridCol w:w="276"/>
        <w:gridCol w:w="984"/>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40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404"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Stock-based compensation expense before taxes</w:t>
            </w:r>
          </w:p>
        </w:tc>
        <w:tc>
          <w:tcPr>
            <w:tcW w:w="146" w:type="dxa"/>
            <w:tcBorders/>
            <w:vAlign w:val="center"/>
          </w:tcPr>
          <w:p>
            <w:pPr>
              <w:pStyle w:val="TableContents"/>
              <w:bidi w:val="0"/>
              <w:spacing w:before="0" w:after="0"/>
              <w:ind w:left="0" w:right="0" w:hanging="0"/>
              <w:jc w:val="center"/>
              <w:rPr/>
            </w:pPr>
            <w:r>
              <w:rPr/>
              <w:t> </w:t>
            </w:r>
          </w:p>
        </w:tc>
        <w:tc>
          <w:tcPr>
            <w:tcW w:w="2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84,981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82,128</w:t>
            </w:r>
          </w:p>
        </w:tc>
        <w:tc>
          <w:tcPr>
            <w:tcW w:w="21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Related income tax benefits</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(17,238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(18,869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Stock-based compensation expense, net of taxes</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64,874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65,172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63,259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In accordance with the authoritative guidance for share-based payments (ASC 718), the Company recognizes excess tax benefits or deficiencies on vesting or settlement of awards as discrete items within income tax benefit or provision within net income (loss) and the related cash flows classified within operating activities.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compensation cost that has been charged against income for the Equity Participation Plan under the authoritative guidance for share-based payments was $75.0</w:t>
      </w:r>
      <w:r>
        <w:rPr>
          <w:rFonts w:ascii="Times New Roman" w:hAnsi="Times New Roman"/>
          <w:sz w:val="20"/>
        </w:rPr>
        <w:t xml:space="preserve"> </w:t>
      </w:r>
      <w:r>
        <w:rPr>
          <w:rFonts w:ascii="Arial;sans-serif" w:hAnsi="Arial;sans-serif"/>
          <w:b w:val="false"/>
          <w:sz w:val="20"/>
        </w:rPr>
        <w:t>million, $79.4</w:t>
      </w:r>
      <w:r>
        <w:rPr>
          <w:rFonts w:ascii="Times New Roman" w:hAnsi="Times New Roman"/>
          <w:sz w:val="20"/>
        </w:rPr>
        <w:t xml:space="preserve"> </w:t>
      </w:r>
      <w:r>
        <w:rPr>
          <w:rFonts w:ascii="Arial;sans-serif" w:hAnsi="Arial;sans-serif"/>
          <w:b w:val="false"/>
          <w:sz w:val="20"/>
        </w:rPr>
        <w:t>million and $75.5</w:t>
      </w:r>
      <w:r>
        <w:rPr>
          <w:rFonts w:ascii="Times New Roman" w:hAnsi="Times New Roman"/>
          <w:sz w:val="20"/>
        </w:rPr>
        <w:t xml:space="preserve"> </w:t>
      </w:r>
      <w:r>
        <w:rPr>
          <w:rFonts w:ascii="Arial;sans-serif" w:hAnsi="Arial;sans-serif"/>
          <w:b w:val="false"/>
          <w:sz w:val="20"/>
        </w:rPr>
        <w:t>million, and for the Employee Stock Purchase Plan was $7.1</w:t>
      </w:r>
      <w:r>
        <w:rPr>
          <w:rFonts w:ascii="Times New Roman" w:hAnsi="Times New Roman"/>
          <w:sz w:val="20"/>
        </w:rPr>
        <w:t xml:space="preserve"> </w:t>
      </w:r>
      <w:r>
        <w:rPr>
          <w:rFonts w:ascii="Arial;sans-serif" w:hAnsi="Arial;sans-serif"/>
          <w:b w:val="false"/>
          <w:sz w:val="20"/>
        </w:rPr>
        <w:t>million, $5.6</w:t>
      </w:r>
      <w:r>
        <w:rPr>
          <w:rFonts w:ascii="Times New Roman" w:hAnsi="Times New Roman"/>
          <w:sz w:val="20"/>
        </w:rPr>
        <w:t xml:space="preserve"> </w:t>
      </w:r>
      <w:r>
        <w:rPr>
          <w:rFonts w:ascii="Arial;sans-serif" w:hAnsi="Arial;sans-serif"/>
          <w:b w:val="false"/>
          <w:sz w:val="20"/>
        </w:rPr>
        <w:t>million and $6.7</w:t>
      </w:r>
      <w:r>
        <w:rPr>
          <w:rFonts w:ascii="Times New Roman" w:hAnsi="Times New Roman"/>
          <w:sz w:val="20"/>
        </w:rPr>
        <w:t xml:space="preserve"> </w:t>
      </w:r>
      <w:r>
        <w:rPr>
          <w:rFonts w:ascii="Arial;sans-serif" w:hAnsi="Arial;sans-serif"/>
          <w:b w:val="false"/>
          <w:sz w:val="20"/>
        </w:rPr>
        <w:t>million, for the fiscal years ended March 31, 2023, 2022 and 2021, respectively. The Company capitalized $12.9</w:t>
      </w:r>
      <w:r>
        <w:rPr>
          <w:rFonts w:ascii="Times New Roman" w:hAnsi="Times New Roman"/>
          <w:sz w:val="20"/>
        </w:rPr>
        <w:t xml:space="preserve"> </w:t>
      </w:r>
      <w:r>
        <w:rPr>
          <w:rFonts w:ascii="Arial;sans-serif" w:hAnsi="Arial;sans-serif"/>
          <w:b w:val="false"/>
          <w:sz w:val="20"/>
        </w:rPr>
        <w:t>million, $10.6</w:t>
      </w:r>
      <w:r>
        <w:rPr>
          <w:rFonts w:ascii="Times New Roman" w:hAnsi="Times New Roman"/>
          <w:sz w:val="20"/>
        </w:rPr>
        <w:t xml:space="preserve"> </w:t>
      </w:r>
      <w:r>
        <w:rPr>
          <w:rFonts w:ascii="Arial;sans-serif" w:hAnsi="Arial;sans-serif"/>
          <w:b w:val="false"/>
          <w:sz w:val="20"/>
        </w:rPr>
        <w:t>million and $13.2</w:t>
      </w:r>
      <w:r>
        <w:rPr>
          <w:rFonts w:ascii="Times New Roman" w:hAnsi="Times New Roman"/>
          <w:sz w:val="20"/>
        </w:rPr>
        <w:t xml:space="preserve"> </w:t>
      </w:r>
      <w:r>
        <w:rPr>
          <w:rFonts w:ascii="Arial;sans-serif" w:hAnsi="Arial;sans-serif"/>
          <w:b w:val="false"/>
          <w:sz w:val="20"/>
        </w:rPr>
        <w:t>million of stock-based compensation expense as a part of the cost for software development for resale included in other assets and as a part of the equipment and software for internal use and satellites included in property, equipment and satellites, net for fiscal years 2023, 2022 and 2021, respectively.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As of March 31, 2023, total unrecognized compensation cost related to unvested stock-based compensation arrangements granted under the Equity Participation Plan (including stock options, TSR performance stock options and restricted stock units) and the Employee Stock Purchase Plan was $174.4</w:t>
      </w:r>
      <w:r>
        <w:rPr>
          <w:rFonts w:ascii="Times New Roman" w:hAnsi="Times New Roman"/>
          <w:sz w:val="20"/>
        </w:rPr>
        <w:t xml:space="preserve"> </w:t>
      </w:r>
      <w:r>
        <w:rPr>
          <w:rFonts w:ascii="Arial;sans-serif" w:hAnsi="Arial;sans-serif"/>
          <w:b w:val="false"/>
          <w:sz w:val="20"/>
        </w:rPr>
        <w:t>million and $2.8</w:t>
      </w:r>
      <w:r>
        <w:rPr>
          <w:rFonts w:ascii="Times New Roman" w:hAnsi="Times New Roman"/>
          <w:sz w:val="20"/>
        </w:rPr>
        <w:t xml:space="preserve"> </w:t>
      </w:r>
      <w:r>
        <w:rPr>
          <w:rFonts w:ascii="Arial;sans-serif" w:hAnsi="Arial;sans-serif"/>
          <w:b w:val="false"/>
          <w:sz w:val="20"/>
        </w:rPr>
        <w:t>million, respectively. These costs are expected to be recognized over a weighted average period of 0.5</w:t>
      </w:r>
      <w:r>
        <w:rPr>
          <w:rFonts w:ascii="Times New Roman" w:hAnsi="Times New Roman"/>
          <w:sz w:val="20"/>
        </w:rPr>
        <w:t xml:space="preserve"> </w:t>
      </w:r>
      <w:r>
        <w:rPr>
          <w:rFonts w:ascii="Arial;sans-serif" w:hAnsi="Arial;sans-serif"/>
          <w:b w:val="false"/>
          <w:sz w:val="20"/>
        </w:rPr>
        <w:t>years, 1.6</w:t>
      </w:r>
      <w:r>
        <w:rPr>
          <w:rFonts w:ascii="Times New Roman" w:hAnsi="Times New Roman"/>
          <w:sz w:val="20"/>
        </w:rPr>
        <w:t xml:space="preserve"> </w:t>
      </w:r>
      <w:r>
        <w:rPr>
          <w:rFonts w:ascii="Arial;sans-serif" w:hAnsi="Arial;sans-serif"/>
          <w:b w:val="false"/>
          <w:sz w:val="20"/>
        </w:rPr>
        <w:t>years and 2.8</w:t>
      </w:r>
      <w:r>
        <w:rPr>
          <w:rFonts w:ascii="Times New Roman" w:hAnsi="Times New Roman"/>
          <w:sz w:val="20"/>
        </w:rPr>
        <w:t xml:space="preserve"> </w:t>
      </w:r>
      <w:r>
        <w:rPr>
          <w:rFonts w:ascii="Arial;sans-serif" w:hAnsi="Arial;sans-serif"/>
          <w:b w:val="false"/>
          <w:sz w:val="20"/>
        </w:rPr>
        <w:t>years, for stock options, TSR performance stock options and restricted stock units, respectively, under the Equity Participation Plan and less than six months</w:t>
      </w:r>
      <w:r>
        <w:rPr>
          <w:rFonts w:ascii="Times New Roman" w:hAnsi="Times New Roman"/>
          <w:sz w:val="20"/>
        </w:rPr>
        <w:t xml:space="preserve"> </w:t>
      </w:r>
      <w:r>
        <w:rPr>
          <w:rFonts w:ascii="Arial;sans-serif" w:hAnsi="Arial;sans-serif"/>
          <w:b w:val="false"/>
          <w:sz w:val="20"/>
        </w:rPr>
        <w:t>under the Employee Stock Purchase Plan.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F-38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i/>
          <w:sz w:val="20"/>
        </w:rPr>
        <w:t>Stock options, TSR performance stock options and employee stock purchase plan.</w:t>
      </w:r>
      <w:r>
        <w:rPr>
          <w:rFonts w:ascii="Times New Roman" w:hAnsi="Times New Roman"/>
          <w:sz w:val="20"/>
        </w:rPr>
        <w:t xml:space="preserve"> </w:t>
      </w:r>
      <w:r>
        <w:rPr>
          <w:rFonts w:ascii="Arial;sans-serif" w:hAnsi="Arial;sans-serif"/>
          <w:b w:val="false"/>
          <w:sz w:val="20"/>
        </w:rPr>
        <w:t>The Company’s stock options typically have a simple four-year</w:t>
      </w:r>
      <w:r>
        <w:rPr>
          <w:rFonts w:ascii="Times New Roman" w:hAnsi="Times New Roman"/>
          <w:sz w:val="20"/>
        </w:rPr>
        <w:t xml:space="preserve"> </w:t>
      </w:r>
      <w:r>
        <w:rPr>
          <w:rFonts w:ascii="Arial;sans-serif" w:hAnsi="Arial;sans-serif"/>
          <w:b w:val="false"/>
          <w:sz w:val="20"/>
        </w:rPr>
        <w:t>vesting schedule (except for one- and three-year</w:t>
      </w:r>
      <w:r>
        <w:rPr>
          <w:rFonts w:ascii="Times New Roman" w:hAnsi="Times New Roman"/>
          <w:sz w:val="20"/>
        </w:rPr>
        <w:t xml:space="preserve"> </w:t>
      </w:r>
      <w:r>
        <w:rPr>
          <w:rFonts w:ascii="Arial;sans-serif" w:hAnsi="Arial;sans-serif"/>
          <w:b w:val="false"/>
          <w:sz w:val="20"/>
        </w:rPr>
        <w:t>vesting schedules for options granted to the members of the Company’s Board of Directors) and a six-year</w:t>
      </w:r>
      <w:r>
        <w:rPr>
          <w:rFonts w:ascii="Times New Roman" w:hAnsi="Times New Roman"/>
          <w:sz w:val="20"/>
        </w:rPr>
        <w:t xml:space="preserve"> </w:t>
      </w:r>
      <w:r>
        <w:rPr>
          <w:rFonts w:ascii="Arial;sans-serif" w:hAnsi="Arial;sans-serif"/>
          <w:b w:val="false"/>
          <w:sz w:val="20"/>
        </w:rPr>
        <w:t>contractual term. The Company grants TSR performance stock options to executive officers under the Equity Participation Plan. The number of shares of TSR performance stock options that will become eligible to vest based on the time-based vesting schedule described below is based on a comparison over a four-year performance period of the Company’s TSR to the TSR of the companies included in the S&amp;P Mid Cap 400 Index. The number of options that may become vested and exercisable will range from 0% to 175% of the target number of options based on the Company’s relative TSR ranking for the performance period. The Company’s TSR performance stock options have a four-year</w:t>
      </w:r>
      <w:r>
        <w:rPr>
          <w:rFonts w:ascii="Arial;sans-serif" w:hAnsi="Arial;sans-serif"/>
          <w:sz w:val="20"/>
        </w:rPr>
        <w:t xml:space="preserve"> </w:t>
      </w:r>
      <w:r>
        <w:rPr>
          <w:rFonts w:ascii="Arial;sans-serif" w:hAnsi="Arial;sans-serif"/>
          <w:b w:val="false"/>
          <w:sz w:val="20"/>
        </w:rPr>
        <w:t>time-based vesting schedule and a six-year</w:t>
      </w:r>
      <w:r>
        <w:rPr>
          <w:rFonts w:ascii="Arial;sans-serif" w:hAnsi="Arial;sans-serif"/>
          <w:sz w:val="20"/>
        </w:rPr>
        <w:t xml:space="preserve"> </w:t>
      </w:r>
      <w:r>
        <w:rPr>
          <w:rFonts w:ascii="Arial;sans-serif" w:hAnsi="Arial;sans-serif"/>
          <w:b w:val="false"/>
          <w:sz w:val="20"/>
        </w:rPr>
        <w:t>contractual term. The TSR performance stock options must be vested under both the time-based vesting schedule and the performance-based vesting conditions in order to become exercisable. Expense for TSR performance stock options that time-vest is recognized regardless of the actual TSR outcome achieved and is recognized on a graded-vesting basis.</w:t>
      </w:r>
      <w:r>
        <w:rPr>
          <w:rFonts w:ascii="Times New Roman" w:hAnsi="Times New Roman"/>
          <w:sz w:val="20"/>
        </w:rPr>
        <w:t xml:space="preserve"> </w:t>
      </w:r>
      <w:r>
        <w:rPr>
          <w:rFonts w:ascii="Arial;sans-serif" w:hAnsi="Arial;sans-serif"/>
          <w:b w:val="false"/>
          <w:sz w:val="20"/>
        </w:rPr>
        <w:t>The weighted average estimated fair value of TSR performance stock options granted during fiscal years 2023, 2022 and 2021</w:t>
      </w:r>
      <w:r>
        <w:rPr>
          <w:rFonts w:ascii="Times New Roman" w:hAnsi="Times New Roman"/>
          <w:sz w:val="20"/>
        </w:rPr>
        <w:t xml:space="preserve"> </w:t>
      </w:r>
      <w:r>
        <w:rPr>
          <w:rFonts w:ascii="Arial;sans-serif" w:hAnsi="Arial;sans-serif"/>
          <w:b w:val="false"/>
          <w:sz w:val="20"/>
        </w:rPr>
        <w:t>was $25.06, $31.11</w:t>
      </w:r>
      <w:r>
        <w:rPr>
          <w:rFonts w:ascii="Times New Roman" w:hAnsi="Times New Roman"/>
          <w:sz w:val="20"/>
        </w:rPr>
        <w:t xml:space="preserve"> </w:t>
      </w:r>
      <w:r>
        <w:rPr>
          <w:rFonts w:ascii="Arial;sans-serif" w:hAnsi="Arial;sans-serif"/>
          <w:b w:val="false"/>
          <w:sz w:val="20"/>
        </w:rPr>
        <w:t>and $19.25</w:t>
      </w:r>
      <w:r>
        <w:rPr>
          <w:rFonts w:ascii="Times New Roman" w:hAnsi="Times New Roman"/>
          <w:sz w:val="20"/>
        </w:rPr>
        <w:t xml:space="preserve"> </w:t>
      </w:r>
      <w:r>
        <w:rPr>
          <w:rFonts w:ascii="Arial;sans-serif" w:hAnsi="Arial;sans-serif"/>
          <w:b w:val="false"/>
          <w:sz w:val="20"/>
        </w:rPr>
        <w:t>per share, respectively, using the Monte Carlo simulation. The weighted average estimated fair value of stock options granted and employee stock purchase plan shares issued during fiscal year 2023</w:t>
      </w:r>
      <w:r>
        <w:rPr>
          <w:rFonts w:ascii="Times New Roman" w:hAnsi="Times New Roman"/>
          <w:sz w:val="20"/>
        </w:rPr>
        <w:t xml:space="preserve"> </w:t>
      </w:r>
      <w:r>
        <w:rPr>
          <w:rFonts w:ascii="Arial;sans-serif" w:hAnsi="Arial;sans-serif"/>
          <w:b w:val="false"/>
          <w:sz w:val="20"/>
        </w:rPr>
        <w:t>was $16.49</w:t>
      </w:r>
      <w:r>
        <w:rPr>
          <w:rFonts w:ascii="Times New Roman" w:hAnsi="Times New Roman"/>
          <w:sz w:val="20"/>
        </w:rPr>
        <w:t xml:space="preserve"> </w:t>
      </w:r>
      <w:r>
        <w:rPr>
          <w:rFonts w:ascii="Arial;sans-serif" w:hAnsi="Arial;sans-serif"/>
          <w:b w:val="false"/>
          <w:sz w:val="20"/>
        </w:rPr>
        <w:t>and $10.30</w:t>
      </w:r>
      <w:r>
        <w:rPr>
          <w:rFonts w:ascii="Times New Roman" w:hAnsi="Times New Roman"/>
          <w:sz w:val="20"/>
        </w:rPr>
        <w:t xml:space="preserve"> </w:t>
      </w:r>
      <w:r>
        <w:rPr>
          <w:rFonts w:ascii="Arial;sans-serif" w:hAnsi="Arial;sans-serif"/>
          <w:b w:val="false"/>
          <w:sz w:val="20"/>
        </w:rPr>
        <w:t>per share, respectively, during fiscal year 2022</w:t>
      </w:r>
      <w:r>
        <w:rPr>
          <w:rFonts w:ascii="Times New Roman" w:hAnsi="Times New Roman"/>
          <w:sz w:val="20"/>
        </w:rPr>
        <w:t xml:space="preserve"> </w:t>
      </w:r>
      <w:r>
        <w:rPr>
          <w:rFonts w:ascii="Arial;sans-serif" w:hAnsi="Arial;sans-serif"/>
          <w:b w:val="false"/>
          <w:sz w:val="20"/>
        </w:rPr>
        <w:t>was $13.50</w:t>
      </w:r>
      <w:r>
        <w:rPr>
          <w:rFonts w:ascii="Times New Roman" w:hAnsi="Times New Roman"/>
          <w:sz w:val="20"/>
        </w:rPr>
        <w:t xml:space="preserve"> </w:t>
      </w:r>
      <w:r>
        <w:rPr>
          <w:rFonts w:ascii="Arial;sans-serif" w:hAnsi="Arial;sans-serif"/>
          <w:b w:val="false"/>
          <w:sz w:val="20"/>
        </w:rPr>
        <w:t>and $12.37</w:t>
      </w:r>
      <w:r>
        <w:rPr>
          <w:rFonts w:ascii="Times New Roman" w:hAnsi="Times New Roman"/>
          <w:sz w:val="20"/>
        </w:rPr>
        <w:t xml:space="preserve"> </w:t>
      </w:r>
      <w:r>
        <w:rPr>
          <w:rFonts w:ascii="Arial;sans-serif" w:hAnsi="Arial;sans-serif"/>
          <w:b w:val="false"/>
          <w:sz w:val="20"/>
        </w:rPr>
        <w:t>per share, respectively, and during fiscal year 2021</w:t>
      </w:r>
      <w:r>
        <w:rPr>
          <w:rFonts w:ascii="Times New Roman" w:hAnsi="Times New Roman"/>
          <w:sz w:val="20"/>
        </w:rPr>
        <w:t xml:space="preserve"> </w:t>
      </w:r>
      <w:r>
        <w:rPr>
          <w:rFonts w:ascii="Arial;sans-serif" w:hAnsi="Arial;sans-serif"/>
          <w:b w:val="false"/>
          <w:sz w:val="20"/>
        </w:rPr>
        <w:t>was $12.81</w:t>
      </w:r>
      <w:r>
        <w:rPr>
          <w:rFonts w:ascii="Times New Roman" w:hAnsi="Times New Roman"/>
          <w:sz w:val="20"/>
        </w:rPr>
        <w:t xml:space="preserve"> </w:t>
      </w:r>
      <w:r>
        <w:rPr>
          <w:rFonts w:ascii="Arial;sans-serif" w:hAnsi="Arial;sans-serif"/>
          <w:b w:val="false"/>
          <w:sz w:val="20"/>
        </w:rPr>
        <w:t>and $11.60</w:t>
      </w:r>
      <w:r>
        <w:rPr>
          <w:rFonts w:ascii="Times New Roman" w:hAnsi="Times New Roman"/>
          <w:sz w:val="20"/>
        </w:rPr>
        <w:t xml:space="preserve"> </w:t>
      </w:r>
      <w:r>
        <w:rPr>
          <w:rFonts w:ascii="Arial;sans-serif" w:hAnsi="Arial;sans-serif"/>
          <w:b w:val="false"/>
          <w:sz w:val="20"/>
        </w:rPr>
        <w:t xml:space="preserve">per share, respectively, using the Black-Scholes model. The weighted average assumptions (annualized percentages) used in the Black-Scholes model and Monte Carlo simulation were as follows: </w:t>
      </w:r>
    </w:p>
    <w:p>
      <w:pPr>
        <w:pStyle w:val="TextBody"/>
        <w:bidi w:val="0"/>
        <w:spacing w:before="0" w:after="0"/>
        <w:jc w:val="left"/>
        <w:rPr/>
      </w:pPr>
      <w:r>
        <w:rPr/>
        <w:t> </w:t>
      </w:r>
    </w:p>
    <w:tbl>
      <w:tblPr>
        <w:tblW w:w="10318" w:type="dxa"/>
        <w:jc w:val="left"/>
        <w:tblInd w:w="0" w:type="dxa"/>
        <w:tblLayout w:type="fixed"/>
        <w:tblCellMar>
          <w:top w:w="28" w:type="dxa"/>
          <w:left w:w="28" w:type="dxa"/>
          <w:bottom w:w="28" w:type="dxa"/>
          <w:right w:w="28" w:type="dxa"/>
        </w:tblCellMar>
      </w:tblPr>
      <w:tblGrid>
        <w:gridCol w:w="706"/>
        <w:gridCol w:w="146"/>
        <w:gridCol w:w="263"/>
        <w:gridCol w:w="428"/>
        <w:gridCol w:w="226"/>
        <w:gridCol w:w="146"/>
        <w:gridCol w:w="263"/>
        <w:gridCol w:w="428"/>
        <w:gridCol w:w="226"/>
        <w:gridCol w:w="146"/>
        <w:gridCol w:w="263"/>
        <w:gridCol w:w="428"/>
        <w:gridCol w:w="226"/>
        <w:gridCol w:w="146"/>
        <w:gridCol w:w="264"/>
        <w:gridCol w:w="427"/>
        <w:gridCol w:w="226"/>
        <w:gridCol w:w="146"/>
        <w:gridCol w:w="264"/>
        <w:gridCol w:w="427"/>
        <w:gridCol w:w="226"/>
        <w:gridCol w:w="146"/>
        <w:gridCol w:w="264"/>
        <w:gridCol w:w="427"/>
        <w:gridCol w:w="226"/>
        <w:gridCol w:w="146"/>
        <w:gridCol w:w="263"/>
        <w:gridCol w:w="428"/>
        <w:gridCol w:w="226"/>
        <w:gridCol w:w="146"/>
        <w:gridCol w:w="263"/>
        <w:gridCol w:w="428"/>
        <w:gridCol w:w="226"/>
        <w:gridCol w:w="146"/>
        <w:gridCol w:w="263"/>
        <w:gridCol w:w="428"/>
        <w:gridCol w:w="27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1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Stock Options</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1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TSR Performance Stock Options</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1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Employee Stock Purchase Plan</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2023</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2022</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2021</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2023</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2022</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2021</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2023</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2022</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Fiscal Year</w:t>
              <w:br/>
              <w:t>2021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Volatility</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46.4</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49.5</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39.1</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49.9</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42.5</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39.8</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60.5</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42.1</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64.8</w:t>
            </w:r>
          </w:p>
        </w:tc>
        <w:tc>
          <w:tcPr>
            <w:tcW w:w="27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70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Risk-free interest rate</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3.4</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0.4</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0.2</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3.8</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1.2</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0.4</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3.4</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0.1</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0.1</w:t>
            </w:r>
          </w:p>
        </w:tc>
        <w:tc>
          <w:tcPr>
            <w:tcW w:w="27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70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Dividend yield</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4"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2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0.0</w:t>
            </w:r>
          </w:p>
        </w:tc>
        <w:tc>
          <w:tcPr>
            <w:tcW w:w="27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70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Expected life</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5.0</w:t>
            </w:r>
            <w:r>
              <w:rPr>
                <w:rFonts w:ascii="Times New Roman" w:hAnsi="Times New Roman"/>
                <w:sz w:val="20"/>
              </w:rPr>
              <w:t> </w:t>
            </w:r>
            <w:r>
              <w:rPr>
                <w:rFonts w:ascii="Arial;sans-serif" w:hAnsi="Arial;sans-serif"/>
                <w:b w:val="false"/>
                <w:sz w:val="14"/>
              </w:rPr>
              <w:t>years</w:t>
            </w:r>
          </w:p>
        </w:tc>
        <w:tc>
          <w:tcPr>
            <w:tcW w:w="2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3.2</w:t>
            </w:r>
            <w:r>
              <w:rPr>
                <w:rFonts w:ascii="Times New Roman" w:hAnsi="Times New Roman"/>
                <w:sz w:val="20"/>
              </w:rPr>
              <w:t> </w:t>
            </w:r>
            <w:r>
              <w:rPr>
                <w:rFonts w:ascii="Arial;sans-serif" w:hAnsi="Arial;sans-serif"/>
                <w:b w:val="false"/>
                <w:sz w:val="14"/>
              </w:rPr>
              <w:t>years</w:t>
            </w:r>
          </w:p>
        </w:tc>
        <w:tc>
          <w:tcPr>
            <w:tcW w:w="2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5.0</w:t>
            </w:r>
            <w:r>
              <w:rPr>
                <w:rFonts w:ascii="Times New Roman" w:hAnsi="Times New Roman"/>
                <w:sz w:val="20"/>
              </w:rPr>
              <w:t> </w:t>
            </w:r>
            <w:r>
              <w:rPr>
                <w:rFonts w:ascii="Arial;sans-serif" w:hAnsi="Arial;sans-serif"/>
                <w:b w:val="false"/>
                <w:sz w:val="14"/>
              </w:rPr>
              <w:t>years</w:t>
            </w:r>
          </w:p>
        </w:tc>
        <w:tc>
          <w:tcPr>
            <w:tcW w:w="2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5.0</w:t>
            </w:r>
            <w:r>
              <w:rPr>
                <w:rFonts w:ascii="Times New Roman" w:hAnsi="Times New Roman"/>
                <w:sz w:val="20"/>
              </w:rPr>
              <w:t> </w:t>
            </w:r>
            <w:r>
              <w:rPr>
                <w:rFonts w:ascii="Arial;sans-serif" w:hAnsi="Arial;sans-serif"/>
                <w:b w:val="false"/>
                <w:sz w:val="14"/>
              </w:rPr>
              <w:t>years</w:t>
            </w:r>
          </w:p>
        </w:tc>
        <w:tc>
          <w:tcPr>
            <w:tcW w:w="2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5.0</w:t>
            </w:r>
            <w:r>
              <w:rPr>
                <w:rFonts w:ascii="Times New Roman" w:hAnsi="Times New Roman"/>
                <w:sz w:val="20"/>
              </w:rPr>
              <w:t> </w:t>
            </w:r>
            <w:r>
              <w:rPr>
                <w:rFonts w:ascii="Arial;sans-serif" w:hAnsi="Arial;sans-serif"/>
                <w:b w:val="false"/>
                <w:sz w:val="14"/>
              </w:rPr>
              <w:t>years</w:t>
            </w:r>
          </w:p>
        </w:tc>
        <w:tc>
          <w:tcPr>
            <w:tcW w:w="2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5.0</w:t>
            </w:r>
            <w:r>
              <w:rPr>
                <w:rFonts w:ascii="Times New Roman" w:hAnsi="Times New Roman"/>
                <w:sz w:val="20"/>
              </w:rPr>
              <w:t> </w:t>
            </w:r>
            <w:r>
              <w:rPr>
                <w:rFonts w:ascii="Arial;sans-serif" w:hAnsi="Arial;sans-serif"/>
                <w:b w:val="false"/>
                <w:sz w:val="14"/>
              </w:rPr>
              <w:t>years</w:t>
            </w:r>
          </w:p>
        </w:tc>
        <w:tc>
          <w:tcPr>
            <w:tcW w:w="2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0.5</w:t>
            </w:r>
            <w:r>
              <w:rPr>
                <w:rFonts w:ascii="Times New Roman" w:hAnsi="Times New Roman"/>
                <w:sz w:val="20"/>
              </w:rPr>
              <w:t> </w:t>
            </w:r>
            <w:r>
              <w:rPr>
                <w:rFonts w:ascii="Arial;sans-serif" w:hAnsi="Arial;sans-serif"/>
                <w:b w:val="false"/>
                <w:sz w:val="14"/>
              </w:rPr>
              <w:t>years</w:t>
            </w:r>
          </w:p>
        </w:tc>
        <w:tc>
          <w:tcPr>
            <w:tcW w:w="2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0.5</w:t>
            </w:r>
            <w:r>
              <w:rPr>
                <w:rFonts w:ascii="Times New Roman" w:hAnsi="Times New Roman"/>
                <w:sz w:val="20"/>
              </w:rPr>
              <w:t> </w:t>
            </w:r>
            <w:r>
              <w:rPr>
                <w:rFonts w:ascii="Arial;sans-serif" w:hAnsi="Arial;sans-serif"/>
                <w:b w:val="false"/>
                <w:sz w:val="14"/>
              </w:rPr>
              <w:t>years</w:t>
            </w:r>
          </w:p>
        </w:tc>
        <w:tc>
          <w:tcPr>
            <w:tcW w:w="2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14"/>
              </w:rPr>
              <w:t>0.5</w:t>
            </w:r>
            <w:r>
              <w:rPr>
                <w:rFonts w:ascii="Times New Roman" w:hAnsi="Times New Roman"/>
                <w:sz w:val="20"/>
              </w:rPr>
              <w:t> </w:t>
            </w:r>
            <w:r>
              <w:rPr>
                <w:rFonts w:ascii="Arial;sans-serif" w:hAnsi="Arial;sans-serif"/>
                <w:b w:val="false"/>
                <w:sz w:val="14"/>
              </w:rPr>
              <w:t>years</w:t>
            </w:r>
          </w:p>
        </w:tc>
        <w:tc>
          <w:tcPr>
            <w:tcW w:w="27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Company’s expected volatility is a measure of the amount by which its stock price is expected to fluctuate over the expected term of the stock-based award. The estimated volatilities for stock options and TSR performance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terms or lives of stock options and TSR performance stock options represent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 summary of stock option activity for fiscal year 2023 is presented below:</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708"/>
        <w:gridCol w:w="146"/>
        <w:gridCol w:w="146"/>
        <w:gridCol w:w="856"/>
        <w:gridCol w:w="166"/>
        <w:gridCol w:w="146"/>
        <w:gridCol w:w="313"/>
        <w:gridCol w:w="874"/>
        <w:gridCol w:w="146"/>
        <w:gridCol w:w="146"/>
        <w:gridCol w:w="426"/>
        <w:gridCol w:w="1101"/>
        <w:gridCol w:w="146"/>
        <w:gridCol w:w="146"/>
        <w:gridCol w:w="504"/>
        <w:gridCol w:w="759"/>
        <w:gridCol w:w="476"/>
      </w:tblGrid>
      <w:tr>
        <w:trPr/>
        <w:tc>
          <w:tcPr>
            <w:tcW w:w="3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7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Exercise 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 Average</w:t>
              <w:br/>
              <w:t>Remaining</w:t>
              <w:br/>
              <w:t>Contractual</w:t>
              <w:b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w:t>
              <w:br/>
              <w:t>Intrinsic</w:t>
              <w:br/>
              <w:t>Value</w:t>
              <w:br/>
              <w:t>(In thousands)</w:t>
            </w:r>
          </w:p>
        </w:tc>
        <w:tc>
          <w:tcPr>
            <w:tcW w:w="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Outstanding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640,729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476" w:type="dxa"/>
            <w:tcBorders/>
            <w:vAlign w:val="center"/>
          </w:tcPr>
          <w:p>
            <w:pPr>
              <w:pStyle w:val="TableContents"/>
              <w:bidi w:val="0"/>
              <w:spacing w:before="0" w:after="0"/>
              <w:ind w:left="0" w:right="0" w:firstLine="280"/>
              <w:jc w:val="right"/>
              <w:rPr/>
            </w:pPr>
            <w:r>
              <w:rPr/>
              <w:t> </w:t>
            </w:r>
          </w:p>
        </w:tc>
      </w:tr>
      <w:tr>
        <w:trPr/>
        <w:tc>
          <w:tcPr>
            <w:tcW w:w="370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476" w:type="dxa"/>
            <w:tcBorders/>
            <w:vAlign w:val="center"/>
          </w:tcPr>
          <w:p>
            <w:pPr>
              <w:pStyle w:val="TableContents"/>
              <w:bidi w:val="0"/>
              <w:spacing w:before="0" w:after="0"/>
              <w:ind w:left="0" w:right="0" w:firstLine="280"/>
              <w:jc w:val="right"/>
              <w:rPr/>
            </w:pPr>
            <w:r>
              <w:rPr/>
              <w:t> </w:t>
            </w:r>
          </w:p>
        </w:tc>
      </w:tr>
      <w:tr>
        <w:trPr/>
        <w:tc>
          <w:tcPr>
            <w:tcW w:w="370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Options expired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(434,233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476" w:type="dxa"/>
            <w:tcBorders/>
            <w:vAlign w:val="center"/>
          </w:tcPr>
          <w:p>
            <w:pPr>
              <w:pStyle w:val="TableContents"/>
              <w:bidi w:val="0"/>
              <w:spacing w:before="0" w:after="0"/>
              <w:ind w:left="0" w:right="0" w:firstLine="280"/>
              <w:jc w:val="right"/>
              <w:rPr/>
            </w:pPr>
            <w:r>
              <w:rPr/>
              <w:t> </w:t>
            </w:r>
          </w:p>
        </w:tc>
      </w:tr>
      <w:tr>
        <w:trPr/>
        <w:tc>
          <w:tcPr>
            <w:tcW w:w="370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476" w:type="dxa"/>
            <w:tcBorders/>
            <w:vAlign w:val="center"/>
          </w:tcPr>
          <w:p>
            <w:pPr>
              <w:pStyle w:val="TableContents"/>
              <w:bidi w:val="0"/>
              <w:spacing w:before="0" w:after="0"/>
              <w:ind w:left="0" w:right="0" w:hanging="0"/>
              <w:jc w:val="right"/>
              <w:rPr/>
            </w:pPr>
            <w:r>
              <w:rPr/>
              <w:t> </w:t>
            </w:r>
          </w:p>
        </w:tc>
      </w:tr>
      <w:tr>
        <w:trPr/>
        <w:tc>
          <w:tcPr>
            <w:tcW w:w="37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236,496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476" w:type="dxa"/>
            <w:tcBorders/>
            <w:vAlign w:val="center"/>
          </w:tcPr>
          <w:p>
            <w:pPr>
              <w:pStyle w:val="TableContents"/>
              <w:bidi w:val="0"/>
              <w:spacing w:before="0" w:after="0"/>
              <w:ind w:left="0" w:right="0" w:hanging="0"/>
              <w:jc w:val="left"/>
              <w:rPr/>
            </w:pPr>
            <w:r>
              <w:rPr/>
              <w:t> </w:t>
            </w:r>
          </w:p>
        </w:tc>
      </w:tr>
      <w:tr>
        <w:trPr/>
        <w:tc>
          <w:tcPr>
            <w:tcW w:w="37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Vested and exercisable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203,496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47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F-39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total intrinsic value of stock options exercised during fiscal years 2023, 2022 and 2021</w:t>
      </w:r>
      <w:r>
        <w:rPr>
          <w:rFonts w:ascii="Times New Roman" w:hAnsi="Times New Roman"/>
          <w:sz w:val="20"/>
        </w:rPr>
        <w:t xml:space="preserve"> </w:t>
      </w:r>
      <w:r>
        <w:rPr>
          <w:rFonts w:ascii="Arial;sans-serif" w:hAnsi="Arial;sans-serif"/>
          <w:b w:val="false"/>
          <w:sz w:val="20"/>
        </w:rPr>
        <w:t>was zero, an insignificant amount and zero, respectively. All options issued under the Company’s Equity Participation Plan have an exercise price equal to the fair market value of the Company’s stock on the date of the grant. The Company recorded no excess tax benefits during fiscal years 2023, 2022 and 2021.</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 summary of TSR performance stock option activity for fiscal year 2023 is presented below:</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636"/>
        <w:gridCol w:w="146"/>
        <w:gridCol w:w="146"/>
        <w:gridCol w:w="961"/>
        <w:gridCol w:w="166"/>
        <w:gridCol w:w="146"/>
        <w:gridCol w:w="311"/>
        <w:gridCol w:w="867"/>
        <w:gridCol w:w="146"/>
        <w:gridCol w:w="146"/>
        <w:gridCol w:w="422"/>
        <w:gridCol w:w="1091"/>
        <w:gridCol w:w="146"/>
        <w:gridCol w:w="146"/>
        <w:gridCol w:w="475"/>
        <w:gridCol w:w="780"/>
        <w:gridCol w:w="474"/>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6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 of</w:t>
              <w:br/>
              <w:t>Shares (1)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Exercise 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 Average</w:t>
              <w:br/>
              <w:t>Remaining</w:t>
              <w:br/>
              <w:t>Contractual</w:t>
              <w:b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w:t>
              <w:br/>
              <w:t>Intrinsic</w:t>
              <w:br/>
              <w:t>Value</w:t>
              <w:br/>
              <w:t>(In thousands)</w:t>
            </w:r>
          </w:p>
        </w:tc>
        <w:tc>
          <w:tcPr>
            <w:tcW w:w="4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Outstanding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2,435,987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right"/>
              <w:rPr/>
            </w:pPr>
            <w:r>
              <w:rPr/>
              <w:t> </w:t>
            </w:r>
          </w:p>
        </w:tc>
        <w:tc>
          <w:tcPr>
            <w:tcW w:w="474" w:type="dxa"/>
            <w:tcBorders/>
            <w:vAlign w:val="center"/>
          </w:tcPr>
          <w:p>
            <w:pPr>
              <w:pStyle w:val="TableContents"/>
              <w:bidi w:val="0"/>
              <w:spacing w:before="0" w:after="0"/>
              <w:ind w:left="0" w:right="0" w:firstLine="280"/>
              <w:jc w:val="right"/>
              <w:rPr/>
            </w:pPr>
            <w:r>
              <w:rPr/>
              <w:t> </w:t>
            </w:r>
          </w:p>
        </w:tc>
      </w:tr>
      <w:tr>
        <w:trPr/>
        <w:tc>
          <w:tcPr>
            <w:tcW w:w="363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TSR performance 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557,687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right"/>
              <w:rPr/>
            </w:pPr>
            <w:r>
              <w:rPr/>
              <w:t> </w:t>
            </w:r>
          </w:p>
        </w:tc>
        <w:tc>
          <w:tcPr>
            <w:tcW w:w="474" w:type="dxa"/>
            <w:tcBorders/>
            <w:vAlign w:val="center"/>
          </w:tcPr>
          <w:p>
            <w:pPr>
              <w:pStyle w:val="TableContents"/>
              <w:bidi w:val="0"/>
              <w:spacing w:before="0" w:after="0"/>
              <w:ind w:left="0" w:right="0" w:firstLine="280"/>
              <w:jc w:val="right"/>
              <w:rPr/>
            </w:pPr>
            <w:r>
              <w:rPr/>
              <w:t> </w:t>
            </w:r>
          </w:p>
        </w:tc>
      </w:tr>
      <w:tr>
        <w:trPr/>
        <w:tc>
          <w:tcPr>
            <w:tcW w:w="363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TSR performance options canceled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(586,362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right"/>
              <w:rPr/>
            </w:pPr>
            <w:r>
              <w:rPr/>
              <w:t> </w:t>
            </w:r>
          </w:p>
        </w:tc>
        <w:tc>
          <w:tcPr>
            <w:tcW w:w="474" w:type="dxa"/>
            <w:tcBorders/>
            <w:vAlign w:val="center"/>
          </w:tcPr>
          <w:p>
            <w:pPr>
              <w:pStyle w:val="TableContents"/>
              <w:bidi w:val="0"/>
              <w:spacing w:before="0" w:after="0"/>
              <w:ind w:left="0" w:right="0" w:firstLine="280"/>
              <w:jc w:val="right"/>
              <w:rPr/>
            </w:pPr>
            <w:r>
              <w:rPr/>
              <w:t> </w:t>
            </w:r>
          </w:p>
        </w:tc>
      </w:tr>
      <w:tr>
        <w:trPr/>
        <w:tc>
          <w:tcPr>
            <w:tcW w:w="363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TSR performance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right"/>
              <w:rPr/>
            </w:pPr>
            <w:r>
              <w:rPr/>
              <w:t> </w:t>
            </w:r>
          </w:p>
        </w:tc>
        <w:tc>
          <w:tcPr>
            <w:tcW w:w="474" w:type="dxa"/>
            <w:tcBorders/>
            <w:vAlign w:val="center"/>
          </w:tcPr>
          <w:p>
            <w:pPr>
              <w:pStyle w:val="TableContents"/>
              <w:bidi w:val="0"/>
              <w:spacing w:before="0" w:after="0"/>
              <w:ind w:left="0" w:right="0" w:hanging="0"/>
              <w:jc w:val="right"/>
              <w:rPr/>
            </w:pPr>
            <w:r>
              <w:rPr/>
              <w:t> </w:t>
            </w:r>
          </w:p>
        </w:tc>
      </w:tr>
      <w:tr>
        <w:trPr/>
        <w:tc>
          <w:tcPr>
            <w:tcW w:w="36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2,407,312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2"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0"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 </w:t>
            </w:r>
          </w:p>
        </w:tc>
      </w:tr>
      <w:tr>
        <w:trPr/>
        <w:tc>
          <w:tcPr>
            <w:tcW w:w="36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Vested and exercisable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2" w:type="dxa"/>
            <w:tcBorders/>
            <w:vAlign w:val="center"/>
          </w:tcPr>
          <w:p>
            <w:pPr>
              <w:pStyle w:val="TableContents"/>
              <w:bidi w:val="0"/>
              <w:spacing w:before="0" w:after="0"/>
              <w:ind w:left="0" w:right="0" w:hanging="0"/>
              <w:jc w:val="left"/>
              <w:rPr/>
            </w:pPr>
            <w:r>
              <w:rPr/>
              <w:t> </w:t>
            </w:r>
          </w:p>
        </w:tc>
        <w:tc>
          <w:tcPr>
            <w:tcW w:w="10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0"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Arial" w:hAnsi="Arial"/>
          <w:b w:val="false"/>
          <w:sz w:val="20"/>
        </w:rPr>
      </w:pPr>
      <w:r>
        <w:rPr>
          <w:rFonts w:ascii="Arial" w:hAnsi="Arial"/>
          <w:b w:val="false"/>
          <w:sz w:val="20"/>
        </w:rPr>
        <w:t>(1)</w:t>
      </w:r>
    </w:p>
    <w:p>
      <w:pPr>
        <w:pStyle w:val="TextBody"/>
        <w:bidi w:val="0"/>
        <w:jc w:val="left"/>
        <w:rPr>
          <w:rFonts w:ascii="Arial;sans-serif" w:hAnsi="Arial;sans-serif"/>
          <w:b w:val="false"/>
          <w:sz w:val="20"/>
        </w:rPr>
      </w:pPr>
      <w:r>
        <w:rPr>
          <w:rFonts w:ascii="Arial;sans-serif" w:hAnsi="Arial;sans-serif"/>
          <w:b w:val="false"/>
          <w:sz w:val="20"/>
        </w:rPr>
        <w:t>Number of shares is based on the target number of options under each TSR performance stock option.</w:t>
      </w:r>
    </w:p>
    <w:p>
      <w:pPr>
        <w:pStyle w:val="TextBody"/>
        <w:bidi w:val="0"/>
        <w:spacing w:before="180" w:after="0"/>
        <w:jc w:val="left"/>
        <w:rPr>
          <w:rFonts w:ascii="Times New Roman" w:hAnsi="Times New Roman"/>
          <w:sz w:val="20"/>
        </w:rPr>
      </w:pPr>
      <w:r>
        <w:rPr>
          <w:rFonts w:ascii="Arial;sans-serif" w:hAnsi="Arial;sans-serif"/>
          <w:b w:val="false"/>
          <w:i/>
          <w:sz w:val="20"/>
        </w:rPr>
        <w:t>Restricted stock units.</w:t>
      </w:r>
      <w:r>
        <w:rPr>
          <w:rFonts w:ascii="Times New Roman" w:hAnsi="Times New Roman"/>
          <w:sz w:val="20"/>
        </w:rPr>
        <w:t xml:space="preserve"> </w:t>
      </w:r>
      <w:r>
        <w:rPr>
          <w:rFonts w:ascii="Arial;sans-serif" w:hAnsi="Arial;sans-serif"/>
          <w:b w:val="false"/>
          <w:sz w:val="20"/>
        </w:rPr>
        <w:t>Restricted stock units represent a right to receive shares of common stock at a future date determined in accordance with the 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w:t>
      </w:r>
      <w:r>
        <w:rPr>
          <w:rFonts w:ascii="Times New Roman" w:hAnsi="Times New Roman"/>
          <w:sz w:val="20"/>
        </w:rPr>
        <w:t xml:space="preserve"> </w:t>
      </w:r>
      <w:r>
        <w:rPr>
          <w:rFonts w:ascii="Arial;sans-serif" w:hAnsi="Arial;sans-serif"/>
          <w:b w:val="false"/>
          <w:sz w:val="20"/>
        </w:rPr>
        <w:t>(except for one- and three-year</w:t>
      </w:r>
      <w:r>
        <w:rPr>
          <w:rFonts w:ascii="Times New Roman" w:hAnsi="Times New Roman"/>
          <w:sz w:val="20"/>
        </w:rPr>
        <w:t xml:space="preserve"> </w:t>
      </w:r>
      <w:r>
        <w:rPr>
          <w:rFonts w:ascii="Arial;sans-serif" w:hAnsi="Arial;sans-serif"/>
          <w:b w:val="false"/>
          <w:sz w:val="20"/>
        </w:rPr>
        <w:t>vesting schedules for restricted stock units granted to the members of the Company’s Board of Directors). Compensation cost for these awards is based on the fair value on the date of grant and recognized as compensation expense on a straight-line basis over the requisite service period. For fiscal years 2023, 2022 and 2021, the Company recognized $59.1</w:t>
      </w:r>
      <w:r>
        <w:rPr>
          <w:rFonts w:ascii="Times New Roman" w:hAnsi="Times New Roman"/>
          <w:sz w:val="20"/>
        </w:rPr>
        <w:t xml:space="preserve"> </w:t>
      </w:r>
      <w:r>
        <w:rPr>
          <w:rFonts w:ascii="Arial;sans-serif" w:hAnsi="Arial;sans-serif"/>
          <w:b w:val="false"/>
          <w:sz w:val="20"/>
        </w:rPr>
        <w:t>million, $63.1</w:t>
      </w:r>
      <w:r>
        <w:rPr>
          <w:rFonts w:ascii="Times New Roman" w:hAnsi="Times New Roman"/>
          <w:sz w:val="20"/>
        </w:rPr>
        <w:t xml:space="preserve"> </w:t>
      </w:r>
      <w:r>
        <w:rPr>
          <w:rFonts w:ascii="Arial;sans-serif" w:hAnsi="Arial;sans-serif"/>
          <w:b w:val="false"/>
          <w:sz w:val="20"/>
        </w:rPr>
        <w:t>million and $56.9</w:t>
      </w:r>
      <w:r>
        <w:rPr>
          <w:rFonts w:ascii="Times New Roman" w:hAnsi="Times New Roman"/>
          <w:sz w:val="20"/>
        </w:rPr>
        <w:t xml:space="preserve"> </w:t>
      </w:r>
      <w:r>
        <w:rPr>
          <w:rFonts w:ascii="Arial;sans-serif" w:hAnsi="Arial;sans-serif"/>
          <w:b w:val="false"/>
          <w:sz w:val="20"/>
        </w:rPr>
        <w:t>million, respectively, in stock-based compensation expense related to these restricted stock unit awards.</w:t>
      </w:r>
    </w:p>
    <w:p>
      <w:pPr>
        <w:pStyle w:val="TextBody"/>
        <w:bidi w:val="0"/>
        <w:spacing w:before="180" w:after="0"/>
        <w:jc w:val="left"/>
        <w:rPr>
          <w:rFonts w:ascii="Times New Roman" w:hAnsi="Times New Roman"/>
          <w:sz w:val="20"/>
        </w:rPr>
      </w:pPr>
      <w:r>
        <w:rPr>
          <w:rFonts w:ascii="Arial;sans-serif" w:hAnsi="Arial;sans-serif"/>
          <w:b w:val="false"/>
          <w:sz w:val="20"/>
        </w:rPr>
        <w:t>The per unit weighted average grant date fair value of restricted stock units granted during fiscal years 2023, 2022 and 2021 was $35.04, $52.85</w:t>
      </w:r>
      <w:r>
        <w:rPr>
          <w:rFonts w:ascii="Times New Roman" w:hAnsi="Times New Roman"/>
          <w:sz w:val="20"/>
        </w:rPr>
        <w:t xml:space="preserve"> </w:t>
      </w:r>
      <w:r>
        <w:rPr>
          <w:rFonts w:ascii="Arial;sans-serif" w:hAnsi="Arial;sans-serif"/>
          <w:b w:val="false"/>
          <w:sz w:val="20"/>
        </w:rPr>
        <w:t xml:space="preserve">and $36.57, respectively. A summary of restricted stock unit activity for fiscal year 2023 is presented below: </w:t>
      </w:r>
    </w:p>
    <w:p>
      <w:pPr>
        <w:pStyle w:val="TextBody"/>
        <w:bidi w:val="0"/>
        <w:spacing w:before="0" w:after="0"/>
        <w:jc w:val="left"/>
        <w:rPr/>
      </w:pPr>
      <w:r>
        <w:rPr/>
        <w:t> </w:t>
      </w:r>
    </w:p>
    <w:tbl>
      <w:tblPr>
        <w:tblW w:w="6897" w:type="dxa"/>
        <w:jc w:val="left"/>
        <w:tblInd w:w="0" w:type="dxa"/>
        <w:tblLayout w:type="fixed"/>
        <w:tblCellMar>
          <w:top w:w="28" w:type="dxa"/>
          <w:left w:w="28" w:type="dxa"/>
          <w:bottom w:w="28" w:type="dxa"/>
          <w:right w:w="28" w:type="dxa"/>
        </w:tblCellMar>
      </w:tblPr>
      <w:tblGrid>
        <w:gridCol w:w="3511"/>
        <w:gridCol w:w="146"/>
        <w:gridCol w:w="146"/>
        <w:gridCol w:w="1021"/>
        <w:gridCol w:w="166"/>
        <w:gridCol w:w="146"/>
        <w:gridCol w:w="340"/>
        <w:gridCol w:w="950"/>
        <w:gridCol w:w="47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 of</w:t>
              <w:br/>
              <w:t>Restricted</w:t>
              <w:br/>
              <w:t>Stock</w:t>
              <w:br/>
              <w:t>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 Grant</w:t>
              <w:br/>
              <w:t>Date Fair Value</w:t>
              <w:br/>
              <w:t>per Share</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Outstanding at March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4,020,926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51.51</w:t>
            </w:r>
          </w:p>
        </w:tc>
        <w:tc>
          <w:tcPr>
            <w:tcW w:w="471" w:type="dxa"/>
            <w:tcBorders/>
            <w:vAlign w:val="center"/>
          </w:tcPr>
          <w:p>
            <w:pPr>
              <w:pStyle w:val="TableContents"/>
              <w:bidi w:val="0"/>
              <w:spacing w:before="0" w:after="0"/>
              <w:ind w:left="0" w:right="0" w:firstLine="280"/>
              <w:jc w:val="left"/>
              <w:rPr/>
            </w:pPr>
            <w:r>
              <w:rPr/>
              <w:t> </w:t>
            </w:r>
          </w:p>
        </w:tc>
      </w:tr>
      <w:tr>
        <w:trPr/>
        <w:tc>
          <w:tcPr>
            <w:tcW w:w="35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Awarded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2,199,042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0"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35.04</w:t>
            </w:r>
          </w:p>
        </w:tc>
        <w:tc>
          <w:tcPr>
            <w:tcW w:w="471" w:type="dxa"/>
            <w:tcBorders/>
            <w:vAlign w:val="center"/>
          </w:tcPr>
          <w:p>
            <w:pPr>
              <w:pStyle w:val="TableContents"/>
              <w:bidi w:val="0"/>
              <w:spacing w:before="0" w:after="0"/>
              <w:ind w:left="0" w:right="0" w:firstLine="280"/>
              <w:jc w:val="left"/>
              <w:rPr/>
            </w:pPr>
            <w:r>
              <w:rPr/>
              <w:t> </w:t>
            </w:r>
          </w:p>
        </w:tc>
      </w:tr>
      <w:tr>
        <w:trPr/>
        <w:tc>
          <w:tcPr>
            <w:tcW w:w="35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Forfeited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(378,238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40"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46.59</w:t>
            </w:r>
          </w:p>
        </w:tc>
        <w:tc>
          <w:tcPr>
            <w:tcW w:w="471" w:type="dxa"/>
            <w:tcBorders/>
            <w:vAlign w:val="center"/>
          </w:tcPr>
          <w:p>
            <w:pPr>
              <w:pStyle w:val="TableContents"/>
              <w:bidi w:val="0"/>
              <w:spacing w:before="0" w:after="0"/>
              <w:ind w:left="0" w:right="0" w:firstLine="280"/>
              <w:jc w:val="left"/>
              <w:rPr/>
            </w:pPr>
            <w:r>
              <w:rPr/>
              <w:t> </w:t>
            </w:r>
          </w:p>
        </w:tc>
      </w:tr>
      <w:tr>
        <w:trPr/>
        <w:tc>
          <w:tcPr>
            <w:tcW w:w="35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Vested</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(1,376,583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40"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54.15</w:t>
            </w:r>
          </w:p>
        </w:tc>
        <w:tc>
          <w:tcPr>
            <w:tcW w:w="47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Outstanding at March 31, 2023</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4,465,147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43.00</w:t>
            </w:r>
          </w:p>
        </w:tc>
        <w:tc>
          <w:tcPr>
            <w:tcW w:w="47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Vested and deferred at March 31,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202,109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50.69</w:t>
            </w:r>
          </w:p>
        </w:tc>
        <w:tc>
          <w:tcPr>
            <w:tcW w:w="47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total fair value of shares vested related to restricted stock units during the fiscal years 2023, 2022 and 2021</w:t>
      </w:r>
      <w:r>
        <w:rPr>
          <w:rFonts w:ascii="Times New Roman" w:hAnsi="Times New Roman"/>
          <w:sz w:val="20"/>
        </w:rPr>
        <w:t xml:space="preserve"> </w:t>
      </w:r>
      <w:r>
        <w:rPr>
          <w:rFonts w:ascii="Arial;sans-serif" w:hAnsi="Arial;sans-serif"/>
          <w:b w:val="false"/>
          <w:sz w:val="20"/>
        </w:rPr>
        <w:t>was $46.9</w:t>
      </w:r>
      <w:r>
        <w:rPr>
          <w:rFonts w:ascii="Times New Roman" w:hAnsi="Times New Roman"/>
          <w:sz w:val="20"/>
        </w:rPr>
        <w:t xml:space="preserve"> </w:t>
      </w:r>
      <w:r>
        <w:rPr>
          <w:rFonts w:ascii="Arial;sans-serif" w:hAnsi="Arial;sans-serif"/>
          <w:b w:val="false"/>
          <w:sz w:val="20"/>
        </w:rPr>
        <w:t>million, $66.0</w:t>
      </w:r>
      <w:r>
        <w:rPr>
          <w:rFonts w:ascii="Times New Roman" w:hAnsi="Times New Roman"/>
          <w:sz w:val="20"/>
        </w:rPr>
        <w:t xml:space="preserve"> </w:t>
      </w:r>
      <w:r>
        <w:rPr>
          <w:rFonts w:ascii="Arial;sans-serif" w:hAnsi="Arial;sans-serif"/>
          <w:b w:val="false"/>
          <w:sz w:val="20"/>
        </w:rPr>
        <w:t>million and $38.8</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F-40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Arial;sans-serif" w:hAnsi="Arial;sans-serif"/>
          <w:b/>
          <w:sz w:val="20"/>
        </w:rPr>
      </w:pPr>
      <w:r>
        <w:rPr>
          <w:rFonts w:ascii="Arial;sans-serif" w:hAnsi="Arial;sans-serif"/>
          <w:b/>
          <w:sz w:val="20"/>
        </w:rPr>
        <w:t>Note 10 — Shares Used In Computing Diluted Net Income (Loss) Per Share</w:t>
      </w:r>
    </w:p>
    <w:p>
      <w:pPr>
        <w:pStyle w:val="TextBody"/>
        <w:bidi w:val="0"/>
        <w:spacing w:before="90" w:after="0"/>
        <w:jc w:val="left"/>
        <w:rPr>
          <w:rFonts w:ascii="Times New Roman" w:hAnsi="Times New Roman"/>
          <w:sz w:val="20"/>
        </w:rPr>
      </w:pPr>
      <w:r>
        <w:rPr>
          <w:rFonts w:ascii="Arial;sans-serif" w:hAnsi="Arial;sans-serif"/>
          <w:b w:val="false"/>
          <w:sz w:val="20"/>
        </w:rPr>
        <w:t>The weighted average number of shares used to calculate basic and diluted net loss per share attributable to Viasat, Inc. common stockholders is the same for the fiscal years ended March 31, 2023, 2022 and 2021, as the Company incurred a net loss from continuing operations (excluding income (loss) from continuing operations attributable to the noncontrolling interest) for such periods and inclusion of potentially dilutive weighted average shares of common stock would be antidilutive.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Potentially dilutive weighted average shares excluded from the calculation for fiscal years 2023, 2022 and 2021, respectively, consisted of 483,499, 848,791</w:t>
      </w:r>
      <w:r>
        <w:rPr>
          <w:rFonts w:ascii="Times New Roman" w:hAnsi="Times New Roman"/>
          <w:sz w:val="20"/>
        </w:rPr>
        <w:t xml:space="preserve"> </w:t>
      </w:r>
      <w:r>
        <w:rPr>
          <w:rFonts w:ascii="Arial;sans-serif" w:hAnsi="Arial;sans-serif"/>
          <w:b w:val="false"/>
          <w:sz w:val="20"/>
        </w:rPr>
        <w:t>and 1,119,819</w:t>
      </w:r>
      <w:r>
        <w:rPr>
          <w:rFonts w:ascii="Times New Roman" w:hAnsi="Times New Roman"/>
          <w:sz w:val="20"/>
        </w:rPr>
        <w:t xml:space="preserve"> </w:t>
      </w:r>
      <w:r>
        <w:rPr>
          <w:rFonts w:ascii="Arial;sans-serif" w:hAnsi="Arial;sans-serif"/>
          <w:b w:val="false"/>
          <w:sz w:val="20"/>
        </w:rPr>
        <w:t>shares related to stock options (other than TSR performance stock options), 480,325, 264,645</w:t>
      </w:r>
      <w:r>
        <w:rPr>
          <w:rFonts w:ascii="Times New Roman" w:hAnsi="Times New Roman"/>
          <w:sz w:val="20"/>
        </w:rPr>
        <w:t xml:space="preserve"> </w:t>
      </w:r>
      <w:r>
        <w:rPr>
          <w:rFonts w:ascii="Arial;sans-serif" w:hAnsi="Arial;sans-serif"/>
          <w:b w:val="false"/>
          <w:sz w:val="20"/>
        </w:rPr>
        <w:t>and 475,371</w:t>
      </w:r>
      <w:r>
        <w:rPr>
          <w:rFonts w:ascii="Times New Roman" w:hAnsi="Times New Roman"/>
          <w:sz w:val="20"/>
        </w:rPr>
        <w:t xml:space="preserve"> </w:t>
      </w:r>
      <w:r>
        <w:rPr>
          <w:rFonts w:ascii="Arial;sans-serif" w:hAnsi="Arial;sans-serif"/>
          <w:b w:val="false"/>
          <w:sz w:val="20"/>
        </w:rPr>
        <w:t>shares related to TSR performance stock options, 2,477,067, 2,150,449</w:t>
      </w:r>
      <w:r>
        <w:rPr>
          <w:rFonts w:ascii="Times New Roman" w:hAnsi="Times New Roman"/>
          <w:sz w:val="20"/>
        </w:rPr>
        <w:t xml:space="preserve"> </w:t>
      </w:r>
      <w:r>
        <w:rPr>
          <w:rFonts w:ascii="Arial;sans-serif" w:hAnsi="Arial;sans-serif"/>
          <w:b w:val="false"/>
          <w:sz w:val="20"/>
        </w:rPr>
        <w:t>and 2,375,072</w:t>
      </w:r>
      <w:r>
        <w:rPr>
          <w:rFonts w:ascii="Times New Roman" w:hAnsi="Times New Roman"/>
          <w:sz w:val="20"/>
        </w:rPr>
        <w:t xml:space="preserve"> </w:t>
      </w:r>
      <w:r>
        <w:rPr>
          <w:rFonts w:ascii="Arial;sans-serif" w:hAnsi="Arial;sans-serif"/>
          <w:b w:val="false"/>
          <w:sz w:val="20"/>
        </w:rPr>
        <w:t>shares related to restricted stock units, and 699,680, 417,308</w:t>
      </w:r>
      <w:r>
        <w:rPr>
          <w:rFonts w:ascii="Times New Roman" w:hAnsi="Times New Roman"/>
          <w:sz w:val="20"/>
        </w:rPr>
        <w:t xml:space="preserve"> </w:t>
      </w:r>
      <w:r>
        <w:rPr>
          <w:rFonts w:ascii="Arial;sans-serif" w:hAnsi="Arial;sans-serif"/>
          <w:b w:val="false"/>
          <w:sz w:val="20"/>
        </w:rPr>
        <w:t>and 405,632</w:t>
      </w:r>
      <w:r>
        <w:rPr>
          <w:rFonts w:ascii="Times New Roman" w:hAnsi="Times New Roman"/>
          <w:sz w:val="20"/>
        </w:rPr>
        <w:t xml:space="preserve"> </w:t>
      </w:r>
      <w:r>
        <w:rPr>
          <w:rFonts w:ascii="Arial;sans-serif" w:hAnsi="Arial;sans-serif"/>
          <w:b w:val="false"/>
          <w:sz w:val="20"/>
        </w:rPr>
        <w:t>shares related to certain terms of the Viasat 401(k) Profit Sharing Plan and Employee Stock Purchase Plan.</w:t>
      </w:r>
    </w:p>
    <w:p>
      <w:pPr>
        <w:pStyle w:val="TextBody"/>
        <w:bidi w:val="0"/>
        <w:spacing w:before="270" w:after="0"/>
        <w:jc w:val="left"/>
        <w:rPr>
          <w:rFonts w:ascii="Times New Roman" w:hAnsi="Times New Roman"/>
          <w:sz w:val="20"/>
        </w:rPr>
      </w:pPr>
      <w:r>
        <w:rPr>
          <w:rFonts w:ascii="Arial;sans-serif" w:hAnsi="Arial;sans-serif"/>
          <w:b/>
          <w:sz w:val="20"/>
        </w:rPr>
        <w:t>Note 11 — Income Taxes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components of income (loss) before income taxes by jurisdiction are as follows:</w:t>
      </w:r>
      <w:r>
        <w:rPr>
          <w:rFonts w:ascii="Times New Roman" w:hAnsi="Times New Roman"/>
          <w:sz w:val="20"/>
        </w:rPr>
        <w:t xml:space="preserve"> </w:t>
      </w:r>
    </w:p>
    <w:p>
      <w:pPr>
        <w:pStyle w:val="TextBody"/>
        <w:bidi w:val="0"/>
        <w:spacing w:before="0" w:after="0"/>
        <w:jc w:val="left"/>
        <w:rPr/>
      </w:pPr>
      <w:r>
        <w:rPr/>
        <w:t> </w:t>
      </w:r>
    </w:p>
    <w:tbl>
      <w:tblPr>
        <w:tblW w:w="5383" w:type="dxa"/>
        <w:jc w:val="left"/>
        <w:tblInd w:w="0" w:type="dxa"/>
        <w:tblLayout w:type="fixed"/>
        <w:tblCellMar>
          <w:top w:w="28" w:type="dxa"/>
          <w:left w:w="28" w:type="dxa"/>
          <w:bottom w:w="28" w:type="dxa"/>
          <w:right w:w="28" w:type="dxa"/>
        </w:tblCellMar>
      </w:tblPr>
      <w:tblGrid>
        <w:gridCol w:w="1306"/>
        <w:gridCol w:w="146"/>
        <w:gridCol w:w="211"/>
        <w:gridCol w:w="856"/>
        <w:gridCol w:w="166"/>
        <w:gridCol w:w="146"/>
        <w:gridCol w:w="211"/>
        <w:gridCol w:w="856"/>
        <w:gridCol w:w="166"/>
        <w:gridCol w:w="146"/>
        <w:gridCol w:w="211"/>
        <w:gridCol w:w="751"/>
        <w:gridCol w:w="21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2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20"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13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(94,019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(119,249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(55,743</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13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Foreign</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(68,136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(18,661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(22,457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(162,155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(137,910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(78,200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benefit from (provision for) income taxes includes the following:</w:t>
      </w:r>
      <w:r>
        <w:rPr>
          <w:rFonts w:ascii="Times New Roman" w:hAnsi="Times New Roman"/>
          <w:sz w:val="20"/>
        </w:rPr>
        <w:t xml:space="preserve"> </w:t>
      </w:r>
    </w:p>
    <w:p>
      <w:pPr>
        <w:pStyle w:val="TextBody"/>
        <w:bidi w:val="0"/>
        <w:spacing w:before="0" w:after="0"/>
        <w:jc w:val="left"/>
        <w:rPr/>
      </w:pPr>
      <w:r>
        <w:rPr/>
        <w:t> </w:t>
      </w:r>
    </w:p>
    <w:tbl>
      <w:tblPr>
        <w:tblW w:w="8273" w:type="dxa"/>
        <w:jc w:val="left"/>
        <w:tblInd w:w="0" w:type="dxa"/>
        <w:tblLayout w:type="fixed"/>
        <w:tblCellMar>
          <w:top w:w="28" w:type="dxa"/>
          <w:left w:w="28" w:type="dxa"/>
          <w:bottom w:w="28" w:type="dxa"/>
          <w:right w:w="28" w:type="dxa"/>
        </w:tblCellMar>
      </w:tblPr>
      <w:tblGrid>
        <w:gridCol w:w="4126"/>
        <w:gridCol w:w="146"/>
        <w:gridCol w:w="211"/>
        <w:gridCol w:w="751"/>
        <w:gridCol w:w="166"/>
        <w:gridCol w:w="146"/>
        <w:gridCol w:w="211"/>
        <w:gridCol w:w="751"/>
        <w:gridCol w:w="166"/>
        <w:gridCol w:w="146"/>
        <w:gridCol w:w="211"/>
        <w:gridCol w:w="751"/>
        <w:gridCol w:w="4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51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510"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91" w:type="dxa"/>
            <w:tcBorders/>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tax provision</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412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Federal</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(11,494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(7,097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(8,573</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2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State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(5,231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(2,041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(3,386</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2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Foreign</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449</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(22,690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(13,180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(11,510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Deferred tax benefit</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412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Federal</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40,889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39,049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22,837</w:t>
            </w:r>
          </w:p>
        </w:tc>
        <w:tc>
          <w:tcPr>
            <w:tcW w:w="491" w:type="dxa"/>
            <w:tcBorders/>
            <w:vAlign w:val="center"/>
          </w:tcPr>
          <w:p>
            <w:pPr>
              <w:pStyle w:val="TableContents"/>
              <w:bidi w:val="0"/>
              <w:spacing w:before="0" w:after="0"/>
              <w:ind w:left="0" w:right="0" w:firstLine="280"/>
              <w:jc w:val="left"/>
              <w:rPr/>
            </w:pPr>
            <w:r>
              <w:rPr/>
              <w:t> </w:t>
            </w:r>
          </w:p>
        </w:tc>
      </w:tr>
      <w:tr>
        <w:trPr/>
        <w:tc>
          <w:tcPr>
            <w:tcW w:w="412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State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(80,715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(704</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2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Foreign</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(26,728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49,697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22,704</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benefit from (provision for) income taxes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(49,418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36,517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11,194</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F-41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Significant components of the Company’s net deferred tax assets are as follows:</w:t>
      </w:r>
      <w:r>
        <w:rPr>
          <w:rFonts w:ascii="Times New Roman" w:hAnsi="Times New Roman"/>
          <w:sz w:val="20"/>
        </w:rPr>
        <w:t xml:space="preserve"> </w:t>
      </w:r>
    </w:p>
    <w:p>
      <w:pPr>
        <w:pStyle w:val="TextBody"/>
        <w:bidi w:val="0"/>
        <w:spacing w:before="0" w:after="0"/>
        <w:jc w:val="left"/>
        <w:rPr/>
      </w:pPr>
      <w:r>
        <w:rPr/>
        <w:t> </w:t>
      </w:r>
    </w:p>
    <w:tbl>
      <w:tblPr>
        <w:tblW w:w="7059" w:type="dxa"/>
        <w:jc w:val="left"/>
        <w:tblInd w:w="0" w:type="dxa"/>
        <w:tblLayout w:type="fixed"/>
        <w:tblCellMar>
          <w:top w:w="28" w:type="dxa"/>
          <w:left w:w="28" w:type="dxa"/>
          <w:bottom w:w="28" w:type="dxa"/>
          <w:right w:w="28" w:type="dxa"/>
        </w:tblCellMar>
      </w:tblPr>
      <w:tblGrid>
        <w:gridCol w:w="3976"/>
        <w:gridCol w:w="146"/>
        <w:gridCol w:w="211"/>
        <w:gridCol w:w="856"/>
        <w:gridCol w:w="166"/>
        <w:gridCol w:w="146"/>
        <w:gridCol w:w="211"/>
        <w:gridCol w:w="856"/>
        <w:gridCol w:w="4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91" w:type="dxa"/>
            <w:tcBorders/>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Deferred tax assets:</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operating loss carryforwards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251,276</w:t>
            </w:r>
          </w:p>
        </w:tc>
        <w:tc>
          <w:tcPr>
            <w:tcW w:w="491" w:type="dxa"/>
            <w:tcBorders/>
            <w:vAlign w:val="center"/>
          </w:tcPr>
          <w:p>
            <w:pPr>
              <w:pStyle w:val="TableContents"/>
              <w:bidi w:val="0"/>
              <w:spacing w:before="0" w:after="0"/>
              <w:ind w:left="0" w:right="0" w:firstLine="280"/>
              <w:jc w:val="left"/>
              <w:rPr/>
            </w:pPr>
            <w:r>
              <w:rPr/>
              <w:t> </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Tax credit carryforwards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115,418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299,165</w:t>
            </w:r>
          </w:p>
        </w:tc>
        <w:tc>
          <w:tcPr>
            <w:tcW w:w="491" w:type="dxa"/>
            <w:tcBorders/>
            <w:vAlign w:val="center"/>
          </w:tcPr>
          <w:p>
            <w:pPr>
              <w:pStyle w:val="TableContents"/>
              <w:bidi w:val="0"/>
              <w:spacing w:before="0" w:after="0"/>
              <w:ind w:left="0" w:right="0" w:firstLine="280"/>
              <w:jc w:val="left"/>
              <w:rPr/>
            </w:pPr>
            <w:r>
              <w:rPr/>
              <w:t> </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Capitalized research and development costs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280"/>
              <w:jc w:val="right"/>
              <w:rPr/>
            </w:pPr>
            <w:r>
              <w:rPr/>
              <w:t> </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lease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78,562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93,580</w:t>
            </w:r>
          </w:p>
        </w:tc>
        <w:tc>
          <w:tcPr>
            <w:tcW w:w="491" w:type="dxa"/>
            <w:tcBorders/>
            <w:vAlign w:val="center"/>
          </w:tcPr>
          <w:p>
            <w:pPr>
              <w:pStyle w:val="TableContents"/>
              <w:bidi w:val="0"/>
              <w:spacing w:before="0" w:after="0"/>
              <w:ind w:left="0" w:right="0" w:firstLine="280"/>
              <w:jc w:val="left"/>
              <w:rPr/>
            </w:pPr>
            <w:r>
              <w:rPr/>
              <w:t> </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Deferred revenue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21,546</w:t>
            </w:r>
          </w:p>
        </w:tc>
        <w:tc>
          <w:tcPr>
            <w:tcW w:w="491" w:type="dxa"/>
            <w:tcBorders/>
            <w:vAlign w:val="center"/>
          </w:tcPr>
          <w:p>
            <w:pPr>
              <w:pStyle w:val="TableContents"/>
              <w:bidi w:val="0"/>
              <w:spacing w:before="0" w:after="0"/>
              <w:ind w:left="0" w:right="0" w:firstLine="280"/>
              <w:jc w:val="left"/>
              <w:rPr/>
            </w:pPr>
            <w:r>
              <w:rPr/>
              <w:t> </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99,074</w:t>
            </w:r>
          </w:p>
        </w:tc>
        <w:tc>
          <w:tcPr>
            <w:tcW w:w="491" w:type="dxa"/>
            <w:tcBorders/>
            <w:vAlign w:val="center"/>
          </w:tcPr>
          <w:p>
            <w:pPr>
              <w:pStyle w:val="TableContents"/>
              <w:bidi w:val="0"/>
              <w:spacing w:before="0" w:after="0"/>
              <w:ind w:left="0" w:right="0" w:firstLine="280"/>
              <w:jc w:val="left"/>
              <w:rPr/>
            </w:pPr>
            <w:r>
              <w:rPr/>
              <w:t> </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Valuation allowance</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(150,047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(78,071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deferred tax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322,414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686,570</w:t>
            </w:r>
          </w:p>
        </w:tc>
        <w:tc>
          <w:tcPr>
            <w:tcW w:w="4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Deferred tax liabilities:</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Intangible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(99,629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(119,299</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Property, equipment and satellites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(187,896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(163,560</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lease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(68,150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(87,677</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(29,004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(28,261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9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deferred tax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(384,679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(398,797</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deferred tax assets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(62,265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287,773</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A reconciliation of the benefit from (provision for) income taxes to the amount computed by applying the statutory federal income tax rate to income (loss) before income taxes is as follows:</w:t>
      </w:r>
      <w:r>
        <w:rPr>
          <w:rFonts w:ascii="Times New Roman" w:hAnsi="Times New Roman"/>
          <w:sz w:val="20"/>
        </w:rPr>
        <w:t xml:space="preserve"> </w:t>
      </w:r>
    </w:p>
    <w:p>
      <w:pPr>
        <w:pStyle w:val="TextBody"/>
        <w:bidi w:val="0"/>
        <w:spacing w:before="0" w:after="0"/>
        <w:jc w:val="left"/>
        <w:rPr/>
      </w:pPr>
      <w:r>
        <w:rPr/>
        <w:t> </w:t>
      </w:r>
    </w:p>
    <w:tbl>
      <w:tblPr>
        <w:tblW w:w="8173" w:type="dxa"/>
        <w:jc w:val="left"/>
        <w:tblInd w:w="0" w:type="dxa"/>
        <w:tblLayout w:type="fixed"/>
        <w:tblCellMar>
          <w:top w:w="28" w:type="dxa"/>
          <w:left w:w="28" w:type="dxa"/>
          <w:bottom w:w="28" w:type="dxa"/>
          <w:right w:w="28" w:type="dxa"/>
        </w:tblCellMar>
      </w:tblPr>
      <w:tblGrid>
        <w:gridCol w:w="4426"/>
        <w:gridCol w:w="146"/>
        <w:gridCol w:w="211"/>
        <w:gridCol w:w="751"/>
        <w:gridCol w:w="166"/>
        <w:gridCol w:w="146"/>
        <w:gridCol w:w="211"/>
        <w:gridCol w:w="691"/>
        <w:gridCol w:w="166"/>
        <w:gridCol w:w="146"/>
        <w:gridCol w:w="211"/>
        <w:gridCol w:w="69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39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390"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Tax benefit (provision) at federal statutory rate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28,964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16,422</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State tax provision, net of federal benefit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(424</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Tax credits, net of valuation allowance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22,763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17,885</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Valuation allowance on California R&amp;D tax credits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(72,438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Non-deductible compensation</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(3,096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(5,771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(5,728</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Non-deductible transaction costs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(1,361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Non-deductible meals and entertainment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(354</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Stock-based compensation</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(12,032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(7,402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(9,466</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Change in state effective tax rate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(2,360</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Base Erosion and Anti-Abuse Tax (BEAT)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(8,610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Foreign effective tax rate differential, net of</w:t>
              <w:br/>
              <w:t>   valuation allowance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(5,769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(6,201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(3,046</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Unremitted subsidiary gains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(1,565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(1,682</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Change to indefinite reinvestment assertion (EBI)</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benefit from (provision for) income taxes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(49,418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36,517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11,194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As of March 31, 2023, the Company had federal and state research &amp; development (R&amp;D) tax credit carryforwards of $79.9</w:t>
      </w:r>
      <w:r>
        <w:rPr>
          <w:rFonts w:ascii="Times New Roman" w:hAnsi="Times New Roman"/>
          <w:sz w:val="20"/>
        </w:rPr>
        <w:t xml:space="preserve"> </w:t>
      </w:r>
      <w:r>
        <w:rPr>
          <w:rFonts w:ascii="Arial;sans-serif" w:hAnsi="Arial;sans-serif"/>
          <w:b w:val="false"/>
          <w:sz w:val="20"/>
        </w:rPr>
        <w:t>million and $185.1</w:t>
      </w:r>
      <w:r>
        <w:rPr>
          <w:rFonts w:ascii="Times New Roman" w:hAnsi="Times New Roman"/>
          <w:sz w:val="20"/>
        </w:rPr>
        <w:t xml:space="preserve"> </w:t>
      </w:r>
      <w:r>
        <w:rPr>
          <w:rFonts w:ascii="Arial;sans-serif" w:hAnsi="Arial;sans-serif"/>
          <w:b w:val="false"/>
          <w:sz w:val="20"/>
        </w:rPr>
        <w:t>million, respectively, which begin to expire in fiscal year 2040</w:t>
      </w:r>
      <w:r>
        <w:rPr>
          <w:rFonts w:ascii="Times New Roman" w:hAnsi="Times New Roman"/>
          <w:sz w:val="20"/>
        </w:rPr>
        <w:t xml:space="preserve"> </w:t>
      </w:r>
      <w:r>
        <w:rPr>
          <w:rFonts w:ascii="Arial;sans-serif" w:hAnsi="Arial;sans-serif"/>
          <w:b w:val="false"/>
          <w:sz w:val="20"/>
        </w:rPr>
        <w:t>and fiscal year 2025, respectively. As of March 31, 2023, the Company had federal and state net operating loss carryforwards of $118.1</w:t>
      </w:r>
      <w:r>
        <w:rPr>
          <w:rFonts w:ascii="Times New Roman" w:hAnsi="Times New Roman"/>
          <w:sz w:val="20"/>
        </w:rPr>
        <w:t xml:space="preserve"> </w:t>
      </w:r>
      <w:r>
        <w:rPr>
          <w:rFonts w:ascii="Arial;sans-serif" w:hAnsi="Arial;sans-serif"/>
          <w:b w:val="false"/>
          <w:sz w:val="20"/>
        </w:rPr>
        <w:t>million and $188.2</w:t>
      </w:r>
      <w:r>
        <w:rPr>
          <w:rFonts w:ascii="Times New Roman" w:hAnsi="Times New Roman"/>
          <w:sz w:val="20"/>
        </w:rPr>
        <w:t xml:space="preserve"> </w:t>
      </w:r>
      <w:r>
        <w:rPr>
          <w:rFonts w:ascii="Arial;sans-serif" w:hAnsi="Arial;sans-serif"/>
          <w:b w:val="false"/>
          <w:sz w:val="20"/>
        </w:rPr>
        <w:t>million, respectively, which begin to expire in fiscal year 2029</w:t>
      </w:r>
      <w:r>
        <w:rPr>
          <w:rFonts w:ascii="Times New Roman" w:hAnsi="Times New Roman"/>
          <w:sz w:val="20"/>
        </w:rPr>
        <w:t xml:space="preserve"> </w:t>
      </w:r>
      <w:r>
        <w:rPr>
          <w:rFonts w:ascii="Arial;sans-serif" w:hAnsi="Arial;sans-serif"/>
          <w:b w:val="false"/>
          <w:sz w:val="20"/>
        </w:rPr>
        <w:t>and fiscal year 2024, respectively.</w:t>
      </w:r>
    </w:p>
    <w:p>
      <w:pPr>
        <w:pStyle w:val="TextBody"/>
        <w:bidi w:val="0"/>
        <w:spacing w:before="180" w:after="0"/>
        <w:jc w:val="left"/>
        <w:rPr>
          <w:rFonts w:ascii="Times New Roman" w:hAnsi="Times New Roman"/>
          <w:sz w:val="20"/>
        </w:rPr>
      </w:pPr>
      <w:r>
        <w:rPr>
          <w:rFonts w:ascii="Arial;sans-serif" w:hAnsi="Arial;sans-serif"/>
          <w:b w:val="false"/>
          <w:sz w:val="20"/>
        </w:rPr>
        <w:t>Beginning in fiscal year 2023, for federal income tax purposes, the Company is required to capitalize and amortize domestic research and development expenditures over five years</w:t>
      </w:r>
      <w:r>
        <w:rPr>
          <w:rFonts w:ascii="Times New Roman" w:hAnsi="Times New Roman"/>
          <w:sz w:val="20"/>
        </w:rPr>
        <w:t xml:space="preserve"> </w:t>
      </w:r>
      <w:r>
        <w:rPr>
          <w:rFonts w:ascii="Arial;sans-serif" w:hAnsi="Arial;sans-serif"/>
          <w:b w:val="false"/>
          <w:sz w:val="20"/>
        </w:rPr>
        <w:t>and foreign research and development expenditures over 15 years</w:t>
      </w:r>
      <w:r>
        <w:rPr>
          <w:rFonts w:ascii="Times New Roman" w:hAnsi="Times New Roman"/>
          <w:sz w:val="20"/>
        </w:rPr>
        <w:t xml:space="preserve"> </w:t>
      </w:r>
      <w:r>
        <w:rPr>
          <w:rFonts w:ascii="Arial;sans-serif" w:hAnsi="Arial;sans-serif"/>
          <w:b w:val="false"/>
          <w:sz w:val="20"/>
        </w:rPr>
        <w:t>under the Tax Cuts and Jobs Act of 2017, which delays the deductibility of these expenditures. Although Congress may consider legislation that would defer capitalization and amortization requirements to later years, the Company has no assurance that the requirement will be repealed or otherwise modified.</w:t>
      </w:r>
    </w:p>
    <w:p>
      <w:pPr>
        <w:pStyle w:val="TextBody"/>
        <w:bidi w:val="0"/>
        <w:spacing w:before="240" w:after="0"/>
        <w:jc w:val="center"/>
        <w:rPr>
          <w:rFonts w:ascii="Arial;sans-serif" w:hAnsi="Arial;sans-serif"/>
          <w:b w:val="false"/>
          <w:sz w:val="20"/>
        </w:rPr>
      </w:pPr>
      <w:r>
        <w:rPr>
          <w:rFonts w:ascii="Arial;sans-serif" w:hAnsi="Arial;sans-serif"/>
          <w:b w:val="false"/>
          <w:sz w:val="20"/>
        </w:rPr>
        <w:t>F-42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$150.0</w:t>
      </w:r>
      <w:r>
        <w:rPr>
          <w:rFonts w:ascii="Times New Roman" w:hAnsi="Times New Roman"/>
          <w:sz w:val="20"/>
        </w:rPr>
        <w:t xml:space="preserve"> </w:t>
      </w:r>
      <w:r>
        <w:rPr>
          <w:rFonts w:ascii="Arial;sans-serif" w:hAnsi="Arial;sans-serif"/>
          <w:b w:val="false"/>
          <w:sz w:val="20"/>
        </w:rPr>
        <w:t>million at March 31, 2023</w:t>
      </w:r>
      <w:r>
        <w:rPr>
          <w:rFonts w:ascii="Times New Roman" w:hAnsi="Times New Roman"/>
          <w:sz w:val="20"/>
        </w:rPr>
        <w:t xml:space="preserve"> </w:t>
      </w:r>
      <w:r>
        <w:rPr>
          <w:rFonts w:ascii="Arial;sans-serif" w:hAnsi="Arial;sans-serif"/>
          <w:b w:val="false"/>
          <w:sz w:val="20"/>
        </w:rPr>
        <w:t>and $78.1</w:t>
      </w:r>
      <w:r>
        <w:rPr>
          <w:rFonts w:ascii="Times New Roman" w:hAnsi="Times New Roman"/>
          <w:sz w:val="20"/>
        </w:rPr>
        <w:t xml:space="preserve"> </w:t>
      </w:r>
      <w:r>
        <w:rPr>
          <w:rFonts w:ascii="Arial;sans-serif" w:hAnsi="Arial;sans-serif"/>
          <w:b w:val="false"/>
          <w:sz w:val="20"/>
        </w:rPr>
        <w:t>million at March 31, 2022 has been established relating to state and foreign net operating loss carryforwards, state R&amp;D tax credit carryforwards, and foreign tax credit carryforwards that, based on management’s estimate of future taxable income attributable to such jurisdictions and generation of additional research credits, are considered more likely than not to expire unused.</w:t>
      </w:r>
    </w:p>
    <w:p>
      <w:pPr>
        <w:pStyle w:val="TextBody"/>
        <w:bidi w:val="0"/>
        <w:spacing w:before="180" w:after="0"/>
        <w:jc w:val="left"/>
        <w:rPr>
          <w:rFonts w:ascii="Times New Roman" w:hAnsi="Times New Roman"/>
          <w:sz w:val="20"/>
        </w:rPr>
      </w:pPr>
      <w:r>
        <w:rPr>
          <w:rFonts w:ascii="Arial;sans-serif" w:hAnsi="Arial;sans-serif"/>
          <w:b w:val="false"/>
          <w:sz w:val="20"/>
        </w:rPr>
        <w:t>In evaluating the Company's ability to realize the deferred tax asset for California R&amp;D tax credits, the Company considered all available positive and negative evidence, including operating results and forecasted ranges of future taxable income, and determined it is more likely than not that a majority of its California R&amp;D tax credits will not be realized due to reduced taxable income apportioned to California in connection with the Link-16 TDL Sale. As a result, during the second quarter of fiscal year 2023, the Company recorded a valuation allowance of $69.0</w:t>
      </w:r>
      <w:r>
        <w:rPr>
          <w:rFonts w:ascii="Times New Roman" w:hAnsi="Times New Roman"/>
          <w:sz w:val="20"/>
        </w:rPr>
        <w:t xml:space="preserve"> </w:t>
      </w:r>
      <w:r>
        <w:rPr>
          <w:rFonts w:ascii="Arial;sans-serif" w:hAnsi="Arial;sans-serif"/>
          <w:b w:val="false"/>
          <w:sz w:val="20"/>
        </w:rPr>
        <w:t>million. The Company will continue to monitor its business strategies, weighing positive and negative evidence in assessing its realization of this asset in the future. In the event there is a need to release the valuation allowance, a tax benefit will be recorded.</w:t>
      </w:r>
    </w:p>
    <w:p>
      <w:pPr>
        <w:pStyle w:val="TextBody"/>
        <w:bidi w:val="0"/>
        <w:spacing w:before="180" w:after="0"/>
        <w:jc w:val="left"/>
        <w:rPr>
          <w:rFonts w:ascii="Times New Roman" w:hAnsi="Times New Roman"/>
          <w:sz w:val="20"/>
        </w:rPr>
      </w:pPr>
      <w:r>
        <w:rPr>
          <w:rFonts w:ascii="Arial;sans-serif" w:hAnsi="Arial;sans-serif"/>
          <w:b w:val="false"/>
          <w:sz w:val="20"/>
        </w:rPr>
        <w:t>The following table summarizes the activity related to the Company’s unrecognized tax benefits:</w:t>
      </w:r>
      <w:r>
        <w:rPr>
          <w:rFonts w:ascii="Times New Roman" w:hAnsi="Times New Roman"/>
          <w:sz w:val="20"/>
        </w:rPr>
        <w:t xml:space="preserve"> </w:t>
      </w:r>
    </w:p>
    <w:p>
      <w:pPr>
        <w:pStyle w:val="TextBody"/>
        <w:bidi w:val="0"/>
        <w:spacing w:before="0" w:after="0"/>
        <w:jc w:val="left"/>
        <w:rPr/>
      </w:pPr>
      <w:r>
        <w:rPr/>
        <w:t> </w:t>
      </w:r>
    </w:p>
    <w:tbl>
      <w:tblPr>
        <w:tblW w:w="8613" w:type="dxa"/>
        <w:jc w:val="left"/>
        <w:tblInd w:w="0" w:type="dxa"/>
        <w:tblLayout w:type="fixed"/>
        <w:tblCellMar>
          <w:top w:w="28" w:type="dxa"/>
          <w:left w:w="28" w:type="dxa"/>
          <w:bottom w:w="28" w:type="dxa"/>
          <w:right w:w="28" w:type="dxa"/>
        </w:tblCellMar>
      </w:tblPr>
      <w:tblGrid>
        <w:gridCol w:w="4756"/>
        <w:gridCol w:w="146"/>
        <w:gridCol w:w="211"/>
        <w:gridCol w:w="796"/>
        <w:gridCol w:w="146"/>
        <w:gridCol w:w="146"/>
        <w:gridCol w:w="211"/>
        <w:gridCol w:w="796"/>
        <w:gridCol w:w="146"/>
        <w:gridCol w:w="146"/>
        <w:gridCol w:w="211"/>
        <w:gridCol w:w="691"/>
        <w:gridCol w:w="2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50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500"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beginning of fiscal year</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80,591</w:t>
            </w:r>
          </w:p>
        </w:tc>
        <w:tc>
          <w:tcPr>
            <w:tcW w:w="211" w:type="dxa"/>
            <w:tcBorders/>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Increase (decrease) related to prior year tax positions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(828</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7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Increases related to current year tax positions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16,123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12,358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13,199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end of fiscal year</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129,738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112,806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92,962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Of the total unrecognized tax benefits at March 31, 2023, $105.2</w:t>
      </w:r>
      <w:r>
        <w:rPr>
          <w:rFonts w:ascii="Times New Roman" w:hAnsi="Times New Roman"/>
          <w:sz w:val="20"/>
        </w:rPr>
        <w:t xml:space="preserve"> </w:t>
      </w:r>
      <w:r>
        <w:rPr>
          <w:rFonts w:ascii="Arial;sans-serif" w:hAnsi="Arial;sans-serif"/>
          <w:b w:val="false"/>
          <w:sz w:val="20"/>
        </w:rPr>
        <w:t>million would reduce the Company’s annual effective tax rate if recognized, subject to valuation allowance consideration. The Company’s policy is to recognize interest expense and penalties related to income tax matters as a component of income tax expense. As of March 31, 2023 and 2022, the Company has accrued interest and penalties of an insignificant amount and approximately $2.0</w:t>
      </w:r>
      <w:r>
        <w:rPr>
          <w:rFonts w:ascii="Times New Roman" w:hAnsi="Times New Roman"/>
          <w:sz w:val="20"/>
        </w:rPr>
        <w:t xml:space="preserve"> </w:t>
      </w:r>
      <w:r>
        <w:rPr>
          <w:rFonts w:ascii="Arial;sans-serif" w:hAnsi="Arial;sans-serif"/>
          <w:b w:val="false"/>
          <w:sz w:val="20"/>
        </w:rPr>
        <w:t>million, respectively. The Company recognized a tax benefit of $1.1</w:t>
      </w:r>
      <w:r>
        <w:rPr>
          <w:rFonts w:ascii="Times New Roman" w:hAnsi="Times New Roman"/>
          <w:sz w:val="20"/>
        </w:rPr>
        <w:t xml:space="preserve"> </w:t>
      </w:r>
      <w:r>
        <w:rPr>
          <w:rFonts w:ascii="Arial;sans-serif" w:hAnsi="Arial;sans-serif"/>
          <w:b w:val="false"/>
          <w:sz w:val="20"/>
        </w:rPr>
        <w:t>million and $1.2</w:t>
      </w:r>
      <w:r>
        <w:rPr>
          <w:rFonts w:ascii="Times New Roman" w:hAnsi="Times New Roman"/>
          <w:sz w:val="20"/>
        </w:rPr>
        <w:t xml:space="preserve"> </w:t>
      </w:r>
      <w:r>
        <w:rPr>
          <w:rFonts w:ascii="Arial;sans-serif" w:hAnsi="Arial;sans-serif"/>
          <w:b w:val="false"/>
          <w:sz w:val="20"/>
        </w:rPr>
        <w:t>million for reductions of interest and penalties in income tax expense for the fiscal years ended March 31, 2023 and 2022, respectively.</w:t>
      </w:r>
    </w:p>
    <w:p>
      <w:pPr>
        <w:pStyle w:val="TextBody"/>
        <w:bidi w:val="0"/>
        <w:spacing w:before="180" w:after="0"/>
        <w:jc w:val="left"/>
        <w:rPr>
          <w:rFonts w:ascii="Times New Roman" w:hAnsi="Times New Roman"/>
          <w:sz w:val="20"/>
        </w:rPr>
      </w:pPr>
      <w:r>
        <w:rPr>
          <w:rFonts w:ascii="Arial;sans-serif" w:hAnsi="Arial;sans-serif"/>
          <w:b w:val="false"/>
          <w:sz w:val="20"/>
        </w:rPr>
        <w:t>In the next 12 months it is reasonably possible that the amount of unrecognized tax benefits will not change significantly.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Company is subject to periodic audits by domestic and foreign tax authorities. By statute, the Company’s U.S. federal and state income tax returns are subject to examination by the tax authorities for fiscal years 2020 and thereafter. Additionally, net operating loss and R&amp;D tax credit carryovers that were generated in prior years may also be subject to examination. With few exceptions, fiscal years 2019 and thereafter</w:t>
      </w:r>
      <w:r>
        <w:rPr>
          <w:rFonts w:ascii="Times New Roman" w:hAnsi="Times New Roman"/>
          <w:sz w:val="20"/>
        </w:rPr>
        <w:t xml:space="preserve"> </w:t>
      </w:r>
      <w:r>
        <w:rPr>
          <w:rFonts w:ascii="Arial;sans-serif" w:hAnsi="Arial;sans-serif"/>
          <w:b w:val="false"/>
          <w:sz w:val="20"/>
        </w:rPr>
        <w:t>remain open to examination by foreign tax authorities. The Company believes that it has appropriate support for the income tax positions taken on its tax returns and its accruals for tax liabilities are adequate for all open years based on an assessment of many factors, including past experience and interpretations.</w:t>
      </w:r>
    </w:p>
    <w:p>
      <w:pPr>
        <w:pStyle w:val="TextBody"/>
        <w:bidi w:val="0"/>
        <w:spacing w:before="240" w:after="0"/>
        <w:jc w:val="center"/>
        <w:rPr>
          <w:rFonts w:ascii="Arial;sans-serif" w:hAnsi="Arial;sans-serif"/>
          <w:b w:val="false"/>
          <w:sz w:val="20"/>
        </w:rPr>
      </w:pPr>
      <w:r>
        <w:rPr>
          <w:rFonts w:ascii="Arial;sans-serif" w:hAnsi="Arial;sans-serif"/>
          <w:b w:val="false"/>
          <w:sz w:val="20"/>
        </w:rPr>
        <w:t>F-43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sz w:val="20"/>
        </w:rPr>
        <w:t>Note 12 — Employee Benefits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Company is a sponsor of a voluntary deferred compensation plan under Section 401(k) of the Internal Revenue Code. Under the plan, the Company may make discretionary contributions to the plan which vest over three years. The Company’s discretionary matching contributions to the plan are based on the amount of employee contributions and can be made in cash or the Company’s common stock at the Company’s election. Subsequent to the 2023 fiscal year end, the Company elected to settle the discretionary contributions liability in shares of the Company’s common stock, consistent with fiscal year 2022. Based on the closing price of the Company’s common stock at the 2023</w:t>
      </w:r>
      <w:r>
        <w:rPr>
          <w:rFonts w:ascii="Times New Roman" w:hAnsi="Times New Roman"/>
          <w:sz w:val="20"/>
        </w:rPr>
        <w:t xml:space="preserve"> </w:t>
      </w:r>
      <w:r>
        <w:rPr>
          <w:rFonts w:ascii="Arial;sans-serif" w:hAnsi="Arial;sans-serif"/>
          <w:b w:val="false"/>
          <w:sz w:val="20"/>
        </w:rPr>
        <w:t>fiscal year end, the Company would issue approximately 960,402</w:t>
      </w:r>
      <w:r>
        <w:rPr>
          <w:rFonts w:ascii="Times New Roman" w:hAnsi="Times New Roman"/>
          <w:sz w:val="20"/>
        </w:rPr>
        <w:t xml:space="preserve"> </w:t>
      </w:r>
      <w:r>
        <w:rPr>
          <w:rFonts w:ascii="Arial;sans-serif" w:hAnsi="Arial;sans-serif"/>
          <w:b w:val="false"/>
          <w:sz w:val="20"/>
        </w:rPr>
        <w:t>shares of common stock at this time. Discretionary contributions accrued by the Company as of March 31, 2023 and 2022</w:t>
      </w:r>
      <w:r>
        <w:rPr>
          <w:rFonts w:ascii="Times New Roman" w:hAnsi="Times New Roman"/>
          <w:sz w:val="20"/>
        </w:rPr>
        <w:t xml:space="preserve"> </w:t>
      </w:r>
      <w:r>
        <w:rPr>
          <w:rFonts w:ascii="Arial;sans-serif" w:hAnsi="Arial;sans-serif"/>
          <w:b w:val="false"/>
          <w:sz w:val="20"/>
        </w:rPr>
        <w:t>amounted to $32.5</w:t>
      </w:r>
      <w:r>
        <w:rPr>
          <w:rFonts w:ascii="Times New Roman" w:hAnsi="Times New Roman"/>
          <w:sz w:val="20"/>
        </w:rPr>
        <w:t xml:space="preserve"> </w:t>
      </w:r>
      <w:r>
        <w:rPr>
          <w:rFonts w:ascii="Arial;sans-serif" w:hAnsi="Arial;sans-serif"/>
          <w:b w:val="false"/>
          <w:sz w:val="20"/>
        </w:rPr>
        <w:t>million and $27.9</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bidi w:val="0"/>
        <w:spacing w:before="270" w:after="0"/>
        <w:jc w:val="left"/>
        <w:rPr>
          <w:rFonts w:ascii="Arial;sans-serif" w:hAnsi="Arial;sans-serif"/>
          <w:b/>
          <w:sz w:val="20"/>
        </w:rPr>
      </w:pPr>
      <w:r>
        <w:rPr>
          <w:rFonts w:ascii="Arial;sans-serif" w:hAnsi="Arial;sans-serif"/>
          <w:b/>
          <w:sz w:val="20"/>
        </w:rPr>
        <w:t>Note 13 — Commitments</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From time to time, the Company enters into satellite construction agreements as well as various other satellite-related purchase commitments, including with respect to the provision of launch services, operation of its satellites and satellite insurance. As of March 31, 2023, future minimum payments under the Company’s satellite construction contracts and other satellite-related purchase commitments for the next five fiscal years and thereafter were as follows: </w:t>
      </w:r>
    </w:p>
    <w:p>
      <w:pPr>
        <w:pStyle w:val="TextBody"/>
        <w:bidi w:val="0"/>
        <w:spacing w:before="0" w:after="0"/>
        <w:jc w:val="left"/>
        <w:rPr/>
      </w:pPr>
      <w:r>
        <w:rPr/>
        <w:t> </w:t>
      </w:r>
    </w:p>
    <w:tbl>
      <w:tblPr>
        <w:tblW w:w="3293" w:type="dxa"/>
        <w:jc w:val="left"/>
        <w:tblInd w:w="0" w:type="dxa"/>
        <w:tblLayout w:type="fixed"/>
        <w:tblCellMar>
          <w:top w:w="28" w:type="dxa"/>
          <w:left w:w="28" w:type="dxa"/>
          <w:bottom w:w="28" w:type="dxa"/>
          <w:right w:w="28" w:type="dxa"/>
        </w:tblCellMar>
      </w:tblPr>
      <w:tblGrid>
        <w:gridCol w:w="1681"/>
        <w:gridCol w:w="146"/>
        <w:gridCol w:w="267"/>
        <w:gridCol w:w="1008"/>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rFonts w:ascii="Arial;sans-serif" w:hAnsi="Arial;sans-serif"/>
                <w:b/>
                <w:sz w:val="16"/>
                <w:u w:val="single"/>
              </w:rPr>
            </w:pPr>
            <w:r>
              <w:rPr>
                <w:rFonts w:ascii="Arial;sans-serif" w:hAnsi="Arial;sans-serif"/>
                <w:b/>
                <w:sz w:val="16"/>
                <w:u w:val="single"/>
              </w:rPr>
              <w:t>Fiscal Years Ending</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306,677</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209,777</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32,973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1,714</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2028</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1,735</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5,665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558,541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As of March 31, 2023, the Company’s estimated satellite performance incentive obligations and accrued interest for the applicable satellites were approximately $20.0</w:t>
      </w:r>
      <w:r>
        <w:rPr>
          <w:rFonts w:ascii="Times New Roman" w:hAnsi="Times New Roman"/>
          <w:sz w:val="20"/>
        </w:rPr>
        <w:t xml:space="preserve"> </w:t>
      </w:r>
      <w:r>
        <w:rPr>
          <w:rFonts w:ascii="Arial;sans-serif" w:hAnsi="Arial;sans-serif"/>
          <w:b w:val="false"/>
          <w:sz w:val="20"/>
        </w:rPr>
        <w:t>million, of which $5.3</w:t>
      </w:r>
      <w:r>
        <w:rPr>
          <w:rFonts w:ascii="Times New Roman" w:hAnsi="Times New Roman"/>
          <w:sz w:val="20"/>
        </w:rPr>
        <w:t xml:space="preserve"> </w:t>
      </w:r>
      <w:r>
        <w:rPr>
          <w:rFonts w:ascii="Arial;sans-serif" w:hAnsi="Arial;sans-serif"/>
          <w:b w:val="false"/>
          <w:sz w:val="20"/>
        </w:rPr>
        <w:t>million and $14.7</w:t>
      </w:r>
      <w:r>
        <w:rPr>
          <w:rFonts w:ascii="Times New Roman" w:hAnsi="Times New Roman"/>
          <w:sz w:val="20"/>
        </w:rPr>
        <w:t xml:space="preserve"> </w:t>
      </w:r>
      <w:r>
        <w:rPr>
          <w:rFonts w:ascii="Arial;sans-serif" w:hAnsi="Arial;sans-serif"/>
          <w:b w:val="false"/>
          <w:sz w:val="20"/>
        </w:rPr>
        <w:t>million have been classified as current in accrued liabilities and non-current in other liabilities, respectively. Under these satellite construction contracts, the Company may incur up to $22.6</w:t>
      </w:r>
      <w:r>
        <w:rPr>
          <w:rFonts w:ascii="Times New Roman" w:hAnsi="Times New Roman"/>
          <w:sz w:val="20"/>
        </w:rPr>
        <w:t xml:space="preserve"> </w:t>
      </w:r>
      <w:r>
        <w:rPr>
          <w:rFonts w:ascii="Arial;sans-serif" w:hAnsi="Arial;sans-serif"/>
          <w:b w:val="false"/>
          <w:sz w:val="20"/>
        </w:rPr>
        <w:t>million in total costs for satellite performance incentive obligations and related interest earned with potential future minimum payments of $5.7</w:t>
      </w:r>
      <w:r>
        <w:rPr>
          <w:rFonts w:ascii="Times New Roman" w:hAnsi="Times New Roman"/>
          <w:sz w:val="20"/>
        </w:rPr>
        <w:t xml:space="preserve"> </w:t>
      </w:r>
      <w:r>
        <w:rPr>
          <w:rFonts w:ascii="Arial;sans-serif" w:hAnsi="Arial;sans-serif"/>
          <w:b w:val="false"/>
          <w:sz w:val="20"/>
        </w:rPr>
        <w:t>million, $5.5</w:t>
      </w:r>
      <w:r>
        <w:rPr>
          <w:rFonts w:ascii="Times New Roman" w:hAnsi="Times New Roman"/>
          <w:sz w:val="20"/>
        </w:rPr>
        <w:t xml:space="preserve"> </w:t>
      </w:r>
      <w:r>
        <w:rPr>
          <w:rFonts w:ascii="Arial;sans-serif" w:hAnsi="Arial;sans-serif"/>
          <w:b w:val="false"/>
          <w:sz w:val="20"/>
        </w:rPr>
        <w:t>million, $5.8</w:t>
      </w:r>
      <w:r>
        <w:rPr>
          <w:rFonts w:ascii="Times New Roman" w:hAnsi="Times New Roman"/>
          <w:sz w:val="20"/>
        </w:rPr>
        <w:t xml:space="preserve"> </w:t>
      </w:r>
      <w:r>
        <w:rPr>
          <w:rFonts w:ascii="Arial;sans-serif" w:hAnsi="Arial;sans-serif"/>
          <w:b w:val="false"/>
          <w:sz w:val="20"/>
        </w:rPr>
        <w:t>million, $4.7</w:t>
      </w:r>
      <w:r>
        <w:rPr>
          <w:rFonts w:ascii="Times New Roman" w:hAnsi="Times New Roman"/>
          <w:sz w:val="20"/>
        </w:rPr>
        <w:t xml:space="preserve"> </w:t>
      </w:r>
      <w:r>
        <w:rPr>
          <w:rFonts w:ascii="Arial;sans-serif" w:hAnsi="Arial;sans-serif"/>
          <w:b w:val="false"/>
          <w:sz w:val="20"/>
        </w:rPr>
        <w:t>million and an insignificant amount in fiscal years 2024, 2025, 2026, 2027 and 2028, respectively, with no</w:t>
      </w:r>
      <w:r>
        <w:rPr>
          <w:rFonts w:ascii="Times New Roman" w:hAnsi="Times New Roman"/>
          <w:sz w:val="20"/>
        </w:rPr>
        <w:t xml:space="preserve"> </w:t>
      </w:r>
      <w:r>
        <w:rPr>
          <w:rFonts w:ascii="Arial;sans-serif" w:hAnsi="Arial;sans-serif"/>
          <w:b w:val="false"/>
          <w:sz w:val="20"/>
        </w:rPr>
        <w:t>commitments thereafter.</w:t>
      </w:r>
    </w:p>
    <w:p>
      <w:pPr>
        <w:pStyle w:val="TextBody"/>
        <w:bidi w:val="0"/>
        <w:spacing w:before="180" w:after="0"/>
        <w:jc w:val="left"/>
        <w:rPr>
          <w:rFonts w:ascii="Times New Roman" w:hAnsi="Times New Roman"/>
          <w:sz w:val="20"/>
        </w:rPr>
      </w:pPr>
      <w:r>
        <w:rPr>
          <w:rFonts w:ascii="Arial;sans-serif" w:hAnsi="Arial;sans-serif"/>
          <w:b w:val="false"/>
          <w:sz w:val="20"/>
        </w:rPr>
        <w:t>The Company has various other purchase commitments under satellite capacity agreements which are used to provide satellite networking services to its customers for future minimum payments of approximately $41.2</w:t>
      </w:r>
      <w:r>
        <w:rPr>
          <w:rFonts w:ascii="Times New Roman" w:hAnsi="Times New Roman"/>
          <w:sz w:val="20"/>
        </w:rPr>
        <w:t xml:space="preserve"> </w:t>
      </w:r>
      <w:r>
        <w:rPr>
          <w:rFonts w:ascii="Arial;sans-serif" w:hAnsi="Arial;sans-serif"/>
          <w:b w:val="false"/>
          <w:sz w:val="20"/>
        </w:rPr>
        <w:t>million, $5.8</w:t>
      </w:r>
      <w:r>
        <w:rPr>
          <w:rFonts w:ascii="Times New Roman" w:hAnsi="Times New Roman"/>
          <w:sz w:val="20"/>
        </w:rPr>
        <w:t xml:space="preserve"> </w:t>
      </w:r>
      <w:r>
        <w:rPr>
          <w:rFonts w:ascii="Arial;sans-serif" w:hAnsi="Arial;sans-serif"/>
          <w:b w:val="false"/>
          <w:sz w:val="20"/>
        </w:rPr>
        <w:t>million, $9.5</w:t>
      </w:r>
      <w:r>
        <w:rPr>
          <w:rFonts w:ascii="Times New Roman" w:hAnsi="Times New Roman"/>
          <w:sz w:val="20"/>
        </w:rPr>
        <w:t xml:space="preserve"> </w:t>
      </w:r>
      <w:r>
        <w:rPr>
          <w:rFonts w:ascii="Arial;sans-serif" w:hAnsi="Arial;sans-serif"/>
          <w:b w:val="false"/>
          <w:sz w:val="20"/>
        </w:rPr>
        <w:t>million, $14.3</w:t>
      </w:r>
      <w:r>
        <w:rPr>
          <w:rFonts w:ascii="Times New Roman" w:hAnsi="Times New Roman"/>
          <w:sz w:val="20"/>
        </w:rPr>
        <w:t xml:space="preserve"> </w:t>
      </w:r>
      <w:r>
        <w:rPr>
          <w:rFonts w:ascii="Arial;sans-serif" w:hAnsi="Arial;sans-serif"/>
          <w:b w:val="false"/>
          <w:sz w:val="20"/>
        </w:rPr>
        <w:t>million and $18.1</w:t>
      </w:r>
      <w:r>
        <w:rPr>
          <w:rFonts w:ascii="Times New Roman" w:hAnsi="Times New Roman"/>
          <w:sz w:val="20"/>
        </w:rPr>
        <w:t xml:space="preserve"> </w:t>
      </w:r>
      <w:r>
        <w:rPr>
          <w:rFonts w:ascii="Arial;sans-serif" w:hAnsi="Arial;sans-serif"/>
          <w:b w:val="false"/>
          <w:sz w:val="20"/>
        </w:rPr>
        <w:t>million in fiscal years 2024, 2025, 2026, 2027 and 2028, respectively, and $32.9</w:t>
      </w:r>
      <w:r>
        <w:rPr>
          <w:rFonts w:ascii="Times New Roman" w:hAnsi="Times New Roman"/>
          <w:sz w:val="20"/>
        </w:rPr>
        <w:t xml:space="preserve"> </w:t>
      </w:r>
      <w:r>
        <w:rPr>
          <w:rFonts w:ascii="Arial;sans-serif" w:hAnsi="Arial;sans-serif"/>
          <w:b w:val="false"/>
          <w:sz w:val="20"/>
        </w:rPr>
        <w:t>million of further minimum payments thereafter.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F-44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Arial;sans-serif" w:hAnsi="Arial;sans-serif"/>
          <w:b/>
          <w:sz w:val="20"/>
        </w:rPr>
      </w:pPr>
      <w:r>
        <w:rPr>
          <w:rFonts w:ascii="Arial;sans-serif" w:hAnsi="Arial;sans-serif"/>
          <w:b/>
          <w:sz w:val="20"/>
        </w:rPr>
        <w:t>Note 14 — Contingencies</w:t>
      </w:r>
    </w:p>
    <w:p>
      <w:pPr>
        <w:pStyle w:val="TextBody"/>
        <w:bidi w:val="0"/>
        <w:spacing w:before="90" w:after="0"/>
        <w:jc w:val="left"/>
        <w:rPr>
          <w:rFonts w:ascii="Times New Roman" w:hAnsi="Times New Roman"/>
          <w:sz w:val="20"/>
        </w:rPr>
      </w:pPr>
      <w:r>
        <w:rPr>
          <w:rFonts w:ascii="Arial;sans-serif" w:hAnsi="Arial;sans-serif"/>
          <w:b w:val="false"/>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March 31, 2023, the DCAA had completed its incurred cost audit for fiscal years 2004, 2016, 2019, 2020 and 2021. The DCMA approved the Company’s incurred costs for those fiscal years with the exception of 2021, which is pending. The DCMA also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2023 and 2022, the Company had $12.9</w:t>
      </w:r>
      <w:r>
        <w:rPr>
          <w:rFonts w:ascii="Times New Roman" w:hAnsi="Times New Roman"/>
          <w:sz w:val="20"/>
        </w:rPr>
        <w:t xml:space="preserve"> </w:t>
      </w:r>
      <w:r>
        <w:rPr>
          <w:rFonts w:ascii="Arial;sans-serif" w:hAnsi="Arial;sans-serif"/>
          <w:b w:val="false"/>
          <w:sz w:val="20"/>
        </w:rPr>
        <w:t>million and $12.1</w:t>
      </w:r>
      <w:r>
        <w:rPr>
          <w:rFonts w:ascii="Times New Roman" w:hAnsi="Times New Roman"/>
          <w:sz w:val="20"/>
        </w:rPr>
        <w:t xml:space="preserve"> </w:t>
      </w:r>
      <w:r>
        <w:rPr>
          <w:rFonts w:ascii="Arial;sans-serif" w:hAnsi="Arial;sans-serif"/>
          <w:b w:val="false"/>
          <w:sz w:val="20"/>
        </w:rPr>
        <w:t>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r>
        <w:rPr>
          <w:rFonts w:ascii="Times New Roman" w:hAnsi="Times New Roman"/>
          <w:sz w:val="20"/>
        </w:rPr>
        <w:t xml:space="preserve"> </w:t>
      </w:r>
    </w:p>
    <w:p>
      <w:pPr>
        <w:pStyle w:val="TextBody"/>
        <w:bidi w:val="0"/>
        <w:spacing w:before="270" w:after="0"/>
        <w:jc w:val="left"/>
        <w:rPr>
          <w:rFonts w:ascii="Arial;sans-serif" w:hAnsi="Arial;sans-serif"/>
          <w:b/>
          <w:i/>
          <w:sz w:val="20"/>
        </w:rPr>
      </w:pPr>
      <w:r>
        <w:rPr>
          <w:rFonts w:ascii="Arial;sans-serif" w:hAnsi="Arial;sans-serif"/>
          <w:b/>
          <w:i/>
          <w:sz w:val="20"/>
        </w:rPr>
        <w:t>Certain matters resolved during fiscal year 2023</w:t>
      </w:r>
    </w:p>
    <w:p>
      <w:pPr>
        <w:pStyle w:val="TextBody"/>
        <w:bidi w:val="0"/>
        <w:spacing w:before="90" w:after="0"/>
        <w:jc w:val="left"/>
        <w:rPr>
          <w:rFonts w:ascii="Times New Roman" w:hAnsi="Times New Roman"/>
          <w:sz w:val="20"/>
        </w:rPr>
      </w:pPr>
      <w:r>
        <w:rPr>
          <w:rFonts w:ascii="Arial;sans-serif" w:hAnsi="Arial;sans-serif"/>
          <w:b w:val="false"/>
          <w:sz w:val="20"/>
        </w:rPr>
        <w:t>On July 8, 2022, Cisco Systems, Inc. (Cisco), which previously acquired Acacia Communications, Inc. (Acacia), paid the Company approximately $62.2</w:t>
      </w:r>
      <w:r>
        <w:rPr>
          <w:rFonts w:ascii="Times New Roman" w:hAnsi="Times New Roman"/>
          <w:sz w:val="20"/>
        </w:rPr>
        <w:t xml:space="preserve"> </w:t>
      </w:r>
      <w:r>
        <w:rPr>
          <w:rFonts w:ascii="Arial;sans-serif" w:hAnsi="Arial;sans-serif"/>
          <w:b w:val="false"/>
          <w:sz w:val="20"/>
        </w:rPr>
        <w:t>million. The payment fully satisfied the July 2019 judgment previously entered against Acacia related to Acacia's breach of contract and misuse of the Company's soft decision forward error correction technology. During the second quarter of fiscal year 2023, the Company recorded $55.8</w:t>
      </w:r>
      <w:r>
        <w:rPr>
          <w:rFonts w:ascii="Times New Roman" w:hAnsi="Times New Roman"/>
          <w:sz w:val="20"/>
        </w:rPr>
        <w:t xml:space="preserve"> </w:t>
      </w:r>
      <w:r>
        <w:rPr>
          <w:rFonts w:ascii="Arial;sans-serif" w:hAnsi="Arial;sans-serif"/>
          <w:b w:val="false"/>
          <w:sz w:val="20"/>
        </w:rPr>
        <w:t>million as product revenues in the Company's commercial networks segment and $6.4</w:t>
      </w:r>
      <w:r>
        <w:rPr>
          <w:rFonts w:ascii="Times New Roman" w:hAnsi="Times New Roman"/>
          <w:sz w:val="20"/>
        </w:rPr>
        <w:t xml:space="preserve"> </w:t>
      </w:r>
      <w:r>
        <w:rPr>
          <w:rFonts w:ascii="Arial;sans-serif" w:hAnsi="Arial;sans-serif"/>
          <w:b w:val="false"/>
          <w:sz w:val="20"/>
        </w:rPr>
        <w:t>million as interest income with respect to such payment.</w:t>
      </w:r>
    </w:p>
    <w:p>
      <w:pPr>
        <w:pStyle w:val="TextBody"/>
        <w:bidi w:val="0"/>
        <w:spacing w:before="180" w:after="0"/>
        <w:jc w:val="left"/>
        <w:rPr>
          <w:rFonts w:ascii="Times New Roman" w:hAnsi="Times New Roman"/>
          <w:sz w:val="20"/>
        </w:rPr>
      </w:pPr>
      <w:r>
        <w:rPr>
          <w:rFonts w:ascii="Arial;sans-serif" w:hAnsi="Arial;sans-serif"/>
          <w:b w:val="false"/>
          <w:sz w:val="20"/>
        </w:rPr>
        <w:t>On May 8, 2023, subsequent to the fiscal year end, Cisco paid the Company an additional approximately $97.5</w:t>
      </w:r>
      <w:r>
        <w:rPr>
          <w:rFonts w:ascii="Times New Roman" w:hAnsi="Times New Roman"/>
          <w:sz w:val="20"/>
        </w:rPr>
        <w:t xml:space="preserve"> </w:t>
      </w:r>
      <w:r>
        <w:rPr>
          <w:rFonts w:ascii="Arial;sans-serif" w:hAnsi="Arial;sans-serif"/>
          <w:b w:val="false"/>
          <w:sz w:val="20"/>
        </w:rPr>
        <w:t>million pursuant to a judgment entered against Acacia on May 4, 2023. The 2023 judgment obligates Acacia to make contractual royalty payments to the Company based on the quarterly sales of certain of its products. Like the prior July 2019 judgment, the May 2023 judgment was entered against Acacia due to its breach of contract and continued use of the Company’s soft decision forward error correction technology. The ultimate resolution of the matter is currently unknown; Acacia has until July 10, 2023 to appeal the May 2023 judgment.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F-45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270" w:after="0"/>
        <w:jc w:val="left"/>
        <w:rPr>
          <w:rFonts w:ascii="Times New Roman" w:hAnsi="Times New Roman"/>
          <w:sz w:val="20"/>
        </w:rPr>
      </w:pPr>
      <w:r>
        <w:rPr>
          <w:rFonts w:ascii="Arial;sans-serif" w:hAnsi="Arial;sans-serif"/>
          <w:b/>
          <w:sz w:val="20"/>
        </w:rPr>
        <w:t>Note 15 — Product Warranty</w:t>
      </w:r>
      <w:r>
        <w:rPr>
          <w:rFonts w:ascii="Times New Roman" w:hAnsi="Times New Roman"/>
          <w:sz w:val="20"/>
        </w:rPr>
        <w:t xml:space="preserve"> </w:t>
      </w:r>
    </w:p>
    <w:p>
      <w:pPr>
        <w:pStyle w:val="TextBody"/>
        <w:bidi w:val="0"/>
        <w:spacing w:before="90" w:after="0"/>
        <w:jc w:val="left"/>
        <w:rPr>
          <w:rFonts w:ascii="Arial;sans-serif" w:hAnsi="Arial;sans-serif"/>
          <w:b w:val="false"/>
          <w:sz w:val="20"/>
        </w:rPr>
      </w:pPr>
      <w:r>
        <w:rPr>
          <w:rFonts w:ascii="Arial;sans-serif" w:hAnsi="Arial;sans-serif"/>
          <w:b w:val="false"/>
          <w:sz w:val="20"/>
        </w:rPr>
        <w:t xml:space="preserve">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2023, 2022 and 2021. </w:t>
      </w:r>
    </w:p>
    <w:p>
      <w:pPr>
        <w:pStyle w:val="TextBody"/>
        <w:bidi w:val="0"/>
        <w:spacing w:before="0" w:after="0"/>
        <w:jc w:val="left"/>
        <w:rPr/>
      </w:pPr>
      <w:r>
        <w:rPr/>
        <w:t> </w:t>
      </w:r>
    </w:p>
    <w:tbl>
      <w:tblPr>
        <w:tblW w:w="9897" w:type="dxa"/>
        <w:jc w:val="left"/>
        <w:tblInd w:w="0" w:type="dxa"/>
        <w:tblLayout w:type="fixed"/>
        <w:tblCellMar>
          <w:top w:w="28" w:type="dxa"/>
          <w:left w:w="28" w:type="dxa"/>
          <w:bottom w:w="28" w:type="dxa"/>
          <w:right w:w="28" w:type="dxa"/>
        </w:tblCellMar>
      </w:tblPr>
      <w:tblGrid>
        <w:gridCol w:w="4876"/>
        <w:gridCol w:w="146"/>
        <w:gridCol w:w="310"/>
        <w:gridCol w:w="950"/>
        <w:gridCol w:w="166"/>
        <w:gridCol w:w="146"/>
        <w:gridCol w:w="310"/>
        <w:gridCol w:w="950"/>
        <w:gridCol w:w="166"/>
        <w:gridCol w:w="146"/>
        <w:gridCol w:w="310"/>
        <w:gridCol w:w="950"/>
        <w:gridCol w:w="47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40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404"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71" w:type="dxa"/>
            <w:tcBorders/>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beginning of period</w:t>
            </w:r>
          </w:p>
        </w:tc>
        <w:tc>
          <w:tcPr>
            <w:tcW w:w="146" w:type="dxa"/>
            <w:tcBorders/>
            <w:vAlign w:val="center"/>
          </w:tcPr>
          <w:p>
            <w:pPr>
              <w:pStyle w:val="TableContents"/>
              <w:bidi w:val="0"/>
              <w:spacing w:before="0" w:after="0"/>
              <w:ind w:left="0" w:right="0" w:hanging="0"/>
              <w:jc w:val="center"/>
              <w:rPr/>
            </w:pPr>
            <w:r>
              <w:rPr/>
              <w:t> </w:t>
            </w:r>
          </w:p>
        </w:tc>
        <w:tc>
          <w:tcPr>
            <w:tcW w:w="31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5,109</w:t>
            </w:r>
          </w:p>
        </w:tc>
        <w:tc>
          <w:tcPr>
            <w:tcW w:w="471" w:type="dxa"/>
            <w:tcBorders/>
            <w:vAlign w:val="center"/>
          </w:tcPr>
          <w:p>
            <w:pPr>
              <w:pStyle w:val="TableContents"/>
              <w:bidi w:val="0"/>
              <w:spacing w:before="0" w:after="0"/>
              <w:ind w:left="0" w:right="0" w:firstLine="280"/>
              <w:jc w:val="left"/>
              <w:rPr/>
            </w:pPr>
            <w:r>
              <w:rPr/>
              <w:t> </w:t>
            </w:r>
          </w:p>
        </w:tc>
      </w:tr>
      <w:tr>
        <w:trPr/>
        <w:tc>
          <w:tcPr>
            <w:tcW w:w="48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Change in liability for warranties issued in period</w:t>
            </w:r>
          </w:p>
        </w:tc>
        <w:tc>
          <w:tcPr>
            <w:tcW w:w="146" w:type="dxa"/>
            <w:tcBorders/>
            <w:vAlign w:val="center"/>
          </w:tcPr>
          <w:p>
            <w:pPr>
              <w:pStyle w:val="TableContents"/>
              <w:bidi w:val="0"/>
              <w:spacing w:before="0" w:after="0"/>
              <w:ind w:left="0" w:right="0" w:hanging="0"/>
              <w:jc w:val="center"/>
              <w:rPr/>
            </w:pPr>
            <w:r>
              <w:rPr/>
              <w:t> </w:t>
            </w:r>
          </w:p>
        </w:tc>
        <w:tc>
          <w:tcPr>
            <w:tcW w:w="310"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0"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0"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4,935</w:t>
            </w:r>
          </w:p>
        </w:tc>
        <w:tc>
          <w:tcPr>
            <w:tcW w:w="471" w:type="dxa"/>
            <w:tcBorders/>
            <w:vAlign w:val="center"/>
          </w:tcPr>
          <w:p>
            <w:pPr>
              <w:pStyle w:val="TableContents"/>
              <w:bidi w:val="0"/>
              <w:spacing w:before="0" w:after="0"/>
              <w:ind w:left="0" w:right="0" w:firstLine="280"/>
              <w:jc w:val="left"/>
              <w:rPr/>
            </w:pPr>
            <w:r>
              <w:rPr/>
              <w:t> </w:t>
            </w:r>
          </w:p>
        </w:tc>
      </w:tr>
      <w:tr>
        <w:trPr/>
        <w:tc>
          <w:tcPr>
            <w:tcW w:w="487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Settlements made (in cash or in kind) during the period</w:t>
            </w:r>
          </w:p>
        </w:tc>
        <w:tc>
          <w:tcPr>
            <w:tcW w:w="146" w:type="dxa"/>
            <w:tcBorders/>
            <w:vAlign w:val="center"/>
          </w:tcPr>
          <w:p>
            <w:pPr>
              <w:pStyle w:val="TableContents"/>
              <w:bidi w:val="0"/>
              <w:spacing w:before="0" w:after="0"/>
              <w:ind w:left="0" w:right="0" w:hanging="0"/>
              <w:jc w:val="center"/>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8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end of period</w:t>
            </w:r>
          </w:p>
        </w:tc>
        <w:tc>
          <w:tcPr>
            <w:tcW w:w="146" w:type="dxa"/>
            <w:tcBorders/>
            <w:vAlign w:val="center"/>
          </w:tcPr>
          <w:p>
            <w:pPr>
              <w:pStyle w:val="TableContents"/>
              <w:bidi w:val="0"/>
              <w:spacing w:before="0" w:after="0"/>
              <w:ind w:left="0" w:right="0" w:hanging="0"/>
              <w:jc w:val="center"/>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6,122</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90" w:after="0"/>
        <w:jc w:val="left"/>
        <w:rPr>
          <w:rFonts w:ascii="Times New Roman" w:hAnsi="Times New Roman"/>
          <w:sz w:val="20"/>
        </w:rPr>
      </w:pPr>
      <w:r>
        <w:rPr>
          <w:rFonts w:ascii="Arial;sans-serif" w:hAnsi="Arial;sans-serif"/>
          <w:b/>
          <w:sz w:val="20"/>
        </w:rPr>
        <w:t>Note 16 — Segment Information</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val="false"/>
          <w:sz w:val="20"/>
        </w:rPr>
        <w:t>The Company’s reporting segments (satellite services, commercial networks and government systems) are primarily distinguished by the type of customer and the related contractual requirements. The Company’s satellite services segment provides satellite-based broadband and related services to residential customers, Prepaid Internet users, enterprises, commercial airlines and other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IP-based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As described in Note 1 — The Company and a Summary of Its Significant Accounting Policies and Note 4 — Discontinued Operations, on October 1, 2022, the Company entered into an Asset Purchase Agreement to sell certain assets and assign certain liabilities comprising the Link-16 TDL Business to L3Harris. In accordance with ASC 205-20, the Company determined that the Link-16 TDL Business met held-for-sale and discontinued operations accounting criteria at the end of the second quarter of fiscal year 2023. Accordingly, the segment information for the periods prior to the measurement date of a discontinued operation that is part of a reportable segment is required to be restated to reflect the discontinued operation classification. Therefore, the discontinued operations have been excluded from segment results for all periods presented. Further, as the discontinued operation is part of a reportable segment but not the entire reportable segment, the costs previously allocated to a discontinued operation have been reasonably allocated to the remaining operating segments. Therefore, certain corporate and other indirect costs previously allocated to the Link-16 TDL Business have been allocated across all three segments for the periods presented. On January 3, 2023, the Company completed the Link-16 TDL Sale. See Note 4 — Discontinued Operations for additional information.</w:t>
      </w:r>
    </w:p>
    <w:p>
      <w:pPr>
        <w:pStyle w:val="TextBody"/>
        <w:bidi w:val="0"/>
        <w:spacing w:before="240" w:after="0"/>
        <w:jc w:val="center"/>
        <w:rPr>
          <w:rFonts w:ascii="Arial;sans-serif" w:hAnsi="Arial;sans-serif"/>
          <w:b w:val="false"/>
          <w:sz w:val="20"/>
        </w:rPr>
      </w:pPr>
      <w:r>
        <w:rPr>
          <w:rFonts w:ascii="Arial;sans-serif" w:hAnsi="Arial;sans-serif"/>
          <w:b w:val="false"/>
          <w:sz w:val="20"/>
        </w:rPr>
        <w:t>F-46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Segment revenues and operating profits (losses) for the fiscal years ended March 31, 2023, 2022 and 2021 were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388"/>
        <w:gridCol w:w="426"/>
        <w:gridCol w:w="224"/>
        <w:gridCol w:w="1020"/>
        <w:gridCol w:w="166"/>
        <w:gridCol w:w="146"/>
        <w:gridCol w:w="224"/>
        <w:gridCol w:w="1020"/>
        <w:gridCol w:w="166"/>
        <w:gridCol w:w="146"/>
        <w:gridCol w:w="224"/>
        <w:gridCol w:w="1020"/>
        <w:gridCol w:w="1035"/>
      </w:tblGrid>
      <w:tr>
        <w:trPr/>
        <w:tc>
          <w:tcPr>
            <w:tcW w:w="43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4388"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4356"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8"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12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2021</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8"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4356"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035" w:type="dxa"/>
            <w:tcBorders/>
            <w:vAlign w:val="center"/>
          </w:tcPr>
          <w:p>
            <w:pPr>
              <w:pStyle w:val="TableContents"/>
              <w:bidi w:val="0"/>
              <w:spacing w:before="0" w:after="0"/>
              <w:ind w:left="0" w:right="0" w:hanging="0"/>
              <w:jc w:val="center"/>
              <w:rPr/>
            </w:pPr>
            <w:r>
              <w:rPr/>
              <w:t> </w:t>
            </w:r>
          </w:p>
        </w:tc>
      </w:tr>
      <w:tr>
        <w:trPr/>
        <w:tc>
          <w:tcPr>
            <w:tcW w:w="43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Revenues:</w:t>
            </w:r>
          </w:p>
        </w:tc>
        <w:tc>
          <w:tcPr>
            <w:tcW w:w="42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firstLine="280"/>
              <w:jc w:val="right"/>
              <w:rPr/>
            </w:pPr>
            <w:r>
              <w:rPr/>
              <w:t> </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Satellite services</w:t>
            </w:r>
          </w:p>
        </w:tc>
        <w:tc>
          <w:tcPr>
            <w:tcW w:w="426" w:type="dxa"/>
            <w:tcBorders/>
            <w:vAlign w:val="center"/>
          </w:tcPr>
          <w:p>
            <w:pPr>
              <w:pStyle w:val="TableContents"/>
              <w:bidi w:val="0"/>
              <w:spacing w:before="0" w:after="0"/>
              <w:ind w:left="0" w:right="0" w:firstLine="280"/>
              <w:jc w:val="left"/>
              <w:rPr/>
            </w:pPr>
            <w:r>
              <w:rPr/>
              <w:t> </w:t>
            </w:r>
          </w:p>
        </w:tc>
        <w:tc>
          <w:tcPr>
            <w:tcW w:w="1244" w:type="dxa"/>
            <w:gridSpan w:val="2"/>
            <w:tcBorders/>
            <w:vAlign w:val="center"/>
          </w:tcPr>
          <w:p>
            <w:pPr>
              <w:pStyle w:val="TableContents"/>
              <w:bidi w:val="0"/>
              <w:spacing w:before="0" w:after="0"/>
              <w:ind w:left="28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firstLine="560"/>
              <w:jc w:val="right"/>
              <w:rPr/>
            </w:pPr>
            <w:r>
              <w:rPr/>
              <w:t> </w:t>
            </w:r>
          </w:p>
        </w:tc>
      </w:tr>
      <w:tr>
        <w:trPr/>
        <w:tc>
          <w:tcPr>
            <w:tcW w:w="4388"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Product</w:t>
            </w:r>
          </w:p>
        </w:tc>
        <w:tc>
          <w:tcPr>
            <w:tcW w:w="426" w:type="dxa"/>
            <w:tcBorders/>
            <w:vAlign w:val="center"/>
          </w:tcPr>
          <w:p>
            <w:pPr>
              <w:pStyle w:val="TableContents"/>
              <w:bidi w:val="0"/>
              <w:spacing w:before="0" w:after="0"/>
              <w:ind w:left="560" w:right="0" w:hanging="0"/>
              <w:jc w:val="left"/>
              <w:rPr/>
            </w:pPr>
            <w:r>
              <w:rPr/>
              <w:t> </w:t>
            </w:r>
          </w:p>
        </w:tc>
        <w:tc>
          <w:tcPr>
            <w:tcW w:w="2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vAlign w:val="center"/>
          </w:tcPr>
          <w:p>
            <w:pPr>
              <w:pStyle w:val="TableContents"/>
              <w:bidi w:val="0"/>
              <w:spacing w:before="0" w:after="0"/>
              <w:ind w:left="0" w:right="0" w:hanging="0"/>
              <w:jc w:val="right"/>
              <w:rPr/>
            </w:pPr>
            <w:r>
              <w:rPr/>
              <w:t>—</w:t>
            </w:r>
          </w:p>
        </w:tc>
        <w:tc>
          <w:tcPr>
            <w:tcW w:w="1035" w:type="dxa"/>
            <w:tcBorders/>
            <w:vAlign w:val="center"/>
          </w:tcPr>
          <w:p>
            <w:pPr>
              <w:pStyle w:val="TableContents"/>
              <w:bidi w:val="0"/>
              <w:spacing w:before="0" w:after="0"/>
              <w:ind w:left="0" w:right="0" w:firstLine="560"/>
              <w:jc w:val="left"/>
              <w:rPr/>
            </w:pPr>
            <w:r>
              <w:rPr/>
              <w:t> </w:t>
            </w:r>
          </w:p>
        </w:tc>
      </w:tr>
      <w:tr>
        <w:trPr/>
        <w:tc>
          <w:tcPr>
            <w:tcW w:w="4388"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Service</w:t>
            </w:r>
          </w:p>
        </w:tc>
        <w:tc>
          <w:tcPr>
            <w:tcW w:w="426" w:type="dxa"/>
            <w:tcBorders/>
            <w:vAlign w:val="center"/>
          </w:tcPr>
          <w:p>
            <w:pPr>
              <w:pStyle w:val="TableContents"/>
              <w:bidi w:val="0"/>
              <w:spacing w:before="0" w:after="0"/>
              <w:ind w:left="56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1,210,733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1,188,816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868,943</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firstLine="840"/>
              <w:jc w:val="left"/>
              <w:rPr/>
            </w:pPr>
            <w:r>
              <w:rPr/>
              <w:t> </w:t>
            </w:r>
          </w:p>
        </w:tc>
      </w:tr>
      <w:tr>
        <w:trPr/>
        <w:tc>
          <w:tcPr>
            <w:tcW w:w="4388" w:type="dxa"/>
            <w:tcBorders/>
            <w:vAlign w:val="center"/>
          </w:tcPr>
          <w:p>
            <w:pPr>
              <w:pStyle w:val="TableContents"/>
              <w:bidi w:val="0"/>
              <w:spacing w:before="0" w:after="0"/>
              <w:ind w:left="0" w:right="0" w:firstLine="840"/>
              <w:jc w:val="left"/>
              <w:rPr>
                <w:rFonts w:ascii="Arial;sans-serif" w:hAnsi="Arial;sans-serif"/>
                <w:b w:val="false"/>
                <w:sz w:val="20"/>
              </w:rPr>
            </w:pPr>
            <w:r>
              <w:rPr>
                <w:rFonts w:ascii="Arial;sans-serif" w:hAnsi="Arial;sans-serif"/>
                <w:b w:val="false"/>
                <w:sz w:val="20"/>
              </w:rPr>
              <w:t>Total</w:t>
            </w:r>
          </w:p>
        </w:tc>
        <w:tc>
          <w:tcPr>
            <w:tcW w:w="426" w:type="dxa"/>
            <w:tcBorders/>
            <w:vAlign w:val="center"/>
          </w:tcPr>
          <w:p>
            <w:pPr>
              <w:pStyle w:val="TableContents"/>
              <w:bidi w:val="0"/>
              <w:spacing w:before="0" w:after="0"/>
              <w:ind w:left="84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1,210,733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1,188,816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868,943</w:t>
            </w:r>
          </w:p>
        </w:tc>
        <w:tc>
          <w:tcPr>
            <w:tcW w:w="1035" w:type="dxa"/>
            <w:tcBorders/>
            <w:vAlign w:val="center"/>
          </w:tcPr>
          <w:p>
            <w:pPr>
              <w:pStyle w:val="TableContents"/>
              <w:bidi w:val="0"/>
              <w:spacing w:before="0" w:after="0"/>
              <w:ind w:left="0" w:right="0" w:firstLine="280"/>
              <w:jc w:val="left"/>
              <w:rPr/>
            </w:pPr>
            <w:r>
              <w:rPr/>
              <w:t> </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Commercial networks</w:t>
            </w:r>
          </w:p>
        </w:tc>
        <w:tc>
          <w:tcPr>
            <w:tcW w:w="426" w:type="dxa"/>
            <w:tcBorders/>
            <w:vAlign w:val="center"/>
          </w:tcPr>
          <w:p>
            <w:pPr>
              <w:pStyle w:val="TableContents"/>
              <w:bidi w:val="0"/>
              <w:spacing w:before="0" w:after="0"/>
              <w:ind w:left="28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firstLine="560"/>
              <w:jc w:val="right"/>
              <w:rPr/>
            </w:pPr>
            <w:r>
              <w:rPr/>
              <w:t> </w:t>
            </w:r>
          </w:p>
        </w:tc>
      </w:tr>
      <w:tr>
        <w:trPr/>
        <w:tc>
          <w:tcPr>
            <w:tcW w:w="4388"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Product</w:t>
            </w:r>
          </w:p>
        </w:tc>
        <w:tc>
          <w:tcPr>
            <w:tcW w:w="426" w:type="dxa"/>
            <w:tcBorders/>
            <w:vAlign w:val="center"/>
          </w:tcPr>
          <w:p>
            <w:pPr>
              <w:pStyle w:val="TableContents"/>
              <w:bidi w:val="0"/>
              <w:spacing w:before="0" w:after="0"/>
              <w:ind w:left="56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530,374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443,435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268,830</w:t>
            </w:r>
          </w:p>
        </w:tc>
        <w:tc>
          <w:tcPr>
            <w:tcW w:w="1035" w:type="dxa"/>
            <w:tcBorders/>
            <w:vAlign w:val="center"/>
          </w:tcPr>
          <w:p>
            <w:pPr>
              <w:pStyle w:val="TableContents"/>
              <w:bidi w:val="0"/>
              <w:spacing w:before="0" w:after="0"/>
              <w:ind w:left="0" w:right="0" w:firstLine="560"/>
              <w:jc w:val="left"/>
              <w:rPr/>
            </w:pPr>
            <w:r>
              <w:rPr/>
              <w:t> </w:t>
            </w:r>
          </w:p>
        </w:tc>
      </w:tr>
      <w:tr>
        <w:trPr/>
        <w:tc>
          <w:tcPr>
            <w:tcW w:w="4388"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Service</w:t>
            </w:r>
          </w:p>
        </w:tc>
        <w:tc>
          <w:tcPr>
            <w:tcW w:w="426" w:type="dxa"/>
            <w:tcBorders/>
            <w:vAlign w:val="center"/>
          </w:tcPr>
          <w:p>
            <w:pPr>
              <w:pStyle w:val="TableContents"/>
              <w:bidi w:val="0"/>
              <w:spacing w:before="0" w:after="0"/>
              <w:ind w:left="56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82,273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68,664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52,026</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firstLine="840"/>
              <w:jc w:val="left"/>
              <w:rPr/>
            </w:pPr>
            <w:r>
              <w:rPr/>
              <w:t> </w:t>
            </w:r>
          </w:p>
        </w:tc>
      </w:tr>
      <w:tr>
        <w:trPr/>
        <w:tc>
          <w:tcPr>
            <w:tcW w:w="4388" w:type="dxa"/>
            <w:tcBorders/>
            <w:vAlign w:val="center"/>
          </w:tcPr>
          <w:p>
            <w:pPr>
              <w:pStyle w:val="TableContents"/>
              <w:bidi w:val="0"/>
              <w:spacing w:before="0" w:after="0"/>
              <w:ind w:left="0" w:right="0" w:firstLine="840"/>
              <w:jc w:val="left"/>
              <w:rPr>
                <w:rFonts w:ascii="Arial;sans-serif" w:hAnsi="Arial;sans-serif"/>
                <w:b w:val="false"/>
                <w:sz w:val="20"/>
              </w:rPr>
            </w:pPr>
            <w:r>
              <w:rPr>
                <w:rFonts w:ascii="Arial;sans-serif" w:hAnsi="Arial;sans-serif"/>
                <w:b w:val="false"/>
                <w:sz w:val="20"/>
              </w:rPr>
              <w:t>Total</w:t>
            </w:r>
          </w:p>
        </w:tc>
        <w:tc>
          <w:tcPr>
            <w:tcW w:w="426" w:type="dxa"/>
            <w:tcBorders/>
            <w:vAlign w:val="center"/>
          </w:tcPr>
          <w:p>
            <w:pPr>
              <w:pStyle w:val="TableContents"/>
              <w:bidi w:val="0"/>
              <w:spacing w:before="0" w:after="0"/>
              <w:ind w:left="84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612,647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512,099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320,856</w:t>
            </w:r>
          </w:p>
        </w:tc>
        <w:tc>
          <w:tcPr>
            <w:tcW w:w="1035" w:type="dxa"/>
            <w:tcBorders/>
            <w:vAlign w:val="center"/>
          </w:tcPr>
          <w:p>
            <w:pPr>
              <w:pStyle w:val="TableContents"/>
              <w:bidi w:val="0"/>
              <w:spacing w:before="0" w:after="0"/>
              <w:ind w:left="0" w:right="0" w:firstLine="280"/>
              <w:jc w:val="left"/>
              <w:rPr/>
            </w:pPr>
            <w:r>
              <w:rPr/>
              <w:t> </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Government systems</w:t>
            </w:r>
          </w:p>
        </w:tc>
        <w:tc>
          <w:tcPr>
            <w:tcW w:w="426" w:type="dxa"/>
            <w:tcBorders/>
            <w:vAlign w:val="center"/>
          </w:tcPr>
          <w:p>
            <w:pPr>
              <w:pStyle w:val="TableContents"/>
              <w:bidi w:val="0"/>
              <w:spacing w:before="0" w:after="0"/>
              <w:ind w:left="28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firstLine="560"/>
              <w:jc w:val="right"/>
              <w:rPr/>
            </w:pPr>
            <w:r>
              <w:rPr/>
              <w:t> </w:t>
            </w:r>
          </w:p>
        </w:tc>
      </w:tr>
      <w:tr>
        <w:trPr/>
        <w:tc>
          <w:tcPr>
            <w:tcW w:w="4388"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Product</w:t>
            </w:r>
          </w:p>
        </w:tc>
        <w:tc>
          <w:tcPr>
            <w:tcW w:w="426" w:type="dxa"/>
            <w:tcBorders/>
            <w:vAlign w:val="center"/>
          </w:tcPr>
          <w:p>
            <w:pPr>
              <w:pStyle w:val="TableContents"/>
              <w:bidi w:val="0"/>
              <w:spacing w:before="0" w:after="0"/>
              <w:ind w:left="56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423,752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417,291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470,543</w:t>
            </w:r>
          </w:p>
        </w:tc>
        <w:tc>
          <w:tcPr>
            <w:tcW w:w="1035" w:type="dxa"/>
            <w:tcBorders/>
            <w:vAlign w:val="center"/>
          </w:tcPr>
          <w:p>
            <w:pPr>
              <w:pStyle w:val="TableContents"/>
              <w:bidi w:val="0"/>
              <w:spacing w:before="0" w:after="0"/>
              <w:ind w:left="0" w:right="0" w:firstLine="560"/>
              <w:jc w:val="left"/>
              <w:rPr/>
            </w:pPr>
            <w:r>
              <w:rPr/>
              <w:t> </w:t>
            </w:r>
          </w:p>
        </w:tc>
      </w:tr>
      <w:tr>
        <w:trPr/>
        <w:tc>
          <w:tcPr>
            <w:tcW w:w="4388"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Service</w:t>
            </w:r>
          </w:p>
        </w:tc>
        <w:tc>
          <w:tcPr>
            <w:tcW w:w="426" w:type="dxa"/>
            <w:tcBorders/>
            <w:vAlign w:val="center"/>
          </w:tcPr>
          <w:p>
            <w:pPr>
              <w:pStyle w:val="TableContents"/>
              <w:bidi w:val="0"/>
              <w:spacing w:before="0" w:after="0"/>
              <w:ind w:left="56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309,026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298,973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260,536</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firstLine="840"/>
              <w:jc w:val="left"/>
              <w:rPr/>
            </w:pPr>
            <w:r>
              <w:rPr/>
              <w:t> </w:t>
            </w:r>
          </w:p>
        </w:tc>
      </w:tr>
      <w:tr>
        <w:trPr/>
        <w:tc>
          <w:tcPr>
            <w:tcW w:w="4388" w:type="dxa"/>
            <w:tcBorders/>
            <w:vAlign w:val="center"/>
          </w:tcPr>
          <w:p>
            <w:pPr>
              <w:pStyle w:val="TableContents"/>
              <w:bidi w:val="0"/>
              <w:spacing w:before="0" w:after="0"/>
              <w:ind w:left="0" w:right="0" w:firstLine="840"/>
              <w:jc w:val="left"/>
              <w:rPr>
                <w:rFonts w:ascii="Arial;sans-serif" w:hAnsi="Arial;sans-serif"/>
                <w:b w:val="false"/>
                <w:sz w:val="20"/>
              </w:rPr>
            </w:pPr>
            <w:r>
              <w:rPr>
                <w:rFonts w:ascii="Arial;sans-serif" w:hAnsi="Arial;sans-serif"/>
                <w:b w:val="false"/>
                <w:sz w:val="20"/>
              </w:rPr>
              <w:t>Total</w:t>
            </w:r>
          </w:p>
        </w:tc>
        <w:tc>
          <w:tcPr>
            <w:tcW w:w="426" w:type="dxa"/>
            <w:tcBorders/>
            <w:vAlign w:val="center"/>
          </w:tcPr>
          <w:p>
            <w:pPr>
              <w:pStyle w:val="TableContents"/>
              <w:bidi w:val="0"/>
              <w:spacing w:before="0" w:after="0"/>
              <w:ind w:left="84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732,778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716,264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731,079</w:t>
            </w:r>
          </w:p>
        </w:tc>
        <w:tc>
          <w:tcPr>
            <w:tcW w:w="1035" w:type="dxa"/>
            <w:tcBorders/>
            <w:vAlign w:val="center"/>
          </w:tcPr>
          <w:p>
            <w:pPr>
              <w:pStyle w:val="TableContents"/>
              <w:bidi w:val="0"/>
              <w:spacing w:before="0" w:after="0"/>
              <w:ind w:left="0" w:right="0" w:firstLine="280"/>
              <w:jc w:val="left"/>
              <w:rPr/>
            </w:pPr>
            <w:r>
              <w:rPr/>
              <w:t> </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Elimination of intersegment revenues</w:t>
            </w:r>
          </w:p>
        </w:tc>
        <w:tc>
          <w:tcPr>
            <w:tcW w:w="426" w:type="dxa"/>
            <w:tcBorders/>
            <w:vAlign w:val="center"/>
          </w:tcPr>
          <w:p>
            <w:pPr>
              <w:pStyle w:val="TableContents"/>
              <w:bidi w:val="0"/>
              <w:spacing w:before="0" w:after="0"/>
              <w:ind w:left="28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42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2,556,158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2,417,179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1,920,878</w:t>
            </w:r>
          </w:p>
        </w:tc>
        <w:tc>
          <w:tcPr>
            <w:tcW w:w="10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profits (losses):</w:t>
            </w:r>
          </w:p>
        </w:tc>
        <w:tc>
          <w:tcPr>
            <w:tcW w:w="42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firstLine="280"/>
              <w:jc w:val="right"/>
              <w:rPr/>
            </w:pPr>
            <w:r>
              <w:rPr/>
              <w:t> </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Satellite services</w:t>
            </w:r>
          </w:p>
        </w:tc>
        <w:tc>
          <w:tcPr>
            <w:tcW w:w="426" w:type="dxa"/>
            <w:tcBorders/>
            <w:vAlign w:val="center"/>
          </w:tcPr>
          <w:p>
            <w:pPr>
              <w:pStyle w:val="TableContents"/>
              <w:bidi w:val="0"/>
              <w:spacing w:before="0" w:after="0"/>
              <w:ind w:left="280" w:right="0" w:hanging="0"/>
              <w:jc w:val="left"/>
              <w:rPr/>
            </w:pPr>
            <w:r>
              <w:rPr/>
              <w:t> </w:t>
            </w:r>
          </w:p>
        </w:tc>
        <w:tc>
          <w:tcPr>
            <w:tcW w:w="2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(41,045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31,559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26,263</w:t>
            </w:r>
          </w:p>
        </w:tc>
        <w:tc>
          <w:tcPr>
            <w:tcW w:w="1035" w:type="dxa"/>
            <w:tcBorders/>
            <w:vAlign w:val="center"/>
          </w:tcPr>
          <w:p>
            <w:pPr>
              <w:pStyle w:val="TableContents"/>
              <w:bidi w:val="0"/>
              <w:spacing w:before="0" w:after="0"/>
              <w:ind w:left="0" w:right="0" w:firstLine="280"/>
              <w:jc w:val="left"/>
              <w:rPr/>
            </w:pPr>
            <w:r>
              <w:rPr/>
              <w:t> </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Commercial networks</w:t>
            </w:r>
          </w:p>
        </w:tc>
        <w:tc>
          <w:tcPr>
            <w:tcW w:w="426" w:type="dxa"/>
            <w:tcBorders/>
            <w:vAlign w:val="center"/>
          </w:tcPr>
          <w:p>
            <w:pPr>
              <w:pStyle w:val="TableContents"/>
              <w:bidi w:val="0"/>
              <w:spacing w:before="0" w:after="0"/>
              <w:ind w:left="28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(145,319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(209,093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(206,437</w:t>
            </w:r>
          </w:p>
        </w:tc>
        <w:tc>
          <w:tcPr>
            <w:tcW w:w="1035"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Government systems</w:t>
            </w:r>
          </w:p>
        </w:tc>
        <w:tc>
          <w:tcPr>
            <w:tcW w:w="426" w:type="dxa"/>
            <w:tcBorders/>
            <w:vAlign w:val="center"/>
          </w:tcPr>
          <w:p>
            <w:pPr>
              <w:pStyle w:val="TableContents"/>
              <w:bidi w:val="0"/>
              <w:spacing w:before="0" w:after="0"/>
              <w:ind w:left="28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93,122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139,703</w:t>
            </w:r>
          </w:p>
        </w:tc>
        <w:tc>
          <w:tcPr>
            <w:tcW w:w="1035" w:type="dxa"/>
            <w:tcBorders/>
            <w:vAlign w:val="center"/>
          </w:tcPr>
          <w:p>
            <w:pPr>
              <w:pStyle w:val="TableContents"/>
              <w:bidi w:val="0"/>
              <w:spacing w:before="0" w:after="0"/>
              <w:ind w:left="0" w:right="0" w:firstLine="280"/>
              <w:jc w:val="left"/>
              <w:rPr/>
            </w:pPr>
            <w:r>
              <w:rPr/>
              <w:t> </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Elimination of intersegment operating profits (losses)</w:t>
            </w:r>
          </w:p>
        </w:tc>
        <w:tc>
          <w:tcPr>
            <w:tcW w:w="426" w:type="dxa"/>
            <w:tcBorders/>
            <w:vAlign w:val="center"/>
          </w:tcPr>
          <w:p>
            <w:pPr>
              <w:pStyle w:val="TableContents"/>
              <w:bidi w:val="0"/>
              <w:spacing w:before="0" w:after="0"/>
              <w:ind w:left="28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 before corporate and</w:t>
              <w:br/>
              <w:t>   amortization of acquired intangible assets</w:t>
            </w:r>
          </w:p>
        </w:tc>
        <w:tc>
          <w:tcPr>
            <w:tcW w:w="42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(126,145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(84,412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(40,471</w:t>
            </w:r>
          </w:p>
        </w:tc>
        <w:tc>
          <w:tcPr>
            <w:tcW w:w="1035"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Corporate</w:t>
            </w:r>
          </w:p>
        </w:tc>
        <w:tc>
          <w:tcPr>
            <w:tcW w:w="426" w:type="dxa"/>
            <w:tcBorders/>
            <w:vAlign w:val="center"/>
          </w:tcPr>
          <w:p>
            <w:pPr>
              <w:pStyle w:val="TableContents"/>
              <w:bidi w:val="0"/>
              <w:spacing w:before="0" w:after="0"/>
              <w:ind w:left="28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pPr>
            <w:r>
              <w:rPr/>
              <w:t>—</w:t>
            </w:r>
          </w:p>
        </w:tc>
        <w:tc>
          <w:tcPr>
            <w:tcW w:w="1035" w:type="dxa"/>
            <w:tcBorders/>
            <w:vAlign w:val="center"/>
          </w:tcPr>
          <w:p>
            <w:pPr>
              <w:pStyle w:val="TableContents"/>
              <w:bidi w:val="0"/>
              <w:spacing w:before="0" w:after="0"/>
              <w:ind w:left="0" w:right="0" w:firstLine="280"/>
              <w:jc w:val="left"/>
              <w:rPr/>
            </w:pPr>
            <w:r>
              <w:rPr/>
              <w:t> </w:t>
            </w:r>
          </w:p>
        </w:tc>
      </w:tr>
      <w:tr>
        <w:trPr/>
        <w:tc>
          <w:tcPr>
            <w:tcW w:w="4388"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Amortization of acquired intangible assets</w:t>
            </w:r>
          </w:p>
        </w:tc>
        <w:tc>
          <w:tcPr>
            <w:tcW w:w="426" w:type="dxa"/>
            <w:tcBorders/>
            <w:vAlign w:val="center"/>
          </w:tcPr>
          <w:p>
            <w:pPr>
              <w:pStyle w:val="TableContents"/>
              <w:bidi w:val="0"/>
              <w:spacing w:before="0" w:after="0"/>
              <w:ind w:left="28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(29,811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(28,729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(5,482</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operations</w:t>
            </w:r>
          </w:p>
        </w:tc>
        <w:tc>
          <w:tcPr>
            <w:tcW w:w="42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(155,956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(113,141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(45,953</w:t>
            </w:r>
          </w:p>
        </w:tc>
        <w:tc>
          <w:tcPr>
            <w:tcW w:w="10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F-47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CONSOLIDATED FINANCIAL STATEMENTS - (Continued)</w:t>
      </w:r>
    </w:p>
    <w:p>
      <w:pPr>
        <w:pStyle w:val="TextBody"/>
        <w:bidi w:val="0"/>
        <w:spacing w:before="0" w:after="0"/>
        <w:jc w:val="center"/>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 xml:space="preserve">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2023 and 2022 were as follows: </w:t>
      </w:r>
    </w:p>
    <w:p>
      <w:pPr>
        <w:pStyle w:val="TextBody"/>
        <w:bidi w:val="0"/>
        <w:spacing w:before="0" w:after="0"/>
        <w:jc w:val="left"/>
        <w:rPr/>
      </w:pPr>
      <w:r>
        <w:rPr/>
        <w:t> </w:t>
      </w:r>
    </w:p>
    <w:tbl>
      <w:tblPr>
        <w:tblW w:w="6609" w:type="dxa"/>
        <w:jc w:val="left"/>
        <w:tblInd w:w="0" w:type="dxa"/>
        <w:tblLayout w:type="fixed"/>
        <w:tblCellMar>
          <w:top w:w="28" w:type="dxa"/>
          <w:left w:w="28" w:type="dxa"/>
          <w:bottom w:w="28" w:type="dxa"/>
          <w:right w:w="28" w:type="dxa"/>
        </w:tblCellMar>
      </w:tblPr>
      <w:tblGrid>
        <w:gridCol w:w="3076"/>
        <w:gridCol w:w="146"/>
        <w:gridCol w:w="211"/>
        <w:gridCol w:w="961"/>
        <w:gridCol w:w="146"/>
        <w:gridCol w:w="146"/>
        <w:gridCol w:w="211"/>
        <w:gridCol w:w="961"/>
        <w:gridCol w:w="75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2022</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6"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75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assets: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560"/>
              <w:jc w:val="right"/>
              <w:rPr/>
            </w:pPr>
            <w:r>
              <w:rPr/>
              <w:t> </w:t>
            </w:r>
          </w:p>
        </w:tc>
      </w:tr>
      <w:tr>
        <w:trPr/>
        <w:tc>
          <w:tcPr>
            <w:tcW w:w="307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Satellite services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424,881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444,976</w:t>
            </w:r>
          </w:p>
        </w:tc>
        <w:tc>
          <w:tcPr>
            <w:tcW w:w="751" w:type="dxa"/>
            <w:tcBorders/>
            <w:vAlign w:val="center"/>
          </w:tcPr>
          <w:p>
            <w:pPr>
              <w:pStyle w:val="TableContents"/>
              <w:bidi w:val="0"/>
              <w:spacing w:before="0" w:after="0"/>
              <w:ind w:left="0" w:right="0" w:firstLine="560"/>
              <w:jc w:val="left"/>
              <w:rPr/>
            </w:pPr>
            <w:r>
              <w:rPr/>
              <w:t> </w:t>
            </w:r>
          </w:p>
        </w:tc>
      </w:tr>
      <w:tr>
        <w:trPr/>
        <w:tc>
          <w:tcPr>
            <w:tcW w:w="307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Commercial networks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328,828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202,941</w:t>
            </w:r>
          </w:p>
        </w:tc>
        <w:tc>
          <w:tcPr>
            <w:tcW w:w="751" w:type="dxa"/>
            <w:tcBorders/>
            <w:vAlign w:val="center"/>
          </w:tcPr>
          <w:p>
            <w:pPr>
              <w:pStyle w:val="TableContents"/>
              <w:bidi w:val="0"/>
              <w:spacing w:before="0" w:after="0"/>
              <w:ind w:left="0" w:right="0" w:firstLine="560"/>
              <w:jc w:val="left"/>
              <w:rPr/>
            </w:pPr>
            <w:r>
              <w:rPr/>
              <w:t> </w:t>
            </w:r>
          </w:p>
        </w:tc>
      </w:tr>
      <w:tr>
        <w:trPr/>
        <w:tc>
          <w:tcPr>
            <w:tcW w:w="307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Government systems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293,780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266,641</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307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segment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1,047,489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914,558</w:t>
            </w:r>
          </w:p>
        </w:tc>
        <w:tc>
          <w:tcPr>
            <w:tcW w:w="751" w:type="dxa"/>
            <w:tcBorders/>
            <w:vAlign w:val="center"/>
          </w:tcPr>
          <w:p>
            <w:pPr>
              <w:pStyle w:val="TableContents"/>
              <w:bidi w:val="0"/>
              <w:spacing w:before="0" w:after="0"/>
              <w:ind w:left="0" w:right="0" w:firstLine="560"/>
              <w:jc w:val="left"/>
              <w:rPr/>
            </w:pPr>
            <w:r>
              <w:rPr/>
              <w:t> </w:t>
            </w:r>
          </w:p>
        </w:tc>
      </w:tr>
      <w:tr>
        <w:trPr/>
        <w:tc>
          <w:tcPr>
            <w:tcW w:w="307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Corporate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6,682,848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5,199,686</w:t>
            </w:r>
          </w:p>
        </w:tc>
        <w:tc>
          <w:tcPr>
            <w:tcW w:w="751" w:type="dxa"/>
            <w:tcBorders/>
            <w:vAlign w:val="center"/>
          </w:tcPr>
          <w:p>
            <w:pPr>
              <w:pStyle w:val="TableContents"/>
              <w:bidi w:val="0"/>
              <w:spacing w:before="0" w:after="0"/>
              <w:ind w:left="0" w:right="0" w:firstLine="560"/>
              <w:jc w:val="left"/>
              <w:rPr/>
            </w:pPr>
            <w:r>
              <w:rPr/>
              <w:t> </w:t>
            </w:r>
          </w:p>
        </w:tc>
      </w:tr>
      <w:tr>
        <w:trPr/>
        <w:tc>
          <w:tcPr>
            <w:tcW w:w="307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Assets of discontinued operations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275,102</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assets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7,730,337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6,389,346</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Other acquired intangible assets, net and goodwill included in segment assets as of March 31, 2023 and 2022 were as follows:</w:t>
      </w:r>
      <w:r>
        <w:rPr>
          <w:rFonts w:ascii="Times New Roman" w:hAnsi="Times New Roman"/>
          <w:sz w:val="20"/>
        </w:rPr>
        <w:t xml:space="preserve"> </w:t>
      </w:r>
    </w:p>
    <w:p>
      <w:pPr>
        <w:pStyle w:val="TextBody"/>
        <w:bidi w:val="0"/>
        <w:spacing w:before="0" w:after="0"/>
        <w:jc w:val="left"/>
        <w:rPr/>
      </w:pPr>
      <w:r>
        <w:rPr/>
        <w:t> </w:t>
      </w:r>
    </w:p>
    <w:tbl>
      <w:tblPr>
        <w:tblW w:w="7237" w:type="dxa"/>
        <w:jc w:val="left"/>
        <w:tblInd w:w="0" w:type="dxa"/>
        <w:tblLayout w:type="fixed"/>
        <w:tblCellMar>
          <w:top w:w="28" w:type="dxa"/>
          <w:left w:w="28" w:type="dxa"/>
          <w:bottom w:w="28" w:type="dxa"/>
          <w:right w:w="28" w:type="dxa"/>
        </w:tblCellMar>
      </w:tblPr>
      <w:tblGrid>
        <w:gridCol w:w="1996"/>
        <w:gridCol w:w="146"/>
        <w:gridCol w:w="211"/>
        <w:gridCol w:w="796"/>
        <w:gridCol w:w="146"/>
        <w:gridCol w:w="146"/>
        <w:gridCol w:w="211"/>
        <w:gridCol w:w="796"/>
        <w:gridCol w:w="146"/>
        <w:gridCol w:w="146"/>
        <w:gridCol w:w="211"/>
        <w:gridCol w:w="796"/>
        <w:gridCol w:w="146"/>
        <w:gridCol w:w="146"/>
        <w:gridCol w:w="211"/>
        <w:gridCol w:w="796"/>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 Acquired Intangible</w:t>
              <w:br/>
              <w:t>   Assets, Net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Goodwill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March 31,</w:t>
              <w:br/>
              <w:t>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04"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Satellite services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200,097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233,740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81,972</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networks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44,050</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Government systems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42,688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201,205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236,043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168,710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Amortization of acquired intangible assets by segment for the fiscal years ended March 31, 2023, 2022 and 2021 was as follows:</w:t>
      </w:r>
      <w:r>
        <w:rPr>
          <w:rFonts w:ascii="Times New Roman" w:hAnsi="Times New Roman"/>
          <w:sz w:val="20"/>
        </w:rPr>
        <w:t xml:space="preserve"> </w:t>
      </w:r>
    </w:p>
    <w:p>
      <w:pPr>
        <w:pStyle w:val="TextBody"/>
        <w:bidi w:val="0"/>
        <w:spacing w:before="0" w:after="0"/>
        <w:jc w:val="left"/>
        <w:rPr/>
      </w:pPr>
      <w:r>
        <w:rPr/>
        <w:t> </w:t>
      </w:r>
    </w:p>
    <w:tbl>
      <w:tblPr>
        <w:tblW w:w="7166" w:type="dxa"/>
        <w:jc w:val="left"/>
        <w:tblInd w:w="0" w:type="dxa"/>
        <w:tblLayout w:type="fixed"/>
        <w:tblCellMar>
          <w:top w:w="28" w:type="dxa"/>
          <w:left w:w="28" w:type="dxa"/>
          <w:bottom w:w="28" w:type="dxa"/>
          <w:right w:w="28" w:type="dxa"/>
        </w:tblCellMar>
      </w:tblPr>
      <w:tblGrid>
        <w:gridCol w:w="3586"/>
        <w:gridCol w:w="146"/>
        <w:gridCol w:w="211"/>
        <w:gridCol w:w="691"/>
        <w:gridCol w:w="146"/>
        <w:gridCol w:w="146"/>
        <w:gridCol w:w="211"/>
        <w:gridCol w:w="691"/>
        <w:gridCol w:w="146"/>
        <w:gridCol w:w="146"/>
        <w:gridCol w:w="226"/>
        <w:gridCol w:w="629"/>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243"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43"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5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Satellite services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2,164</w:t>
            </w:r>
          </w:p>
        </w:tc>
        <w:tc>
          <w:tcPr>
            <w:tcW w:w="191" w:type="dxa"/>
            <w:tcBorders/>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networks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257</w:t>
            </w:r>
          </w:p>
        </w:tc>
        <w:tc>
          <w:tcPr>
            <w:tcW w:w="191" w:type="dxa"/>
            <w:tcBorders/>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Government systems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3,061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amortization of acquired intangible</w:t>
              <w:br/>
              <w:t>    assets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29,811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28,729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5,482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Revenues by geographic area for the fiscal years ended March 31, 2023, 2022 and 2021 were as follows:</w:t>
      </w:r>
      <w:r>
        <w:rPr>
          <w:rFonts w:ascii="Times New Roman" w:hAnsi="Times New Roman"/>
          <w:sz w:val="20"/>
        </w:rPr>
        <w:t xml:space="preserve"> </w:t>
      </w:r>
    </w:p>
    <w:p>
      <w:pPr>
        <w:pStyle w:val="TextBody"/>
        <w:bidi w:val="0"/>
        <w:spacing w:before="0" w:after="0"/>
        <w:jc w:val="left"/>
        <w:rPr/>
      </w:pPr>
      <w:r>
        <w:rPr/>
        <w:t> </w:t>
      </w:r>
    </w:p>
    <w:tbl>
      <w:tblPr>
        <w:tblW w:w="8593" w:type="dxa"/>
        <w:jc w:val="left"/>
        <w:tblInd w:w="0" w:type="dxa"/>
        <w:tblLayout w:type="fixed"/>
        <w:tblCellMar>
          <w:top w:w="28" w:type="dxa"/>
          <w:left w:w="28" w:type="dxa"/>
          <w:bottom w:w="28" w:type="dxa"/>
          <w:right w:w="28" w:type="dxa"/>
        </w:tblCellMar>
      </w:tblPr>
      <w:tblGrid>
        <w:gridCol w:w="4156"/>
        <w:gridCol w:w="146"/>
        <w:gridCol w:w="211"/>
        <w:gridCol w:w="961"/>
        <w:gridCol w:w="146"/>
        <w:gridCol w:w="146"/>
        <w:gridCol w:w="211"/>
        <w:gridCol w:w="961"/>
        <w:gridCol w:w="146"/>
        <w:gridCol w:w="146"/>
        <w:gridCol w:w="211"/>
        <w:gridCol w:w="96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0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 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00"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U.S. customers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2,147,651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2,036,019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1,736,136</w:t>
            </w:r>
          </w:p>
        </w:tc>
        <w:tc>
          <w:tcPr>
            <w:tcW w:w="19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 U.S. customers (each country individually</w:t>
              <w:br/>
              <w:t>   insignificant)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408,507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381,160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184,742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2,556,158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2,417,179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1,920,878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Company distinguishes revenues from external customers by geographic area based on customer location.</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net book value of long-lived assets located outside the United States was $262.4</w:t>
      </w:r>
      <w:r>
        <w:rPr>
          <w:rFonts w:ascii="Times New Roman" w:hAnsi="Times New Roman"/>
          <w:sz w:val="20"/>
        </w:rPr>
        <w:t xml:space="preserve"> </w:t>
      </w:r>
      <w:r>
        <w:rPr>
          <w:rFonts w:ascii="Arial;sans-serif" w:hAnsi="Arial;sans-serif"/>
          <w:b w:val="false"/>
          <w:sz w:val="20"/>
        </w:rPr>
        <w:t>million at March 31, 2023</w:t>
      </w:r>
      <w:r>
        <w:rPr>
          <w:rFonts w:ascii="Times New Roman" w:hAnsi="Times New Roman"/>
          <w:sz w:val="20"/>
        </w:rPr>
        <w:t xml:space="preserve"> </w:t>
      </w:r>
      <w:r>
        <w:rPr>
          <w:rFonts w:ascii="Arial;sans-serif" w:hAnsi="Arial;sans-serif"/>
          <w:b w:val="false"/>
          <w:sz w:val="20"/>
        </w:rPr>
        <w:t>and $145.2</w:t>
      </w:r>
      <w:r>
        <w:rPr>
          <w:rFonts w:ascii="Times New Roman" w:hAnsi="Times New Roman"/>
          <w:sz w:val="20"/>
        </w:rPr>
        <w:t xml:space="preserve"> </w:t>
      </w:r>
      <w:r>
        <w:rPr>
          <w:rFonts w:ascii="Arial;sans-serif" w:hAnsi="Arial;sans-serif"/>
          <w:b w:val="false"/>
          <w:sz w:val="20"/>
        </w:rPr>
        <w:t>million at March 31, 2022.</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F-48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37" w:name="schedule_ii"/>
      <w:bookmarkEnd w:id="37"/>
      <w:r>
        <w:rPr>
          <w:rFonts w:ascii="Arial;sans-serif" w:hAnsi="Arial;sans-serif"/>
          <w:b/>
          <w:sz w:val="20"/>
        </w:rPr>
        <w:t>SCHEDULE II</w:t>
      </w:r>
      <w:r>
        <w:rPr>
          <w:rFonts w:ascii="Times New Roman" w:hAnsi="Times New Roman"/>
          <w:sz w:val="20"/>
        </w:rPr>
        <w:t xml:space="preserve"> </w:t>
      </w:r>
    </w:p>
    <w:p>
      <w:pPr>
        <w:pStyle w:val="TextBody"/>
        <w:bidi w:val="0"/>
        <w:spacing w:before="180" w:after="0"/>
        <w:jc w:val="center"/>
        <w:rPr>
          <w:rFonts w:ascii="Times New Roman" w:hAnsi="Times New Roman"/>
          <w:sz w:val="20"/>
        </w:rPr>
      </w:pPr>
      <w:r>
        <w:rPr>
          <w:rFonts w:ascii="Arial;sans-serif" w:hAnsi="Arial;sans-serif"/>
          <w:b/>
          <w:sz w:val="20"/>
        </w:rPr>
        <w:t>VALUATION AND QUALIFYING ACCOUNTS</w:t>
      </w:r>
      <w:r>
        <w:rPr>
          <w:rFonts w:ascii="Times New Roman" w:hAnsi="Times New Roman"/>
          <w:sz w:val="20"/>
        </w:rPr>
        <w:t xml:space="preserve"> </w:t>
      </w:r>
    </w:p>
    <w:p>
      <w:pPr>
        <w:pStyle w:val="TextBody"/>
        <w:bidi w:val="0"/>
        <w:spacing w:before="180" w:after="0"/>
        <w:jc w:val="center"/>
        <w:rPr>
          <w:rFonts w:ascii="Times New Roman" w:hAnsi="Times New Roman"/>
          <w:sz w:val="20"/>
        </w:rPr>
      </w:pPr>
      <w:r>
        <w:rPr>
          <w:rFonts w:ascii="Arial;sans-serif" w:hAnsi="Arial;sans-serif"/>
          <w:b/>
          <w:sz w:val="20"/>
        </w:rPr>
        <w:t>For the Three Fiscal Years Ended March 31, 2023</w:t>
      </w:r>
      <w:r>
        <w:rPr>
          <w:rFonts w:ascii="Times New Roman" w:hAnsi="Times New Roman"/>
          <w:sz w:val="20"/>
        </w:rPr>
        <w:t xml:space="preserve"> </w:t>
      </w:r>
    </w:p>
    <w:tbl>
      <w:tblPr>
        <w:tblW w:w="5128" w:type="dxa"/>
        <w:jc w:val="left"/>
        <w:tblInd w:w="0" w:type="dxa"/>
        <w:tblLayout w:type="fixed"/>
        <w:tblCellMar>
          <w:top w:w="28" w:type="dxa"/>
          <w:left w:w="28" w:type="dxa"/>
          <w:bottom w:w="28" w:type="dxa"/>
          <w:right w:w="28" w:type="dxa"/>
        </w:tblCellMar>
      </w:tblPr>
      <w:tblGrid>
        <w:gridCol w:w="2881"/>
        <w:gridCol w:w="146"/>
        <w:gridCol w:w="283"/>
        <w:gridCol w:w="1067"/>
        <w:gridCol w:w="75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Deferred Tax</w:t>
              <w:br/>
              <w:t>Asset Valuation</w:t>
              <w:br/>
              <w:t>Allowance</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751" w:type="dxa"/>
            <w:tcBorders/>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March 31, 2020</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42,621</w:t>
            </w:r>
          </w:p>
        </w:tc>
        <w:tc>
          <w:tcPr>
            <w:tcW w:w="751" w:type="dxa"/>
            <w:tcBorders/>
            <w:vAlign w:val="center"/>
          </w:tcPr>
          <w:p>
            <w:pPr>
              <w:pStyle w:val="TableContents"/>
              <w:bidi w:val="0"/>
              <w:spacing w:before="0" w:after="0"/>
              <w:ind w:left="0" w:right="0" w:firstLine="560"/>
              <w:jc w:val="left"/>
              <w:rPr/>
            </w:pPr>
            <w:r>
              <w:rPr/>
              <w:t> </w:t>
            </w:r>
          </w:p>
        </w:tc>
      </w:tr>
      <w:tr>
        <w:trPr/>
        <w:tc>
          <w:tcPr>
            <w:tcW w:w="28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Charged to costs and expenses</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4,455</w:t>
            </w:r>
          </w:p>
        </w:tc>
        <w:tc>
          <w:tcPr>
            <w:tcW w:w="751" w:type="dxa"/>
            <w:tcBorders/>
            <w:vAlign w:val="center"/>
          </w:tcPr>
          <w:p>
            <w:pPr>
              <w:pStyle w:val="TableContents"/>
              <w:bidi w:val="0"/>
              <w:spacing w:before="0" w:after="0"/>
              <w:ind w:left="0" w:right="0" w:firstLine="560"/>
              <w:jc w:val="left"/>
              <w:rPr/>
            </w:pPr>
            <w:r>
              <w:rPr/>
              <w:t> </w:t>
            </w:r>
          </w:p>
        </w:tc>
      </w:tr>
      <w:tr>
        <w:trPr/>
        <w:tc>
          <w:tcPr>
            <w:tcW w:w="28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Deductions</w:t>
            </w:r>
          </w:p>
        </w:tc>
        <w:tc>
          <w:tcPr>
            <w:tcW w:w="146" w:type="dxa"/>
            <w:tcBorders/>
            <w:vAlign w:val="center"/>
          </w:tcPr>
          <w:p>
            <w:pPr>
              <w:pStyle w:val="TableContents"/>
              <w:bidi w:val="0"/>
              <w:spacing w:before="0" w:after="0"/>
              <w:ind w:left="0" w:right="0" w:hanging="0"/>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March 31, 2021</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47,076</w:t>
            </w:r>
          </w:p>
        </w:tc>
        <w:tc>
          <w:tcPr>
            <w:tcW w:w="751" w:type="dxa"/>
            <w:tcBorders/>
            <w:vAlign w:val="center"/>
          </w:tcPr>
          <w:p>
            <w:pPr>
              <w:pStyle w:val="TableContents"/>
              <w:bidi w:val="0"/>
              <w:spacing w:before="0" w:after="0"/>
              <w:ind w:left="0" w:right="0" w:firstLine="560"/>
              <w:jc w:val="left"/>
              <w:rPr/>
            </w:pPr>
            <w:r>
              <w:rPr/>
              <w:t> </w:t>
            </w:r>
          </w:p>
        </w:tc>
      </w:tr>
      <w:tr>
        <w:trPr/>
        <w:tc>
          <w:tcPr>
            <w:tcW w:w="28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Charged to costs and expenses</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5,119</w:t>
            </w:r>
          </w:p>
        </w:tc>
        <w:tc>
          <w:tcPr>
            <w:tcW w:w="751" w:type="dxa"/>
            <w:tcBorders/>
            <w:vAlign w:val="center"/>
          </w:tcPr>
          <w:p>
            <w:pPr>
              <w:pStyle w:val="TableContents"/>
              <w:bidi w:val="0"/>
              <w:spacing w:before="0" w:after="0"/>
              <w:ind w:left="0" w:right="0" w:firstLine="560"/>
              <w:jc w:val="left"/>
              <w:rPr/>
            </w:pPr>
            <w:r>
              <w:rPr/>
              <w:t> </w:t>
            </w:r>
          </w:p>
        </w:tc>
      </w:tr>
      <w:tr>
        <w:trPr/>
        <w:tc>
          <w:tcPr>
            <w:tcW w:w="28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Charged to goodwill*</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25,876</w:t>
            </w:r>
          </w:p>
        </w:tc>
        <w:tc>
          <w:tcPr>
            <w:tcW w:w="751" w:type="dxa"/>
            <w:tcBorders/>
            <w:vAlign w:val="center"/>
          </w:tcPr>
          <w:p>
            <w:pPr>
              <w:pStyle w:val="TableContents"/>
              <w:bidi w:val="0"/>
              <w:spacing w:before="0" w:after="0"/>
              <w:ind w:left="0" w:right="0" w:firstLine="560"/>
              <w:jc w:val="left"/>
              <w:rPr/>
            </w:pPr>
            <w:r>
              <w:rPr/>
              <w:t> </w:t>
            </w:r>
          </w:p>
        </w:tc>
      </w:tr>
      <w:tr>
        <w:trPr/>
        <w:tc>
          <w:tcPr>
            <w:tcW w:w="28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Deductions</w:t>
            </w:r>
          </w:p>
        </w:tc>
        <w:tc>
          <w:tcPr>
            <w:tcW w:w="146" w:type="dxa"/>
            <w:tcBorders/>
            <w:vAlign w:val="center"/>
          </w:tcPr>
          <w:p>
            <w:pPr>
              <w:pStyle w:val="TableContents"/>
              <w:bidi w:val="0"/>
              <w:spacing w:before="0" w:after="0"/>
              <w:ind w:left="0" w:right="0" w:hanging="0"/>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March 31, 2022</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78,071</w:t>
            </w:r>
          </w:p>
        </w:tc>
        <w:tc>
          <w:tcPr>
            <w:tcW w:w="751" w:type="dxa"/>
            <w:tcBorders/>
            <w:vAlign w:val="center"/>
          </w:tcPr>
          <w:p>
            <w:pPr>
              <w:pStyle w:val="TableContents"/>
              <w:bidi w:val="0"/>
              <w:spacing w:before="0" w:after="0"/>
              <w:ind w:left="0" w:right="0" w:firstLine="560"/>
              <w:jc w:val="left"/>
              <w:rPr/>
            </w:pPr>
            <w:r>
              <w:rPr/>
              <w:t> </w:t>
            </w:r>
          </w:p>
        </w:tc>
      </w:tr>
      <w:tr>
        <w:trPr/>
        <w:tc>
          <w:tcPr>
            <w:tcW w:w="28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Charged to costs and expenses</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71,976</w:t>
            </w:r>
          </w:p>
        </w:tc>
        <w:tc>
          <w:tcPr>
            <w:tcW w:w="751" w:type="dxa"/>
            <w:tcBorders/>
            <w:vAlign w:val="center"/>
          </w:tcPr>
          <w:p>
            <w:pPr>
              <w:pStyle w:val="TableContents"/>
              <w:bidi w:val="0"/>
              <w:spacing w:before="0" w:after="0"/>
              <w:ind w:left="0" w:right="0" w:firstLine="560"/>
              <w:jc w:val="left"/>
              <w:rPr/>
            </w:pPr>
            <w:r>
              <w:rPr/>
              <w:t> </w:t>
            </w:r>
          </w:p>
        </w:tc>
      </w:tr>
      <w:tr>
        <w:trPr/>
        <w:tc>
          <w:tcPr>
            <w:tcW w:w="28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Deductions</w:t>
            </w:r>
          </w:p>
        </w:tc>
        <w:tc>
          <w:tcPr>
            <w:tcW w:w="146" w:type="dxa"/>
            <w:tcBorders/>
            <w:vAlign w:val="center"/>
          </w:tcPr>
          <w:p>
            <w:pPr>
              <w:pStyle w:val="TableContents"/>
              <w:bidi w:val="0"/>
              <w:spacing w:before="0" w:after="0"/>
              <w:ind w:left="0" w:right="0" w:hanging="0"/>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March 31, 2023</w:t>
            </w:r>
          </w:p>
        </w:tc>
        <w:tc>
          <w:tcPr>
            <w:tcW w:w="146" w:type="dxa"/>
            <w:tcBorders/>
            <w:vAlign w:val="center"/>
          </w:tcPr>
          <w:p>
            <w:pPr>
              <w:pStyle w:val="TableContents"/>
              <w:bidi w:val="0"/>
              <w:spacing w:before="0" w:after="0"/>
              <w:ind w:left="0" w:right="0" w:hanging="0"/>
              <w:jc w:val="center"/>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150,047</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40" w:after="0"/>
        <w:jc w:val="left"/>
        <w:rPr>
          <w:rFonts w:ascii="Arial;sans-serif" w:hAnsi="Arial;sans-serif"/>
          <w:b w:val="false"/>
          <w:sz w:val="20"/>
        </w:rPr>
      </w:pPr>
      <w:r>
        <w:rPr>
          <w:rFonts w:ascii="Arial;sans-serif" w:hAnsi="Arial;sans-serif"/>
          <w:b w:val="false"/>
          <w:sz w:val="20"/>
        </w:rPr>
        <w:t>* Related to the acquisitions of RigNet and EBI</w:t>
      </w:r>
    </w:p>
    <w:p>
      <w:pPr>
        <w:pStyle w:val="TextBody"/>
        <w:bidi w:val="0"/>
        <w:spacing w:before="4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II-1</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8" w:name="vsat-ex2_1a.htm"/>
      <w:bookmarkStart w:id="39" w:name="ksvsatex2_1a"/>
      <w:bookmarkEnd w:id="38"/>
      <w:bookmarkEnd w:id="39"/>
      <w:r>
        <w:rPr/>
        <w:t> </w:t>
      </w:r>
      <w:r>
        <w:br w:type="page"/>
      </w:r>
    </w:p>
    <w:p>
      <w:pPr>
        <w:pStyle w:val="TextBody"/>
        <w:bidi w:val="0"/>
        <w:spacing w:before="0" w:after="220"/>
        <w:jc w:val="right"/>
        <w:rPr>
          <w:rFonts w:ascii="Arial;sans-serif" w:hAnsi="Arial;sans-serif"/>
          <w:b/>
          <w:sz w:val="20"/>
        </w:rPr>
      </w:pPr>
      <w:r>
        <w:rPr>
          <w:rFonts w:ascii="Arial;sans-serif" w:hAnsi="Arial;sans-serif"/>
          <w:b/>
          <w:sz w:val="20"/>
        </w:rPr>
        <w:t>Exhibit 2.1(A)</w:t>
      </w:r>
    </w:p>
    <w:p>
      <w:pPr>
        <w:pStyle w:val="TextBody"/>
        <w:bidi w:val="0"/>
        <w:spacing w:before="0" w:after="220"/>
        <w:jc w:val="both"/>
        <w:rPr>
          <w:rFonts w:ascii="Times New Roman" w:hAnsi="Times New Roman"/>
          <w:sz w:val="20"/>
        </w:rPr>
      </w:pPr>
      <w:r>
        <w:rPr>
          <w:rFonts w:ascii="Arial;sans-serif" w:hAnsi="Arial;sans-serif"/>
          <w:b w:val="false"/>
          <w:sz w:val="20"/>
          <w:u w:val="single"/>
        </w:rPr>
        <w:t xml:space="preserve">11 </w:t>
      </w:r>
      <w:r>
        <w:rPr>
          <w:rFonts w:ascii="Arial;sans-serif" w:hAnsi="Arial;sans-serif"/>
          <w:b w:val="false"/>
          <w:sz w:val="20"/>
        </w:rPr>
        <w:t>April 2023</w:t>
      </w:r>
    </w:p>
    <w:p>
      <w:pPr>
        <w:pStyle w:val="TextBody"/>
        <w:bidi w:val="0"/>
        <w:spacing w:before="0" w:after="220"/>
        <w:jc w:val="both"/>
        <w:rPr/>
      </w:pPr>
      <w:r>
        <w:rPr/>
        <w:t> </w:t>
      </w:r>
    </w:p>
    <w:p>
      <w:pPr>
        <w:pStyle w:val="TextBody"/>
        <w:bidi w:val="0"/>
        <w:spacing w:before="0" w:after="220"/>
        <w:jc w:val="both"/>
        <w:rPr>
          <w:rFonts w:ascii="Arial;sans-serif" w:hAnsi="Arial;sans-serif"/>
          <w:b/>
          <w:sz w:val="20"/>
        </w:rPr>
      </w:pPr>
      <w:r>
        <w:rPr>
          <w:rFonts w:ascii="Arial;sans-serif" w:hAnsi="Arial;sans-serif"/>
          <w:b/>
          <w:sz w:val="20"/>
        </w:rPr>
        <w:t>BY EMAIL</w:t>
      </w:r>
    </w:p>
    <w:p>
      <w:pPr>
        <w:pStyle w:val="TextBody"/>
        <w:bidi w:val="0"/>
        <w:spacing w:before="0" w:after="220"/>
        <w:jc w:val="both"/>
        <w:rPr/>
      </w:pPr>
      <w:r>
        <w:rPr/>
        <w:t> </w:t>
      </w:r>
    </w:p>
    <w:p>
      <w:pPr>
        <w:pStyle w:val="TextBody"/>
        <w:bidi w:val="0"/>
        <w:spacing w:before="0" w:after="220"/>
        <w:jc w:val="both"/>
        <w:rPr>
          <w:rFonts w:ascii="Arial;sans-serif" w:hAnsi="Arial;sans-serif"/>
          <w:b/>
          <w:sz w:val="20"/>
        </w:rPr>
      </w:pPr>
      <w:r>
        <w:rPr>
          <w:rFonts w:ascii="Arial;sans-serif" w:hAnsi="Arial;sans-serif"/>
          <w:b/>
          <w:sz w:val="20"/>
        </w:rPr>
        <w:t>For the attention of: the Investor Sellers, as listed in the Schedule to this letter agreement</w:t>
      </w:r>
    </w:p>
    <w:p>
      <w:pPr>
        <w:pStyle w:val="TextBody"/>
        <w:bidi w:val="0"/>
        <w:spacing w:before="0" w:after="0"/>
        <w:jc w:val="both"/>
        <w:rPr>
          <w:rFonts w:ascii="Arial;sans-serif" w:hAnsi="Arial;sans-serif"/>
          <w:b w:val="false"/>
          <w:sz w:val="20"/>
        </w:rPr>
      </w:pPr>
      <w:r>
        <w:rPr>
          <w:rFonts w:ascii="Arial;sans-serif" w:hAnsi="Arial;sans-serif"/>
          <w:b w:val="false"/>
          <w:sz w:val="20"/>
        </w:rPr>
        <w:t>Dear Sirs / Madams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sz w:val="20"/>
        </w:rPr>
        <w:t>Re: Share Purchase Agreement dated 8 November 2021 relating to the sale of Connect Topco Limited between the Investor Sellers, the Management Sellers, the Option Sellers and Viasat, Inc. (the “Agreement”)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220"/>
        <w:jc w:val="both"/>
        <w:rPr>
          <w:rFonts w:ascii="Times New Roman" w:hAnsi="Times New Roman"/>
          <w:b/>
          <w:caps/>
          <w:sz w:val="22"/>
        </w:rPr>
      </w:pPr>
      <w:r>
        <w:rPr>
          <w:rFonts w:ascii="Times New Roman" w:hAnsi="Times New Roman"/>
          <w:b/>
          <w:caps/>
          <w:sz w:val="22"/>
        </w:rPr>
        <w:t>1.</w:t>
      </w:r>
    </w:p>
    <w:p>
      <w:pPr>
        <w:pStyle w:val="TextBody"/>
        <w:bidi w:val="0"/>
        <w:spacing w:before="0" w:after="220"/>
        <w:jc w:val="both"/>
        <w:rPr>
          <w:rFonts w:ascii="Arial;sans-serif" w:hAnsi="Arial;sans-serif"/>
          <w:b/>
          <w:caps/>
          <w:sz w:val="20"/>
        </w:rPr>
      </w:pPr>
      <w:r>
        <w:rPr>
          <w:rFonts w:ascii="Arial;sans-serif" w:hAnsi="Arial;sans-serif"/>
          <w:b/>
          <w:caps/>
          <w:sz w:val="20"/>
        </w:rPr>
        <w:t xml:space="preserve">Background </w:t>
      </w:r>
    </w:p>
    <w:p>
      <w:pPr>
        <w:pStyle w:val="TextBody"/>
        <w:bidi w:val="0"/>
        <w:spacing w:before="0" w:after="220"/>
        <w:jc w:val="both"/>
        <w:rPr>
          <w:rFonts w:ascii="Times New Roman" w:hAnsi="Times New Roman"/>
          <w:b w:val="false"/>
          <w:sz w:val="22"/>
        </w:rPr>
      </w:pPr>
      <w:r>
        <w:rPr>
          <w:rFonts w:ascii="Times New Roman" w:hAnsi="Times New Roman"/>
          <w:b w:val="false"/>
          <w:sz w:val="22"/>
        </w:rPr>
        <w:t>1.1</w:t>
      </w:r>
    </w:p>
    <w:p>
      <w:pPr>
        <w:pStyle w:val="TextBody"/>
        <w:bidi w:val="0"/>
        <w:spacing w:before="0" w:after="220"/>
        <w:jc w:val="both"/>
        <w:rPr>
          <w:rFonts w:ascii="Arial;sans-serif" w:hAnsi="Arial;sans-serif"/>
          <w:b w:val="false"/>
          <w:sz w:val="20"/>
        </w:rPr>
      </w:pPr>
      <w:r>
        <w:rPr>
          <w:rFonts w:ascii="Arial;sans-serif" w:hAnsi="Arial;sans-serif"/>
          <w:b w:val="false"/>
          <w:sz w:val="20"/>
        </w:rPr>
        <w:t>Further to our recent discussions, we write in connection with the sale and purchase of Connect Topco Limited as contemplated by the Agreement.</w:t>
      </w:r>
    </w:p>
    <w:p>
      <w:pPr>
        <w:pStyle w:val="TextBody"/>
        <w:bidi w:val="0"/>
        <w:spacing w:before="0" w:after="220"/>
        <w:jc w:val="both"/>
        <w:rPr>
          <w:rFonts w:ascii="Times New Roman" w:hAnsi="Times New Roman"/>
          <w:b w:val="false"/>
          <w:sz w:val="22"/>
        </w:rPr>
      </w:pPr>
      <w:r>
        <w:rPr>
          <w:rFonts w:ascii="Times New Roman" w:hAnsi="Times New Roman"/>
          <w:b w:val="false"/>
          <w:sz w:val="22"/>
        </w:rPr>
        <w:t>1.2</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Unless otherwise indicated, capitalised terms used but not defined in this letter agreement shall have the meanings given to them in the Agreement. </w:t>
      </w:r>
    </w:p>
    <w:p>
      <w:pPr>
        <w:pStyle w:val="TextBody"/>
        <w:bidi w:val="0"/>
        <w:spacing w:before="0" w:after="220"/>
        <w:jc w:val="both"/>
        <w:rPr>
          <w:rFonts w:ascii="Times New Roman" w:hAnsi="Times New Roman"/>
          <w:b w:val="false"/>
          <w:sz w:val="22"/>
        </w:rPr>
      </w:pPr>
      <w:r>
        <w:rPr>
          <w:rFonts w:ascii="Times New Roman" w:hAnsi="Times New Roman"/>
          <w:b w:val="false"/>
          <w:sz w:val="22"/>
        </w:rPr>
        <w:t>1.3</w:t>
      </w:r>
    </w:p>
    <w:p>
      <w:pPr>
        <w:pStyle w:val="TextBody"/>
        <w:bidi w:val="0"/>
        <w:spacing w:before="0" w:after="220"/>
        <w:jc w:val="both"/>
        <w:rPr>
          <w:rFonts w:ascii="Arial;sans-serif" w:hAnsi="Arial;sans-serif"/>
          <w:b w:val="false"/>
          <w:sz w:val="20"/>
        </w:rPr>
      </w:pPr>
      <w:r>
        <w:rPr>
          <w:rFonts w:ascii="Arial;sans-serif" w:hAnsi="Arial;sans-serif"/>
          <w:b w:val="false"/>
          <w:sz w:val="20"/>
        </w:rPr>
        <w:t>We refer to clauses 5.8 and 8.2 of the Agreement. As the Investor Sellers are aware, the following Regulatory Conditions set forth in clause 5.1 and Schedule 6 of the Agreement remain unfulfilled as at the date of this letter agreement:</w:t>
      </w:r>
    </w:p>
    <w:p>
      <w:pPr>
        <w:pStyle w:val="TextBody"/>
        <w:bidi w:val="0"/>
        <w:spacing w:before="0" w:after="220"/>
        <w:jc w:val="both"/>
        <w:rPr>
          <w:rFonts w:ascii="Times New Roman" w:hAnsi="Times New Roman"/>
          <w:b w:val="false"/>
          <w:sz w:val="22"/>
        </w:rPr>
      </w:pPr>
      <w:r>
        <w:rPr>
          <w:rFonts w:ascii="Times New Roman" w:hAnsi="Times New Roman"/>
          <w:b w:val="false"/>
          <w:sz w:val="22"/>
        </w:rPr>
        <w:t>(a)</w:t>
      </w:r>
    </w:p>
    <w:p>
      <w:pPr>
        <w:pStyle w:val="TextBody"/>
        <w:bidi w:val="0"/>
        <w:spacing w:before="0" w:after="220"/>
        <w:jc w:val="both"/>
        <w:rPr/>
      </w:pPr>
      <w:r>
        <w:rPr>
          <w:rFonts w:ascii="Arial;sans-serif" w:hAnsi="Arial;sans-serif"/>
          <w:b w:val="false"/>
          <w:sz w:val="20"/>
        </w:rPr>
        <w:t>the approval of the United Kingdom’s Competition and Markets Authority or the United Kingdom’s Secretary of State pursuant to the Enterprise Act 2002 for the purposes of paragraph 4 of Part A of Schedule 6 (the “</w:t>
      </w:r>
      <w:r>
        <w:rPr>
          <w:rFonts w:ascii="Arial;sans-serif" w:hAnsi="Arial;sans-serif"/>
          <w:b/>
          <w:sz w:val="20"/>
        </w:rPr>
        <w:t>CMA</w:t>
      </w:r>
      <w:r>
        <w:rPr/>
        <w:t xml:space="preserve"> </w:t>
      </w:r>
      <w:r>
        <w:rPr>
          <w:rFonts w:ascii="Arial;sans-serif" w:hAnsi="Arial;sans-serif"/>
          <w:b/>
          <w:sz w:val="20"/>
        </w:rPr>
        <w:t>Condition</w:t>
      </w:r>
      <w:r>
        <w:rPr/>
        <w:t>”</w:t>
      </w:r>
      <w:r>
        <w:rPr>
          <w:rFonts w:ascii="Arial;sans-serif" w:hAnsi="Arial;sans-serif"/>
          <w:b w:val="false"/>
          <w:sz w:val="20"/>
        </w:rPr>
        <w:t xml:space="preserve">); </w:t>
      </w:r>
    </w:p>
    <w:p>
      <w:pPr>
        <w:pStyle w:val="TextBody"/>
        <w:bidi w:val="0"/>
        <w:spacing w:before="0" w:after="220"/>
        <w:jc w:val="both"/>
        <w:rPr>
          <w:rFonts w:ascii="Times New Roman" w:hAnsi="Times New Roman"/>
          <w:b w:val="false"/>
          <w:sz w:val="22"/>
        </w:rPr>
      </w:pPr>
      <w:r>
        <w:rPr>
          <w:rFonts w:ascii="Times New Roman" w:hAnsi="Times New Roman"/>
          <w:b w:val="false"/>
          <w:sz w:val="22"/>
        </w:rPr>
        <w:t>(b)</w:t>
      </w:r>
    </w:p>
    <w:p>
      <w:pPr>
        <w:pStyle w:val="TextBody"/>
        <w:bidi w:val="0"/>
        <w:spacing w:before="0" w:after="220"/>
        <w:jc w:val="both"/>
        <w:rPr/>
      </w:pPr>
      <w:r>
        <w:rPr>
          <w:rFonts w:ascii="Arial;sans-serif" w:hAnsi="Arial;sans-serif"/>
          <w:b w:val="false"/>
          <w:sz w:val="20"/>
        </w:rPr>
        <w:t>the issuance of a decision by the European Commission declaring the Transaction compatible with the internal market, for the purposes of paragraph 6 of Part A of Schedule 6 (the “</w:t>
      </w:r>
      <w:r>
        <w:rPr>
          <w:rFonts w:ascii="Arial;sans-serif" w:hAnsi="Arial;sans-serif"/>
          <w:b/>
          <w:sz w:val="20"/>
        </w:rPr>
        <w:t>EC Condition</w:t>
      </w:r>
      <w:r>
        <w:rPr/>
        <w:t>”</w:t>
      </w:r>
      <w:r>
        <w:rPr>
          <w:rFonts w:ascii="Arial;sans-serif" w:hAnsi="Arial;sans-serif"/>
          <w:b w:val="false"/>
          <w:sz w:val="20"/>
        </w:rPr>
        <w:t xml:space="preserve">); </w:t>
      </w:r>
    </w:p>
    <w:p>
      <w:pPr>
        <w:pStyle w:val="TextBody"/>
        <w:bidi w:val="0"/>
        <w:spacing w:before="0" w:after="220"/>
        <w:jc w:val="both"/>
        <w:rPr>
          <w:rFonts w:ascii="Times New Roman" w:hAnsi="Times New Roman"/>
          <w:b w:val="false"/>
          <w:sz w:val="22"/>
        </w:rPr>
      </w:pPr>
      <w:r>
        <w:rPr>
          <w:rFonts w:ascii="Times New Roman" w:hAnsi="Times New Roman"/>
          <w:b w:val="false"/>
          <w:sz w:val="22"/>
        </w:rPr>
        <w:t>(c)</w:t>
      </w:r>
    </w:p>
    <w:p>
      <w:pPr>
        <w:pStyle w:val="TextBody"/>
        <w:bidi w:val="0"/>
        <w:spacing w:before="0" w:after="220"/>
        <w:jc w:val="both"/>
        <w:rPr/>
      </w:pPr>
      <w:r>
        <w:rPr>
          <w:rFonts w:ascii="Arial;sans-serif" w:hAnsi="Arial;sans-serif"/>
          <w:b w:val="false"/>
          <w:sz w:val="20"/>
        </w:rPr>
        <w:t>the approval of the Department of Defence of the Commonwealth of Australia for the purposes of paragraph 5 of Part B of Schedule 6 (the “</w:t>
      </w:r>
      <w:r>
        <w:rPr>
          <w:rFonts w:ascii="Arial;sans-serif" w:hAnsi="Arial;sans-serif"/>
          <w:b/>
          <w:sz w:val="20"/>
        </w:rPr>
        <w:t>Australian Defence Condition</w:t>
      </w:r>
      <w:r>
        <w:rPr/>
        <w:t>”</w:t>
      </w:r>
      <w:r>
        <w:rPr>
          <w:rFonts w:ascii="Arial;sans-serif" w:hAnsi="Arial;sans-serif"/>
          <w:b w:val="false"/>
          <w:sz w:val="20"/>
        </w:rPr>
        <w:t>);</w:t>
      </w:r>
    </w:p>
    <w:p>
      <w:pPr>
        <w:pStyle w:val="TextBody"/>
        <w:bidi w:val="0"/>
        <w:spacing w:before="0" w:after="220"/>
        <w:jc w:val="both"/>
        <w:rPr>
          <w:rFonts w:ascii="Times New Roman" w:hAnsi="Times New Roman"/>
          <w:b w:val="false"/>
          <w:sz w:val="22"/>
        </w:rPr>
      </w:pPr>
      <w:r>
        <w:rPr>
          <w:rFonts w:ascii="Times New Roman" w:hAnsi="Times New Roman"/>
          <w:b w:val="false"/>
          <w:sz w:val="22"/>
        </w:rPr>
        <w:t>(d)</w:t>
      </w:r>
    </w:p>
    <w:p>
      <w:pPr>
        <w:pStyle w:val="TextBody"/>
        <w:bidi w:val="0"/>
        <w:spacing w:before="0" w:after="220"/>
        <w:jc w:val="both"/>
        <w:rPr/>
      </w:pPr>
      <w:r>
        <w:rPr>
          <w:rFonts w:ascii="Arial;sans-serif" w:hAnsi="Arial;sans-serif"/>
          <w:b w:val="false"/>
          <w:sz w:val="20"/>
        </w:rPr>
        <w:t>the approval of the FCC for the purposes of paragraph 1a of Part C of Schedule 6 (the “</w:t>
      </w:r>
      <w:r>
        <w:rPr>
          <w:rFonts w:ascii="Arial;sans-serif" w:hAnsi="Arial;sans-serif"/>
          <w:b/>
          <w:sz w:val="20"/>
        </w:rPr>
        <w:t>FCC Condition</w:t>
      </w:r>
      <w:r>
        <w:rPr>
          <w:rFonts w:ascii="Arial;sans-serif" w:hAnsi="Arial;sans-serif"/>
          <w:b w:val="false"/>
          <w:sz w:val="20"/>
        </w:rPr>
        <w:t>); and</w:t>
      </w:r>
    </w:p>
    <w:p>
      <w:pPr>
        <w:pStyle w:val="TextBody"/>
        <w:bidi w:val="0"/>
        <w:spacing w:before="0" w:after="220"/>
        <w:jc w:val="both"/>
        <w:rPr>
          <w:rFonts w:ascii="Times New Roman" w:hAnsi="Times New Roman"/>
          <w:b w:val="false"/>
          <w:sz w:val="22"/>
        </w:rPr>
      </w:pPr>
      <w:r>
        <w:rPr>
          <w:rFonts w:ascii="Times New Roman" w:hAnsi="Times New Roman"/>
          <w:b w:val="false"/>
          <w:sz w:val="22"/>
        </w:rPr>
        <w:t>(e)</w:t>
      </w:r>
    </w:p>
    <w:p>
      <w:pPr>
        <w:pStyle w:val="TextBody"/>
        <w:bidi w:val="0"/>
        <w:spacing w:before="0" w:after="220"/>
        <w:jc w:val="both"/>
        <w:rPr/>
      </w:pPr>
      <w:r>
        <w:rPr>
          <w:rFonts w:ascii="Arial;sans-serif" w:hAnsi="Arial;sans-serif"/>
          <w:b w:val="false"/>
          <w:sz w:val="20"/>
        </w:rPr>
        <w:t>the waiting period applicable to the Transaction under the HSR Act having expired or been terminated for the purposes of paragraph 1 of Part A of Schedule 6 (the “</w:t>
      </w:r>
      <w:r>
        <w:rPr>
          <w:rFonts w:ascii="Arial;sans-serif" w:hAnsi="Arial;sans-serif"/>
          <w:b/>
          <w:sz w:val="20"/>
        </w:rPr>
        <w:t>HSR Condition</w:t>
      </w:r>
      <w:r>
        <w:rPr/>
        <w:t>”</w:t>
      </w:r>
      <w:r>
        <w:rPr>
          <w:rFonts w:ascii="Arial;sans-serif" w:hAnsi="Arial;sans-serif"/>
          <w:b w:val="false"/>
          <w:sz w:val="20"/>
        </w:rPr>
        <w:t>).</w:t>
      </w:r>
    </w:p>
    <w:p>
      <w:pPr>
        <w:pStyle w:val="TextBody"/>
        <w:bidi w:val="0"/>
        <w:spacing w:before="0" w:after="220"/>
        <w:jc w:val="both"/>
        <w:rPr>
          <w:rFonts w:ascii="Times New Roman" w:hAnsi="Times New Roman"/>
          <w:b w:val="false"/>
          <w:sz w:val="22"/>
        </w:rPr>
      </w:pPr>
      <w:r>
        <w:rPr>
          <w:rFonts w:ascii="Times New Roman" w:hAnsi="Times New Roman"/>
          <w:b w:val="false"/>
          <w:sz w:val="22"/>
        </w:rPr>
        <w:t>1.4</w:t>
      </w:r>
    </w:p>
    <w:p>
      <w:pPr>
        <w:pStyle w:val="TextBody"/>
        <w:bidi w:val="0"/>
        <w:spacing w:before="0" w:after="220"/>
        <w:jc w:val="both"/>
        <w:rPr>
          <w:rFonts w:ascii="Arial;sans-serif" w:hAnsi="Arial;sans-serif"/>
          <w:b w:val="false"/>
          <w:sz w:val="20"/>
        </w:rPr>
      </w:pPr>
      <w:r>
        <w:rPr>
          <w:rFonts w:ascii="Arial;sans-serif" w:hAnsi="Arial;sans-serif"/>
          <w:b w:val="false"/>
          <w:sz w:val="20"/>
        </w:rPr>
        <w:t>The Purchaser anticipates the HSR Condition and the Australian Defence Condition will be satisfied imminently, and in any event prior to 8 May 2023, and understands that the Investor Sellers share this view.</w:t>
      </w:r>
    </w:p>
    <w:p>
      <w:pPr>
        <w:pStyle w:val="TextBody"/>
        <w:bidi w:val="0"/>
        <w:spacing w:before="0" w:after="220"/>
        <w:jc w:val="both"/>
        <w:rPr>
          <w:rFonts w:ascii="Times New Roman" w:hAnsi="Times New Roman"/>
          <w:b w:val="false"/>
          <w:sz w:val="22"/>
        </w:rPr>
      </w:pPr>
      <w:r>
        <w:rPr>
          <w:rFonts w:ascii="Times New Roman" w:hAnsi="Times New Roman"/>
          <w:b w:val="false"/>
          <w:sz w:val="22"/>
        </w:rPr>
        <w:t>1.5</w:t>
      </w:r>
    </w:p>
    <w:p>
      <w:pPr>
        <w:pStyle w:val="TextBody"/>
        <w:bidi w:val="0"/>
        <w:spacing w:before="0" w:after="220"/>
        <w:jc w:val="both"/>
        <w:rPr>
          <w:rFonts w:ascii="Arial;sans-serif" w:hAnsi="Arial;sans-serif"/>
          <w:b w:val="false"/>
          <w:sz w:val="20"/>
        </w:rPr>
      </w:pPr>
      <w:r>
        <w:rPr>
          <w:rFonts w:ascii="Arial;sans-serif" w:hAnsi="Arial;sans-serif"/>
          <w:b w:val="false"/>
          <w:sz w:val="20"/>
        </w:rPr>
        <w:t>The Purchaser and the Investor Sellers agree that all other Regulatory Conditions have been or are deemed to be satisfied for the purposes of Clause 5.1.1 of the Agreement.</w:t>
      </w:r>
    </w:p>
    <w:p>
      <w:pPr>
        <w:pStyle w:val="TextBody"/>
        <w:bidi w:val="0"/>
        <w:spacing w:before="0" w:after="220"/>
        <w:jc w:val="both"/>
        <w:rPr>
          <w:rFonts w:ascii="Times New Roman" w:hAnsi="Times New Roman"/>
          <w:b w:val="false"/>
          <w:sz w:val="22"/>
        </w:rPr>
      </w:pPr>
      <w:r>
        <w:rPr>
          <w:rFonts w:ascii="Times New Roman" w:hAnsi="Times New Roman"/>
          <w:b w:val="false"/>
          <w:sz w:val="22"/>
        </w:rPr>
        <w:t>1.6</w:t>
      </w:r>
    </w:p>
    <w:p>
      <w:pPr>
        <w:pStyle w:val="TextBody"/>
        <w:bidi w:val="0"/>
        <w:spacing w:before="0" w:after="220"/>
        <w:jc w:val="both"/>
        <w:rPr>
          <w:rFonts w:ascii="Arial;sans-serif" w:hAnsi="Arial;sans-serif"/>
          <w:b w:val="false"/>
          <w:sz w:val="20"/>
        </w:rPr>
      </w:pPr>
      <w:r>
        <w:rPr>
          <w:rFonts w:ascii="Arial;sans-serif" w:hAnsi="Arial;sans-serif"/>
          <w:b w:val="false"/>
          <w:sz w:val="20"/>
        </w:rPr>
        <w:t>However:</w:t>
      </w:r>
    </w:p>
    <w:p>
      <w:pPr>
        <w:pStyle w:val="TextBody"/>
        <w:bidi w:val="0"/>
        <w:spacing w:before="0" w:after="220"/>
        <w:jc w:val="both"/>
        <w:rPr>
          <w:rFonts w:ascii="Times New Roman" w:hAnsi="Times New Roman"/>
          <w:b w:val="false"/>
          <w:sz w:val="22"/>
        </w:rPr>
      </w:pPr>
      <w:r>
        <w:rPr>
          <w:rFonts w:ascii="Times New Roman" w:hAnsi="Times New Roman"/>
          <w:b w:val="false"/>
          <w:sz w:val="22"/>
        </w:rPr>
        <w:t>(a)</w:t>
      </w:r>
    </w:p>
    <w:p>
      <w:pPr>
        <w:pStyle w:val="TextBody"/>
        <w:bidi w:val="0"/>
        <w:spacing w:before="0" w:after="220"/>
        <w:jc w:val="both"/>
        <w:rPr>
          <w:rFonts w:ascii="Arial;sans-serif" w:hAnsi="Arial;sans-serif"/>
          <w:b w:val="false"/>
          <w:sz w:val="20"/>
        </w:rPr>
      </w:pPr>
      <w:r>
        <w:rPr>
          <w:rFonts w:ascii="Arial;sans-serif" w:hAnsi="Arial;sans-serif"/>
          <w:b w:val="false"/>
          <w:sz w:val="20"/>
        </w:rPr>
        <w:t>for the purposes of clause 5.8 of the Agreement, the Purchaser considers that each of the FCC Condition, the EC Condition and the CMA Condition is unlikely to be satisfied prior to the current Long Stop Date of 8 May 2023, and understands that the Investor Sellers share that view; but</w:t>
      </w:r>
    </w:p>
    <w:p>
      <w:pPr>
        <w:pStyle w:val="TextBody"/>
        <w:bidi w:val="0"/>
        <w:spacing w:before="0" w:after="220"/>
        <w:jc w:val="both"/>
        <w:rPr>
          <w:rFonts w:ascii="Times New Roman" w:hAnsi="Times New Roman"/>
          <w:b w:val="false"/>
          <w:sz w:val="22"/>
        </w:rPr>
      </w:pPr>
      <w:r>
        <w:rPr>
          <w:rFonts w:ascii="Times New Roman" w:hAnsi="Times New Roman"/>
          <w:b w:val="false"/>
          <w:sz w:val="22"/>
        </w:rPr>
        <w:t>(b)</w:t>
      </w:r>
    </w:p>
    <w:p>
      <w:pPr>
        <w:pStyle w:val="TextBody"/>
        <w:bidi w:val="0"/>
        <w:spacing w:before="0" w:after="220"/>
        <w:jc w:val="both"/>
        <w:rPr>
          <w:rFonts w:ascii="Arial;sans-serif" w:hAnsi="Arial;sans-serif"/>
          <w:b w:val="false"/>
          <w:sz w:val="20"/>
        </w:rPr>
      </w:pPr>
      <w:r>
        <w:rPr>
          <w:rFonts w:ascii="Arial;sans-serif" w:hAnsi="Arial;sans-serif"/>
          <w:b w:val="false"/>
          <w:sz w:val="20"/>
        </w:rPr>
        <w:t>for the purposes of clause 8.2 of the Agreement, each of the Purchaser and the Investor Sellers has concluded, acting reasonably and in good faith and in their respective reasonable opinions, that there is a reasonable prospect that the FCC Condition, the EC Condition and the CMA Condition will each be satisfied prior to 8 November 2023, being the date falling 24 months after the date of the Agreement.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20"/>
        <w:jc w:val="both"/>
        <w:rPr>
          <w:rFonts w:ascii="Times New Roman" w:hAnsi="Times New Roman"/>
          <w:b w:val="false"/>
          <w:sz w:val="22"/>
        </w:rPr>
      </w:pPr>
      <w:r>
        <w:rPr>
          <w:rFonts w:ascii="Times New Roman" w:hAnsi="Times New Roman"/>
          <w:b w:val="false"/>
          <w:sz w:val="22"/>
        </w:rPr>
        <w:t>1.7</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It is therefore agreed that (a) the Long Stop Date be extended to 30 May 2023; and (b) the Agreement be amended in certain respects to accommodate such extension, in each case on the terms set forth in this letter agreement. </w:t>
      </w:r>
    </w:p>
    <w:p>
      <w:pPr>
        <w:pStyle w:val="TextBody"/>
        <w:bidi w:val="0"/>
        <w:spacing w:before="0" w:after="220"/>
        <w:jc w:val="both"/>
        <w:rPr>
          <w:rFonts w:ascii="Times New Roman" w:hAnsi="Times New Roman"/>
          <w:b/>
          <w:caps/>
          <w:sz w:val="22"/>
        </w:rPr>
      </w:pPr>
      <w:r>
        <w:rPr>
          <w:rFonts w:ascii="Times New Roman" w:hAnsi="Times New Roman"/>
          <w:b/>
          <w:caps/>
          <w:sz w:val="22"/>
        </w:rPr>
        <w:t>2.</w:t>
      </w:r>
    </w:p>
    <w:p>
      <w:pPr>
        <w:pStyle w:val="TextBody"/>
        <w:bidi w:val="0"/>
        <w:spacing w:before="0" w:after="220"/>
        <w:jc w:val="both"/>
        <w:rPr>
          <w:rFonts w:ascii="Arial;sans-serif" w:hAnsi="Arial;sans-serif"/>
          <w:b/>
          <w:caps/>
          <w:sz w:val="20"/>
        </w:rPr>
      </w:pPr>
      <w:r>
        <w:rPr>
          <w:rFonts w:ascii="Arial;sans-serif" w:hAnsi="Arial;sans-serif"/>
          <w:b/>
          <w:caps/>
          <w:sz w:val="20"/>
        </w:rPr>
        <w:t>Amendments</w:t>
      </w:r>
    </w:p>
    <w:p>
      <w:pPr>
        <w:pStyle w:val="TextBody"/>
        <w:bidi w:val="0"/>
        <w:spacing w:before="0" w:after="220"/>
        <w:jc w:val="both"/>
        <w:rPr>
          <w:rFonts w:ascii="Times New Roman" w:hAnsi="Times New Roman"/>
          <w:b w:val="false"/>
          <w:sz w:val="22"/>
        </w:rPr>
      </w:pPr>
      <w:r>
        <w:rPr>
          <w:rFonts w:ascii="Times New Roman" w:hAnsi="Times New Roman"/>
          <w:b w:val="false"/>
          <w:sz w:val="22"/>
        </w:rPr>
        <w:t>2.1</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The Parties hereby agree to the following amendments to the Agreement: </w:t>
      </w:r>
    </w:p>
    <w:p>
      <w:pPr>
        <w:pStyle w:val="TextBody"/>
        <w:bidi w:val="0"/>
        <w:spacing w:before="0" w:after="220"/>
        <w:jc w:val="both"/>
        <w:rPr>
          <w:rFonts w:ascii="Times New Roman" w:hAnsi="Times New Roman"/>
          <w:b w:val="false"/>
          <w:sz w:val="22"/>
        </w:rPr>
      </w:pPr>
      <w:r>
        <w:rPr>
          <w:rFonts w:ascii="Times New Roman" w:hAnsi="Times New Roman"/>
          <w:b w:val="false"/>
          <w:sz w:val="22"/>
        </w:rPr>
        <w:t>(a)</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The definition of “Long Stop Date” shall be replaced with the following: </w:t>
      </w:r>
    </w:p>
    <w:p>
      <w:pPr>
        <w:pStyle w:val="TextBody"/>
        <w:bidi w:val="0"/>
        <w:spacing w:before="0" w:after="220"/>
        <w:jc w:val="both"/>
        <w:rPr/>
      </w:pPr>
      <w:r>
        <w:rPr/>
        <w:t>“</w:t>
      </w:r>
      <w:r>
        <w:rPr>
          <w:rFonts w:ascii="Arial;sans-serif" w:hAnsi="Arial;sans-serif"/>
          <w:b w:val="false"/>
          <w:i/>
          <w:sz w:val="20"/>
          <w:u w:val="single"/>
        </w:rPr>
        <w:t>Long Stop Date</w:t>
      </w:r>
      <w:r>
        <w:rPr>
          <w:rFonts w:ascii="Times New Roman" w:hAnsi="Times New Roman"/>
          <w:sz w:val="20"/>
        </w:rPr>
        <w:t xml:space="preserve">” </w:t>
      </w:r>
      <w:r>
        <w:rPr>
          <w:rFonts w:ascii="Arial;sans-serif" w:hAnsi="Arial;sans-serif"/>
          <w:b w:val="false"/>
          <w:i/>
          <w:sz w:val="20"/>
        </w:rPr>
        <w:t>means the later of (i) 30 May 2023; and (ii) such later date as the Purchaser and the Investors Sellers may agree in writing;</w:t>
      </w:r>
      <w:r>
        <w:rPr>
          <w:rFonts w:ascii="Times New Roman" w:hAnsi="Times New Roman"/>
          <w:sz w:val="20"/>
        </w:rPr>
        <w:t xml:space="preserve"> </w:t>
      </w:r>
    </w:p>
    <w:p>
      <w:pPr>
        <w:pStyle w:val="TextBody"/>
        <w:bidi w:val="0"/>
        <w:spacing w:before="0" w:after="220"/>
        <w:jc w:val="both"/>
        <w:rPr>
          <w:rFonts w:ascii="Times New Roman" w:hAnsi="Times New Roman"/>
          <w:b w:val="false"/>
          <w:sz w:val="22"/>
        </w:rPr>
      </w:pPr>
      <w:r>
        <w:rPr>
          <w:rFonts w:ascii="Times New Roman" w:hAnsi="Times New Roman"/>
          <w:b w:val="false"/>
          <w:sz w:val="22"/>
        </w:rPr>
        <w:t>(b)</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The definition of “Scheduled Completion Date” shall be replaced with the following: </w:t>
      </w:r>
    </w:p>
    <w:p>
      <w:pPr>
        <w:pStyle w:val="TextBody"/>
        <w:bidi w:val="0"/>
        <w:spacing w:before="0" w:after="0"/>
        <w:jc w:val="left"/>
        <w:rPr/>
      </w:pPr>
      <w:r>
        <w:rPr/>
        <w:t>“</w:t>
      </w:r>
      <w:r>
        <w:rPr>
          <w:rFonts w:ascii="Arial;sans-serif" w:hAnsi="Arial;sans-serif"/>
          <w:b w:val="false"/>
          <w:i/>
          <w:sz w:val="20"/>
          <w:u w:val="single"/>
        </w:rPr>
        <w:t>Scheduled Completion Date</w:t>
      </w:r>
      <w:r>
        <w:rPr>
          <w:rFonts w:ascii="Times New Roman" w:hAnsi="Times New Roman"/>
          <w:sz w:val="20"/>
        </w:rPr>
        <w:t xml:space="preserve">” </w:t>
      </w:r>
      <w:r>
        <w:rPr>
          <w:rFonts w:ascii="Arial;sans-serif" w:hAnsi="Arial;sans-serif"/>
          <w:b w:val="false"/>
          <w:i/>
          <w:sz w:val="20"/>
        </w:rPr>
        <w:t>means the earlier of (i) 30 May 2023; and (ii) the date on which Completion is to take place, determined in accordance with Clause 8.1;</w:t>
      </w:r>
    </w:p>
    <w:p>
      <w:pPr>
        <w:pStyle w:val="TextBody"/>
        <w:bidi w:val="0"/>
        <w:spacing w:before="0" w:after="220"/>
        <w:jc w:val="both"/>
        <w:rPr/>
      </w:pPr>
      <w:r>
        <w:rPr/>
        <w:t> </w:t>
      </w:r>
    </w:p>
    <w:p>
      <w:pPr>
        <w:pStyle w:val="TextBody"/>
        <w:bidi w:val="0"/>
        <w:spacing w:before="0" w:after="220"/>
        <w:jc w:val="both"/>
        <w:rPr>
          <w:rFonts w:ascii="Times New Roman" w:hAnsi="Times New Roman"/>
          <w:b w:val="false"/>
          <w:sz w:val="22"/>
        </w:rPr>
      </w:pPr>
      <w:r>
        <w:rPr>
          <w:rFonts w:ascii="Times New Roman" w:hAnsi="Times New Roman"/>
          <w:b w:val="false"/>
          <w:sz w:val="22"/>
        </w:rPr>
        <w:t>(c)</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Clause 8.1 shall be replaced with the following: </w:t>
      </w:r>
    </w:p>
    <w:p>
      <w:pPr>
        <w:pStyle w:val="TextBody"/>
        <w:bidi w:val="0"/>
        <w:spacing w:before="0" w:after="220"/>
        <w:jc w:val="both"/>
        <w:rPr>
          <w:rFonts w:ascii="Times New Roman" w:hAnsi="Times New Roman"/>
          <w:sz w:val="20"/>
        </w:rPr>
      </w:pPr>
      <w:r>
        <w:rPr>
          <w:rFonts w:ascii="Arial;sans-serif" w:hAnsi="Arial;sans-serif"/>
          <w:b w:val="false"/>
          <w:i/>
          <w:sz w:val="20"/>
        </w:rPr>
        <w:t>8.1</w:t>
      </w:r>
      <w:r>
        <w:rPr>
          <w:rFonts w:ascii="Times New Roman" w:hAnsi="Times New Roman"/>
          <w:sz w:val="20"/>
        </w:rPr>
        <w:t xml:space="preserve"> </w:t>
      </w:r>
      <w:r>
        <w:rPr>
          <w:rFonts w:ascii="Arial;sans-serif" w:hAnsi="Arial;sans-serif"/>
          <w:b w:val="false"/>
          <w:i/>
          <w:sz w:val="20"/>
        </w:rPr>
        <w:t>Provided that notice of satisfaction or waiver of the final Condition, excluding the Management Roll-Up Condition and the conditions set forth in paragraph 1 of Schedule 9, has been served in accordance with Clause 5.8.2, Completion shall take place, in person or virtually via agreed video platform, at the offices of the Company Counsel:</w:t>
      </w:r>
    </w:p>
    <w:p>
      <w:pPr>
        <w:pStyle w:val="TextBody"/>
        <w:bidi w:val="0"/>
        <w:spacing w:before="0" w:after="220"/>
        <w:jc w:val="both"/>
        <w:rPr>
          <w:rFonts w:ascii="Arial;sans-serif" w:hAnsi="Arial;sans-serif"/>
          <w:b w:val="false"/>
          <w:i/>
          <w:sz w:val="20"/>
        </w:rPr>
      </w:pPr>
      <w:r>
        <w:rPr>
          <w:rFonts w:ascii="Arial;sans-serif" w:hAnsi="Arial;sans-serif"/>
          <w:b w:val="false"/>
          <w:i/>
          <w:sz w:val="20"/>
        </w:rPr>
        <w:t>8.1.1 at 10 a.m. on the earlier of:</w:t>
      </w:r>
    </w:p>
    <w:p>
      <w:pPr>
        <w:pStyle w:val="TextBody"/>
        <w:bidi w:val="0"/>
        <w:spacing w:before="0" w:after="220"/>
        <w:jc w:val="both"/>
        <w:rPr>
          <w:rFonts w:ascii="Arial;sans-serif" w:hAnsi="Arial;sans-serif"/>
          <w:b w:val="false"/>
          <w:i/>
          <w:sz w:val="20"/>
        </w:rPr>
      </w:pPr>
      <w:r>
        <w:rPr>
          <w:rFonts w:ascii="Arial;sans-serif" w:hAnsi="Arial;sans-serif"/>
          <w:b w:val="false"/>
          <w:i/>
          <w:sz w:val="20"/>
        </w:rPr>
        <w:t>(A) the tenth Business Day after such notice; and</w:t>
      </w:r>
    </w:p>
    <w:p>
      <w:pPr>
        <w:pStyle w:val="TextBody"/>
        <w:bidi w:val="0"/>
        <w:spacing w:before="0" w:after="220"/>
        <w:jc w:val="both"/>
        <w:rPr>
          <w:rFonts w:ascii="Times New Roman" w:hAnsi="Times New Roman"/>
          <w:sz w:val="20"/>
        </w:rPr>
      </w:pPr>
      <w:r>
        <w:rPr>
          <w:rFonts w:ascii="Arial;sans-serif" w:hAnsi="Arial;sans-serif"/>
          <w:b w:val="false"/>
          <w:i/>
          <w:sz w:val="20"/>
        </w:rPr>
        <w:t>(B) 30 May 2023; or</w:t>
      </w:r>
      <w:r>
        <w:rPr>
          <w:rFonts w:ascii="Times New Roman" w:hAnsi="Times New Roman"/>
          <w:sz w:val="20"/>
        </w:rPr>
        <w:t xml:space="preserve"> </w:t>
      </w:r>
    </w:p>
    <w:p>
      <w:pPr>
        <w:pStyle w:val="TextBody"/>
        <w:bidi w:val="0"/>
        <w:spacing w:before="0" w:after="220"/>
        <w:jc w:val="both"/>
        <w:rPr>
          <w:rFonts w:ascii="Arial;sans-serif" w:hAnsi="Arial;sans-serif"/>
          <w:b w:val="false"/>
          <w:i/>
          <w:sz w:val="20"/>
        </w:rPr>
      </w:pPr>
      <w:r>
        <w:rPr>
          <w:rFonts w:ascii="Arial;sans-serif" w:hAnsi="Arial;sans-serif"/>
          <w:b w:val="false"/>
          <w:i/>
          <w:sz w:val="20"/>
        </w:rPr>
        <w:t>8.1.2 at such other date and time as the Investor Sellers and the Purchaser may agree in writing.</w:t>
      </w:r>
    </w:p>
    <w:p>
      <w:pPr>
        <w:pStyle w:val="TextBody"/>
        <w:bidi w:val="0"/>
        <w:spacing w:before="0" w:after="220"/>
        <w:jc w:val="both"/>
        <w:rPr>
          <w:rFonts w:ascii="Times New Roman" w:hAnsi="Times New Roman"/>
          <w:b w:val="false"/>
          <w:sz w:val="22"/>
        </w:rPr>
      </w:pPr>
      <w:r>
        <w:rPr>
          <w:rFonts w:ascii="Times New Roman" w:hAnsi="Times New Roman"/>
          <w:b w:val="false"/>
          <w:sz w:val="22"/>
        </w:rPr>
        <w:t>(d)</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Clause 8.2 shall be replaced with the following: </w:t>
      </w:r>
    </w:p>
    <w:p>
      <w:pPr>
        <w:pStyle w:val="TextBody"/>
        <w:bidi w:val="0"/>
        <w:spacing w:before="0" w:after="220"/>
        <w:jc w:val="both"/>
        <w:rPr>
          <w:rFonts w:ascii="Times New Roman" w:hAnsi="Times New Roman"/>
          <w:sz w:val="20"/>
        </w:rPr>
      </w:pPr>
      <w:r>
        <w:rPr>
          <w:rFonts w:ascii="Arial;sans-serif" w:hAnsi="Arial;sans-serif"/>
          <w:b w:val="false"/>
          <w:i/>
          <w:sz w:val="20"/>
        </w:rPr>
        <w:t>Subject to Clause 8.3, if, prior to the Long Stop Date, the Purchaser provides the Investor Sellers with copies of all relevant documentation evidencing, on terms reasonably satisfactory to the Investor Sellers, a binding extension, variation, amendment of, or replacement of the commitments under (on materially the same terms), as the case may be, the Purchaser Financing Documents such that the Purchaser remains able to satisfy its obligation to pay the Cash Consideration and meet its other obligations under this Agreement (including those set out in Schedule 3) at Completion (such financing commitment as so extended, varied, amended or replaced, as the case may be, shall constitute the “Purchaser Financing Documents”), then the Long Stop Date shall be automatically deemed to be extended to the earlier of (i) the Business Day prior to the date of expiry of the relevant commitments pursuant to the Purchaser Financing Documents (as so extended, varied, amended or replaced, as the case may be, pursuant to this Clause 8.2); and (ii) 7 November 2023. The parties shall agree in good faith and acting reasonably such other amendments to this Agreement as may be required to give effect to any extension to the Long Stop Date which is effected pursuant to this Clause.</w:t>
      </w:r>
      <w:r>
        <w:rPr>
          <w:rFonts w:ascii="Times New Roman" w:hAnsi="Times New Roman"/>
          <w:sz w:val="20"/>
        </w:rPr>
        <w:t xml:space="preserve"> </w:t>
      </w:r>
    </w:p>
    <w:p>
      <w:pPr>
        <w:pStyle w:val="TextBody"/>
        <w:bidi w:val="0"/>
        <w:spacing w:before="0" w:after="220"/>
        <w:jc w:val="both"/>
        <w:rPr>
          <w:rFonts w:ascii="Times New Roman" w:hAnsi="Times New Roman"/>
          <w:b w:val="false"/>
          <w:sz w:val="22"/>
        </w:rPr>
      </w:pPr>
      <w:r>
        <w:rPr>
          <w:rFonts w:ascii="Times New Roman" w:hAnsi="Times New Roman"/>
          <w:b w:val="false"/>
          <w:sz w:val="22"/>
        </w:rPr>
        <w:t>(e)</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Clause 9.3.15 shall be replaced with the following: </w:t>
      </w:r>
    </w:p>
    <w:p>
      <w:pPr>
        <w:pStyle w:val="TextBody"/>
        <w:bidi w:val="0"/>
        <w:spacing w:before="0" w:after="220"/>
        <w:jc w:val="both"/>
        <w:rPr>
          <w:rFonts w:ascii="Times New Roman" w:hAnsi="Times New Roman"/>
          <w:sz w:val="20"/>
        </w:rPr>
      </w:pPr>
      <w:r>
        <w:rPr>
          <w:rFonts w:ascii="Arial;sans-serif" w:hAnsi="Arial;sans-serif"/>
          <w:b w:val="false"/>
          <w:i/>
          <w:sz w:val="20"/>
        </w:rPr>
        <w:t>the Purchaser has received one or more commitment letters duly executed by each of the parties thereto, attaching an agreed form interim facilities agreement, for debt facilities which have been disclosed and made available to the Investor Sellers on or prior to the date of this Agreement (such documentation as amended, supplemented or replaced from time to time, the “</w:t>
      </w:r>
      <w:r>
        <w:rPr>
          <w:rFonts w:ascii="Arial;sans-serif" w:hAnsi="Arial;sans-serif"/>
          <w:b w:val="false"/>
          <w:i/>
          <w:sz w:val="20"/>
          <w:u w:val="single"/>
        </w:rPr>
        <w:t>Purchaser Financing Documents</w:t>
      </w:r>
      <w:r>
        <w:rPr>
          <w:rFonts w:ascii="Times New Roman" w:hAnsi="Times New Roman"/>
          <w:sz w:val="20"/>
        </w:rPr>
        <w:t>”</w:t>
      </w:r>
      <w:r>
        <w:rPr>
          <w:rFonts w:ascii="Arial;sans-serif" w:hAnsi="Arial;sans-serif"/>
          <w:b w:val="false"/>
          <w:i/>
          <w:sz w:val="20"/>
        </w:rPr>
        <w:t>); provided, that the term Purchaser Financing Documents shall be deemed to exclude any and all commitments therein with respect to Permitted Interim Financings, and which involve no pre-conditions other than such conditions precedent as set out therein and in respect of which the Purchaser has delivered a duly executed conditions precedent status letter on or prior to the date of this Agreement confirming status and satisfaction of all such conditions precedent other than Completion occurring and the Purchaser Financing Documents will at Completion provide, in immediately available funds, (the “Funds”) the necessary cash resources (after deducting any fees and/or other costs, including VAT and any other Tax, payable at Completion from such resources) to pay the Cash Consideration and to meet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20"/>
        <w:jc w:val="both"/>
        <w:rPr>
          <w:rFonts w:ascii="Arial;sans-serif" w:hAnsi="Arial;sans-serif"/>
          <w:b w:val="false"/>
          <w:i/>
          <w:sz w:val="20"/>
        </w:rPr>
      </w:pPr>
      <w:r>
        <w:rPr>
          <w:rFonts w:ascii="Arial;sans-serif" w:hAnsi="Arial;sans-serif"/>
          <w:b w:val="false"/>
          <w:i/>
          <w:sz w:val="20"/>
        </w:rPr>
        <w:t>its other obligations at Completion under this Agreement (including those set out in Schedule 3) and to pay all related costs. The Purchaser Financing Documents do not terminate before, and the funding under the Purchaser Financing Documents will remain available until and including 30 May 2023.</w:t>
      </w:r>
    </w:p>
    <w:p>
      <w:pPr>
        <w:pStyle w:val="TextBody"/>
        <w:bidi w:val="0"/>
        <w:spacing w:before="0" w:after="220"/>
        <w:jc w:val="both"/>
        <w:rPr>
          <w:rFonts w:ascii="Times New Roman" w:hAnsi="Times New Roman"/>
          <w:b/>
          <w:caps/>
          <w:sz w:val="22"/>
        </w:rPr>
      </w:pPr>
      <w:r>
        <w:rPr>
          <w:rFonts w:ascii="Times New Roman" w:hAnsi="Times New Roman"/>
          <w:b/>
          <w:caps/>
          <w:sz w:val="22"/>
        </w:rPr>
        <w:t>3.</w:t>
      </w:r>
    </w:p>
    <w:p>
      <w:pPr>
        <w:pStyle w:val="TextBody"/>
        <w:bidi w:val="0"/>
        <w:spacing w:before="0" w:after="220"/>
        <w:jc w:val="both"/>
        <w:rPr>
          <w:rFonts w:ascii="Arial;sans-serif" w:hAnsi="Arial;sans-serif"/>
          <w:b/>
          <w:caps/>
          <w:sz w:val="20"/>
        </w:rPr>
      </w:pPr>
      <w:r>
        <w:rPr>
          <w:rFonts w:ascii="Arial;sans-serif" w:hAnsi="Arial;sans-serif"/>
          <w:b/>
          <w:caps/>
          <w:sz w:val="20"/>
        </w:rPr>
        <w:t xml:space="preserve">General </w:t>
      </w:r>
    </w:p>
    <w:p>
      <w:pPr>
        <w:pStyle w:val="TextBody"/>
        <w:bidi w:val="0"/>
        <w:spacing w:before="0" w:after="220"/>
        <w:jc w:val="both"/>
        <w:rPr>
          <w:rFonts w:ascii="Times New Roman" w:hAnsi="Times New Roman"/>
          <w:b w:val="false"/>
          <w:sz w:val="22"/>
        </w:rPr>
      </w:pPr>
      <w:r>
        <w:rPr>
          <w:rFonts w:ascii="Times New Roman" w:hAnsi="Times New Roman"/>
          <w:b w:val="false"/>
          <w:sz w:val="22"/>
        </w:rPr>
        <w:t>3.1</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The terms of this letter agreement are without prejudice to the accrued rights and obligations of the Parties as at the date hereof. Save as amended pursuant to this letter agreement the SPA shall remain in full force and effect. </w:t>
      </w:r>
    </w:p>
    <w:p>
      <w:pPr>
        <w:pStyle w:val="TextBody"/>
        <w:bidi w:val="0"/>
        <w:spacing w:before="0" w:after="220"/>
        <w:jc w:val="both"/>
        <w:rPr>
          <w:rFonts w:ascii="Times New Roman" w:hAnsi="Times New Roman"/>
          <w:b w:val="false"/>
          <w:sz w:val="22"/>
        </w:rPr>
      </w:pPr>
      <w:r>
        <w:rPr>
          <w:rFonts w:ascii="Times New Roman" w:hAnsi="Times New Roman"/>
          <w:b w:val="false"/>
          <w:sz w:val="22"/>
        </w:rPr>
        <w:t>3.2</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Nothing in this letter agreement shall be deemed to be a waiver of any rights or claims under the SPA. </w:t>
      </w:r>
    </w:p>
    <w:p>
      <w:pPr>
        <w:pStyle w:val="TextBody"/>
        <w:bidi w:val="0"/>
        <w:spacing w:before="0" w:after="220"/>
        <w:jc w:val="both"/>
        <w:rPr>
          <w:rFonts w:ascii="Times New Roman" w:hAnsi="Times New Roman"/>
          <w:b w:val="false"/>
          <w:sz w:val="22"/>
        </w:rPr>
      </w:pPr>
      <w:r>
        <w:rPr>
          <w:rFonts w:ascii="Times New Roman" w:hAnsi="Times New Roman"/>
          <w:b w:val="false"/>
          <w:sz w:val="22"/>
        </w:rPr>
        <w:t>3.3</w:t>
      </w:r>
    </w:p>
    <w:p>
      <w:pPr>
        <w:pStyle w:val="TextBody"/>
        <w:bidi w:val="0"/>
        <w:spacing w:before="0" w:after="220"/>
        <w:jc w:val="both"/>
        <w:rPr/>
      </w:pPr>
      <w:r>
        <w:rPr>
          <w:rFonts w:ascii="Arial;sans-serif" w:hAnsi="Arial;sans-serif"/>
          <w:b w:val="false"/>
          <w:sz w:val="20"/>
        </w:rPr>
        <w:t xml:space="preserve">Clause 17 of the Agreement shall apply to this letter agreement as if set out herein </w:t>
      </w:r>
      <w:r>
        <w:rPr>
          <w:rFonts w:ascii="Arial;sans-serif" w:hAnsi="Arial;sans-serif"/>
          <w:b w:val="false"/>
          <w:i/>
          <w:sz w:val="20"/>
        </w:rPr>
        <w:t xml:space="preserve">mutatis mutandis. </w:t>
      </w:r>
    </w:p>
    <w:p>
      <w:pPr>
        <w:pStyle w:val="TextBody"/>
        <w:bidi w:val="0"/>
        <w:spacing w:before="0" w:after="220"/>
        <w:jc w:val="both"/>
        <w:rPr>
          <w:rFonts w:ascii="Times New Roman" w:hAnsi="Times New Roman"/>
          <w:b w:val="false"/>
          <w:sz w:val="22"/>
        </w:rPr>
      </w:pPr>
      <w:r>
        <w:rPr>
          <w:rFonts w:ascii="Times New Roman" w:hAnsi="Times New Roman"/>
          <w:b w:val="false"/>
          <w:sz w:val="22"/>
        </w:rPr>
        <w:t>3.4</w:t>
      </w:r>
    </w:p>
    <w:p>
      <w:pPr>
        <w:pStyle w:val="TextBody"/>
        <w:bidi w:val="0"/>
        <w:spacing w:before="0" w:after="220"/>
        <w:jc w:val="both"/>
        <w:rPr>
          <w:rFonts w:ascii="Arial;sans-serif" w:hAnsi="Arial;sans-serif"/>
          <w:b w:val="false"/>
          <w:sz w:val="20"/>
        </w:rPr>
      </w:pPr>
      <w:r>
        <w:rPr>
          <w:rFonts w:ascii="Arial;sans-serif" w:hAnsi="Arial;sans-serif"/>
          <w:b w:val="false"/>
          <w:sz w:val="20"/>
        </w:rPr>
        <w:t xml:space="preserve">We should be grateful if you could please confirm your agreement to the terms set forth herein by signing and returning a copy of this letter agreement at your earliest convenience. </w:t>
      </w:r>
    </w:p>
    <w:p>
      <w:pPr>
        <w:pStyle w:val="TextBody"/>
        <w:bidi w:val="0"/>
        <w:spacing w:before="0" w:after="220"/>
        <w:jc w:val="center"/>
        <w:rPr>
          <w:rFonts w:ascii="Times New Roman" w:hAnsi="Times New Roman"/>
          <w:sz w:val="20"/>
        </w:rPr>
      </w:pPr>
      <w:r>
        <w:rPr>
          <w:rFonts w:ascii="Arial;sans-serif" w:hAnsi="Arial;sans-serif"/>
          <w:b w:val="false"/>
          <w:sz w:val="20"/>
        </w:rPr>
        <w:t>[</w:t>
      </w:r>
      <w:r>
        <w:rPr>
          <w:rFonts w:ascii="Arial;sans-serif" w:hAnsi="Arial;sans-serif"/>
          <w:b w:val="false"/>
          <w:i/>
          <w:sz w:val="20"/>
        </w:rPr>
        <w:t>Separate Signature Pages Follow</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12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 w:hAnsi="Times New Roman"/>
          <w:sz w:val="20"/>
        </w:rPr>
      </w:pPr>
      <w:r>
        <w:rPr>
          <w:rFonts w:ascii="Arial;sans-serif" w:hAnsi="Arial;sans-serif"/>
          <w:b/>
          <w:sz w:val="20"/>
        </w:rPr>
        <w:t>IN WITNESS WHEREOF</w:t>
      </w:r>
      <w:r>
        <w:rPr>
          <w:rFonts w:ascii="Times New Roman" w:hAnsi="Times New Roman"/>
          <w:sz w:val="20"/>
        </w:rPr>
        <w:t xml:space="preserve"> </w:t>
      </w:r>
      <w:r>
        <w:rPr>
          <w:rFonts w:ascii="Arial;sans-serif" w:hAnsi="Arial;sans-serif"/>
          <w:b w:val="false"/>
          <w:sz w:val="20"/>
        </w:rPr>
        <w:t>this Agreement has been duly executed by the Parties as a deed and is intended to be and is hereby delivered on the date first above written.</w:t>
      </w:r>
    </w:p>
    <w:p>
      <w:pPr>
        <w:pStyle w:val="TextBody"/>
        <w:bidi w:val="0"/>
        <w:spacing w:before="0" w:after="220"/>
        <w:jc w:val="both"/>
        <w:rPr/>
      </w:pPr>
      <w:r>
        <w:rPr/>
        <w:t> </w:t>
      </w:r>
    </w:p>
    <w:tbl>
      <w:tblPr>
        <w:tblW w:w="8138" w:type="dxa"/>
        <w:jc w:val="left"/>
        <w:tblInd w:w="0" w:type="dxa"/>
        <w:tblLayout w:type="fixed"/>
        <w:tblCellMar>
          <w:top w:w="28" w:type="dxa"/>
          <w:left w:w="28" w:type="dxa"/>
          <w:bottom w:w="28" w:type="dxa"/>
          <w:right w:w="28" w:type="dxa"/>
        </w:tblCellMar>
      </w:tblPr>
      <w:tblGrid>
        <w:gridCol w:w="4051"/>
        <w:gridCol w:w="146"/>
        <w:gridCol w:w="3590"/>
        <w:gridCol w:w="160"/>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sz w:val="20"/>
              </w:rPr>
              <w:t>EXECUTED</w:t>
            </w:r>
            <w:r>
              <w:rPr>
                <w:rFonts w:ascii="Times New Roman" w:hAnsi="Times New Roman"/>
                <w:sz w:val="20"/>
              </w:rPr>
              <w:t> </w:t>
            </w:r>
            <w:r>
              <w:rPr>
                <w:rFonts w:ascii="Arial;sans-serif" w:hAnsi="Arial;sans-serif"/>
                <w:b w:val="false"/>
                <w:sz w:val="20"/>
              </w:rPr>
              <w:t xml:space="preserve">and </w:t>
            </w:r>
            <w:r>
              <w:rPr>
                <w:rFonts w:ascii="Arial;sans-serif" w:hAnsi="Arial;sans-serif"/>
                <w:b/>
                <w:sz w:val="20"/>
              </w:rPr>
              <w:t>DELIVERED</w:t>
            </w:r>
            <w:r>
              <w:rPr>
                <w:rFonts w:ascii="Times New Roman" w:hAnsi="Times New Roman"/>
                <w:sz w:val="20"/>
              </w:rPr>
              <w:t> </w:t>
            </w:r>
            <w:r>
              <w:rPr>
                <w:rFonts w:ascii="Arial;sans-serif" w:hAnsi="Arial;sans-serif"/>
                <w:b w:val="false"/>
                <w:sz w:val="20"/>
              </w:rPr>
              <w:t xml:space="preserve">as a </w:t>
            </w:r>
            <w:r>
              <w:rPr>
                <w:rFonts w:ascii="Arial;sans-serif" w:hAnsi="Arial;sans-serif"/>
                <w:b/>
                <w:sz w:val="20"/>
              </w:rPr>
              <w:t>DEED</w:t>
            </w:r>
            <w:r>
              <w:rPr>
                <w:rFonts w:ascii="Times New Roman" w:hAnsi="Times New Roman"/>
                <w:sz w:val="20"/>
              </w:rPr>
              <w:t> </w:t>
            </w:r>
            <w:r>
              <w:rPr>
                <w:rFonts w:ascii="Arial;sans-serif" w:hAnsi="Arial;sans-serif"/>
                <w:b w:val="false"/>
                <w:sz w:val="20"/>
              </w:rPr>
              <w:t>by</w:t>
            </w:r>
            <w:r>
              <w:rPr>
                <w:rFonts w:ascii="Times New Roman" w:hAnsi="Times New Roman"/>
                <w:sz w:val="20"/>
              </w:rPr>
              <w:t xml:space="preserve"> </w:t>
            </w:r>
          </w:p>
          <w:p>
            <w:pPr>
              <w:pStyle w:val="TableContents"/>
              <w:bidi w:val="0"/>
              <w:spacing w:before="0" w:after="120"/>
              <w:ind w:left="0" w:right="0" w:hanging="0"/>
              <w:jc w:val="left"/>
              <w:rPr>
                <w:rFonts w:ascii="Arial;sans-serif" w:hAnsi="Arial;sans-serif"/>
                <w:b/>
                <w:sz w:val="20"/>
              </w:rPr>
            </w:pPr>
            <w:r>
              <w:rPr>
                <w:rFonts w:ascii="Arial;sans-serif" w:hAnsi="Arial;sans-serif"/>
                <w:b/>
                <w:sz w:val="20"/>
              </w:rPr>
              <w:t>VIASAT, INC.</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9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p>
            <w:pPr>
              <w:pStyle w:val="TableContents"/>
              <w:bidi w:val="0"/>
              <w:spacing w:before="0" w:after="120"/>
              <w:ind w:left="0" w:right="0" w:hanging="0"/>
              <w:jc w:val="left"/>
              <w:rPr/>
            </w:pPr>
            <w:r>
              <w:rPr/>
              <w:t> </w:t>
            </w:r>
          </w:p>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Keven Lippert</w:t>
            </w:r>
          </w:p>
        </w:tc>
        <w:tc>
          <w:tcPr>
            <w:tcW w:w="16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590"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Name: Keven Lippert</w:t>
            </w:r>
          </w:p>
        </w:tc>
        <w:tc>
          <w:tcPr>
            <w:tcW w:w="160"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590"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Title: Chief Commercial Officer EVP</w:t>
            </w:r>
          </w:p>
        </w:tc>
        <w:tc>
          <w:tcPr>
            <w:tcW w:w="160"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590"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60"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in the presence of</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590"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60"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Signature: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59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Robert Blair</w:t>
            </w:r>
          </w:p>
        </w:tc>
        <w:tc>
          <w:tcPr>
            <w:tcW w:w="16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Name: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750"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Robert Blair</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Address</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750"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6155 El Camino Real, Carlsbad, California</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59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92009</w:t>
            </w:r>
          </w:p>
        </w:tc>
        <w:tc>
          <w:tcPr>
            <w:tcW w:w="16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59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Occupation:</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359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General Counsel</w:t>
            </w:r>
          </w:p>
        </w:tc>
        <w:tc>
          <w:tcPr>
            <w:tcW w:w="160"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Signature page to LSD Extension Letter</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220" w:type="dxa"/>
        <w:jc w:val="left"/>
        <w:tblInd w:w="0" w:type="dxa"/>
        <w:tblLayout w:type="fixed"/>
        <w:tblCellMar>
          <w:top w:w="28" w:type="dxa"/>
          <w:left w:w="28" w:type="dxa"/>
          <w:bottom w:w="28" w:type="dxa"/>
          <w:right w:w="28" w:type="dxa"/>
        </w:tblCellMar>
      </w:tblPr>
      <w:tblGrid>
        <w:gridCol w:w="4051"/>
        <w:gridCol w:w="146"/>
        <w:gridCol w:w="2686"/>
        <w:gridCol w:w="146"/>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sz w:val="20"/>
              </w:rPr>
              <w:t>EXECUTED</w:t>
            </w:r>
            <w:r>
              <w:rPr>
                <w:rFonts w:ascii="Times New Roman" w:hAnsi="Times New Roman"/>
                <w:sz w:val="20"/>
              </w:rPr>
              <w:t> </w:t>
            </w:r>
            <w:r>
              <w:rPr>
                <w:rFonts w:ascii="Arial;sans-serif" w:hAnsi="Arial;sans-serif"/>
                <w:b w:val="false"/>
                <w:sz w:val="20"/>
              </w:rPr>
              <w:t xml:space="preserve">and </w:t>
            </w:r>
            <w:r>
              <w:rPr>
                <w:rFonts w:ascii="Arial;sans-serif" w:hAnsi="Arial;sans-serif"/>
                <w:b/>
                <w:sz w:val="20"/>
              </w:rPr>
              <w:t>DELIVERED</w:t>
            </w:r>
            <w:r>
              <w:rPr>
                <w:rFonts w:ascii="Times New Roman" w:hAnsi="Times New Roman"/>
                <w:sz w:val="20"/>
              </w:rPr>
              <w:t> </w:t>
            </w:r>
            <w:r>
              <w:rPr>
                <w:rFonts w:ascii="Arial;sans-serif" w:hAnsi="Arial;sans-serif"/>
                <w:b w:val="false"/>
                <w:sz w:val="20"/>
              </w:rPr>
              <w:t xml:space="preserve">as a </w:t>
            </w:r>
            <w:r>
              <w:rPr>
                <w:rFonts w:ascii="Arial;sans-serif" w:hAnsi="Arial;sans-serif"/>
                <w:b/>
                <w:sz w:val="20"/>
              </w:rPr>
              <w:t>DEED</w:t>
            </w:r>
            <w:r>
              <w:rPr>
                <w:rFonts w:ascii="Times New Roman" w:hAnsi="Times New Roman"/>
                <w:sz w:val="20"/>
              </w:rPr>
              <w:t> </w:t>
            </w:r>
            <w:r>
              <w:rPr>
                <w:rFonts w:ascii="Arial;sans-serif" w:hAnsi="Arial;sans-serif"/>
                <w:b w:val="false"/>
                <w:sz w:val="20"/>
              </w:rPr>
              <w:t>by</w:t>
            </w:r>
            <w:r>
              <w:rPr>
                <w:rFonts w:ascii="Times New Roman" w:hAnsi="Times New Roman"/>
                <w:sz w:val="20"/>
              </w:rPr>
              <w:t xml:space="preserve"> </w:t>
            </w:r>
          </w:p>
          <w:p>
            <w:pPr>
              <w:pStyle w:val="TableContents"/>
              <w:bidi w:val="0"/>
              <w:spacing w:before="0" w:after="120"/>
              <w:ind w:left="0" w:right="0" w:hanging="0"/>
              <w:jc w:val="left"/>
              <w:rPr>
                <w:rFonts w:ascii="Arial;sans-serif" w:hAnsi="Arial;sans-serif"/>
                <w:b/>
                <w:sz w:val="20"/>
              </w:rPr>
            </w:pPr>
            <w:r>
              <w:rPr>
                <w:rFonts w:ascii="Arial;sans-serif" w:hAnsi="Arial;sans-serif"/>
                <w:b/>
                <w:sz w:val="20"/>
              </w:rPr>
              <w:t>TRITON LUXTOPHOLDING SARL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68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p>
            <w:pPr>
              <w:pStyle w:val="TableContents"/>
              <w:bidi w:val="0"/>
              <w:spacing w:before="0" w:after="120"/>
              <w:ind w:left="0" w:right="0" w:hanging="0"/>
              <w:jc w:val="left"/>
              <w:rPr/>
            </w:pPr>
            <w:r>
              <w:rPr/>
              <w:t> </w:t>
            </w:r>
          </w:p>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Gonzague de Lhoneux</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68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Name: Gonzague de Lhoneux</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68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Title: Authorised Signatory</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68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in the presence of</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68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Signature: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68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Coralie de Lhoneux</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Name: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832"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Coralie de Lhoneux</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Address</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832"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CdL</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832"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832"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Occupation:</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68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Employed</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Signature page to LSD Extension Letter</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210" w:type="dxa"/>
        <w:jc w:val="left"/>
        <w:tblInd w:w="0" w:type="dxa"/>
        <w:tblLayout w:type="fixed"/>
        <w:tblCellMar>
          <w:top w:w="28" w:type="dxa"/>
          <w:left w:w="28" w:type="dxa"/>
          <w:bottom w:w="28" w:type="dxa"/>
          <w:right w:w="28" w:type="dxa"/>
        </w:tblCellMar>
      </w:tblPr>
      <w:tblGrid>
        <w:gridCol w:w="5341"/>
        <w:gridCol w:w="146"/>
        <w:gridCol w:w="2386"/>
        <w:gridCol w:w="146"/>
        <w:gridCol w:w="19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sz w:val="20"/>
              </w:rPr>
              <w:t>EXECUTED</w:t>
            </w:r>
            <w:r>
              <w:rPr>
                <w:rFonts w:ascii="Times New Roman" w:hAnsi="Times New Roman"/>
                <w:sz w:val="20"/>
              </w:rPr>
              <w:t> </w:t>
            </w:r>
            <w:r>
              <w:rPr>
                <w:rFonts w:ascii="Arial;sans-serif" w:hAnsi="Arial;sans-serif"/>
                <w:b w:val="false"/>
                <w:sz w:val="20"/>
              </w:rPr>
              <w:t xml:space="preserve">and </w:t>
            </w:r>
            <w:r>
              <w:rPr>
                <w:rFonts w:ascii="Arial;sans-serif" w:hAnsi="Arial;sans-serif"/>
                <w:b/>
                <w:sz w:val="20"/>
              </w:rPr>
              <w:t>DELIVERED</w:t>
            </w:r>
            <w:r>
              <w:rPr>
                <w:rFonts w:ascii="Times New Roman" w:hAnsi="Times New Roman"/>
                <w:sz w:val="20"/>
              </w:rPr>
              <w:t> </w:t>
            </w:r>
            <w:r>
              <w:rPr>
                <w:rFonts w:ascii="Arial;sans-serif" w:hAnsi="Arial;sans-serif"/>
                <w:b w:val="false"/>
                <w:sz w:val="20"/>
              </w:rPr>
              <w:t xml:space="preserve">as a </w:t>
            </w:r>
            <w:r>
              <w:rPr>
                <w:rFonts w:ascii="Arial;sans-serif" w:hAnsi="Arial;sans-serif"/>
                <w:b/>
                <w:sz w:val="20"/>
              </w:rPr>
              <w:t>DEED</w:t>
            </w:r>
            <w:r>
              <w:rPr>
                <w:rFonts w:ascii="Times New Roman" w:hAnsi="Times New Roman"/>
                <w:sz w:val="20"/>
              </w:rPr>
              <w:t> </w:t>
            </w:r>
            <w:r>
              <w:rPr>
                <w:rFonts w:ascii="Arial;sans-serif" w:hAnsi="Arial;sans-serif"/>
                <w:b w:val="false"/>
                <w:sz w:val="20"/>
              </w:rPr>
              <w:t>by</w:t>
            </w:r>
            <w:r>
              <w:rPr>
                <w:rFonts w:ascii="Times New Roman" w:hAnsi="Times New Roman"/>
                <w:sz w:val="20"/>
              </w:rPr>
              <w:t xml:space="preserve"> </w:t>
            </w:r>
          </w:p>
          <w:p>
            <w:pPr>
              <w:pStyle w:val="TableContents"/>
              <w:bidi w:val="0"/>
              <w:spacing w:before="0" w:after="120"/>
              <w:ind w:left="0" w:right="0" w:hanging="0"/>
              <w:jc w:val="left"/>
              <w:rPr>
                <w:rFonts w:ascii="Arial;sans-serif" w:hAnsi="Arial;sans-serif"/>
                <w:b/>
                <w:sz w:val="20"/>
              </w:rPr>
            </w:pPr>
            <w:r>
              <w:rPr>
                <w:rFonts w:ascii="Arial;sans-serif" w:hAnsi="Arial;sans-serif"/>
                <w:b/>
                <w:sz w:val="20"/>
              </w:rPr>
              <w:t>CPP INVESTMENT BOARD PRIVATE HOLDINGS (4) INC.</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p>
            <w:pPr>
              <w:pStyle w:val="TableContents"/>
              <w:bidi w:val="0"/>
              <w:spacing w:before="0" w:after="120"/>
              <w:ind w:left="0" w:right="0" w:hanging="0"/>
              <w:jc w:val="left"/>
              <w:rPr/>
            </w:pPr>
            <w:r>
              <w:rPr/>
              <w:t> </w:t>
            </w:r>
          </w:p>
          <w:p>
            <w:pPr>
              <w:pStyle w:val="TableContents"/>
              <w:bidi w:val="0"/>
              <w:spacing w:before="0" w:after="120"/>
              <w:ind w:left="0" w:right="0" w:hanging="0"/>
              <w:jc w:val="left"/>
              <w:rPr/>
            </w:pPr>
            <w:r>
              <w:rPr/>
              <w:t> </w:t>
            </w:r>
          </w:p>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Ricardo Caupers</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534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Name: Ricardo Caupers</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534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Title: Authorised signatory</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534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534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534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Pascal Keutgens</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534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Name: Pascal Keutgens</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534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Title: Authorised signatory</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Signature page to LSD Extension Letter</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383"/>
        <w:gridCol w:w="146"/>
        <w:gridCol w:w="2338"/>
        <w:gridCol w:w="146"/>
        <w:gridCol w:w="192"/>
      </w:tblGrid>
      <w:tr>
        <w:trPr/>
        <w:tc>
          <w:tcPr>
            <w:tcW w:w="7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3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sz w:val="20"/>
              </w:rPr>
              <w:t>EXECUTED</w:t>
            </w:r>
            <w:r>
              <w:rPr>
                <w:rFonts w:ascii="Times New Roman" w:hAnsi="Times New Roman"/>
                <w:sz w:val="20"/>
              </w:rPr>
              <w:t> </w:t>
            </w:r>
            <w:r>
              <w:rPr>
                <w:rFonts w:ascii="Arial;sans-serif" w:hAnsi="Arial;sans-serif"/>
                <w:b w:val="false"/>
                <w:sz w:val="20"/>
              </w:rPr>
              <w:t xml:space="preserve">and </w:t>
            </w:r>
            <w:r>
              <w:rPr>
                <w:rFonts w:ascii="Arial;sans-serif" w:hAnsi="Arial;sans-serif"/>
                <w:b/>
                <w:sz w:val="20"/>
              </w:rPr>
              <w:t>DELIVERED</w:t>
            </w:r>
            <w:r>
              <w:rPr>
                <w:rFonts w:ascii="Times New Roman" w:hAnsi="Times New Roman"/>
                <w:sz w:val="20"/>
              </w:rPr>
              <w:t> </w:t>
            </w:r>
            <w:r>
              <w:rPr>
                <w:rFonts w:ascii="Arial;sans-serif" w:hAnsi="Arial;sans-serif"/>
                <w:b w:val="false"/>
                <w:sz w:val="20"/>
              </w:rPr>
              <w:t xml:space="preserve">as a </w:t>
            </w:r>
            <w:r>
              <w:rPr>
                <w:rFonts w:ascii="Arial;sans-serif" w:hAnsi="Arial;sans-serif"/>
                <w:b/>
                <w:sz w:val="20"/>
              </w:rPr>
              <w:t>DEED</w:t>
            </w:r>
            <w:r>
              <w:rPr>
                <w:rFonts w:ascii="Times New Roman" w:hAnsi="Times New Roman"/>
                <w:sz w:val="20"/>
              </w:rPr>
              <w:t> </w:t>
            </w:r>
            <w:r>
              <w:rPr>
                <w:rFonts w:ascii="Arial;sans-serif" w:hAnsi="Arial;sans-serif"/>
                <w:b w:val="false"/>
                <w:sz w:val="20"/>
              </w:rPr>
              <w:t>by</w:t>
            </w:r>
            <w:r>
              <w:rPr>
                <w:rFonts w:ascii="Times New Roman" w:hAnsi="Times New Roman"/>
                <w:sz w:val="20"/>
              </w:rPr>
              <w:t xml:space="preserve"> </w:t>
            </w:r>
          </w:p>
          <w:p>
            <w:pPr>
              <w:pStyle w:val="TableContents"/>
              <w:bidi w:val="0"/>
              <w:spacing w:before="0" w:after="120"/>
              <w:ind w:left="0" w:right="0" w:hanging="0"/>
              <w:jc w:val="left"/>
              <w:rPr>
                <w:rFonts w:ascii="Arial;sans-serif" w:hAnsi="Arial;sans-serif"/>
                <w:b/>
                <w:sz w:val="20"/>
              </w:rPr>
            </w:pPr>
            <w:r>
              <w:rPr>
                <w:rFonts w:ascii="Arial;sans-serif" w:hAnsi="Arial;sans-serif"/>
                <w:b/>
                <w:sz w:val="20"/>
              </w:rPr>
              <w:t>WP TRITON CO-INVEST, L.P.</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338"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p>
            <w:pPr>
              <w:pStyle w:val="TableContents"/>
              <w:bidi w:val="0"/>
              <w:spacing w:before="0" w:after="120"/>
              <w:ind w:left="0" w:right="0" w:hanging="0"/>
              <w:jc w:val="left"/>
              <w:rPr/>
            </w:pPr>
            <w:r>
              <w:rPr/>
              <w:t> </w:t>
            </w:r>
          </w:p>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David Sreter</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2"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7383" w:type="dxa"/>
            <w:vMerge w:val="restart"/>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 w:hAnsi="Times New Roman"/>
                <w:sz w:val="20"/>
              </w:rPr>
            </w:pPr>
            <w:r>
              <w:rPr>
                <w:rFonts w:ascii="Arial;sans-serif" w:hAnsi="Arial;sans-serif"/>
                <w:b w:val="false"/>
                <w:sz w:val="20"/>
              </w:rPr>
              <w:t xml:space="preserve">By: </w:t>
            </w:r>
            <w:r>
              <w:rPr>
                <w:rFonts w:ascii="Arial;sans-serif" w:hAnsi="Arial;sans-serif"/>
                <w:b/>
                <w:sz w:val="20"/>
              </w:rPr>
              <w:t>Warburg Pincus (Callisto-A) Global Growth (Cayman), L.P.</w:t>
            </w:r>
            <w:r>
              <w:rPr>
                <w:rFonts w:ascii="Arial;sans-serif" w:hAnsi="Arial;sans-serif"/>
                <w:b w:val="false"/>
                <w:sz w:val="20"/>
              </w:rPr>
              <w:t>, its general partner</w:t>
            </w:r>
          </w:p>
        </w:tc>
        <w:tc>
          <w:tcPr>
            <w:tcW w:w="146" w:type="dxa"/>
            <w:vMerge w:val="restart"/>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38"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Name: David Sreter</w:t>
            </w:r>
          </w:p>
        </w:tc>
        <w:tc>
          <w:tcPr>
            <w:tcW w:w="146" w:type="dxa"/>
            <w:vMerge w:val="restart"/>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2" w:type="dxa"/>
            <w:vMerge w:val="restart"/>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738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338"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Title: Authorised signatory</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92" w:type="dxa"/>
            <w:vMerge w:val="continue"/>
            <w:tcBorders/>
            <w:tcMar>
              <w:top w:w="0" w:type="dxa"/>
              <w:left w:w="0" w:type="dxa"/>
              <w:bottom w:w="0" w:type="dxa"/>
              <w:right w:w="0" w:type="dxa"/>
            </w:tcMar>
            <w:vAlign w:val="center"/>
          </w:tcPr>
          <w:p>
            <w:pPr>
              <w:pStyle w:val="Normal"/>
              <w:bidi w:val="0"/>
              <w:jc w:val="left"/>
              <w:rPr/>
            </w:pPr>
            <w:r>
              <w:rPr/>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 w:hAnsi="Times New Roman"/>
                <w:sz w:val="20"/>
              </w:rPr>
            </w:pPr>
            <w:r>
              <w:rPr>
                <w:rFonts w:ascii="Arial;sans-serif" w:hAnsi="Arial;sans-serif"/>
                <w:b w:val="false"/>
                <w:sz w:val="20"/>
              </w:rPr>
              <w:t>By:</w:t>
            </w:r>
            <w:r>
              <w:rPr>
                <w:rFonts w:ascii="Times New Roman" w:hAnsi="Times New Roman"/>
                <w:sz w:val="20"/>
              </w:rPr>
              <w:t> </w:t>
            </w:r>
            <w:r>
              <w:rPr>
                <w:rFonts w:ascii="Arial;sans-serif" w:hAnsi="Arial;sans-serif"/>
                <w:b/>
                <w:sz w:val="20"/>
              </w:rPr>
              <w:t>Warburg Pincus (Cayman) Global Growth GP, L.P.</w:t>
            </w:r>
            <w:r>
              <w:rPr>
                <w:rFonts w:ascii="Arial;sans-serif" w:hAnsi="Arial;sans-serif"/>
                <w:b w:val="false"/>
                <w:sz w:val="20"/>
              </w:rPr>
              <w:t>, its general partner</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38"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2"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 w:hAnsi="Times New Roman"/>
                <w:sz w:val="20"/>
              </w:rPr>
            </w:pPr>
            <w:r>
              <w:rPr>
                <w:rFonts w:ascii="Arial;sans-serif" w:hAnsi="Arial;sans-serif"/>
                <w:b w:val="false"/>
                <w:sz w:val="20"/>
              </w:rPr>
              <w:t>By:</w:t>
            </w:r>
            <w:r>
              <w:rPr>
                <w:rFonts w:ascii="Times New Roman" w:hAnsi="Times New Roman"/>
                <w:sz w:val="20"/>
              </w:rPr>
              <w:t> </w:t>
            </w:r>
            <w:r>
              <w:rPr>
                <w:rFonts w:ascii="Arial;sans-serif" w:hAnsi="Arial;sans-serif"/>
                <w:b/>
                <w:sz w:val="20"/>
              </w:rPr>
              <w:t>Warburg Pincus (Cayman) Global Growth GP LLC</w:t>
            </w:r>
            <w:r>
              <w:rPr>
                <w:rFonts w:ascii="Arial;sans-serif" w:hAnsi="Arial;sans-serif"/>
                <w:b w:val="false"/>
                <w:sz w:val="20"/>
              </w:rPr>
              <w:t>, its general partner</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38"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2"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 w:hAnsi="Times New Roman"/>
                <w:sz w:val="20"/>
              </w:rPr>
            </w:pPr>
            <w:r>
              <w:rPr>
                <w:rFonts w:ascii="Arial;sans-serif" w:hAnsi="Arial;sans-serif"/>
                <w:b w:val="false"/>
                <w:sz w:val="20"/>
              </w:rPr>
              <w:t>By:</w:t>
            </w:r>
            <w:r>
              <w:rPr>
                <w:rFonts w:ascii="Times New Roman" w:hAnsi="Times New Roman"/>
                <w:sz w:val="20"/>
              </w:rPr>
              <w:t> </w:t>
            </w:r>
            <w:r>
              <w:rPr>
                <w:rFonts w:ascii="Arial;sans-serif" w:hAnsi="Arial;sans-serif"/>
                <w:b/>
                <w:sz w:val="20"/>
              </w:rPr>
              <w:t>Warburg Pincus Partners II (Cayman), L.P.</w:t>
            </w:r>
            <w:r>
              <w:rPr>
                <w:rFonts w:ascii="Arial;sans-serif" w:hAnsi="Arial;sans-serif"/>
                <w:b w:val="false"/>
                <w:sz w:val="20"/>
              </w:rPr>
              <w:t>, its managing member</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38"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2"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 w:hAnsi="Times New Roman"/>
                <w:sz w:val="20"/>
              </w:rPr>
            </w:pPr>
            <w:r>
              <w:rPr>
                <w:rFonts w:ascii="Arial;sans-serif" w:hAnsi="Arial;sans-serif"/>
                <w:b w:val="false"/>
                <w:sz w:val="20"/>
              </w:rPr>
              <w:t>By:</w:t>
            </w:r>
            <w:r>
              <w:rPr>
                <w:rFonts w:ascii="Times New Roman" w:hAnsi="Times New Roman"/>
                <w:sz w:val="20"/>
              </w:rPr>
              <w:t> </w:t>
            </w:r>
            <w:r>
              <w:rPr>
                <w:rFonts w:ascii="Arial;sans-serif" w:hAnsi="Arial;sans-serif"/>
                <w:b/>
                <w:sz w:val="20"/>
              </w:rPr>
              <w:t>Warburg Pincus (Bermuda) Private Equity GP Ltd.</w:t>
            </w:r>
            <w:r>
              <w:rPr>
                <w:rFonts w:ascii="Arial;sans-serif" w:hAnsi="Arial;sans-serif"/>
                <w:b w:val="false"/>
                <w:sz w:val="20"/>
              </w:rPr>
              <w:t>, its general partner</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38"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2"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in the presence of</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38"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2"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Signature: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38"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Lisa Sreter</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2"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Name: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484"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Lisa Sreter</w:t>
            </w:r>
          </w:p>
        </w:tc>
        <w:tc>
          <w:tcPr>
            <w:tcW w:w="192" w:type="dxa"/>
            <w:tcBorders>
              <w:top w:val="single" w:sz="4" w:space="0" w:color="000000"/>
              <w:bottom w:val="single" w:sz="4" w:space="0" w:color="000000"/>
            </w:tcBorders>
            <w:tcMar>
              <w:left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Address</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484"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484"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484"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7383"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Occupation:</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38"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Mrs</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Signature page to LSD Extension Letter</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920" w:type="dxa"/>
        <w:jc w:val="left"/>
        <w:tblInd w:w="0" w:type="dxa"/>
        <w:tblLayout w:type="fixed"/>
        <w:tblCellMar>
          <w:top w:w="28" w:type="dxa"/>
          <w:left w:w="28" w:type="dxa"/>
          <w:bottom w:w="28" w:type="dxa"/>
          <w:right w:w="28" w:type="dxa"/>
        </w:tblCellMar>
      </w:tblPr>
      <w:tblGrid>
        <w:gridCol w:w="4051"/>
        <w:gridCol w:w="146"/>
        <w:gridCol w:w="2386"/>
        <w:gridCol w:w="146"/>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sz w:val="20"/>
              </w:rPr>
              <w:t>EXECUTED</w:t>
            </w:r>
            <w:r>
              <w:rPr>
                <w:rFonts w:ascii="Times New Roman" w:hAnsi="Times New Roman"/>
                <w:sz w:val="20"/>
              </w:rPr>
              <w:t> </w:t>
            </w:r>
            <w:r>
              <w:rPr>
                <w:rFonts w:ascii="Arial;sans-serif" w:hAnsi="Arial;sans-serif"/>
                <w:b w:val="false"/>
                <w:sz w:val="20"/>
              </w:rPr>
              <w:t xml:space="preserve">and </w:t>
            </w:r>
            <w:r>
              <w:rPr>
                <w:rFonts w:ascii="Arial;sans-serif" w:hAnsi="Arial;sans-serif"/>
                <w:b/>
                <w:sz w:val="20"/>
              </w:rPr>
              <w:t>DELIVERED</w:t>
            </w:r>
            <w:r>
              <w:rPr>
                <w:rFonts w:ascii="Times New Roman" w:hAnsi="Times New Roman"/>
                <w:sz w:val="20"/>
              </w:rPr>
              <w:t> </w:t>
            </w:r>
            <w:r>
              <w:rPr>
                <w:rFonts w:ascii="Arial;sans-serif" w:hAnsi="Arial;sans-serif"/>
                <w:b w:val="false"/>
                <w:sz w:val="20"/>
              </w:rPr>
              <w:t xml:space="preserve">as a </w:t>
            </w:r>
            <w:r>
              <w:rPr>
                <w:rFonts w:ascii="Arial;sans-serif" w:hAnsi="Arial;sans-serif"/>
                <w:b/>
                <w:sz w:val="20"/>
              </w:rPr>
              <w:t>DEED</w:t>
            </w:r>
            <w:r>
              <w:rPr>
                <w:rFonts w:ascii="Times New Roman" w:hAnsi="Times New Roman"/>
                <w:sz w:val="20"/>
              </w:rPr>
              <w:t> </w:t>
            </w:r>
            <w:r>
              <w:rPr>
                <w:rFonts w:ascii="Arial;sans-serif" w:hAnsi="Arial;sans-serif"/>
                <w:b w:val="false"/>
                <w:sz w:val="20"/>
              </w:rPr>
              <w:t>by</w:t>
            </w:r>
            <w:r>
              <w:rPr>
                <w:rFonts w:ascii="Times New Roman" w:hAnsi="Times New Roman"/>
                <w:sz w:val="20"/>
              </w:rPr>
              <w:t xml:space="preserve"> </w:t>
            </w:r>
          </w:p>
          <w:p>
            <w:pPr>
              <w:pStyle w:val="TableContents"/>
              <w:bidi w:val="0"/>
              <w:spacing w:before="0" w:after="120"/>
              <w:ind w:left="0" w:right="0" w:hanging="0"/>
              <w:jc w:val="left"/>
              <w:rPr>
                <w:rFonts w:ascii="Arial;sans-serif" w:hAnsi="Arial;sans-serif"/>
                <w:b/>
                <w:sz w:val="20"/>
              </w:rPr>
            </w:pPr>
            <w:r>
              <w:rPr>
                <w:rFonts w:ascii="Arial;sans-serif" w:hAnsi="Arial;sans-serif"/>
                <w:b/>
                <w:sz w:val="20"/>
              </w:rPr>
              <w:t>2684343 ONTARIO LIMITED</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p>
            <w:pPr>
              <w:pStyle w:val="TableContents"/>
              <w:bidi w:val="0"/>
              <w:spacing w:before="0" w:after="120"/>
              <w:ind w:left="0" w:right="0" w:hanging="0"/>
              <w:jc w:val="left"/>
              <w:rPr/>
            </w:pPr>
            <w:r>
              <w:rPr/>
              <w:t> </w:t>
            </w:r>
          </w:p>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Eric Hargrave</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Name: Eric Hargrave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Title: Authorised signatory</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in the presence of</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Signature: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David Johnston</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Name:</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532"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David Johnston</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Address</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532"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532"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532" w:type="dxa"/>
            <w:gridSpan w:val="2"/>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Witness Occupation:</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Bank Officer</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Signature page to LSD Extension Letter</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800" w:type="dxa"/>
        <w:jc w:val="left"/>
        <w:tblInd w:w="0" w:type="dxa"/>
        <w:tblLayout w:type="fixed"/>
        <w:tblCellMar>
          <w:top w:w="28" w:type="dxa"/>
          <w:left w:w="28" w:type="dxa"/>
          <w:bottom w:w="28" w:type="dxa"/>
          <w:right w:w="28" w:type="dxa"/>
        </w:tblCellMar>
      </w:tblPr>
      <w:tblGrid>
        <w:gridCol w:w="4051"/>
        <w:gridCol w:w="146"/>
        <w:gridCol w:w="2266"/>
        <w:gridCol w:w="146"/>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sz w:val="20"/>
              </w:rPr>
              <w:t>EXECUTED</w:t>
            </w:r>
            <w:r>
              <w:rPr>
                <w:rFonts w:ascii="Times New Roman" w:hAnsi="Times New Roman"/>
                <w:sz w:val="20"/>
              </w:rPr>
              <w:t> </w:t>
            </w:r>
            <w:r>
              <w:rPr>
                <w:rFonts w:ascii="Arial;sans-serif" w:hAnsi="Arial;sans-serif"/>
                <w:b w:val="false"/>
                <w:sz w:val="20"/>
              </w:rPr>
              <w:t xml:space="preserve">and </w:t>
            </w:r>
            <w:r>
              <w:rPr>
                <w:rFonts w:ascii="Arial;sans-serif" w:hAnsi="Arial;sans-serif"/>
                <w:b/>
                <w:sz w:val="20"/>
              </w:rPr>
              <w:t>DELIVERED</w:t>
            </w:r>
            <w:r>
              <w:rPr>
                <w:rFonts w:ascii="Times New Roman" w:hAnsi="Times New Roman"/>
                <w:sz w:val="20"/>
              </w:rPr>
              <w:t> </w:t>
            </w:r>
            <w:r>
              <w:rPr>
                <w:rFonts w:ascii="Arial;sans-serif" w:hAnsi="Arial;sans-serif"/>
                <w:b w:val="false"/>
                <w:sz w:val="20"/>
              </w:rPr>
              <w:t xml:space="preserve">as a </w:t>
            </w:r>
            <w:r>
              <w:rPr>
                <w:rFonts w:ascii="Arial;sans-serif" w:hAnsi="Arial;sans-serif"/>
                <w:b/>
                <w:sz w:val="20"/>
              </w:rPr>
              <w:t>DEED</w:t>
            </w:r>
            <w:r>
              <w:rPr>
                <w:rFonts w:ascii="Times New Roman" w:hAnsi="Times New Roman"/>
                <w:sz w:val="20"/>
              </w:rPr>
              <w:t> </w:t>
            </w:r>
            <w:r>
              <w:rPr>
                <w:rFonts w:ascii="Arial;sans-serif" w:hAnsi="Arial;sans-serif"/>
                <w:b w:val="false"/>
                <w:sz w:val="20"/>
              </w:rPr>
              <w:t>by</w:t>
            </w:r>
            <w:r>
              <w:rPr>
                <w:rFonts w:ascii="Times New Roman" w:hAnsi="Times New Roman"/>
                <w:sz w:val="20"/>
              </w:rPr>
              <w:t xml:space="preserve"> </w:t>
            </w:r>
          </w:p>
          <w:p>
            <w:pPr>
              <w:pStyle w:val="TableContents"/>
              <w:bidi w:val="0"/>
              <w:spacing w:before="0" w:after="120"/>
              <w:ind w:left="0" w:right="0" w:hanging="0"/>
              <w:jc w:val="left"/>
              <w:rPr>
                <w:rFonts w:ascii="Arial;sans-serif" w:hAnsi="Arial;sans-serif"/>
                <w:b/>
                <w:sz w:val="20"/>
              </w:rPr>
            </w:pPr>
            <w:r>
              <w:rPr>
                <w:rFonts w:ascii="Arial;sans-serif" w:hAnsi="Arial;sans-serif"/>
                <w:b/>
                <w:sz w:val="20"/>
              </w:rPr>
              <w:t>PRETZEL LOGIC BV</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6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p>
            <w:pPr>
              <w:pStyle w:val="TableContents"/>
              <w:bidi w:val="0"/>
              <w:spacing w:before="0" w:after="120"/>
              <w:ind w:left="0" w:right="0" w:hanging="0"/>
              <w:jc w:val="left"/>
              <w:rPr/>
            </w:pPr>
            <w:r>
              <w:rPr/>
              <w:t> </w:t>
            </w:r>
          </w:p>
          <w:p>
            <w:pPr>
              <w:pStyle w:val="TableContents"/>
              <w:bidi w:val="0"/>
              <w:spacing w:before="0" w:after="120"/>
              <w:ind w:left="0" w:right="0" w:hanging="0"/>
              <w:jc w:val="left"/>
              <w:rPr>
                <w:rFonts w:ascii="Arial;sans-serif" w:hAnsi="Arial;sans-serif"/>
                <w:b w:val="false"/>
                <w:smallCaps/>
                <w:sz w:val="20"/>
              </w:rPr>
            </w:pPr>
            <w:r>
              <w:rPr>
                <w:rFonts w:ascii="Arial;sans-serif" w:hAnsi="Arial;sans-serif"/>
                <w:b w:val="false"/>
                <w:smallCaps/>
                <w:sz w:val="20"/>
              </w:rPr>
              <w:t>/s/ Mark Nieuwendijk</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26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Name: Mark Nieuwendijk</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r>
        <w:trPr/>
        <w:tc>
          <w:tcPr>
            <w:tcW w:w="405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2266" w:type="dxa"/>
            <w:tcBorders/>
            <w:tcMar>
              <w:top w:w="0" w:type="dxa"/>
              <w:left w:w="0" w:type="dxa"/>
              <w:bottom w:w="0" w:type="dxa"/>
              <w:right w:w="0" w:type="dxa"/>
            </w:tcMar>
            <w:vAlign w:val="center"/>
          </w:tcPr>
          <w:p>
            <w:pPr>
              <w:pStyle w:val="TableContents"/>
              <w:bidi w:val="0"/>
              <w:spacing w:before="0" w:after="120"/>
              <w:ind w:left="0" w:right="0" w:hanging="0"/>
              <w:jc w:val="left"/>
              <w:rPr>
                <w:rFonts w:ascii="Arial;sans-serif" w:hAnsi="Arial;sans-serif"/>
                <w:b w:val="false"/>
                <w:sz w:val="20"/>
              </w:rPr>
            </w:pPr>
            <w:r>
              <w:rPr>
                <w:rFonts w:ascii="Arial;sans-serif" w:hAnsi="Arial;sans-serif"/>
                <w:b w:val="false"/>
                <w:sz w:val="20"/>
              </w:rPr>
              <w:t>Title: Managing Director</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12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Signature page to LSD Extension Letter</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SCHEDULE – ADDRESSEES</w:t>
      </w:r>
    </w:p>
    <w:p>
      <w:pPr>
        <w:pStyle w:val="TextBody"/>
        <w:bidi w:val="0"/>
        <w:spacing w:before="0" w:after="0"/>
        <w:jc w:val="center"/>
        <w:rPr/>
      </w:pPr>
      <w:r>
        <w:rPr/>
        <w:t>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803"/>
        <w:gridCol w:w="146"/>
        <w:gridCol w:w="6256"/>
      </w:tblGrid>
      <w:tr>
        <w:trPr/>
        <w:tc>
          <w:tcPr>
            <w:tcW w:w="3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u w:val="single"/>
              </w:rPr>
            </w:pPr>
            <w:r>
              <w:rPr>
                <w:rFonts w:ascii="Arial;sans-serif" w:hAnsi="Arial;sans-serif"/>
                <w:b/>
                <w:sz w:val="20"/>
                <w:u w:val="single"/>
              </w:rPr>
              <w:t>INVESTOR SELLERS</w:t>
            </w:r>
          </w:p>
          <w:p>
            <w:pPr>
              <w:pStyle w:val="TableContents"/>
              <w:bidi w:val="0"/>
              <w:spacing w:before="0" w:after="0"/>
              <w:ind w:left="0" w:right="0" w:hanging="0"/>
              <w:jc w:val="left"/>
              <w:rPr/>
            </w:pPr>
            <w:r>
              <w:rPr/>
              <w:t> </w:t>
            </w:r>
          </w:p>
        </w:tc>
      </w:tr>
      <w:tr>
        <w:trPr/>
        <w:tc>
          <w:tcPr>
            <w:tcW w:w="38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Triton LuxTopHolding SARL</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 the attention of: Gonzague de Lhoneux</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Address: -3 boulevard de la Foire, L-1528 Luxembourg, Grand Duchy of Luxembourg</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Email address:</w:t>
            </w:r>
          </w:p>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25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WP Triton Co-Invest, L.P.</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 the attention of: Max Fowinkel and Jan-Ole Gerschefski</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Address: c/o Walkers Corporate Limited, Cayman Corporate Centre, 27 Hospital Road, George Town, Grand Cayman KY1-9008, Cayman Islands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Email address: Notices@warburgpincus.com</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38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2684343 Ontario Limited</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 the attention of: Eric Hargrave</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Address: 5650 Yonge Street, Suite 1200 Toronto, Ontario M2M 4H5, Canada</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Email address:</w:t>
            </w:r>
          </w:p>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25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CPP Investment Board Private Holdings (4) Inc.</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 the attention of: Hafiz Lalani and Pascal Keutgens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Address: 1 Queen Street East, Suite, 2500 Toronto, Ontario M5C 2W5, Canada</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Email address: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38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2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38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Pretzel Logic BV</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 the attention of: Mark Nieuwendijk</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Address: Wilhelminalaan 30, 3701BL Zeist, The Netherlands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Email address:</w:t>
            </w:r>
          </w:p>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2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sz w:val="20"/>
                <w:u w:val="single"/>
              </w:rPr>
              <w:t>COPY TO</w:t>
            </w:r>
            <w:r>
              <w:rPr>
                <w:rFonts w:ascii="Arial;sans-serif" w:hAnsi="Arial;sans-serif"/>
                <w:b w:val="false"/>
                <w:sz w:val="20"/>
                <w:u w:val="single"/>
              </w:rPr>
              <w:t>:</w:t>
            </w:r>
          </w:p>
          <w:p>
            <w:pPr>
              <w:pStyle w:val="TableContents"/>
              <w:bidi w:val="0"/>
              <w:spacing w:before="0" w:after="0"/>
              <w:ind w:left="0" w:right="0" w:hanging="0"/>
              <w:jc w:val="left"/>
              <w:rPr/>
            </w:pPr>
            <w:r>
              <w:rPr/>
              <w:t> </w:t>
            </w:r>
          </w:p>
        </w:tc>
      </w:tr>
      <w:tr>
        <w:trPr/>
        <w:tc>
          <w:tcPr>
            <w:tcW w:w="38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OTPP legal department (law_emea@otpp.com)</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25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CPPIB legal notices (legalnotices@cppib.com)</w:t>
            </w:r>
          </w:p>
          <w:p>
            <w:pPr>
              <w:pStyle w:val="TableContents"/>
              <w:bidi w:val="0"/>
              <w:spacing w:before="0" w:after="0"/>
              <w:ind w:left="0" w:right="0" w:hanging="0"/>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sz w:val="20"/>
              </w:rPr>
            </w:pPr>
            <w:r>
              <w:rPr>
                <w:rFonts w:ascii="Arial;sans-serif" w:hAnsi="Arial;sans-serif"/>
                <w:b/>
                <w:sz w:val="20"/>
              </w:rPr>
              <w:t>Sellers’ Solicitors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 the attention of: Stuart Boyd and Jacob Traff</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Address: Kirkland &amp; Ellis International LLP, 30 St Mary Axe, London, EC3A 8AF</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Email address:</w:t>
            </w:r>
          </w:p>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40" w:name="vsat-ex10_11.htm"/>
      <w:bookmarkStart w:id="41" w:name="ksvsatex10_11"/>
      <w:bookmarkEnd w:id="40"/>
      <w:bookmarkEnd w:id="41"/>
      <w:r>
        <w:rPr/>
        <w:t> </w:t>
      </w:r>
      <w:r>
        <w:br w:type="page"/>
      </w:r>
    </w:p>
    <w:p>
      <w:pPr>
        <w:pStyle w:val="TextBody"/>
        <w:bidi w:val="0"/>
        <w:spacing w:before="0" w:after="0"/>
        <w:jc w:val="right"/>
        <w:rPr>
          <w:rFonts w:ascii="Arial;sans-serif" w:hAnsi="Arial;sans-serif"/>
          <w:b/>
          <w:sz w:val="20"/>
        </w:rPr>
      </w:pPr>
      <w:r>
        <w:rPr>
          <w:rFonts w:ascii="Arial;sans-serif" w:hAnsi="Arial;sans-serif"/>
          <w:b/>
          <w:sz w:val="20"/>
        </w:rPr>
        <w:t>Exhibit 10.11</w:t>
      </w:r>
    </w:p>
    <w:p>
      <w:pPr>
        <w:pStyle w:val="TextBody"/>
        <w:bidi w:val="0"/>
        <w:spacing w:before="0" w:after="0"/>
        <w:jc w:val="center"/>
        <w:rPr>
          <w:rFonts w:ascii="Arial;sans-serif" w:hAnsi="Arial;sans-serif"/>
          <w:b/>
          <w:sz w:val="20"/>
        </w:rPr>
      </w:pPr>
      <w:r>
        <w:rPr>
          <w:rFonts w:ascii="Arial;sans-serif" w:hAnsi="Arial;sans-serif"/>
          <w:b/>
          <w:sz w:val="20"/>
        </w:rPr>
        <w:t>SEVERANCE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This Severance Agreement (“</w:t>
      </w:r>
      <w:r>
        <w:rPr>
          <w:rFonts w:ascii="Arial;sans-serif" w:hAnsi="Arial;sans-serif"/>
          <w:b/>
          <w:i/>
          <w:sz w:val="20"/>
        </w:rPr>
        <w:t>Agreement</w:t>
      </w:r>
      <w:r>
        <w:rPr>
          <w:rFonts w:ascii="Times New Roman" w:hAnsi="Times New Roman"/>
          <w:sz w:val="20"/>
        </w:rPr>
        <w:t>”</w:t>
      </w:r>
      <w:r>
        <w:rPr>
          <w:rFonts w:ascii="Arial;sans-serif" w:hAnsi="Arial;sans-serif"/>
          <w:b w:val="false"/>
          <w:sz w:val="20"/>
        </w:rPr>
        <w:t>) is made effective as of April 13, 2023 (“</w:t>
      </w:r>
      <w:r>
        <w:rPr>
          <w:rFonts w:ascii="Arial;sans-serif" w:hAnsi="Arial;sans-serif"/>
          <w:b/>
          <w:i/>
          <w:sz w:val="20"/>
        </w:rPr>
        <w:t>Effective Date</w:t>
      </w:r>
      <w:r>
        <w:rPr>
          <w:rFonts w:ascii="Times New Roman" w:hAnsi="Times New Roman"/>
          <w:sz w:val="20"/>
        </w:rPr>
        <w:t>”</w:t>
      </w:r>
      <w:r>
        <w:rPr>
          <w:rFonts w:ascii="Arial;sans-serif" w:hAnsi="Arial;sans-serif"/>
          <w:b w:val="false"/>
          <w:sz w:val="20"/>
        </w:rPr>
        <w:t>), by and between Viasat, Inc., a Delaware corporation (the “</w:t>
      </w:r>
      <w:r>
        <w:rPr>
          <w:rFonts w:ascii="Arial;sans-serif" w:hAnsi="Arial;sans-serif"/>
          <w:b/>
          <w:i/>
          <w:sz w:val="20"/>
        </w:rPr>
        <w:t>Company</w:t>
      </w:r>
      <w:r>
        <w:rPr>
          <w:rFonts w:ascii="Times New Roman" w:hAnsi="Times New Roman"/>
          <w:sz w:val="20"/>
        </w:rPr>
        <w:t>”</w:t>
      </w:r>
      <w:r>
        <w:rPr>
          <w:rFonts w:ascii="Arial;sans-serif" w:hAnsi="Arial;sans-serif"/>
          <w:b w:val="false"/>
          <w:sz w:val="20"/>
        </w:rPr>
        <w:t xml:space="preserve">), and </w:t>
      </w:r>
      <w:r>
        <w:rPr>
          <w:rFonts w:ascii="Arial;sans-serif" w:hAnsi="Arial;sans-serif"/>
          <w:b/>
          <w:sz w:val="20"/>
        </w:rPr>
        <w:t>Kumara Guru Gowrappan</w:t>
      </w:r>
      <w:r>
        <w:rPr>
          <w:rFonts w:ascii="Times New Roman" w:hAnsi="Times New Roman"/>
          <w:sz w:val="20"/>
        </w:rPr>
        <w:t xml:space="preserve"> </w:t>
      </w:r>
      <w:r>
        <w:rPr>
          <w:rFonts w:ascii="Arial;sans-serif" w:hAnsi="Arial;sans-serif"/>
          <w:b w:val="false"/>
          <w:sz w:val="20"/>
        </w:rPr>
        <w:t>(“</w:t>
      </w:r>
      <w:r>
        <w:rPr>
          <w:rFonts w:ascii="Arial;sans-serif" w:hAnsi="Arial;sans-serif"/>
          <w:b/>
          <w:i/>
          <w:sz w:val="20"/>
        </w:rPr>
        <w:t>Executive</w:t>
      </w:r>
      <w:r>
        <w:rPr>
          <w:rFonts w:ascii="Times New Roman" w:hAnsi="Times New Roman"/>
          <w:sz w:val="20"/>
        </w:rPr>
        <w:t>”</w:t>
      </w:r>
      <w:r>
        <w:rPr>
          <w:rFonts w:ascii="Arial;sans-serif" w:hAnsi="Arial;sans-serif"/>
          <w:b w:val="false"/>
          <w:sz w:val="20"/>
        </w:rPr>
        <w:t>). For purposes of this Agreement, the “</w:t>
      </w:r>
      <w:r>
        <w:rPr>
          <w:rFonts w:ascii="Arial;sans-serif" w:hAnsi="Arial;sans-serif"/>
          <w:b/>
          <w:i/>
          <w:sz w:val="20"/>
        </w:rPr>
        <w:t>Company</w:t>
      </w:r>
      <w:r>
        <w:rPr>
          <w:rFonts w:ascii="Times New Roman" w:hAnsi="Times New Roman"/>
          <w:sz w:val="20"/>
        </w:rPr>
        <w:t xml:space="preserve">” </w:t>
      </w:r>
      <w:r>
        <w:rPr>
          <w:rFonts w:ascii="Arial;sans-serif" w:hAnsi="Arial;sans-serif"/>
          <w:b w:val="false"/>
          <w:sz w:val="20"/>
        </w:rPr>
        <w:t>shall mean the Company and its subsidiaries.</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The parties agree as follows: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1. </w:t>
      </w:r>
      <w:r>
        <w:rPr>
          <w:rFonts w:ascii="Arial;sans-serif" w:hAnsi="Arial;sans-serif"/>
          <w:b w:val="false"/>
          <w:sz w:val="20"/>
          <w:u w:val="single"/>
        </w:rPr>
        <w:t>Definitions</w:t>
      </w:r>
      <w:r>
        <w:rPr>
          <w:rFonts w:ascii="Arial;sans-serif" w:hAnsi="Arial;sans-serif"/>
          <w:b w:val="false"/>
          <w:sz w:val="20"/>
        </w:rPr>
        <w:t>. For purposes of this Agreement, the following terms shall have the following meanings: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(a) “</w:t>
      </w:r>
      <w:r>
        <w:rPr>
          <w:rFonts w:ascii="Arial;sans-serif" w:hAnsi="Arial;sans-serif"/>
          <w:b/>
          <w:i/>
          <w:sz w:val="20"/>
        </w:rPr>
        <w:t>Board</w:t>
      </w:r>
      <w:r>
        <w:rPr>
          <w:rFonts w:ascii="Times New Roman" w:hAnsi="Times New Roman"/>
          <w:sz w:val="20"/>
        </w:rPr>
        <w:t xml:space="preserve">” </w:t>
      </w:r>
      <w:r>
        <w:rPr>
          <w:rFonts w:ascii="Arial;sans-serif" w:hAnsi="Arial;sans-serif"/>
          <w:b w:val="false"/>
          <w:sz w:val="20"/>
        </w:rPr>
        <w:t>shall mean the Board of Directors of the Company.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(b) “</w:t>
      </w:r>
      <w:r>
        <w:rPr>
          <w:rFonts w:ascii="Arial;sans-serif" w:hAnsi="Arial;sans-serif"/>
          <w:b/>
          <w:i/>
          <w:sz w:val="20"/>
        </w:rPr>
        <w:t>Cause</w:t>
      </w:r>
      <w:r>
        <w:rPr>
          <w:rFonts w:ascii="Times New Roman" w:hAnsi="Times New Roman"/>
          <w:sz w:val="20"/>
        </w:rPr>
        <w:t xml:space="preserve">” </w:t>
      </w:r>
      <w:r>
        <w:rPr>
          <w:rFonts w:ascii="Arial;sans-serif" w:hAnsi="Arial;sans-serif"/>
          <w:b w:val="false"/>
          <w:sz w:val="20"/>
        </w:rPr>
        <w:t xml:space="preserve">shall mean any of the following: (i) Executive’s gross negligence or willful misconduct in the performance of his duties to the Company where such gross negligence or willful misconduct has resulted or is likely to result in material damage to the Company or its subsidiaries; (ii) Executive’s willful and habitual neglect of or failure to perform Executive’s duties of consulting or employment, which neglect or failure is not cured within thirty (30) days after written notice thereof is received by Executive; (iii) Executive’s commission of any act of fraud or dishonesty with respect to the Company that causes material harm to the Company or is intended to result in substantial personal enrichment; (iv) Executive’s conviction of or plea of guilty or </w:t>
      </w:r>
      <w:r>
        <w:rPr>
          <w:rFonts w:ascii="Arial;sans-serif" w:hAnsi="Arial;sans-serif"/>
          <w:b w:val="false"/>
          <w:i/>
          <w:sz w:val="20"/>
        </w:rPr>
        <w:t xml:space="preserve">nolo contendere </w:t>
      </w:r>
      <w:r>
        <w:rPr>
          <w:rFonts w:ascii="Arial;sans-serif" w:hAnsi="Arial;sans-serif"/>
          <w:b w:val="false"/>
          <w:sz w:val="20"/>
        </w:rPr>
        <w:t>to felony criminal conduct; or (v) Executive’s material violation of the Company’s Confidentiality and Proprietary Rights Agreement (as defined below) or similar agreement that Executive has entered into with the Company.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(c) “</w:t>
      </w:r>
      <w:r>
        <w:rPr>
          <w:rFonts w:ascii="Arial;sans-serif" w:hAnsi="Arial;sans-serif"/>
          <w:b/>
          <w:i/>
          <w:sz w:val="20"/>
        </w:rPr>
        <w:t>Good Reason</w:t>
      </w:r>
      <w:r>
        <w:rPr>
          <w:rFonts w:ascii="Times New Roman" w:hAnsi="Times New Roman"/>
          <w:sz w:val="20"/>
        </w:rPr>
        <w:t xml:space="preserve">” </w:t>
      </w:r>
      <w:r>
        <w:rPr>
          <w:rFonts w:ascii="Arial;sans-serif" w:hAnsi="Arial;sans-serif"/>
          <w:b w:val="false"/>
          <w:sz w:val="20"/>
        </w:rPr>
        <w:t>shall mean the occurrence of any of the following events or conditions without Executive’s written consent:</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 a material diminution in Executive’s title, authority, duties or responsibilities with the Company, including, without limitation, the continuous assignment to Executive of any duties materially inconsistent with Executive’s position with the Company, any requirement that Executive report to any person(s) other than the Board or the Chief Executive Officer of the Company or a material negative change in the nature or status of Executive’s responsibilities or the conditions of Executive’s employment with the Company;</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(ii) a material diminution in Executive’s annualized cash and benefits compensation opportunity, which shall include Executive’s base compensation, Executive’s annual target bonus opportunity and Executive’s aggregate employee benefits (including equity compensation), as in effect on the Effective Date as the same may be increased from time to time thereafter;</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(iii) a material change in the geographic location at which Executive must perform his or her duties (and the Company and Executive agree that any involuntary relocation of the Company’s offices at which Executive is principally employed to a location more than fifty (50) miles from such location would constitute a material change); or</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(iv) any other action or inaction that constitutes a material breach by the Company or any successor or affiliate of its obligations to Executive under this Agreement or that certain Offer Letter between the Executive and the Company dated April 10, 2023.</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Executive’s right to terminate employment with the Company pursuant to this section shall not be affected by Executive’s incapacity due to physical or mental illness. Executive’s continued employment with the Company shall not constitute consent to, or a waiver of rights with respect to, any circumstance constituting Good Reason hereunder.</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Executive must provide written notice to the Company of the occurrence of any of the foregoing events or conditions without Executive’s written consent within ninety (90) days of the occurrence of such event. The Company or any successor or affiliate shall have a period of thirty (30) days to cure such event or condition after receipt of written notice of such event from Executive. Any voluntary Separation from Service for “Good Reason” following such thirty (30) day cure period must occur no later than the date that is six (6) months following the initial occurrence of one of the foregoing events or conditions without Executive’s written consent. Executive’s voluntary Separation from Service by reason of resignation from employment with the Company for Good Reason shall be treated as involuntary.</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0"/>
        </w:rPr>
        <w:t>(d) “</w:t>
      </w:r>
      <w:r>
        <w:rPr>
          <w:rFonts w:ascii="Arial;sans-serif" w:hAnsi="Arial;sans-serif"/>
          <w:b/>
          <w:i/>
          <w:sz w:val="20"/>
        </w:rPr>
        <w:t>Code</w:t>
      </w:r>
      <w:r>
        <w:rPr>
          <w:rFonts w:ascii="Times New Roman" w:hAnsi="Times New Roman"/>
          <w:sz w:val="20"/>
        </w:rPr>
        <w:t xml:space="preserve">” </w:t>
      </w:r>
      <w:r>
        <w:rPr>
          <w:rFonts w:ascii="Arial;sans-serif" w:hAnsi="Arial;sans-serif"/>
          <w:b w:val="false"/>
          <w:sz w:val="20"/>
        </w:rPr>
        <w:t>means the Internal Revenue Code of 1986, as amended, and the Treasury Regulations and other interpretive guidance thereunder.</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(e) “</w:t>
      </w:r>
      <w:r>
        <w:rPr>
          <w:rFonts w:ascii="Arial;sans-serif" w:hAnsi="Arial;sans-serif"/>
          <w:b/>
          <w:i/>
          <w:sz w:val="20"/>
        </w:rPr>
        <w:t>Permanent Disability</w:t>
      </w:r>
      <w:r>
        <w:rPr>
          <w:rFonts w:ascii="Times New Roman" w:hAnsi="Times New Roman"/>
          <w:sz w:val="20"/>
        </w:rPr>
        <w:t xml:space="preserve">” </w:t>
      </w:r>
      <w:r>
        <w:rPr>
          <w:rFonts w:ascii="Arial;sans-serif" w:hAnsi="Arial;sans-serif"/>
          <w:b w:val="false"/>
          <w:sz w:val="20"/>
        </w:rPr>
        <w:t>means Executive’s inability to perform the essential functions of his or her position, with or without reasonable accommodation, for a period of at least 120 consecutive days because of a physical or mental impairment.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(f) “</w:t>
      </w:r>
      <w:r>
        <w:rPr>
          <w:rFonts w:ascii="Arial;sans-serif" w:hAnsi="Arial;sans-serif"/>
          <w:b/>
          <w:i/>
          <w:sz w:val="20"/>
        </w:rPr>
        <w:t>Separation from Service</w:t>
      </w:r>
      <w:r>
        <w:rPr>
          <w:rFonts w:ascii="Times New Roman" w:hAnsi="Times New Roman"/>
          <w:sz w:val="20"/>
        </w:rPr>
        <w:t xml:space="preserve">” </w:t>
      </w:r>
      <w:r>
        <w:rPr>
          <w:rFonts w:ascii="Arial;sans-serif" w:hAnsi="Arial;sans-serif"/>
          <w:b w:val="false"/>
          <w:sz w:val="20"/>
        </w:rPr>
        <w:t>means an involuntary “separation from service” within the meaning of Section 409A of the Code.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(g) “</w:t>
      </w:r>
      <w:r>
        <w:rPr>
          <w:rFonts w:ascii="Arial;sans-serif" w:hAnsi="Arial;sans-serif"/>
          <w:b/>
          <w:i/>
          <w:sz w:val="20"/>
        </w:rPr>
        <w:t>Stock Awards</w:t>
      </w:r>
      <w:r>
        <w:rPr>
          <w:rFonts w:ascii="Times New Roman" w:hAnsi="Times New Roman"/>
          <w:sz w:val="20"/>
        </w:rPr>
        <w:t xml:space="preserve">” </w:t>
      </w:r>
      <w:r>
        <w:rPr>
          <w:rFonts w:ascii="Arial;sans-serif" w:hAnsi="Arial;sans-serif"/>
          <w:b w:val="false"/>
          <w:sz w:val="20"/>
        </w:rPr>
        <w:t>means all stock options, restricted stock and such other awards granted pursuant to the Company’s stock option and equity incentive award plans or agreements and any shares of stock issued upon exercise thereof.</w:t>
      </w:r>
    </w:p>
    <w:p>
      <w:pPr>
        <w:pStyle w:val="TextBody"/>
        <w:bidi w:val="0"/>
        <w:spacing w:before="0" w:after="0"/>
        <w:jc w:val="both"/>
        <w:rPr>
          <w:rFonts w:ascii="Times New Roman" w:hAnsi="Times New Roman"/>
          <w:sz w:val="20"/>
        </w:rPr>
      </w:pPr>
      <w:r>
        <w:rPr>
          <w:rFonts w:ascii="Arial;sans-serif" w:hAnsi="Arial;sans-serif"/>
          <w:b w:val="false"/>
          <w:sz w:val="20"/>
        </w:rPr>
        <w:t xml:space="preserve">2. </w:t>
      </w:r>
      <w:r>
        <w:rPr>
          <w:rFonts w:ascii="Arial;sans-serif" w:hAnsi="Arial;sans-serif"/>
          <w:b w:val="false"/>
          <w:sz w:val="20"/>
          <w:u w:val="single"/>
        </w:rPr>
        <w:t>Term</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(a) The initial term of this Agreement (the “</w:t>
      </w:r>
      <w:r>
        <w:rPr>
          <w:rFonts w:ascii="Arial;sans-serif" w:hAnsi="Arial;sans-serif"/>
          <w:b/>
          <w:i/>
          <w:sz w:val="20"/>
        </w:rPr>
        <w:t>Initial Term</w:t>
      </w:r>
      <w:r>
        <w:rPr>
          <w:rFonts w:ascii="Times New Roman" w:hAnsi="Times New Roman"/>
          <w:sz w:val="20"/>
        </w:rPr>
        <w:t>”</w:t>
      </w:r>
      <w:r>
        <w:rPr>
          <w:rFonts w:ascii="Arial;sans-serif" w:hAnsi="Arial;sans-serif"/>
          <w:b w:val="false"/>
          <w:sz w:val="20"/>
        </w:rPr>
        <w:t>) shall continue until the earlier of the one (1) year anniversary of the Effective Date or the date on which all payments or benefits required to be made or provided hereunder have been made or provided in their entirety, except as otherwise provided in this Section 2.</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(b) At the expiration of any term of this Agreement, the term of this Agreement shall be automatically extended for an additional one year term unless the Company or the Executive shall have previously provided notice to the other party that the term of this Agreement shall not be further extended.</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(c) Notwithstanding the provisions of Section 2(a) and 2(b), the obligation of the Company to make payments or provide benefits pursuant to this Agreement to which Executive has acquired a right in accordance with the applicable provisions of this Agreement prior to the expiration of the then-effective Initial Term or Renewal Term shall survive the termination of this Agreement until such payments and benefits have been provided in full.</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3. </w:t>
      </w:r>
      <w:r>
        <w:rPr>
          <w:rFonts w:ascii="Arial;sans-serif" w:hAnsi="Arial;sans-serif"/>
          <w:b w:val="false"/>
          <w:sz w:val="20"/>
          <w:u w:val="single"/>
        </w:rPr>
        <w:t>Severance</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(a) If Executive has a Separation from Service as a result of Executive’s discharge by the Company without Cause or by reason of Executive’s resignation for Good Reason, Executive shall be entitled to receive the benefits provided below, which, with respect to clause (ii) and the last sentence of clause (iii) below, will be payable in a lump sum within ten (10) days following the effective date of Executive’s Release, but in no event later than two and one-half (2 </w:t>
      </w:r>
      <w:r>
        <w:rPr>
          <w:rFonts w:ascii="Arial;sans-serif" w:hAnsi="Arial;sans-serif"/>
          <w:b w:val="false"/>
          <w:sz w:val="13"/>
        </w:rPr>
        <w:t>1</w:t>
      </w:r>
      <w:r>
        <w:rPr>
          <w:rFonts w:ascii="Arial;sans-serif" w:hAnsi="Arial;sans-serif"/>
          <w:b w:val="false"/>
          <w:sz w:val="20"/>
        </w:rPr>
        <w:t>/2) months following the last day of the calendar year in which the date of Executive’s Separation from Service occurs:</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 The Company shall pay to Executive his or her fully earned but unpaid base salary, when due, through the date of Executive’s Separation from Service at the rate then in effect, plus all other the benefits, if any, under any Company group retirement plan, nonqualified deferred compensation plan, equity award plan or agreement (other than any such plan or agreement pertaining to Stock Awards whose treatment is prescribed by Section 3(a)(iii) below), health benefits plan or other Company group benefit plan to which Executive may be entitled pursuant to the terms of such plans or agreements at the time of Executive’s Separation from Service;</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(ii) Subject to Section 3(c) and Executive’s continued compliance with Section 4, Executive shall be entitled to receive severance pay in an amount equal to one hundred percent (100%) of Executive’s aggregate annual base salary and target annual cash bonus as in effect immediately prior to the date of Executive’s Separation from Service;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(iii) Subject to Section 3(c) and Executive’s continued compliance with Section 4, for the period beginning on the date of Executive’s Separation from Service and ending on the date which is eighteen (18) full months following the date of Executive’s Separation from Service (or, if earlier, the date on which the applicable continuation period under COBRA expires), the Company shall arrange to provide Executive and his or her eligible dependents who were covered under the Company’s health insurance plans as of the date of Executive’s Separation from Service with health (including medical and dental) insurance and other benefits substantially similar to those provided to Executive and his dependents immediately prior to the date of such Separation from Service. If the Company is not reasonably able to continue health insurance benefits coverage under the Company’s insurance plans, the Company shall provide substantially equivalent coverage under other third-party insurance sources reasonably acceptable to Executive. If any of the Company’s health benefits are self-funded as of the date of Executive’s Separation from Service, instead of providing continued health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0"/>
        </w:rPr>
        <w:t>insurance benefits as set forth above, the Company shall instead pay to Executive an amount equal to eighteen (18) multiplied by the monthly premium Executive would be required to pay for continuation coverage pursuant to the COBRA for Executive and his or her eligible dependents who were covered under the Company’s health plans as of the date of Executive’s Separation from Service (calculated by reference to the premium as of the date of Separation from Service);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(iv) Subject to Section 3(c) and Executive’s continued compliance with Section 4, the vesting and exercisability of such portion of Executive’s outstanding Stock Awards as would have vested in accordance with the terms of the applicable award agreement during the twelve (12) months following the date of Executive’s Separation from Service shall be accelerated effective as of the date of Executive’s Separation from Service. Nothing in this Section 3(a)(iv)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(v) Notwithstanding any other provision of this Agreement to the contrary, any severance benefits payable to Executive under this Agreement shall reduce any severance benefits payable by the Company or an affiliate of the Company to Executive under the Change in Control Severance Agreement (as defined below) between Executive and the Company.</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(b) </w:t>
      </w:r>
      <w:r>
        <w:rPr>
          <w:rFonts w:ascii="Arial;sans-serif" w:hAnsi="Arial;sans-serif"/>
          <w:b w:val="false"/>
          <w:sz w:val="20"/>
          <w:u w:val="single"/>
        </w:rPr>
        <w:t>Other Terminations</w:t>
      </w:r>
      <w:r>
        <w:rPr>
          <w:rFonts w:ascii="Arial;sans-serif" w:hAnsi="Arial;sans-serif"/>
          <w:b w:val="false"/>
          <w:sz w:val="20"/>
        </w:rPr>
        <w:t>. If Executive’s employment is terminated by the Company for Cause, by Executive without Good Reason, or as a result of Executive’s death or Permanent Disability, the Company shall not have any other or further obligations to Executive under this Agreement (including any financial obligations).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(c) </w:t>
      </w:r>
      <w:r>
        <w:rPr>
          <w:rFonts w:ascii="Arial;sans-serif" w:hAnsi="Arial;sans-serif"/>
          <w:b w:val="false"/>
          <w:sz w:val="20"/>
          <w:u w:val="single"/>
        </w:rPr>
        <w:t>Release</w:t>
      </w:r>
      <w:r>
        <w:rPr>
          <w:rFonts w:ascii="Arial;sans-serif" w:hAnsi="Arial;sans-serif"/>
          <w:b w:val="false"/>
          <w:sz w:val="20"/>
        </w:rPr>
        <w:t>. As a condition to Executive’s receipt of any post-termination benefits pursuant to Section 3(a) above, Executive shall execute and not revoke a general release of all claims in favor of the Company (the “</w:t>
      </w:r>
      <w:r>
        <w:rPr>
          <w:rFonts w:ascii="Arial;sans-serif" w:hAnsi="Arial;sans-serif"/>
          <w:b/>
          <w:i/>
          <w:sz w:val="20"/>
        </w:rPr>
        <w:t>Release</w:t>
      </w:r>
      <w:r>
        <w:rPr>
          <w:rFonts w:ascii="Times New Roman" w:hAnsi="Times New Roman"/>
          <w:sz w:val="20"/>
        </w:rPr>
        <w:t>”</w:t>
      </w:r>
      <w:r>
        <w:rPr>
          <w:rFonts w:ascii="Arial;sans-serif" w:hAnsi="Arial;sans-serif"/>
          <w:b w:val="false"/>
          <w:sz w:val="20"/>
        </w:rPr>
        <w:t xml:space="preserve">) in the form to that attached hereto as </w:t>
      </w:r>
      <w:r>
        <w:rPr>
          <w:rFonts w:ascii="Arial;sans-serif" w:hAnsi="Arial;sans-serif"/>
          <w:b w:val="false"/>
          <w:sz w:val="20"/>
          <w:u w:val="single"/>
        </w:rPr>
        <w:t>Exhibit A</w:t>
      </w:r>
      <w:r>
        <w:rPr>
          <w:rFonts w:ascii="Times New Roman" w:hAnsi="Times New Roman"/>
          <w:sz w:val="20"/>
        </w:rPr>
        <w:t xml:space="preserve"> </w:t>
      </w:r>
      <w:r>
        <w:rPr>
          <w:rFonts w:ascii="Arial;sans-serif" w:hAnsi="Arial;sans-serif"/>
          <w:b w:val="false"/>
          <w:sz w:val="20"/>
        </w:rPr>
        <w:t>(and any applicable revocation period applicable to such Release shall have expired) within the sixty (60) day period following the date of Executive’s Separation from Service.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(d) </w:t>
      </w:r>
      <w:r>
        <w:rPr>
          <w:rFonts w:ascii="Arial;sans-serif" w:hAnsi="Arial;sans-serif"/>
          <w:b w:val="false"/>
          <w:sz w:val="20"/>
          <w:u w:val="single"/>
        </w:rPr>
        <w:t>Exclusive Remedy</w:t>
      </w:r>
      <w:r>
        <w:rPr>
          <w:rFonts w:ascii="Arial;sans-serif" w:hAnsi="Arial;sans-serif"/>
          <w:b w:val="false"/>
          <w:sz w:val="20"/>
        </w:rPr>
        <w:t>. In the event of a termination of Executive’s employment, Executive’s sole remedy shall be to receive the payments and benefits described in this Section 3 and except as otherwise expressly required by law (e.g., COBRA) or as specifically provided herein, all of Executive’s rights to salary, severance, benefits, bonuses and other amounts hereunder (if any) accruing after the termination of Executive’s employment shall cease upon such termination.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(e) </w:t>
      </w:r>
      <w:r>
        <w:rPr>
          <w:rFonts w:ascii="Arial;sans-serif" w:hAnsi="Arial;sans-serif"/>
          <w:b w:val="false"/>
          <w:sz w:val="20"/>
          <w:u w:val="single"/>
        </w:rPr>
        <w:t>No Mitigation</w:t>
      </w:r>
      <w:r>
        <w:rPr>
          <w:rFonts w:ascii="Arial;sans-serif" w:hAnsi="Arial;sans-serif"/>
          <w:b w:val="false"/>
          <w:sz w:val="20"/>
        </w:rPr>
        <w:t xml:space="preserve">. Except as otherwise provided in Section 3(a)(iii) above, Executive shall not be required to mitigate the amount of any payment provided for in this Section 3 by seeking other employment or otherwise, nor shall the amount of any payment or benefit provided for in this Section 3 be reduced by any compensation earned by Executive as the result of employment by another employer or self-employment or by retirement benefits; </w:t>
      </w:r>
      <w:r>
        <w:rPr>
          <w:rFonts w:ascii="Arial;sans-serif" w:hAnsi="Arial;sans-serif"/>
          <w:b w:val="false"/>
          <w:i/>
          <w:sz w:val="20"/>
        </w:rPr>
        <w:t>provided</w:t>
      </w:r>
      <w:r>
        <w:rPr>
          <w:rFonts w:ascii="Arial;sans-serif" w:hAnsi="Arial;sans-serif"/>
          <w:b w:val="false"/>
          <w:sz w:val="20"/>
        </w:rPr>
        <w:t xml:space="preserve">, </w:t>
      </w:r>
      <w:r>
        <w:rPr>
          <w:rFonts w:ascii="Arial;sans-serif" w:hAnsi="Arial;sans-serif"/>
          <w:b w:val="false"/>
          <w:i/>
          <w:sz w:val="20"/>
        </w:rPr>
        <w:t>however</w:t>
      </w:r>
      <w:r>
        <w:rPr>
          <w:rFonts w:ascii="Arial;sans-serif" w:hAnsi="Arial;sans-serif"/>
          <w:b w:val="false"/>
          <w:sz w:val="20"/>
        </w:rPr>
        <w:t>, that loans, advances or other amounts owed by Executive to the Company may be offset by the Company against amounts payable to Executive under this Section 3.</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(f) </w:t>
      </w:r>
      <w:r>
        <w:rPr>
          <w:rFonts w:ascii="Arial;sans-serif" w:hAnsi="Arial;sans-serif"/>
          <w:b w:val="false"/>
          <w:sz w:val="20"/>
          <w:u w:val="single"/>
        </w:rPr>
        <w:t>Return of the Company’s Property</w:t>
      </w:r>
      <w:r>
        <w:rPr>
          <w:rFonts w:ascii="Arial;sans-serif" w:hAnsi="Arial;sans-serif"/>
          <w:b w:val="false"/>
          <w:sz w:val="20"/>
        </w:rPr>
        <w:t>. If Executive’s employment is terminated for any reason, the Company shall have the right, at its option, to require Executive to vacate his or her offices on the effective date of termination and to cease all activities on the Company’s behalf. Upon the termination of his or her employment in any manner, as a condition to Executive’s receipt of any post-termination benefits described in this Agreement, Executive shall as soon as practicable surrender to the Company all lists, books and records of, or in connection with, the Company’s business, and all other property belonging to the Company, it being distinctly understood that all such lists, books and records, and other documents, are the property of the Company. Executive shall deliver to the Company a signed statement certifying compliance with this Section 3(g) prior to the receipt of any post-termination benefits described in this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(g) </w:t>
      </w:r>
      <w:r>
        <w:rPr>
          <w:rFonts w:ascii="Arial;sans-serif" w:hAnsi="Arial;sans-serif"/>
          <w:b w:val="false"/>
          <w:sz w:val="20"/>
          <w:u w:val="single"/>
        </w:rPr>
        <w:t>Best Pay Provision</w:t>
      </w:r>
      <w:r>
        <w:rPr>
          <w:rFonts w:ascii="Arial;sans-serif" w:hAnsi="Arial;sans-serif"/>
          <w:b w:val="false"/>
          <w:sz w:val="20"/>
        </w:rPr>
        <w:t>.</w:t>
      </w:r>
    </w:p>
    <w:p>
      <w:pPr>
        <w:pStyle w:val="TextBody"/>
        <w:bidi w:val="0"/>
        <w:spacing w:before="240" w:after="0"/>
        <w:jc w:val="both"/>
        <w:rPr>
          <w:rFonts w:ascii="Times New Roman" w:hAnsi="Times New Roman"/>
          <w:sz w:val="20"/>
        </w:rPr>
      </w:pPr>
      <w:r>
        <w:rPr>
          <w:rFonts w:ascii="Arial;sans-serif" w:hAnsi="Arial;sans-serif"/>
          <w:b w:val="false"/>
          <w:sz w:val="20"/>
        </w:rPr>
        <w:t>(i) If any payment or benefit Executive would receive under this Agreement, when combined with any other payment or benefit Executive receives pursuant to the termination of Executive’s employment with the Company (“</w:t>
      </w:r>
      <w:r>
        <w:rPr>
          <w:rFonts w:ascii="Arial;sans-serif" w:hAnsi="Arial;sans-serif"/>
          <w:b/>
          <w:i/>
          <w:sz w:val="20"/>
        </w:rPr>
        <w:t>Payment</w:t>
      </w:r>
      <w:r>
        <w:rPr>
          <w:rFonts w:ascii="Times New Roman" w:hAnsi="Times New Roman"/>
          <w:sz w:val="20"/>
        </w:rPr>
        <w:t>”</w:t>
      </w:r>
      <w:r>
        <w:rPr>
          <w:rFonts w:ascii="Arial;sans-serif" w:hAnsi="Arial;sans-serif"/>
          <w:b w:val="false"/>
          <w:sz w:val="20"/>
        </w:rPr>
        <w:t>), would (A) constitute a “parachute payment” within the meaning of Section 280G of the Code, and (B) but for this sentence, be subject to the excise tax imposed by Section 4999 of the Code (the “</w:t>
      </w:r>
      <w:r>
        <w:rPr>
          <w:rFonts w:ascii="Arial;sans-serif" w:hAnsi="Arial;sans-serif"/>
          <w:b/>
          <w:i/>
          <w:sz w:val="20"/>
        </w:rPr>
        <w:t>Excise Tax</w:t>
      </w:r>
      <w:r>
        <w:rPr>
          <w:rFonts w:ascii="Times New Roman" w:hAnsi="Times New Roman"/>
          <w:sz w:val="20"/>
        </w:rPr>
        <w:t>”</w:t>
      </w:r>
      <w:r>
        <w:rPr>
          <w:rFonts w:ascii="Arial;sans-serif" w:hAnsi="Arial;sans-serif"/>
          <w:b w:val="false"/>
          <w:sz w:val="20"/>
        </w:rPr>
        <w:t>), then such Payment shall be either (1) the full amount of such Payment or (2) such lesser amount (with cash payments being reduced before stock option compensation) as would result in no portion of the Payment being subject to the Excise Tax, whichever of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 xml:space="preserve">foregoing amounts, taking into account the applicable federal, state and local employment taxes, income taxes, and the Excise Tax, results in Executive’s receipt, on an after-tax basis, of the greater amount of the Payment notwithstanding that all or some portion of the Payment may be subject to the Excise Tax. If a reduction of any Payment(s) is required, the Company shall reduce or eliminate the Payments by first reducing or eliminating any cash payments under this Agreement, then by reducing or eliminating any accelerated vesting of stock options, then by reducing or eliminating any accelerated vesting of other equity awards, then by reducing or eliminating any other remaining Payments, in each case in reverse order beginning with the payments which are to be paid the farthest in time from the date of the transaction triggering the Excise Tax. </w:t>
      </w:r>
    </w:p>
    <w:p>
      <w:pPr>
        <w:pStyle w:val="TextBody"/>
        <w:bidi w:val="0"/>
        <w:spacing w:before="240" w:after="0"/>
        <w:jc w:val="both"/>
        <w:rPr>
          <w:rFonts w:ascii="Times New Roman" w:hAnsi="Times New Roman"/>
          <w:sz w:val="20"/>
        </w:rPr>
      </w:pPr>
      <w:r>
        <w:rPr>
          <w:rFonts w:ascii="Arial;sans-serif" w:hAnsi="Arial;sans-serif"/>
          <w:b w:val="false"/>
          <w:sz w:val="20"/>
        </w:rPr>
        <w:t>(ii) All determinations required to be made under this Section 3(g), including whether and to what extent the Payments shall be reduced and the assumptions to be utilized in arriving at such determination, shall be made by the nationally recognized certified public accounting firm used by the Company immediately prior to the effective date of the Change in Control or, if such firm declines to serve, such other nationally recognized certified public accounting firm as may be designated by the Company (the “</w:t>
      </w:r>
      <w:r>
        <w:rPr>
          <w:rFonts w:ascii="Arial;sans-serif" w:hAnsi="Arial;sans-serif"/>
          <w:b/>
          <w:i/>
          <w:sz w:val="20"/>
        </w:rPr>
        <w:t>Accounting Firm</w:t>
      </w:r>
      <w:r>
        <w:rPr>
          <w:rFonts w:ascii="Times New Roman" w:hAnsi="Times New Roman"/>
          <w:sz w:val="20"/>
        </w:rPr>
        <w:t>”</w:t>
      </w:r>
      <w:r>
        <w:rPr>
          <w:rFonts w:ascii="Arial;sans-serif" w:hAnsi="Arial;sans-serif"/>
          <w:b w:val="false"/>
          <w:sz w:val="20"/>
        </w:rPr>
        <w:t>). The Accounting Firm shall provide detailed supporting calculations both to Executive and the Company at such time as is requested by the Company. All fees and expenses of the Accounting Firm shall be borne solely by the Company. Any determination by the Accounting Firm shall be binding upon Executive and the Company. For purposes of making the calculations required by this Section 3(g), the Accounting Firm may make reasonable assumptions and approximations concerning applicable taxes and may rely on reasonable, good-faith interpretations concerning the application of Sections 280G and 4999 of the Code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4. </w:t>
      </w:r>
      <w:r>
        <w:rPr>
          <w:rFonts w:ascii="Arial;sans-serif" w:hAnsi="Arial;sans-serif"/>
          <w:b w:val="false"/>
          <w:sz w:val="20"/>
          <w:u w:val="single"/>
        </w:rPr>
        <w:t>Confidentiality and Proprietary Rights</w:t>
      </w:r>
      <w:r>
        <w:rPr>
          <w:rFonts w:ascii="Arial;sans-serif" w:hAnsi="Arial;sans-serif"/>
          <w:b w:val="false"/>
          <w:sz w:val="20"/>
        </w:rPr>
        <w:t>. Executive and the Company have executed the Company’s Employee Proprietary Information and Inventions Agreement. The Company shall be entitled to cease all severance payments and benefits to Executive in the event of his or her material breach of this Section 4.</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5. </w:t>
      </w:r>
      <w:r>
        <w:rPr>
          <w:rFonts w:ascii="Arial;sans-serif" w:hAnsi="Arial;sans-serif"/>
          <w:b w:val="false"/>
          <w:sz w:val="20"/>
          <w:u w:val="single"/>
        </w:rPr>
        <w:t>Agreement to Arbitrate</w:t>
      </w:r>
      <w:r>
        <w:rPr>
          <w:rFonts w:ascii="Arial;sans-serif" w:hAnsi="Arial;sans-serif"/>
          <w:b w:val="false"/>
          <w:sz w:val="20"/>
        </w:rPr>
        <w:t>. Any dispute, claim or controversy based on, arising out of or relating to Executive’s employment or this Agreement shall be settled by final and binding arbitration in San Diego, California, before a single neutral arbitrator in accordance with the National Rules for the Resolution of Employment Disputes (the “</w:t>
      </w:r>
      <w:r>
        <w:rPr>
          <w:rFonts w:ascii="Arial;sans-serif" w:hAnsi="Arial;sans-serif"/>
          <w:b/>
          <w:i/>
          <w:sz w:val="20"/>
        </w:rPr>
        <w:t>Rules</w:t>
      </w:r>
      <w:r>
        <w:rPr>
          <w:rFonts w:ascii="Times New Roman" w:hAnsi="Times New Roman"/>
          <w:sz w:val="20"/>
        </w:rPr>
        <w:t>”</w:t>
      </w:r>
      <w:r>
        <w:rPr>
          <w:rFonts w:ascii="Arial;sans-serif" w:hAnsi="Arial;sans-serif"/>
          <w:b w:val="false"/>
          <w:sz w:val="20"/>
        </w:rPr>
        <w:t>) of the American Arbitration Association (“</w:t>
      </w:r>
      <w:r>
        <w:rPr>
          <w:rFonts w:ascii="Arial;sans-serif" w:hAnsi="Arial;sans-serif"/>
          <w:b/>
          <w:i/>
          <w:sz w:val="20"/>
        </w:rPr>
        <w:t>AAA</w:t>
      </w:r>
      <w:r>
        <w:rPr>
          <w:rFonts w:ascii="Times New Roman" w:hAnsi="Times New Roman"/>
          <w:sz w:val="20"/>
        </w:rPr>
        <w:t>”</w:t>
      </w:r>
      <w:r>
        <w:rPr>
          <w:rFonts w:ascii="Arial;sans-serif" w:hAnsi="Arial;sans-serif"/>
          <w:b w:val="false"/>
          <w:sz w:val="20"/>
        </w:rPr>
        <w:t xml:space="preserve">), and judgment on the award rendered by the arbitrator may be entered in any court having jurisdiction. Arbitration may be compelled pursuant to the California Arbitration Act (Code of Civil Procedure §§ 1280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If the parties are unable to agree upon an arbitrator, one shall be appointed by the AAA in accordance with its Rules. At the election of Executive, expedited arbitration procedures under AAA may be employed for such dispute. Each party shall pay the fees of its own attorneys, the expenses of its witnesses and all other expenses connected with presenting its case; </w:t>
      </w:r>
      <w:r>
        <w:rPr>
          <w:rFonts w:ascii="Arial;sans-serif" w:hAnsi="Arial;sans-serif"/>
          <w:b w:val="false"/>
          <w:i/>
          <w:sz w:val="20"/>
        </w:rPr>
        <w:t>provided</w:t>
      </w:r>
      <w:r>
        <w:rPr>
          <w:rFonts w:ascii="Arial;sans-serif" w:hAnsi="Arial;sans-serif"/>
          <w:b w:val="false"/>
          <w:sz w:val="20"/>
        </w:rPr>
        <w:t xml:space="preserve">, </w:t>
      </w:r>
      <w:r>
        <w:rPr>
          <w:rFonts w:ascii="Arial;sans-serif" w:hAnsi="Arial;sans-serif"/>
          <w:b w:val="false"/>
          <w:i/>
          <w:sz w:val="20"/>
        </w:rPr>
        <w:t>however</w:t>
      </w:r>
      <w:r>
        <w:rPr>
          <w:rFonts w:ascii="Arial;sans-serif" w:hAnsi="Arial;sans-serif"/>
          <w:b w:val="false"/>
          <w:sz w:val="20"/>
        </w:rPr>
        <w:t xml:space="preserve">, the Company acknowledges and agrees that Executive shall be entitled to indemnification for such fees and expenses under applicable indemnification agreements or the Company’s charter and bylaws, as applicable; </w:t>
      </w:r>
      <w:r>
        <w:rPr>
          <w:rFonts w:ascii="Arial;sans-serif" w:hAnsi="Arial;sans-serif"/>
          <w:b w:val="false"/>
          <w:i/>
          <w:sz w:val="20"/>
        </w:rPr>
        <w:t>provided</w:t>
      </w:r>
      <w:r>
        <w:rPr>
          <w:rFonts w:ascii="Arial;sans-serif" w:hAnsi="Arial;sans-serif"/>
          <w:b w:val="false"/>
          <w:sz w:val="20"/>
        </w:rPr>
        <w:t xml:space="preserve">, </w:t>
      </w:r>
      <w:r>
        <w:rPr>
          <w:rFonts w:ascii="Arial;sans-serif" w:hAnsi="Arial;sans-serif"/>
          <w:b w:val="false"/>
          <w:i/>
          <w:sz w:val="20"/>
        </w:rPr>
        <w:t>further</w:t>
      </w:r>
      <w:r>
        <w:rPr>
          <w:rFonts w:ascii="Times New Roman" w:hAnsi="Times New Roman"/>
          <w:sz w:val="20"/>
        </w:rPr>
        <w:t xml:space="preserve"> </w:t>
      </w:r>
      <w:r>
        <w:rPr>
          <w:rFonts w:ascii="Arial;sans-serif" w:hAnsi="Arial;sans-serif"/>
          <w:b w:val="false"/>
          <w:sz w:val="20"/>
        </w:rPr>
        <w:t xml:space="preserve">that the parties’ obligations pursuant to this sentence shall terminate on the tenth (10th) anniversary of the date of Executive’s termination of employment. Other costs of the arbitration, including the cost of any record or transcripts of the arbitration, AAA’s administrative fees, the fee of the arbitrator, and all other fees and costs, shall be borne by the Company. This Section 5 is intended to be the exclusive method for resolving any and all claims by the parties against each other for payment of damages under this Agreement or relating to Executive’s employment; </w:t>
      </w:r>
      <w:r>
        <w:rPr>
          <w:rFonts w:ascii="Arial;sans-serif" w:hAnsi="Arial;sans-serif"/>
          <w:b w:val="false"/>
          <w:i/>
          <w:sz w:val="20"/>
        </w:rPr>
        <w:t>provided</w:t>
      </w:r>
      <w:r>
        <w:rPr>
          <w:rFonts w:ascii="Arial;sans-serif" w:hAnsi="Arial;sans-serif"/>
          <w:b w:val="false"/>
          <w:sz w:val="20"/>
        </w:rPr>
        <w:t xml:space="preserve">, </w:t>
      </w:r>
      <w:r>
        <w:rPr>
          <w:rFonts w:ascii="Arial;sans-serif" w:hAnsi="Arial;sans-serif"/>
          <w:b w:val="false"/>
          <w:i/>
          <w:sz w:val="20"/>
        </w:rPr>
        <w:t>however</w:t>
      </w:r>
      <w:r>
        <w:rPr>
          <w:rFonts w:ascii="Arial;sans-serif" w:hAnsi="Arial;sans-serif"/>
          <w:b w:val="false"/>
          <w:sz w:val="20"/>
        </w:rPr>
        <w:t>, that neither this Agreement nor the submission to arbitration shall limit the parties’ right to seek provisional relief,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Both Executive and the Company expressly waive their right to a jury trial.</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6. </w:t>
      </w:r>
      <w:r>
        <w:rPr>
          <w:rFonts w:ascii="Arial;sans-serif" w:hAnsi="Arial;sans-serif"/>
          <w:b w:val="false"/>
          <w:sz w:val="20"/>
          <w:u w:val="single"/>
        </w:rPr>
        <w:t>At-Will Employment Relationship</w:t>
      </w:r>
      <w:r>
        <w:rPr>
          <w:rFonts w:ascii="Arial;sans-serif" w:hAnsi="Arial;sans-serif"/>
          <w:b w:val="false"/>
          <w:sz w:val="20"/>
        </w:rPr>
        <w:t>. Executive’s employment with the Company is at-will and not for any specified period and may be terminated at any time, with or without Cause or advance notice, by either Executive or the Company. Any change to the at-will employment relationship must be by specific, written agreement signed by Executive and an authorized representative of the Company. Nothing in this Agreement is intended to or should be construed to contradict, modify or alter this at-will relationship.</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7. </w:t>
      </w:r>
      <w:r>
        <w:rPr>
          <w:rFonts w:ascii="Arial;sans-serif" w:hAnsi="Arial;sans-serif"/>
          <w:b w:val="false"/>
          <w:sz w:val="20"/>
          <w:u w:val="single"/>
        </w:rPr>
        <w:t>General Provisions</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(a) </w:t>
      </w:r>
      <w:r>
        <w:rPr>
          <w:rFonts w:ascii="Arial;sans-serif" w:hAnsi="Arial;sans-serif"/>
          <w:b w:val="false"/>
          <w:sz w:val="20"/>
          <w:u w:val="single"/>
        </w:rPr>
        <w:t>Successors and Assigns</w:t>
      </w:r>
      <w:r>
        <w:rPr>
          <w:rFonts w:ascii="Arial;sans-serif" w:hAnsi="Arial;sans-serif"/>
          <w:b w:val="false"/>
          <w:sz w:val="20"/>
        </w:rPr>
        <w:t>.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assume and to agree to perform this Agreement in the same manner and to the same extent that the Company would be required to perform it if no such succession had taken place; </w:t>
      </w:r>
      <w:r>
        <w:rPr>
          <w:rFonts w:ascii="Arial;sans-serif" w:hAnsi="Arial;sans-serif"/>
          <w:b w:val="false"/>
          <w:i/>
          <w:sz w:val="20"/>
        </w:rPr>
        <w:t>provided</w:t>
      </w:r>
      <w:r>
        <w:rPr>
          <w:rFonts w:ascii="Arial;sans-serif" w:hAnsi="Arial;sans-serif"/>
          <w:b w:val="false"/>
          <w:sz w:val="20"/>
        </w:rPr>
        <w:t xml:space="preserve">, </w:t>
      </w:r>
      <w:r>
        <w:rPr>
          <w:rFonts w:ascii="Arial;sans-serif" w:hAnsi="Arial;sans-serif"/>
          <w:b w:val="false"/>
          <w:i/>
          <w:sz w:val="20"/>
        </w:rPr>
        <w:t>however</w:t>
      </w:r>
      <w:r>
        <w:rPr>
          <w:rFonts w:ascii="Arial;sans-serif" w:hAnsi="Arial;sans-serif"/>
          <w:b w:val="false"/>
          <w:sz w:val="20"/>
        </w:rPr>
        <w:t xml:space="preserve">, that no such assumption shall relieve the Company of its obligations hereunder; </w:t>
      </w:r>
      <w:r>
        <w:rPr>
          <w:rFonts w:ascii="Arial;sans-serif" w:hAnsi="Arial;sans-serif"/>
          <w:b w:val="false"/>
          <w:i/>
          <w:sz w:val="20"/>
        </w:rPr>
        <w:t>provided</w:t>
      </w:r>
      <w:r>
        <w:rPr>
          <w:rFonts w:ascii="Arial;sans-serif" w:hAnsi="Arial;sans-serif"/>
          <w:b w:val="false"/>
          <w:sz w:val="20"/>
        </w:rPr>
        <w:t xml:space="preserve">, </w:t>
      </w:r>
      <w:r>
        <w:rPr>
          <w:rFonts w:ascii="Arial;sans-serif" w:hAnsi="Arial;sans-serif"/>
          <w:b w:val="false"/>
          <w:i/>
          <w:sz w:val="20"/>
        </w:rPr>
        <w:t>further</w:t>
      </w:r>
      <w:r>
        <w:rPr>
          <w:rFonts w:ascii="Arial;sans-serif" w:hAnsi="Arial;sans-serif"/>
          <w:b w:val="false"/>
          <w:sz w:val="20"/>
        </w:rPr>
        <w:t>, that the failure of any such successor to so assume this Agreement shall constitute a material breach of this Agreement. As used in this Agreement, the “</w:t>
      </w:r>
      <w:r>
        <w:rPr>
          <w:rFonts w:ascii="Arial;sans-serif" w:hAnsi="Arial;sans-serif"/>
          <w:b/>
          <w:i/>
          <w:sz w:val="20"/>
        </w:rPr>
        <w:t>Company</w:t>
      </w:r>
      <w:r>
        <w:rPr>
          <w:rFonts w:ascii="Times New Roman" w:hAnsi="Times New Roman"/>
          <w:sz w:val="20"/>
        </w:rPr>
        <w:t xml:space="preserve">” </w:t>
      </w:r>
      <w:r>
        <w:rPr>
          <w:rFonts w:ascii="Arial;sans-serif" w:hAnsi="Arial;sans-serif"/>
          <w:b w:val="false"/>
          <w:sz w:val="20"/>
        </w:rPr>
        <w:t>shall mean the Company as hereinbefore defined and any successor to its business and/or assets as aforesaid which assumes and agrees to perform this Agreement by operation of law or otherwise. Executive shall not be entitled to assign any of Executive’s rights or obligations under this Agreement. This Agreement shall inure to the benefit of and be enforceable by Executive’s personal or legal representatives, executors, administrators, successors, heirs, distributees, devisees and legatees.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(b) </w:t>
      </w:r>
      <w:r>
        <w:rPr>
          <w:rFonts w:ascii="Arial;sans-serif" w:hAnsi="Arial;sans-serif"/>
          <w:b w:val="false"/>
          <w:sz w:val="20"/>
          <w:u w:val="single"/>
        </w:rPr>
        <w:t>Severability</w:t>
      </w:r>
      <w:r>
        <w:rPr>
          <w:rFonts w:ascii="Arial;sans-serif" w:hAnsi="Arial;sans-serif"/>
          <w:b w:val="false"/>
          <w:sz w:val="20"/>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(c) </w:t>
      </w:r>
      <w:r>
        <w:rPr>
          <w:rFonts w:ascii="Arial;sans-serif" w:hAnsi="Arial;sans-serif"/>
          <w:b w:val="false"/>
          <w:sz w:val="20"/>
          <w:u w:val="single"/>
        </w:rPr>
        <w:t>Interpretation; Construction</w:t>
      </w:r>
      <w:r>
        <w:rPr>
          <w:rFonts w:ascii="Arial;sans-serif" w:hAnsi="Arial;sans-serif"/>
          <w:b w:val="false"/>
          <w:sz w:val="20"/>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(d) </w:t>
      </w:r>
      <w:r>
        <w:rPr>
          <w:rFonts w:ascii="Arial;sans-serif" w:hAnsi="Arial;sans-serif"/>
          <w:b w:val="false"/>
          <w:sz w:val="20"/>
          <w:u w:val="single"/>
        </w:rPr>
        <w:t>Governing Law and Venue</w:t>
      </w:r>
      <w:r>
        <w:rPr>
          <w:rFonts w:ascii="Arial;sans-serif" w:hAnsi="Arial;sans-serif"/>
          <w:b w:val="false"/>
          <w:sz w:val="20"/>
        </w:rPr>
        <w:t>. This Agreement will be governed by and construed in accordance with the laws of the United States and the State of California applicable to contracts made and to be performed wholly within such State, and without regard to the conflicts of laws principles thereof.</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(e) </w:t>
      </w:r>
      <w:r>
        <w:rPr>
          <w:rFonts w:ascii="Arial;sans-serif" w:hAnsi="Arial;sans-serif"/>
          <w:b w:val="false"/>
          <w:sz w:val="20"/>
          <w:u w:val="single"/>
        </w:rPr>
        <w:t>Notices.</w:t>
      </w:r>
      <w:r>
        <w:rPr>
          <w:rFonts w:ascii="Times New Roman" w:hAnsi="Times New Roman"/>
          <w:sz w:val="20"/>
        </w:rPr>
        <w:t xml:space="preserve"> </w:t>
      </w:r>
      <w:r>
        <w:rPr>
          <w:rFonts w:ascii="Arial;sans-serif" w:hAnsi="Arial;sans-serif"/>
          <w:b w:val="false"/>
          <w:sz w:val="20"/>
        </w:rPr>
        <w:t>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Executive at the address set forth below and to the Company at its principal place of business, or such other address as either party may specify in writing.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(f) </w:t>
      </w:r>
      <w:r>
        <w:rPr>
          <w:rFonts w:ascii="Arial;sans-serif" w:hAnsi="Arial;sans-serif"/>
          <w:b w:val="false"/>
          <w:sz w:val="20"/>
          <w:u w:val="single"/>
        </w:rPr>
        <w:t>Survival</w:t>
      </w:r>
      <w:r>
        <w:rPr>
          <w:rFonts w:ascii="Arial;sans-serif" w:hAnsi="Arial;sans-serif"/>
          <w:b w:val="false"/>
          <w:sz w:val="20"/>
        </w:rPr>
        <w:t>. Sections 1 (“Definitions”), 3 (“Severance”), 4 (“Confidentiality and Proprietary Rights”), 5 (“Agreement to Arbitrate”) and 7 (“General Provisions”) of this Agreement shall survive termination of Executive’s employment by the Company.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(g) </w:t>
      </w:r>
      <w:r>
        <w:rPr>
          <w:rFonts w:ascii="Arial;sans-serif" w:hAnsi="Arial;sans-serif"/>
          <w:b w:val="false"/>
          <w:sz w:val="20"/>
          <w:u w:val="single"/>
        </w:rPr>
        <w:t>Entire Agreement</w:t>
      </w:r>
      <w:r>
        <w:rPr>
          <w:rFonts w:ascii="Arial;sans-serif" w:hAnsi="Arial;sans-serif"/>
          <w:b w:val="false"/>
          <w:sz w:val="20"/>
        </w:rPr>
        <w:t>. This Agreement and the Company Confidentiality and Proprietary Rights Agreement incorporated herein by reference together constitute the entire agreement between the parties in respect of the subject matter contained herein and therein and supersede all prior or simultaneous representations, discussions, negotiations, and agreements, whether written or oral. This Agreement may be amended or modified only with the written consent of Executive and an authorized representative of the Company. No oral waiver, amendment or modification will be effective under any circumstances whatsoever. Notwithstanding the foregoing or anything herein to the contrary, although severance provided under this Agreement may reduce severance payable under the Change in Control Severance Agreement between Executive and the Company dated as of the Effective Date (the “</w:t>
      </w:r>
      <w:r>
        <w:rPr>
          <w:rFonts w:ascii="Arial;sans-serif" w:hAnsi="Arial;sans-serif"/>
          <w:b/>
          <w:i/>
          <w:sz w:val="20"/>
        </w:rPr>
        <w:t>Change in Control Severance Agreement</w:t>
      </w:r>
      <w:r>
        <w:rPr>
          <w:rFonts w:ascii="Times New Roman" w:hAnsi="Times New Roman"/>
          <w:sz w:val="20"/>
        </w:rPr>
        <w:t>”</w:t>
      </w:r>
      <w:r>
        <w:rPr>
          <w:rFonts w:ascii="Arial;sans-serif" w:hAnsi="Arial;sans-serif"/>
          <w:b w:val="false"/>
          <w:sz w:val="20"/>
        </w:rPr>
        <w:t>) (as specified in Section 3(a)(v) hereof), the Change in Control Severance Agreement is outside the scope of the foregoing integration provision and shall continue in full force and effect.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(h) </w:t>
      </w:r>
      <w:r>
        <w:rPr>
          <w:rFonts w:ascii="Arial;sans-serif" w:hAnsi="Arial;sans-serif"/>
          <w:b w:val="false"/>
          <w:sz w:val="20"/>
          <w:u w:val="single"/>
        </w:rPr>
        <w:t>Code Section 409A Exempt</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(i) This Agreement is not intended to provide for any deferral of compensation subject to Section 409A of the Code, and, accordingly, the severance payments payable under Section 3 shall be paid no later than the later of: (A) the fifteenth (15</w:t>
      </w:r>
      <w:r>
        <w:rPr>
          <w:rFonts w:ascii="Arial;sans-serif" w:hAnsi="Arial;sans-serif"/>
          <w:b w:val="false"/>
          <w:sz w:val="13"/>
        </w:rPr>
        <w:t>th</w:t>
      </w:r>
      <w:r>
        <w:rPr>
          <w:rFonts w:ascii="Arial;sans-serif" w:hAnsi="Arial;sans-serif"/>
          <w:b w:val="false"/>
          <w:sz w:val="20"/>
        </w:rPr>
        <w:t>) day of the third month following Executive’s first taxable year in which such severance benefit is no longer subject to a substantial risk of forfeiture, and (B) the fifteenth (15</w:t>
      </w:r>
      <w:r>
        <w:rPr>
          <w:rFonts w:ascii="Arial;sans-serif" w:hAnsi="Arial;sans-serif"/>
          <w:b w:val="false"/>
          <w:sz w:val="13"/>
        </w:rPr>
        <w:t>th</w:t>
      </w:r>
      <w:r>
        <w:rPr>
          <w:rFonts w:ascii="Arial;sans-serif" w:hAnsi="Arial;sans-serif"/>
          <w:b w:val="false"/>
          <w:sz w:val="20"/>
        </w:rPr>
        <w:t>) day of the third month following first taxable year of the Company in which such severance benefit is no longer subject to substantial risk of forfeiture, as determined 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0"/>
        </w:rPr>
        <w:t>accordance with Code Section 409A and any Treasury Regulations and other guidance issued thereunder. To the extent applicable, this Agreement shall be interpreted in accordance with Code Section 409A and Department of Treasury regulations and other interpretive guidance issued thereunder. A</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(ii) If the Executive is a “specified employee” (as defined in Section 409A of the Code), as determined by the Company in accordance with Section 409A of the Code, on the date of the Executive’s Separation from Service, to the extent that the payments or benefits under this Agreement are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76(h)(ii) shall be paid or distributed to Executive in a lump sum on the earlier of (</w:t>
      </w:r>
      <w:r>
        <w:rPr>
          <w:rFonts w:ascii="Arial;sans-serif" w:hAnsi="Arial;sans-serif"/>
          <w:b w:val="false"/>
          <w:caps/>
          <w:sz w:val="20"/>
        </w:rPr>
        <w:t>a</w:t>
      </w:r>
      <w:r>
        <w:rPr>
          <w:rFonts w:ascii="Arial;sans-serif" w:hAnsi="Arial;sans-serif"/>
          <w:b w:val="false"/>
          <w:sz w:val="20"/>
        </w:rPr>
        <w:t>) the date that is six (6)-months following Executive’s Separation from Service, (</w:t>
      </w:r>
      <w:r>
        <w:rPr>
          <w:rFonts w:ascii="Arial;sans-serif" w:hAnsi="Arial;sans-serif"/>
          <w:b w:val="false"/>
          <w:caps/>
          <w:sz w:val="20"/>
        </w:rPr>
        <w:t>b</w:t>
      </w:r>
      <w:r>
        <w:rPr>
          <w:rFonts w:ascii="Arial;sans-serif" w:hAnsi="Arial;sans-serif"/>
          <w:b w:val="false"/>
          <w:sz w:val="20"/>
        </w:rPr>
        <w:t>) the date of Executive’s death or (</w:t>
      </w:r>
      <w:r>
        <w:rPr>
          <w:rFonts w:ascii="Arial;sans-serif" w:hAnsi="Arial;sans-serif"/>
          <w:b w:val="false"/>
          <w:caps/>
          <w:sz w:val="20"/>
        </w:rPr>
        <w:t>c</w:t>
      </w:r>
      <w:r>
        <w:rPr>
          <w:rFonts w:ascii="Arial;sans-serif" w:hAnsi="Arial;sans-serif"/>
          <w:b w:val="false"/>
          <w:sz w:val="20"/>
        </w:rPr>
        <w:t>) the earliest date as is permitted under Section 409A of the Code. Any remaining payments due under the Agreement shall be paid as otherwise provided herein.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(i) </w:t>
      </w:r>
      <w:r>
        <w:rPr>
          <w:rFonts w:ascii="Arial;sans-serif" w:hAnsi="Arial;sans-serif"/>
          <w:b w:val="false"/>
          <w:sz w:val="20"/>
          <w:u w:val="single"/>
        </w:rPr>
        <w:t>Consultation with Legal and Financial Advisors</w:t>
      </w:r>
      <w:r>
        <w:rPr>
          <w:rFonts w:ascii="Arial;sans-serif" w:hAnsi="Arial;sans-serif"/>
          <w:b w:val="false"/>
          <w:sz w:val="20"/>
        </w:rPr>
        <w:t>. By executing this Agreement, Executive acknowledges that this Agreement confers significant legal rights, and may also involve the waiver of rights under other agreements; that the Company has encouraged Executive to consult with Executive’s personal legal and financial advisors; and that Executive has had adequate time to consult with Executive’s advisors before executing this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(j) </w:t>
      </w:r>
      <w:r>
        <w:rPr>
          <w:rFonts w:ascii="Arial;sans-serif" w:hAnsi="Arial;sans-serif"/>
          <w:b w:val="false"/>
          <w:sz w:val="20"/>
          <w:u w:val="single"/>
        </w:rPr>
        <w:t>Counterparts</w:t>
      </w:r>
      <w:r>
        <w:rPr>
          <w:rFonts w:ascii="Arial;sans-serif" w:hAnsi="Arial;sans-serif"/>
          <w:b w:val="false"/>
          <w:sz w:val="20"/>
        </w:rPr>
        <w:t>. This Agreement may be executed in multiple counterparts, each of which shall be deemed an original but all of which together shall constitute one and the same instrument.</w:t>
      </w:r>
    </w:p>
    <w:p>
      <w:pPr>
        <w:pStyle w:val="TextBody"/>
        <w:bidi w:val="0"/>
        <w:spacing w:before="0" w:after="0"/>
        <w:jc w:val="both"/>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(Signature Page Follows)</w:t>
      </w:r>
    </w:p>
    <w:p>
      <w:pPr>
        <w:pStyle w:val="TextBody"/>
        <w:bidi w:val="0"/>
        <w:spacing w:before="0" w:after="160"/>
        <w:jc w:val="both"/>
        <w:rPr>
          <w:rFonts w:ascii="Arial;sans-serif" w:hAnsi="Arial;sans-serif"/>
          <w:b w:val="false"/>
          <w:sz w:val="20"/>
        </w:rPr>
      </w:pPr>
      <w:r>
        <w:rPr>
          <w:rFonts w:ascii="Arial;sans-serif" w:hAnsi="Arial;sans-serif"/>
          <w:b w:val="false"/>
          <w:sz w:val="20"/>
        </w:rPr>
        <w:t>THE PARTIES TO THIS AGREEMENT HAVE READ THE FOREGOING AGREEMENT AND FULLY UNDERSTAND EACH AND EVERY PROVISION CONTAINED HEREIN. WHEREFORE, THE PARTIES HAVE EXECUTED THIS AGREEMENT ON THE DATES SHOWN BELOW.</w:t>
      </w:r>
    </w:p>
    <w:p>
      <w:pPr>
        <w:pStyle w:val="TextBody"/>
        <w:bidi w:val="0"/>
        <w:spacing w:before="0" w:after="0"/>
        <w:jc w:val="both"/>
        <w:rPr/>
      </w:pPr>
      <w:r>
        <w:rPr/>
        <w:t> </w:t>
      </w:r>
    </w:p>
    <w:p>
      <w:pPr>
        <w:pStyle w:val="TextBody"/>
        <w:bidi w:val="0"/>
        <w:spacing w:before="0" w:after="0"/>
        <w:jc w:val="left"/>
        <w:rPr>
          <w:rFonts w:ascii="Arial;sans-serif" w:hAnsi="Arial;sans-serif"/>
          <w:b/>
          <w:smallCaps/>
          <w:sz w:val="20"/>
        </w:rPr>
      </w:pPr>
      <w:r>
        <w:rPr>
          <w:rFonts w:ascii="Arial;sans-serif" w:hAnsi="Arial;sans-serif"/>
          <w:b/>
          <w:smallCaps/>
          <w:sz w:val="20"/>
        </w:rPr>
        <w:t>Viasat, Inc.</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Dated:</w:t>
      </w:r>
      <w:r>
        <w:rPr>
          <w:rFonts w:ascii="Times New Roman" w:hAnsi="Times New Roman"/>
          <w:sz w:val="20"/>
          <w:u w:val="single"/>
        </w:rPr>
        <w:t xml:space="preserve"> </w:t>
      </w:r>
      <w:r>
        <w:rPr>
          <w:rFonts w:ascii="Arial;sans-serif" w:hAnsi="Arial;sans-serif"/>
          <w:b w:val="false"/>
          <w:sz w:val="20"/>
          <w:u w:val="single"/>
        </w:rPr>
        <w:t xml:space="preserve">April 14, 2023 </w:t>
      </w:r>
      <w:r>
        <w:rPr>
          <w:rFonts w:ascii="Arial;sans-serif" w:hAnsi="Arial;sans-serif"/>
          <w:b w:val="false"/>
          <w:sz w:val="20"/>
        </w:rPr>
        <w:t xml:space="preserve">By: </w:t>
      </w:r>
      <w:r>
        <w:rPr>
          <w:rFonts w:ascii="Arial;sans-serif" w:hAnsi="Arial;sans-serif"/>
          <w:b w:val="false"/>
          <w:smallCaps/>
          <w:sz w:val="20"/>
          <w:u w:val="single"/>
        </w:rPr>
        <w:t>/s/ Robert Blair</w:t>
      </w:r>
      <w:r>
        <w:rPr>
          <w:rFonts w:ascii="Times New Roman" w:hAnsi="Times New Roman"/>
          <w:sz w:val="20"/>
          <w:u w:val="single"/>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Name: Robert Blair</w:t>
      </w:r>
    </w:p>
    <w:p>
      <w:pPr>
        <w:pStyle w:val="TextBody"/>
        <w:bidi w:val="0"/>
        <w:spacing w:before="0" w:after="0"/>
        <w:jc w:val="both"/>
        <w:rPr>
          <w:rFonts w:ascii="Arial;sans-serif" w:hAnsi="Arial;sans-serif"/>
          <w:b w:val="false"/>
          <w:sz w:val="20"/>
        </w:rPr>
      </w:pPr>
      <w:r>
        <w:rPr>
          <w:rFonts w:ascii="Arial;sans-serif" w:hAnsi="Arial;sans-serif"/>
          <w:b w:val="false"/>
          <w:sz w:val="20"/>
        </w:rPr>
        <w:t>Title: Senior Vice President</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smallCaps/>
          <w:sz w:val="20"/>
        </w:rPr>
        <w:t>Executive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Dated:</w:t>
      </w:r>
      <w:r>
        <w:rPr>
          <w:rFonts w:ascii="Times New Roman" w:hAnsi="Times New Roman"/>
          <w:sz w:val="20"/>
          <w:u w:val="single"/>
        </w:rPr>
        <w:t xml:space="preserve"> </w:t>
      </w:r>
      <w:r>
        <w:rPr>
          <w:rFonts w:ascii="Arial;sans-serif" w:hAnsi="Arial;sans-serif"/>
          <w:b w:val="false"/>
          <w:sz w:val="20"/>
          <w:u w:val="single"/>
        </w:rPr>
        <w:t xml:space="preserve">April 17, 2023 </w:t>
      </w:r>
      <w:r>
        <w:rPr>
          <w:rFonts w:ascii="Arial;sans-serif" w:hAnsi="Arial;sans-serif"/>
          <w:b w:val="false"/>
          <w:sz w:val="20"/>
        </w:rPr>
        <w:t xml:space="preserve">By: </w:t>
      </w:r>
      <w:r>
        <w:rPr>
          <w:rFonts w:ascii="Arial;sans-serif" w:hAnsi="Arial;sans-serif"/>
          <w:b w:val="false"/>
          <w:smallCaps/>
          <w:sz w:val="20"/>
          <w:u w:val="single"/>
        </w:rPr>
        <w:t>/s/ K. Guru Gowrappan</w:t>
      </w:r>
      <w:r>
        <w:rPr>
          <w:rFonts w:ascii="Times New Roman" w:hAnsi="Times New Roman"/>
          <w:sz w:val="20"/>
          <w:u w:val="single"/>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 xml:space="preserve">Name: Kumara Guru Gowrappan </w:t>
      </w:r>
    </w:p>
    <w:p>
      <w:pPr>
        <w:pStyle w:val="TextBody"/>
        <w:bidi w:val="0"/>
        <w:spacing w:before="0" w:after="0"/>
        <w:jc w:val="both"/>
        <w:rPr>
          <w:rFonts w:ascii="Arial;sans-serif" w:hAnsi="Arial;sans-serif"/>
          <w:b w:val="false"/>
          <w:sz w:val="20"/>
        </w:rPr>
      </w:pPr>
      <w:r>
        <w:rPr>
          <w:rFonts w:ascii="Arial;sans-serif" w:hAnsi="Arial;sans-serif"/>
          <w:b w:val="false"/>
          <w:sz w:val="20"/>
        </w:rPr>
        <w:t>Address: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u w:val="single"/>
        </w:rPr>
      </w:pPr>
      <w:r>
        <w:rPr>
          <w:rFonts w:ascii="Arial;sans-serif" w:hAnsi="Arial;sans-serif"/>
          <w:b/>
          <w:sz w:val="20"/>
          <w:u w:val="single"/>
        </w:rPr>
        <w:t>EXHIBIT A</w:t>
      </w:r>
    </w:p>
    <w:p>
      <w:pPr>
        <w:pStyle w:val="TextBody"/>
        <w:bidi w:val="0"/>
        <w:spacing w:before="0" w:after="0"/>
        <w:jc w:val="center"/>
        <w:rPr/>
      </w:pPr>
      <w:r>
        <w:rPr/>
        <w:t> </w:t>
      </w:r>
    </w:p>
    <w:p>
      <w:pPr>
        <w:pStyle w:val="TextBody"/>
        <w:bidi w:val="0"/>
        <w:spacing w:before="0" w:after="0"/>
        <w:jc w:val="center"/>
        <w:rPr>
          <w:rFonts w:ascii="Arial;sans-serif" w:hAnsi="Arial;sans-serif"/>
          <w:b/>
          <w:sz w:val="20"/>
        </w:rPr>
      </w:pPr>
      <w:r>
        <w:rPr>
          <w:rFonts w:ascii="Arial;sans-serif" w:hAnsi="Arial;sans-serif"/>
          <w:b/>
          <w:sz w:val="20"/>
        </w:rPr>
        <w:t>GENERAL RELEASE OF CLAIMS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Arial;sans-serif" w:hAnsi="Arial;sans-serif"/>
          <w:b w:val="false"/>
          <w:sz w:val="20"/>
        </w:rPr>
        <w:t>[</w:t>
      </w:r>
      <w:r>
        <w:rPr>
          <w:rFonts w:ascii="Arial;sans-serif" w:hAnsi="Arial;sans-serif"/>
          <w:b w:val="false"/>
          <w:i/>
          <w:sz w:val="20"/>
        </w:rPr>
        <w:t>The language in this Release may change based on legal developments and evolving best practices; this form is provided as an example of what will be included in the final Release document.</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This General Release of Claims (“</w:t>
      </w:r>
      <w:r>
        <w:rPr>
          <w:rFonts w:ascii="Arial;sans-serif" w:hAnsi="Arial;sans-serif"/>
          <w:b/>
          <w:i/>
          <w:sz w:val="20"/>
        </w:rPr>
        <w:t>Release</w:t>
      </w:r>
      <w:r>
        <w:rPr>
          <w:rFonts w:ascii="Times New Roman" w:hAnsi="Times New Roman"/>
          <w:sz w:val="20"/>
        </w:rPr>
        <w:t>”</w:t>
      </w:r>
      <w:r>
        <w:rPr>
          <w:rFonts w:ascii="Arial;sans-serif" w:hAnsi="Arial;sans-serif"/>
          <w:b w:val="false"/>
          <w:sz w:val="20"/>
        </w:rPr>
        <w:t>) is entered into as of this ______ day of ______, ______, between Kumara Guru Gowrappan (“</w:t>
      </w:r>
      <w:r>
        <w:rPr>
          <w:rFonts w:ascii="Arial;sans-serif" w:hAnsi="Arial;sans-serif"/>
          <w:b/>
          <w:i/>
          <w:sz w:val="20"/>
        </w:rPr>
        <w:t>Executive</w:t>
      </w:r>
      <w:r>
        <w:rPr>
          <w:rFonts w:ascii="Times New Roman" w:hAnsi="Times New Roman"/>
          <w:sz w:val="20"/>
        </w:rPr>
        <w:t>”</w:t>
      </w:r>
      <w:r>
        <w:rPr>
          <w:rFonts w:ascii="Arial;sans-serif" w:hAnsi="Arial;sans-serif"/>
          <w:b w:val="false"/>
          <w:sz w:val="20"/>
        </w:rPr>
        <w:t>), and Viasat, Inc., a Delaware corporation (the “</w:t>
      </w:r>
      <w:r>
        <w:rPr>
          <w:rFonts w:ascii="Arial;sans-serif" w:hAnsi="Arial;sans-serif"/>
          <w:b/>
          <w:i/>
          <w:sz w:val="20"/>
        </w:rPr>
        <w:t>Company</w:t>
      </w:r>
      <w:r>
        <w:rPr>
          <w:rFonts w:ascii="Times New Roman" w:hAnsi="Times New Roman"/>
          <w:sz w:val="20"/>
        </w:rPr>
        <w:t>”</w:t>
      </w:r>
      <w:r>
        <w:rPr>
          <w:rFonts w:ascii="Arial;sans-serif" w:hAnsi="Arial;sans-serif"/>
          <w:b w:val="false"/>
          <w:sz w:val="20"/>
        </w:rPr>
        <w:t>) (collectively referred to herein as the “</w:t>
      </w:r>
      <w:r>
        <w:rPr>
          <w:rFonts w:ascii="Arial;sans-serif" w:hAnsi="Arial;sans-serif"/>
          <w:b/>
          <w:i/>
          <w:sz w:val="20"/>
        </w:rPr>
        <w:t>Parties</w:t>
      </w:r>
      <w:r>
        <w:rPr>
          <w:rFonts w:ascii="Times New Roman" w:hAnsi="Times New Roman"/>
          <w:sz w:val="20"/>
        </w:rPr>
        <w:t>”</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WHEREAS, Executive and the Company are parties to that certain Severance Agreement dated as of April _____, 2023 (the “</w:t>
      </w:r>
      <w:r>
        <w:rPr>
          <w:rFonts w:ascii="Arial;sans-serif" w:hAnsi="Arial;sans-serif"/>
          <w:b/>
          <w:i/>
          <w:sz w:val="20"/>
        </w:rPr>
        <w:t>Agreement</w:t>
      </w:r>
      <w:r>
        <w:rPr>
          <w:rFonts w:ascii="Times New Roman" w:hAnsi="Times New Roman"/>
          <w:sz w:val="20"/>
        </w:rPr>
        <w:t>”</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WHEREAS, the Parties agree that Executive is entitled to certain severance benefits under the Agreement, subject to Executive’s execution of this Release; and</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WHEREAS, the Company and Executive now wish to fully and finally to resolve all matters between them.</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NOW, THEREFORE, in consideration of, and subject to, the severance benefits payable to Executive pursuant to the Agreement, the adequacy of which is hereby acknowledged by Executive, and which Executive acknowledges that he or she would not otherwise be entitled to receive, Executive and the Company hereby agree as follows: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1. </w:t>
      </w:r>
      <w:r>
        <w:rPr>
          <w:rFonts w:ascii="Arial;sans-serif" w:hAnsi="Arial;sans-serif"/>
          <w:b w:val="false"/>
          <w:sz w:val="20"/>
          <w:u w:val="single"/>
        </w:rPr>
        <w:t>General Release of Claims by Executive</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(a) Executive,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or her employment with or service to the Company (collectively, the “</w:t>
      </w:r>
      <w:r>
        <w:rPr>
          <w:rFonts w:ascii="Arial;sans-serif" w:hAnsi="Arial;sans-serif"/>
          <w:b/>
          <w:i/>
          <w:sz w:val="20"/>
        </w:rPr>
        <w:t>Company Releasees</w:t>
      </w:r>
      <w:r>
        <w:rPr>
          <w:rFonts w:ascii="Times New Roman" w:hAnsi="Times New Roman"/>
          <w:sz w:val="20"/>
        </w:rPr>
        <w:t>”</w:t>
      </w:r>
      <w:r>
        <w:rPr>
          <w:rFonts w:ascii="Arial;sans-serif" w:hAnsi="Arial;sans-serif"/>
          <w:b w:val="false"/>
          <w:sz w:val="20"/>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Arial;sans-serif" w:hAnsi="Arial;sans-serif"/>
          <w:b/>
          <w:i/>
          <w:sz w:val="20"/>
        </w:rPr>
        <w:t>Claims</w:t>
      </w:r>
      <w:r>
        <w:rPr>
          <w:rFonts w:ascii="Times New Roman" w:hAnsi="Times New Roman"/>
          <w:sz w:val="20"/>
        </w:rPr>
        <w:t>”</w:t>
      </w:r>
      <w:r>
        <w:rPr>
          <w:rFonts w:ascii="Arial;sans-serif" w:hAnsi="Arial;sans-serif"/>
          <w:b w:val="false"/>
          <w:sz w:val="20"/>
        </w:rPr>
        <w:t xml:space="preserve">), which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Executive’s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the Americans with Disabilities Act, as amended, 42 U.S.C. § 12101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the Rehabilitation Act of 1973, as amended, 29 U.S.C. § 701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the Civil Rights Act of 1866, and the Civil Rights Act of 1991; 42 U.S.C. Section 1981,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the Age Discrimination in Employment Act, as amended, 29 U.S.C. Section 621,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(the “</w:t>
      </w:r>
      <w:r>
        <w:rPr>
          <w:rFonts w:ascii="Arial;sans-serif" w:hAnsi="Arial;sans-serif"/>
          <w:b/>
          <w:i/>
          <w:sz w:val="20"/>
        </w:rPr>
        <w:t>ADEA</w:t>
      </w:r>
      <w:r>
        <w:rPr>
          <w:rFonts w:ascii="Times New Roman" w:hAnsi="Times New Roman"/>
          <w:sz w:val="20"/>
        </w:rPr>
        <w:t>”</w:t>
      </w:r>
      <w:r>
        <w:rPr>
          <w:rFonts w:ascii="Arial;sans-serif" w:hAnsi="Arial;sans-serif"/>
          <w:b w:val="false"/>
          <w:sz w:val="20"/>
        </w:rPr>
        <w:t xml:space="preserve">); the Equal Pay Act, as amended, 29 U.S.C. Section 206(d); regulations of the Office of Federal Contract Compliance, 41 C.F.R. Section 60,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the Family and Medical Leave Act, as amended, 29 U.S.C. § 2601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the Fair Labor Standards Act of 1938, as amended, 29 U.S.C. § 201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the Employee Retirement Income Security Act, as amended, 29 U.S.C. § 1001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 xml:space="preserve">.; and the California Fair Employment and Housing Act, California Government Code Section 12940, </w:t>
      </w:r>
      <w:r>
        <w:rPr>
          <w:rFonts w:ascii="Arial;sans-serif" w:hAnsi="Arial;sans-serif"/>
          <w:b w:val="false"/>
          <w:sz w:val="20"/>
          <w:u w:val="single"/>
        </w:rPr>
        <w:t>et</w:t>
      </w:r>
      <w:r>
        <w:rPr>
          <w:rFonts w:ascii="Times New Roman" w:hAnsi="Times New Roman"/>
          <w:sz w:val="20"/>
        </w:rPr>
        <w:t xml:space="preserve"> </w:t>
      </w:r>
      <w:r>
        <w:rPr>
          <w:rFonts w:ascii="Arial;sans-serif" w:hAnsi="Arial;sans-serif"/>
          <w:b w:val="false"/>
          <w:sz w:val="20"/>
          <w:u w:val="single"/>
        </w:rPr>
        <w:t>seq</w:t>
      </w:r>
      <w:r>
        <w:rPr>
          <w:rFonts w:ascii="Arial;sans-serif" w:hAnsi="Arial;sans-serif"/>
          <w:b w:val="false"/>
          <w:sz w:val="20"/>
        </w:rPr>
        <w:t>.</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Notwithstanding the generality of the foregoing, Executive does not release the following claims:</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 Claims for unemployment compensation or any state disability insurance benefits pursuant to the terms of applicable state law;</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(ii) Claims for workers’ compensation insurance benefits under the terms of any worker’s compensation insurance policy or fund of the Company;</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(iii) Claims pursuant to the terms and conditions of the federal law known as COBRA;</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(iv) Claims for indemnity under the bylaws of the Company, as provided for by California law, under any indemnification agreement between Executive and the Company or under any applicable insurance policy with respect to Executive’s liability as an employee, director or officer of the Company;</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(v) Claims based on any right Executive may have to enforce the Company’s executory obligations under the Agreement; and</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(vi) Claims Executive may have to vested or earned compensation and benefits.</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(b) EXECUTIVE ACKNOWLEDGES THAT HE OR SHE HAS BEEN ADVISED OF AND IS FAMILIAR WITH THE PROVISIONS OF CALIFORNIA CIVIL CODE SECTION 1542, WHICH PROVIDES AS FOLLOWS:</w:t>
      </w:r>
    </w:p>
    <w:p>
      <w:pPr>
        <w:pStyle w:val="TextBody"/>
        <w:bidi w:val="0"/>
        <w:spacing w:before="0" w:after="0"/>
        <w:jc w:val="both"/>
        <w:rPr/>
      </w:pPr>
      <w:r>
        <w:rPr/>
        <w:t> </w:t>
      </w:r>
    </w:p>
    <w:p>
      <w:pPr>
        <w:pStyle w:val="TextBody"/>
        <w:bidi w:val="0"/>
        <w:spacing w:before="0" w:after="0"/>
        <w:jc w:val="both"/>
        <w:rPr/>
      </w:pPr>
      <w:r>
        <w:rPr/>
        <w:t>“</w:t>
      </w:r>
      <w:r>
        <w:rPr>
          <w:rFonts w:ascii="Arial;sans-serif" w:hAnsi="Arial;sans-serif"/>
          <w:b/>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BEING AWARE OF SAID CODE SECTION, EXECUTIVE HEREBY EXPRESSLY WAIVES ANY RIGHTS HE OR SHE MAY HAVE THEREUNDER, AS WELL AS UNDER ANY OTHER STATUTES OR COMMON LAW PRINCIPLES OF SIMILAR EFFECT.</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(c) Executive acknowledges that this Release was presented to him or her on the date indicated above and that Executive is entitled to have twenty-one (21) days’ time in which to consider it. Executive further acknowledges that the Company has advised him or her that he or she is waiving his or her rights under the ADEA, and that Executive should consult with an attorney of his or her choice before signing this Release, and Executive has had sufficient time to consider the terms of this Release. Executive represents and acknowledges that if Executive executes this Release before twenty-one (21) days have elapsed, Executive does so knowingly, voluntarily, and upon the advice and with the approval of Executive’s legal counsel (if any), and that Executive voluntarily waives any remaining consideration period.</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(d) Executive understands that after executing this Release, Executive has the right to revoke it within seven (7) days after his or her execution of it. Executive understands that this Release will not become effective and enforceable unless the seven (7) day revocation period passes and Executive does not revoke the Release in writing. Executive understands that this Release may not be revoked after the seven (7) day revocation period has passed. Executive also understands that any revocation of this Release must be made in writing and delivered to the Company at its principal place of business within the seven (7) day period.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(e) Executive understands that this Release shall become effective, irrevocable, and binding upon Executive on the eighth (8</w:t>
      </w:r>
      <w:r>
        <w:rPr>
          <w:rFonts w:ascii="Arial;sans-serif" w:hAnsi="Arial;sans-serif"/>
          <w:b w:val="false"/>
          <w:sz w:val="13"/>
        </w:rPr>
        <w:t>th</w:t>
      </w:r>
      <w:r>
        <w:rPr>
          <w:rFonts w:ascii="Arial;sans-serif" w:hAnsi="Arial;sans-serif"/>
          <w:b w:val="false"/>
          <w:sz w:val="20"/>
        </w:rPr>
        <w:t>) day after his or her execution of it, so long as Executive has not revoked it within the time period and in the manner specified in clause (d) above. Executive further understands that Executive will not be given any severance benefits under the Agreement unless this Release is effective on or before the date that is sixty (60) days following the date of Executive’s termination of employment.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2. </w:t>
      </w:r>
      <w:r>
        <w:rPr>
          <w:rFonts w:ascii="Arial;sans-serif" w:hAnsi="Arial;sans-serif"/>
          <w:b w:val="false"/>
          <w:sz w:val="20"/>
          <w:u w:val="single"/>
        </w:rPr>
        <w:t>No Assignment</w:t>
      </w:r>
      <w:r>
        <w:rPr>
          <w:rFonts w:ascii="Arial;sans-serif" w:hAnsi="Arial;sans-serif"/>
          <w:b w:val="false"/>
          <w:sz w:val="20"/>
        </w:rPr>
        <w:t>. 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3. </w:t>
      </w:r>
      <w:r>
        <w:rPr>
          <w:rFonts w:ascii="Arial;sans-serif" w:hAnsi="Arial;sans-serif"/>
          <w:b w:val="false"/>
          <w:sz w:val="20"/>
          <w:u w:val="single"/>
        </w:rPr>
        <w:t>Severability</w:t>
      </w:r>
      <w:r>
        <w:rPr>
          <w:rFonts w:ascii="Arial;sans-serif" w:hAnsi="Arial;sans-serif"/>
          <w:b w:val="false"/>
          <w:sz w:val="20"/>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4. </w:t>
      </w:r>
      <w:r>
        <w:rPr>
          <w:rFonts w:ascii="Arial;sans-serif" w:hAnsi="Arial;sans-serif"/>
          <w:b w:val="false"/>
          <w:sz w:val="20"/>
          <w:u w:val="single"/>
        </w:rPr>
        <w:t>Interpretation; Construction</w:t>
      </w:r>
      <w:r>
        <w:rPr>
          <w:rFonts w:ascii="Arial;sans-serif" w:hAnsi="Arial;sans-serif"/>
          <w:b w:val="false"/>
          <w:sz w:val="20"/>
        </w:rPr>
        <w:t>. The headings set forth in this Release are for convenience only and shall not be used in interpreting this Agreement. This Release has been drafted by legal counsel representing the Company, but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Executive has participated in the negotiation of its terms. Furthermore, Executive acknowledges that Executive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5. </w:t>
      </w:r>
      <w:r>
        <w:rPr>
          <w:rFonts w:ascii="Arial;sans-serif" w:hAnsi="Arial;sans-serif"/>
          <w:b w:val="false"/>
          <w:sz w:val="20"/>
          <w:u w:val="single"/>
        </w:rPr>
        <w:t>Governing Law and Venue</w:t>
      </w:r>
      <w:r>
        <w:rPr>
          <w:rFonts w:ascii="Arial;sans-serif" w:hAnsi="Arial;sans-serif"/>
          <w:b w:val="false"/>
          <w:sz w:val="20"/>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6. </w:t>
      </w:r>
      <w:r>
        <w:rPr>
          <w:rFonts w:ascii="Arial;sans-serif" w:hAnsi="Arial;sans-serif"/>
          <w:b w:val="false"/>
          <w:sz w:val="20"/>
          <w:u w:val="single"/>
        </w:rPr>
        <w:t>Entire Agreement</w:t>
      </w:r>
      <w:r>
        <w:rPr>
          <w:rFonts w:ascii="Arial;sans-serif" w:hAnsi="Arial;sans-serif"/>
          <w:b w:val="false"/>
          <w:sz w:val="20"/>
        </w:rPr>
        <w:t>. This Release and the Agreement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Executive and an authorized representative of the Company. No oral waiver, amendment or modification will be effective under any circumstances whatsoever.</w:t>
      </w:r>
    </w:p>
    <w:p>
      <w:pPr>
        <w:pStyle w:val="TextBody"/>
        <w:bidi w:val="0"/>
        <w:spacing w:before="0" w:after="0"/>
        <w:jc w:val="both"/>
        <w:rPr>
          <w:rFonts w:ascii="Times New Roman" w:hAnsi="Times New Roman"/>
          <w:sz w:val="20"/>
        </w:rPr>
      </w:pPr>
      <w:r>
        <w:rPr>
          <w:rFonts w:ascii="Arial;sans-serif" w:hAnsi="Arial;sans-serif"/>
          <w:b w:val="false"/>
          <w:sz w:val="20"/>
        </w:rPr>
        <w:t xml:space="preserve">7. </w:t>
      </w:r>
      <w:r>
        <w:rPr>
          <w:rFonts w:ascii="Arial;sans-serif" w:hAnsi="Arial;sans-serif"/>
          <w:b w:val="false"/>
          <w:sz w:val="20"/>
          <w:u w:val="single"/>
        </w:rPr>
        <w:t>Counterparts</w:t>
      </w:r>
      <w:r>
        <w:rPr>
          <w:rFonts w:ascii="Arial;sans-serif" w:hAnsi="Arial;sans-serif"/>
          <w:b w:val="false"/>
          <w:sz w:val="20"/>
        </w:rPr>
        <w:t>. This Release may be executed in multiple counterparts, each of which shall be deemed to be an original but all of which together shall constitute one and the same instrument.</w:t>
      </w:r>
    </w:p>
    <w:p>
      <w:pPr>
        <w:pStyle w:val="TextBody"/>
        <w:bidi w:val="0"/>
        <w:spacing w:before="0" w:after="0"/>
        <w:jc w:val="both"/>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(Signature Page Follows)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both"/>
        <w:rPr>
          <w:rFonts w:ascii="Arial;sans-serif" w:hAnsi="Arial;sans-serif"/>
          <w:b w:val="false"/>
          <w:sz w:val="20"/>
        </w:rPr>
      </w:pPr>
      <w:r>
        <w:rPr>
          <w:rFonts w:ascii="Arial;sans-serif" w:hAnsi="Arial;sans-serif"/>
          <w:b w:val="false"/>
          <w:sz w:val="20"/>
        </w:rPr>
        <w:t>IN WITNESS WHEREOF, and intending to be legally bound, the Parties have executed the foregoing Release as of the date first written above.</w:t>
      </w:r>
    </w:p>
    <w:p>
      <w:pPr>
        <w:pStyle w:val="TextBody"/>
        <w:bidi w:val="0"/>
        <w:spacing w:before="0" w:after="0"/>
        <w:jc w:val="left"/>
        <w:rPr>
          <w:rFonts w:ascii="Arial;sans-serif" w:hAnsi="Arial;sans-serif"/>
          <w:b/>
          <w:smallCaps/>
          <w:sz w:val="20"/>
        </w:rPr>
      </w:pPr>
      <w:r>
        <w:rPr>
          <w:rFonts w:ascii="Arial;sans-serif" w:hAnsi="Arial;sans-serif"/>
          <w:b/>
          <w:smallCaps/>
          <w:sz w:val="20"/>
        </w:rPr>
        <w:t>Viasat, Inc.</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 xml:space="preserve">Dated: ____________________ By: _______________________ </w:t>
      </w:r>
    </w:p>
    <w:p>
      <w:pPr>
        <w:pStyle w:val="TextBody"/>
        <w:bidi w:val="0"/>
        <w:spacing w:before="0" w:after="0"/>
        <w:jc w:val="both"/>
        <w:rPr>
          <w:rFonts w:ascii="Arial;sans-serif" w:hAnsi="Arial;sans-serif"/>
          <w:b w:val="false"/>
          <w:sz w:val="20"/>
        </w:rPr>
      </w:pPr>
      <w:r>
        <w:rPr>
          <w:rFonts w:ascii="Arial;sans-serif" w:hAnsi="Arial;sans-serif"/>
          <w:b w:val="false"/>
          <w:sz w:val="20"/>
        </w:rPr>
        <w:t xml:space="preserve">Name:_____________________ </w:t>
      </w:r>
    </w:p>
    <w:p>
      <w:pPr>
        <w:pStyle w:val="TextBody"/>
        <w:bidi w:val="0"/>
        <w:spacing w:before="0" w:after="0"/>
        <w:jc w:val="both"/>
        <w:rPr>
          <w:rFonts w:ascii="Arial;sans-serif" w:hAnsi="Arial;sans-serif"/>
          <w:b w:val="false"/>
          <w:sz w:val="20"/>
        </w:rPr>
      </w:pPr>
      <w:r>
        <w:rPr>
          <w:rFonts w:ascii="Arial;sans-serif" w:hAnsi="Arial;sans-serif"/>
          <w:b w:val="false"/>
          <w:sz w:val="20"/>
        </w:rPr>
        <w:t xml:space="preserve">Title: ______________________ </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Arial;sans-serif" w:hAnsi="Arial;sans-serif"/>
          <w:b/>
          <w:smallCaps/>
          <w:sz w:val="20"/>
        </w:rPr>
        <w:t>Executive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 xml:space="preserve">Dated: ____________________ ___________________________ </w:t>
      </w:r>
    </w:p>
    <w:p>
      <w:pPr>
        <w:pStyle w:val="TextBody"/>
        <w:bidi w:val="0"/>
        <w:spacing w:before="0" w:after="0"/>
        <w:jc w:val="both"/>
        <w:rPr>
          <w:rFonts w:ascii="Arial;sans-serif" w:hAnsi="Arial;sans-serif"/>
          <w:b w:val="false"/>
          <w:sz w:val="20"/>
        </w:rPr>
      </w:pPr>
      <w:r>
        <w:rPr>
          <w:rFonts w:ascii="Arial;sans-serif" w:hAnsi="Arial;sans-serif"/>
          <w:b w:val="false"/>
          <w:sz w:val="20"/>
        </w:rPr>
        <w:t>Name: Kumara Guru Gowrappan</w:t>
      </w:r>
    </w:p>
    <w:p>
      <w:pPr>
        <w:pStyle w:val="TextBody"/>
        <w:bidi w:val="0"/>
        <w:spacing w:before="0" w:after="0"/>
        <w:jc w:val="both"/>
        <w:rPr/>
      </w:pPr>
      <w:r>
        <w:rPr/>
        <w:t> </w:t>
      </w:r>
    </w:p>
    <w:p>
      <w:pPr>
        <w:pStyle w:val="TextBody"/>
        <w:bidi w:val="0"/>
        <w:spacing w:before="0" w:after="160"/>
        <w:jc w:val="both"/>
        <w:rPr/>
      </w:pPr>
      <w:r>
        <w:rPr/>
        <w:t> </w:t>
      </w:r>
    </w:p>
    <w:p>
      <w:pPr>
        <w:pStyle w:val="TextBody"/>
        <w:bidi w:val="0"/>
        <w:spacing w:before="0" w:after="24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42" w:name="vsat-ex21_1.htm"/>
      <w:bookmarkStart w:id="43" w:name="ksvsatex21_1"/>
      <w:bookmarkEnd w:id="42"/>
      <w:bookmarkEnd w:id="43"/>
      <w:r>
        <w:rPr/>
        <w:t> </w:t>
      </w:r>
      <w:r>
        <w:br w:type="page"/>
      </w:r>
    </w:p>
    <w:p>
      <w:pPr>
        <w:pStyle w:val="TextBody"/>
        <w:bidi w:val="0"/>
        <w:spacing w:before="0" w:after="0"/>
        <w:jc w:val="right"/>
        <w:rPr>
          <w:rFonts w:ascii="Times New Roman" w:hAnsi="Times New Roman"/>
          <w:sz w:val="20"/>
        </w:rPr>
      </w:pPr>
      <w:r>
        <w:rPr>
          <w:rFonts w:ascii="Arial;sans-serif" w:hAnsi="Arial;sans-serif"/>
          <w:b/>
          <w:sz w:val="20"/>
        </w:rPr>
        <w:t>Exhibit 21.1</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6533"/>
        <w:gridCol w:w="146"/>
        <w:gridCol w:w="3526"/>
      </w:tblGrid>
      <w:tr>
        <w:trPr/>
        <w:tc>
          <w:tcPr>
            <w:tcW w:w="6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6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Subsidiaries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State or Other Jurisdiction of Incorporation or Organization</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Automation Communications Engineering Corporation</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(LA)</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Beijing Viasat Science and Technology Co., Ltd.</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China</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C.S.G. Cyprus Space Gateways Ltd</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Cyprus</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Carmel Comunicaciones, S.A. de C.V.</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Mexico</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ComPetro Communications Holdings, LLC</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ComPetro Communications, LLC</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ComPetro Comunicações Holdings do Brasil, Ltda.</w:t>
            </w:r>
            <w:r>
              <w:rPr>
                <w:rFonts w:ascii="Times New Roman" w:hAnsi="Times New Roman"/>
                <w:sz w:val="20"/>
              </w:rPr>
              <w:t xml:space="preserve"> </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Brazil</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Congo Broadband Network Sarl</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Democratic Republic of the Congo</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Engreen India Private Limited</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India</w:t>
            </w:r>
          </w:p>
        </w:tc>
      </w:tr>
      <w:tr>
        <w:trPr/>
        <w:tc>
          <w:tcPr>
            <w:tcW w:w="6533"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Engreen, Inc.</w:t>
            </w:r>
            <w:r>
              <w:rPr>
                <w:rFonts w:ascii="Times New Roman" w:hAnsi="Times New Roman"/>
                <w:sz w:val="20"/>
              </w:rPr>
              <w:t xml:space="preserve"> </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(CA)</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Euro Broadband Infrastructure Sàrl</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Switzerland</w:t>
            </w:r>
          </w:p>
        </w:tc>
      </w:tr>
      <w:tr>
        <w:trPr/>
        <w:tc>
          <w:tcPr>
            <w:tcW w:w="6533"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Euro Broadband Services S.r.l.</w:t>
            </w:r>
            <w:r>
              <w:rPr>
                <w:rFonts w:ascii="Times New Roman" w:hAnsi="Times New Roman"/>
                <w:sz w:val="20"/>
              </w:rPr>
              <w:t xml:space="preserve"> </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Italy</w:t>
            </w:r>
          </w:p>
        </w:tc>
      </w:tr>
      <w:tr>
        <w:trPr/>
        <w:tc>
          <w:tcPr>
            <w:tcW w:w="6533"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Intelie Solucoes em Informatica S.A.</w:t>
            </w:r>
            <w:r>
              <w:rPr>
                <w:rFonts w:ascii="Times New Roman" w:hAnsi="Times New Roman"/>
                <w:sz w:val="20"/>
              </w:rPr>
              <w:t xml:space="preserve"> </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Brazil</w:t>
            </w:r>
          </w:p>
        </w:tc>
      </w:tr>
      <w:tr>
        <w:trPr/>
        <w:tc>
          <w:tcPr>
            <w:tcW w:w="6533"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Intelie, Inc.</w:t>
            </w:r>
            <w:r>
              <w:rPr>
                <w:rFonts w:ascii="Times New Roman" w:hAnsi="Times New Roman"/>
                <w:sz w:val="20"/>
              </w:rPr>
              <w:t xml:space="preserve"> </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IOM Licensing Holding Company Limited</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Isle of Man</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Irish Space Gateways Ltd</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Ireland</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Karama Technologies Ltd</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British Virgin Islands</w:t>
            </w:r>
          </w:p>
        </w:tc>
      </w:tr>
      <w:tr>
        <w:trPr/>
        <w:tc>
          <w:tcPr>
            <w:tcW w:w="6533"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LandTel Communications, LLC</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(LA)</w:t>
            </w:r>
          </w:p>
        </w:tc>
      </w:tr>
      <w:tr>
        <w:trPr/>
        <w:tc>
          <w:tcPr>
            <w:tcW w:w="6533"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LandTel, Inc.</w:t>
            </w:r>
            <w:r>
              <w:rPr>
                <w:rFonts w:ascii="Times New Roman" w:hAnsi="Times New Roman"/>
                <w:sz w:val="20"/>
              </w:rPr>
              <w:t xml:space="preserve"> </w:t>
            </w:r>
          </w:p>
        </w:tc>
        <w:tc>
          <w:tcPr>
            <w:tcW w:w="146" w:type="dxa"/>
            <w:tcBorders/>
            <w:vAlign w:val="center"/>
          </w:tcPr>
          <w:p>
            <w:pPr>
              <w:pStyle w:val="TableContents"/>
              <w:bidi w:val="0"/>
              <w:spacing w:before="0" w:after="0"/>
              <w:ind w:left="136"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mmWaveBroadband Co.</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Munaicom LLP</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Kazakhstan</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Nesscoinvsat Limited</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Orgtec, S. de R.L.de C.V.</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Mexico</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PT Viasat Communications Indonesia</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Indonesia</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 Net Middle East LLC</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Oman</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 Net Qatar W.L.L</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Qatar</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(CA), Inc.</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Canada</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Angola, Limitada</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Angola</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AP Facilities &amp; Services Limited</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Nigeria</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AS</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Norway</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Australia Pty Limited</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Australia</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BRN Sdn Bhd.</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Brunei</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de México, S de R.L. de C.V.</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Mexico</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EIS, Inc.</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Ghana Limited</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Ghana</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Global Holdings S.a.r.l.</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Luxembourg</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Holdings, LLC</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Luxembourg Holdings S.a.r.l.</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Luxembourg</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Middle East - FZE</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Arab Emirates</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Mobile Solutions Limited</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Scotland</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Mozambique, Limitada</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Mozambique</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Newco, Inc.</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Pte Ltd</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Singapore</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Sdn. Bhd.</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Malaysia</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Serviços de Telecomunicações Brasil, Ltda.</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Brazil</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UK Holdings Limited</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Scotland</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RigNet UK Limited</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Scotland</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Inc.</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RigNet, Inc. (Limited Liability One Person Company)</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Saudi Arabia</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RNSAT Servicios de México, S. de R.L. de C.V.</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Mexico</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Safety Controls, Inc.</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(LA)</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Shabakat Rafedain AI Iraq AI Jadeed for Trade in Communication Equipment and Devices LLC</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Iraq</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Skylogic d.o.o.</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Croatia</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Skylogic Espana S.L.U.</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Spain</w:t>
            </w:r>
          </w:p>
        </w:tc>
      </w:tr>
      <w:tr>
        <w:trPr/>
        <w:tc>
          <w:tcPr>
            <w:tcW w:w="6533"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Skylogic Eurasia İletişim Sanayi ve Ticaret Ltd. Şti</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Turkey</w:t>
            </w:r>
          </w:p>
        </w:tc>
      </w:tr>
      <w:tr>
        <w:trPr/>
        <w:tc>
          <w:tcPr>
            <w:tcW w:w="65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Skylogic Finland OY</w:t>
            </w:r>
          </w:p>
        </w:tc>
        <w:tc>
          <w:tcPr>
            <w:tcW w:w="146" w:type="dxa"/>
            <w:tcBorders/>
            <w:vAlign w:val="center"/>
          </w:tcPr>
          <w:p>
            <w:pPr>
              <w:pStyle w:val="TableContents"/>
              <w:bidi w:val="0"/>
              <w:spacing w:before="0" w:after="0"/>
              <w:ind w:left="0" w:right="0" w:hanging="0"/>
              <w:jc w:val="left"/>
              <w:rPr/>
            </w:pPr>
            <w:r>
              <w:rPr/>
              <w:t> </w:t>
            </w:r>
          </w:p>
        </w:tc>
        <w:tc>
          <w:tcPr>
            <w:tcW w:w="35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Finland</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340" w:type="dxa"/>
        <w:jc w:val="left"/>
        <w:tblInd w:w="0" w:type="dxa"/>
        <w:tblLayout w:type="fixed"/>
        <w:tblCellMar>
          <w:top w:w="28" w:type="dxa"/>
          <w:left w:w="28" w:type="dxa"/>
          <w:bottom w:w="28" w:type="dxa"/>
          <w:right w:w="28" w:type="dxa"/>
        </w:tblCellMar>
      </w:tblPr>
      <w:tblGrid>
        <w:gridCol w:w="4997"/>
        <w:gridCol w:w="222"/>
        <w:gridCol w:w="3121"/>
      </w:tblGrid>
      <w:tr>
        <w:trPr/>
        <w:tc>
          <w:tcPr>
            <w:tcW w:w="499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499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Skylogic France SAS</w:t>
            </w:r>
          </w:p>
        </w:tc>
        <w:tc>
          <w:tcPr>
            <w:tcW w:w="222"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France</w:t>
            </w:r>
          </w:p>
        </w:tc>
      </w:tr>
      <w:tr>
        <w:trPr/>
        <w:tc>
          <w:tcPr>
            <w:tcW w:w="499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Skylogic Germany GmbH</w:t>
            </w:r>
          </w:p>
        </w:tc>
        <w:tc>
          <w:tcPr>
            <w:tcW w:w="222"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Germany</w:t>
            </w:r>
          </w:p>
        </w:tc>
      </w:tr>
      <w:tr>
        <w:trPr/>
        <w:tc>
          <w:tcPr>
            <w:tcW w:w="4997" w:type="dxa"/>
            <w:tcBorders/>
            <w:vAlign w:val="center"/>
          </w:tcPr>
          <w:p>
            <w:pPr>
              <w:pStyle w:val="TableContents"/>
              <w:bidi w:val="0"/>
              <w:spacing w:before="0" w:after="0"/>
              <w:ind w:left="0" w:right="0" w:hanging="0"/>
              <w:jc w:val="left"/>
              <w:rPr>
                <w:rFonts w:ascii="Times New Roman" w:hAnsi="Times New Roman"/>
                <w:sz w:val="22"/>
              </w:rPr>
            </w:pPr>
            <w:r>
              <w:rPr>
                <w:rFonts w:ascii="Arial;sans-serif" w:hAnsi="Arial;sans-serif"/>
                <w:b w:val="false"/>
                <w:sz w:val="20"/>
              </w:rPr>
              <w:t>Skylogic Hellas Ε.Π.Ε</w:t>
            </w:r>
            <w:r>
              <w:rPr>
                <w:rFonts w:ascii="Times New Roman;serif" w:hAnsi="Times New Roman;serif"/>
                <w:b w:val="false"/>
                <w:sz w:val="22"/>
              </w:rPr>
              <w:t>.</w:t>
            </w:r>
            <w:r>
              <w:rPr>
                <w:rFonts w:ascii="Times New Roman" w:hAnsi="Times New Roman"/>
                <w:sz w:val="22"/>
              </w:rPr>
              <w:t xml:space="preserve"> </w:t>
            </w:r>
          </w:p>
        </w:tc>
        <w:tc>
          <w:tcPr>
            <w:tcW w:w="222"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Greece</w:t>
            </w:r>
          </w:p>
        </w:tc>
      </w:tr>
      <w:tr>
        <w:trPr/>
        <w:tc>
          <w:tcPr>
            <w:tcW w:w="499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Tailored Investments Ltd</w:t>
            </w:r>
          </w:p>
        </w:tc>
        <w:tc>
          <w:tcPr>
            <w:tcW w:w="222"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British Virgin Islands</w:t>
            </w:r>
          </w:p>
        </w:tc>
      </w:tr>
      <w:tr>
        <w:trPr/>
        <w:tc>
          <w:tcPr>
            <w:tcW w:w="499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TrellisWare Technologies, Inc.</w:t>
            </w:r>
          </w:p>
        </w:tc>
        <w:tc>
          <w:tcPr>
            <w:tcW w:w="222"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V3 Tanzania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Tanzania</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(Cambodia) Co., Ltd.</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Cambodia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(IOM)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Isle of Man</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Antenna Systems S.A.</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Switzerland</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APAC Holdings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Australia Pty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Australia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Brasil Participações Ltda.</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Brazil</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Brasil Serviços de Comunicações Ltda.</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Brazil</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Broadband Holdings B.V.</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Netherlands</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Cambodia Holdings Pte. Ltd.</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Singapore</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Canada Corp.</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Canada</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Carrier Services, Inc.</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China Services, Inc.</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Colombia S.A.S</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Colombia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Communications Germany GmbH</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Germany</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Communications Italy S.r.l.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Italy</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Communications Ltd.</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Ghana</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Communications Middle East L.L.C.</w:t>
            </w:r>
            <w:r>
              <w:rPr>
                <w:rFonts w:ascii="Times New Roman" w:hAnsi="Times New Roman"/>
                <w:sz w:val="20"/>
              </w:rPr>
              <w:t xml:space="preserve"> </w:t>
            </w:r>
          </w:p>
        </w:tc>
        <w:tc>
          <w:tcPr>
            <w:tcW w:w="222" w:type="dxa"/>
            <w:tcBorders/>
            <w:vAlign w:val="center"/>
          </w:tcPr>
          <w:p>
            <w:pPr>
              <w:pStyle w:val="TableContents"/>
              <w:bidi w:val="0"/>
              <w:spacing w:before="0" w:after="283"/>
              <w:ind w:left="0" w:right="0" w:firstLine="136"/>
              <w:jc w:val="left"/>
              <w:rPr>
                <w:sz w:val="4"/>
                <w:szCs w:val="4"/>
              </w:rPr>
            </w:pPr>
            <w:r>
              <w:rPr>
                <w:sz w:val="4"/>
                <w:szCs w:val="4"/>
              </w:rPr>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Arab Emirates</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Communications Panama, S.A</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Republic of Panama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Communications Uganda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Uganda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Communications UK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Europe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Ireland</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Europe Sàrl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Switzerland</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Germany GmbH</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Germany</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Global Holdings, LLC</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Guatemala SA</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Guatemala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Honduras, S. de 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Honduras</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Ibérica, S.L..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Spain</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India Private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India</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Israel Ltd.</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Israel</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Italy S.r.l.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Italy</w:t>
            </w:r>
          </w:p>
        </w:tc>
      </w:tr>
      <w:tr>
        <w:trPr/>
        <w:tc>
          <w:tcPr>
            <w:tcW w:w="4997" w:type="dxa"/>
            <w:tcBorders/>
            <w:vAlign w:val="center"/>
          </w:tcPr>
          <w:p>
            <w:pPr>
              <w:pStyle w:val="TableContents"/>
              <w:bidi w:val="0"/>
              <w:spacing w:before="0" w:after="0"/>
              <w:ind w:left="0" w:right="0" w:firstLine="136"/>
              <w:jc w:val="left"/>
              <w:rPr/>
            </w:pPr>
            <w:r>
              <w:rPr>
                <w:rFonts w:ascii="Arial;sans-serif" w:hAnsi="Arial;sans-serif"/>
                <w:b w:val="false"/>
                <w:sz w:val="20"/>
              </w:rPr>
              <w:t xml:space="preserve">Viasat Japan </w:t>
            </w:r>
            <w:r>
              <w:rPr>
                <w:rFonts w:eastAsia="Arial;sans-serif"/>
                <w:b w:val="false"/>
                <w:sz w:val="20"/>
              </w:rPr>
              <w:t xml:space="preserve">合同会社 </w:t>
            </w:r>
            <w:r>
              <w:rPr>
                <w:rFonts w:ascii="Arial;sans-serif" w:hAnsi="Arial;sans-serif"/>
                <w:b w:val="false"/>
                <w:sz w:val="20"/>
              </w:rPr>
              <w:t>(Viasat Japan G.K.).</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Japan</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Kenya Holdings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Kenya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Kenya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Kenya Operations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Kenya</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Malaysia Sdn. Bhd.</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Malaysia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Mali-Sarl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Mali</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Mozambique, LDA</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Mozambique</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Netherlands B.V.</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Netherlands</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Nigeria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Nigeria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Peru S.R.L.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Peru</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Polska LLC sp. z o.o..</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Poland</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RDC Sarl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Democratic Republic of the Congo</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Rwanda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Rwanda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Satellite Holdings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Satellite Ventures Holdings Luxembourg S.à.r.l.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Luxembourg</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Senegal SUARL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Senegal</w:t>
            </w:r>
          </w:p>
        </w:tc>
      </w:tr>
      <w:tr>
        <w:trPr/>
        <w:tc>
          <w:tcPr>
            <w:tcW w:w="4997"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Viasat Services Holding Co.</w:t>
            </w:r>
            <w:r>
              <w:rPr>
                <w:rFonts w:ascii="Times New Roman" w:hAnsi="Times New Roman"/>
                <w:sz w:val="20"/>
              </w:rPr>
              <w:t xml:space="preserve"> </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Singapore Holdings Pte. Ltd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Singapore</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South Africa (Pty) Ltd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South Africa</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South Africa Holdings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Tchad Sarl</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Chad</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Technologies Limited</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4997"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Tecnologia, S.A. de C.V</w:t>
            </w:r>
          </w:p>
        </w:tc>
        <w:tc>
          <w:tcPr>
            <w:tcW w:w="222" w:type="dxa"/>
            <w:tcBorders/>
            <w:vAlign w:val="center"/>
          </w:tcPr>
          <w:p>
            <w:pPr>
              <w:pStyle w:val="TableContents"/>
              <w:bidi w:val="0"/>
              <w:spacing w:before="0" w:after="0"/>
              <w:ind w:left="136" w:right="0" w:hanging="0"/>
              <w:jc w:val="left"/>
              <w:rPr/>
            </w:pPr>
            <w:r>
              <w:rPr/>
              <w:t> </w:t>
            </w:r>
          </w:p>
        </w:tc>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Mexico</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324" w:type="dxa"/>
        <w:jc w:val="left"/>
        <w:tblInd w:w="0" w:type="dxa"/>
        <w:tblLayout w:type="fixed"/>
        <w:tblCellMar>
          <w:top w:w="28" w:type="dxa"/>
          <w:left w:w="28" w:type="dxa"/>
          <w:bottom w:w="28" w:type="dxa"/>
          <w:right w:w="28" w:type="dxa"/>
        </w:tblCellMar>
      </w:tblPr>
      <w:tblGrid>
        <w:gridCol w:w="3392"/>
        <w:gridCol w:w="146"/>
        <w:gridCol w:w="1786"/>
      </w:tblGrid>
      <w:tr>
        <w:trPr/>
        <w:tc>
          <w:tcPr>
            <w:tcW w:w="3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3392"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UK Limited</w:t>
            </w:r>
          </w:p>
        </w:tc>
        <w:tc>
          <w:tcPr>
            <w:tcW w:w="146" w:type="dxa"/>
            <w:tcBorders/>
            <w:vAlign w:val="center"/>
          </w:tcPr>
          <w:p>
            <w:pPr>
              <w:pStyle w:val="TableContents"/>
              <w:bidi w:val="0"/>
              <w:spacing w:before="0" w:after="0"/>
              <w:ind w:left="136" w:right="0" w:hanging="0"/>
              <w:jc w:val="left"/>
              <w:rPr/>
            </w:pPr>
            <w:r>
              <w:rPr/>
              <w:t> </w:t>
            </w:r>
          </w:p>
        </w:tc>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3392"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VS3 Holdings Limited</w:t>
            </w:r>
          </w:p>
        </w:tc>
        <w:tc>
          <w:tcPr>
            <w:tcW w:w="146" w:type="dxa"/>
            <w:tcBorders/>
            <w:vAlign w:val="center"/>
          </w:tcPr>
          <w:p>
            <w:pPr>
              <w:pStyle w:val="TableContents"/>
              <w:bidi w:val="0"/>
              <w:spacing w:before="0" w:after="0"/>
              <w:ind w:left="136" w:right="0" w:hanging="0"/>
              <w:jc w:val="left"/>
              <w:rPr/>
            </w:pPr>
            <w:r>
              <w:rPr/>
              <w:t> </w:t>
            </w:r>
          </w:p>
        </w:tc>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3392"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West Africa Holdings Limited</w:t>
            </w:r>
          </w:p>
        </w:tc>
        <w:tc>
          <w:tcPr>
            <w:tcW w:w="146" w:type="dxa"/>
            <w:tcBorders/>
            <w:vAlign w:val="center"/>
          </w:tcPr>
          <w:p>
            <w:pPr>
              <w:pStyle w:val="TableContents"/>
              <w:bidi w:val="0"/>
              <w:spacing w:before="0" w:after="0"/>
              <w:ind w:left="136" w:right="0" w:hanging="0"/>
              <w:jc w:val="left"/>
              <w:rPr/>
            </w:pPr>
            <w:r>
              <w:rPr/>
              <w:t> </w:t>
            </w:r>
          </w:p>
        </w:tc>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Kingdom</w:t>
            </w:r>
          </w:p>
        </w:tc>
      </w:tr>
      <w:tr>
        <w:trPr/>
        <w:tc>
          <w:tcPr>
            <w:tcW w:w="3392"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Worldwide Limited</w:t>
            </w:r>
          </w:p>
        </w:tc>
        <w:tc>
          <w:tcPr>
            <w:tcW w:w="146" w:type="dxa"/>
            <w:tcBorders/>
            <w:vAlign w:val="center"/>
          </w:tcPr>
          <w:p>
            <w:pPr>
              <w:pStyle w:val="TableContents"/>
              <w:bidi w:val="0"/>
              <w:spacing w:before="0" w:after="0"/>
              <w:ind w:left="136" w:right="0" w:hanging="0"/>
              <w:jc w:val="left"/>
              <w:rPr/>
            </w:pPr>
            <w:r>
              <w:rPr/>
              <w:t> </w:t>
            </w:r>
          </w:p>
        </w:tc>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3392"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Viasat Zambia Limited</w:t>
            </w:r>
          </w:p>
        </w:tc>
        <w:tc>
          <w:tcPr>
            <w:tcW w:w="146" w:type="dxa"/>
            <w:tcBorders/>
            <w:vAlign w:val="center"/>
          </w:tcPr>
          <w:p>
            <w:pPr>
              <w:pStyle w:val="TableContents"/>
              <w:bidi w:val="0"/>
              <w:spacing w:before="0" w:after="0"/>
              <w:ind w:left="136" w:right="0" w:hanging="0"/>
              <w:jc w:val="left"/>
              <w:rPr/>
            </w:pPr>
            <w:r>
              <w:rPr/>
              <w:t> </w:t>
            </w:r>
          </w:p>
        </w:tc>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Zambia</w:t>
            </w:r>
          </w:p>
        </w:tc>
      </w:tr>
      <w:tr>
        <w:trPr/>
        <w:tc>
          <w:tcPr>
            <w:tcW w:w="3392"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VParent, Inc.</w:t>
            </w:r>
          </w:p>
        </w:tc>
        <w:tc>
          <w:tcPr>
            <w:tcW w:w="146" w:type="dxa"/>
            <w:tcBorders/>
            <w:vAlign w:val="center"/>
          </w:tcPr>
          <w:p>
            <w:pPr>
              <w:pStyle w:val="TableContents"/>
              <w:bidi w:val="0"/>
              <w:spacing w:before="0" w:after="0"/>
              <w:ind w:left="136" w:right="0" w:hanging="0"/>
              <w:jc w:val="left"/>
              <w:rPr/>
            </w:pPr>
            <w:r>
              <w:rPr/>
              <w:t> </w:t>
            </w:r>
          </w:p>
        </w:tc>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r>
        <w:trPr/>
        <w:tc>
          <w:tcPr>
            <w:tcW w:w="3392" w:type="dxa"/>
            <w:tcBorders/>
            <w:vAlign w:val="center"/>
          </w:tcPr>
          <w:p>
            <w:pPr>
              <w:pStyle w:val="TableContents"/>
              <w:bidi w:val="0"/>
              <w:spacing w:before="0" w:after="0"/>
              <w:ind w:left="0" w:right="0" w:firstLine="136"/>
              <w:jc w:val="left"/>
              <w:rPr>
                <w:rFonts w:ascii="Times New Roman" w:hAnsi="Times New Roman"/>
                <w:sz w:val="20"/>
              </w:rPr>
            </w:pPr>
            <w:r>
              <w:rPr>
                <w:rFonts w:ascii="Arial;sans-serif" w:hAnsi="Arial;sans-serif"/>
                <w:b w:val="false"/>
                <w:sz w:val="20"/>
              </w:rPr>
              <w:t>VS3 MOROCCO (SARL)</w:t>
            </w:r>
            <w:r>
              <w:rPr>
                <w:rFonts w:ascii="Times New Roman" w:hAnsi="Times New Roman"/>
                <w:sz w:val="20"/>
              </w:rPr>
              <w:t xml:space="preserve"> </w:t>
            </w:r>
          </w:p>
        </w:tc>
        <w:tc>
          <w:tcPr>
            <w:tcW w:w="146" w:type="dxa"/>
            <w:tcBorders/>
            <w:vAlign w:val="center"/>
          </w:tcPr>
          <w:p>
            <w:pPr>
              <w:pStyle w:val="TableContents"/>
              <w:bidi w:val="0"/>
              <w:spacing w:before="0" w:after="0"/>
              <w:ind w:left="136" w:right="0" w:hanging="0"/>
              <w:jc w:val="left"/>
              <w:rPr/>
            </w:pPr>
            <w:r>
              <w:rPr/>
              <w:t> </w:t>
            </w:r>
          </w:p>
        </w:tc>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Morocco</w:t>
            </w:r>
          </w:p>
        </w:tc>
      </w:tr>
      <w:tr>
        <w:trPr/>
        <w:tc>
          <w:tcPr>
            <w:tcW w:w="3392" w:type="dxa"/>
            <w:tcBorders/>
            <w:vAlign w:val="center"/>
          </w:tcPr>
          <w:p>
            <w:pPr>
              <w:pStyle w:val="TableContents"/>
              <w:bidi w:val="0"/>
              <w:spacing w:before="0" w:after="0"/>
              <w:ind w:left="0" w:right="0" w:firstLine="136"/>
              <w:jc w:val="left"/>
              <w:rPr>
                <w:rFonts w:ascii="Arial;sans-serif" w:hAnsi="Arial;sans-serif"/>
                <w:b w:val="false"/>
                <w:sz w:val="20"/>
              </w:rPr>
            </w:pPr>
            <w:r>
              <w:rPr>
                <w:rFonts w:ascii="Arial;sans-serif" w:hAnsi="Arial;sans-serif"/>
                <w:b w:val="false"/>
                <w:sz w:val="20"/>
              </w:rPr>
              <w:t>VService, Inc.</w:t>
            </w:r>
          </w:p>
        </w:tc>
        <w:tc>
          <w:tcPr>
            <w:tcW w:w="146" w:type="dxa"/>
            <w:tcBorders/>
            <w:vAlign w:val="center"/>
          </w:tcPr>
          <w:p>
            <w:pPr>
              <w:pStyle w:val="TableContents"/>
              <w:bidi w:val="0"/>
              <w:spacing w:before="0" w:after="0"/>
              <w:ind w:left="136" w:right="0" w:hanging="0"/>
              <w:jc w:val="left"/>
              <w:rPr/>
            </w:pPr>
            <w:r>
              <w:rPr/>
              <w:t> </w:t>
            </w:r>
          </w:p>
        </w:tc>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United States (DE)</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44" w:name="vsat-ex23_1.htm"/>
      <w:bookmarkStart w:id="45" w:name="ksvsatex23_1"/>
      <w:bookmarkEnd w:id="44"/>
      <w:bookmarkEnd w:id="45"/>
      <w:r>
        <w:rPr>
          <w:rFonts w:ascii="Arial;sans-serif" w:hAnsi="Arial;sans-serif"/>
          <w:b/>
          <w:sz w:val="20"/>
        </w:rPr>
        <w:t>Exhibit 23.1</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Arial;sans-serif" w:hAnsi="Arial;sans-serif"/>
          <w:b w:val="false"/>
          <w:sz w:val="20"/>
        </w:rPr>
        <w:t>CONSENT OF INDEPENDENT REGISTERED PUBLIC ACCOUNTING FIRM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We hereby consent to the incorporation by reference in the Registration Statements on Form</w:t>
      </w:r>
      <w:r>
        <w:rPr>
          <w:rFonts w:ascii="Times New Roman" w:hAnsi="Times New Roman"/>
          <w:sz w:val="20"/>
        </w:rPr>
        <w:t xml:space="preserve"> </w:t>
      </w:r>
      <w:r>
        <w:rPr>
          <w:rFonts w:ascii="Arial;sans-serif" w:hAnsi="Arial;sans-serif"/>
          <w:b w:val="false"/>
          <w:sz w:val="20"/>
        </w:rPr>
        <w:t>S-3 (File Nos. 333-74276, 333-85522, 333-135652, 333-141238, 333-143425 and 333-242477) and Form S-8 (File Nos. 333-21113, 333-40396, 333-67010, 333-68757, 333-109959, 333-131382, 333-153828, 333-159708, 333-160361, 333-167379, 333-169593, 333-182015, 333-184029, 333-191326, 333-204440, 333-207064, 333-220556, 333-228221, 333-231791, 333-234634, 333-249941, 333-255690, 333-256652, 333-260249, and 333-268281)</w:t>
      </w:r>
      <w:r>
        <w:rPr>
          <w:rFonts w:ascii="Times New Roman" w:hAnsi="Times New Roman"/>
          <w:sz w:val="20"/>
        </w:rPr>
        <w:t xml:space="preserve"> </w:t>
      </w:r>
      <w:r>
        <w:rPr>
          <w:rFonts w:ascii="Arial;sans-serif" w:hAnsi="Arial;sans-serif"/>
          <w:b w:val="false"/>
          <w:sz w:val="20"/>
        </w:rPr>
        <w:t>of Viasat, Inc. of our report dated May 22, 2023 relating to the financial statements, financial statement schedule and the effectiveness of internal control over financial reporting, which appears in this Form 10-K.</w:t>
      </w:r>
      <w:r>
        <w:rPr>
          <w:rFonts w:ascii="Times New Roman" w:hAnsi="Times New Roman"/>
          <w:sz w:val="20"/>
        </w:rPr>
        <w:t xml:space="preserve"> </w:t>
      </w:r>
    </w:p>
    <w:p>
      <w:pPr>
        <w:pStyle w:val="TextBody"/>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 PricewaterhouseCoopers LLP</w:t>
            </w:r>
            <w:r>
              <w:rPr>
                <w:rFonts w:ascii="Times New Roman" w:hAnsi="Times New Roman"/>
                <w:sz w:val="20"/>
              </w:rPr>
              <w:t xml:space="preserve"> </w:t>
            </w:r>
          </w:p>
        </w:tc>
      </w:tr>
      <w:tr>
        <w:trPr/>
        <w:tc>
          <w:tcPr>
            <w:tcW w:w="306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San Diego, California</w:t>
            </w:r>
            <w:r>
              <w:rPr>
                <w:rFonts w:ascii="Times New Roman" w:hAnsi="Times New Roman"/>
                <w:sz w:val="20"/>
              </w:rPr>
              <w:t xml:space="preserve"> </w:t>
            </w:r>
          </w:p>
        </w:tc>
      </w:tr>
      <w:tr>
        <w:trPr/>
        <w:tc>
          <w:tcPr>
            <w:tcW w:w="30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22, 2023</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46" w:name="vsat-ex31_1.htm"/>
      <w:bookmarkStart w:id="47" w:name="ksvsatex31_1"/>
      <w:bookmarkEnd w:id="46"/>
      <w:bookmarkEnd w:id="47"/>
      <w:r>
        <w:rPr/>
        <w:t> </w:t>
      </w:r>
      <w:r>
        <w:br w:type="page"/>
      </w:r>
    </w:p>
    <w:p>
      <w:pPr>
        <w:pStyle w:val="TextBody"/>
        <w:bidi w:val="0"/>
        <w:spacing w:before="0" w:after="0"/>
        <w:jc w:val="right"/>
        <w:rPr>
          <w:rFonts w:ascii="Times New Roman" w:hAnsi="Times New Roman"/>
          <w:sz w:val="20"/>
        </w:rPr>
      </w:pPr>
      <w:r>
        <w:rPr>
          <w:rFonts w:ascii="Arial;sans-serif" w:hAnsi="Arial;sans-serif"/>
          <w:b/>
          <w:sz w:val="20"/>
        </w:rPr>
        <w:t>Exhibit 31.1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Arial;sans-serif" w:hAnsi="Arial;sans-serif"/>
          <w:b w:val="false"/>
          <w:sz w:val="20"/>
        </w:rPr>
        <w:t>CERTIFICATION OF CHIEF EXECUTIVE OFFICER PURSUANT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val="false"/>
          <w:sz w:val="20"/>
        </w:rPr>
        <w:t>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 Mark Dankberg, Chief Executive Officer of Viasat, Inc., certify that:</w:t>
      </w:r>
      <w:r>
        <w:rPr>
          <w:rFonts w:ascii="Times New Roman" w:hAnsi="Times New Roman"/>
          <w:sz w:val="20"/>
        </w:rPr>
        <w:t xml:space="preserve"> </w:t>
      </w:r>
    </w:p>
    <w:p>
      <w:pPr>
        <w:pStyle w:val="TextBody"/>
        <w:bidi w:val="0"/>
        <w:spacing w:before="120" w:after="0"/>
        <w:jc w:val="left"/>
        <w:rPr>
          <w:rFonts w:ascii="Arial" w:hAnsi="Arial"/>
          <w:b w:val="false"/>
          <w:sz w:val="20"/>
        </w:rPr>
      </w:pPr>
      <w:r>
        <w:rPr>
          <w:rFonts w:ascii="Arial" w:hAnsi="Arial"/>
          <w:b w:val="false"/>
          <w:sz w:val="20"/>
        </w:rPr>
        <w:t>1.</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I have reviewed this annual report on Form 10-K of Viasat, Inc.; </w:t>
      </w:r>
    </w:p>
    <w:p>
      <w:pPr>
        <w:pStyle w:val="TextBody"/>
        <w:bidi w:val="0"/>
        <w:spacing w:before="120" w:after="0"/>
        <w:jc w:val="left"/>
        <w:rPr>
          <w:rFonts w:ascii="Arial" w:hAnsi="Arial"/>
          <w:b w:val="false"/>
          <w:sz w:val="20"/>
        </w:rPr>
      </w:pPr>
      <w:r>
        <w:rPr>
          <w:rFonts w:ascii="Arial" w:hAnsi="Arial"/>
          <w:b w:val="false"/>
          <w:sz w:val="20"/>
        </w:rPr>
        <w:t>2.</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Arial" w:hAnsi="Arial"/>
          <w:b w:val="false"/>
          <w:sz w:val="20"/>
        </w:rPr>
      </w:pPr>
      <w:r>
        <w:rPr>
          <w:rFonts w:ascii="Arial" w:hAnsi="Arial"/>
          <w:b w:val="false"/>
          <w:sz w:val="20"/>
        </w:rPr>
        <w:t>3.</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Arial" w:hAnsi="Arial"/>
          <w:b w:val="false"/>
          <w:sz w:val="20"/>
        </w:rPr>
      </w:pPr>
      <w:r>
        <w:rPr>
          <w:rFonts w:ascii="Arial" w:hAnsi="Arial"/>
          <w:b w:val="false"/>
          <w:sz w:val="20"/>
        </w:rPr>
        <w:t>4.</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Arial" w:hAnsi="Arial"/>
          <w:b w:val="false"/>
          <w:sz w:val="20"/>
        </w:rPr>
      </w:pPr>
      <w:r>
        <w:rPr>
          <w:rFonts w:ascii="Arial" w:hAnsi="Arial"/>
          <w:b w:val="false"/>
          <w:sz w:val="20"/>
        </w:rPr>
        <w:t>b)</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Arial" w:hAnsi="Arial"/>
          <w:b w:val="false"/>
          <w:sz w:val="20"/>
        </w:rPr>
      </w:pPr>
      <w:r>
        <w:rPr>
          <w:rFonts w:ascii="Arial" w:hAnsi="Arial"/>
          <w:b w:val="false"/>
          <w:sz w:val="20"/>
        </w:rPr>
        <w:t>c)</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Arial" w:hAnsi="Arial"/>
          <w:b w:val="false"/>
          <w:sz w:val="20"/>
        </w:rPr>
      </w:pPr>
      <w:r>
        <w:rPr>
          <w:rFonts w:ascii="Arial" w:hAnsi="Arial"/>
          <w:b w:val="false"/>
          <w:sz w:val="20"/>
        </w:rPr>
        <w:t>d)</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Arial" w:hAnsi="Arial"/>
          <w:b w:val="false"/>
          <w:sz w:val="20"/>
        </w:rPr>
      </w:pPr>
      <w:r>
        <w:rPr>
          <w:rFonts w:ascii="Arial" w:hAnsi="Arial"/>
          <w:b w:val="false"/>
          <w:sz w:val="20"/>
        </w:rPr>
        <w:t>5.</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Arial" w:hAnsi="Arial"/>
          <w:b w:val="false"/>
          <w:sz w:val="20"/>
        </w:rPr>
      </w:pPr>
      <w:r>
        <w:rPr>
          <w:rFonts w:ascii="Arial" w:hAnsi="Arial"/>
          <w:b w:val="false"/>
          <w:sz w:val="20"/>
        </w:rPr>
        <w:t>b)</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240" w:after="0"/>
        <w:jc w:val="left"/>
        <w:rPr>
          <w:rFonts w:ascii="Arial;sans-serif" w:hAnsi="Arial;sans-serif"/>
          <w:b w:val="false"/>
          <w:sz w:val="20"/>
        </w:rPr>
      </w:pPr>
      <w:r>
        <w:rPr>
          <w:rFonts w:ascii="Arial;sans-serif" w:hAnsi="Arial;sans-serif"/>
          <w:b w:val="false"/>
          <w:sz w:val="20"/>
        </w:rPr>
        <w:t>Date: May 22, 2023</w:t>
      </w:r>
    </w:p>
    <w:p>
      <w:pPr>
        <w:pStyle w:val="TextBody"/>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w:t>
            </w:r>
            <w:r>
              <w:rPr>
                <w:rFonts w:ascii="Arial;sans-serif" w:hAnsi="Arial;sans-serif"/>
                <w:b w:val="false"/>
                <w:sz w:val="15"/>
              </w:rPr>
              <w:t>S</w:t>
            </w:r>
            <w:r>
              <w:rPr>
                <w:rFonts w:ascii="Arial;sans-serif" w:hAnsi="Arial;sans-serif"/>
                <w:b w:val="false"/>
                <w:sz w:val="20"/>
              </w:rPr>
              <w:t>/ M</w:t>
            </w:r>
            <w:r>
              <w:rPr>
                <w:rFonts w:ascii="Arial;sans-serif" w:hAnsi="Arial;sans-serif"/>
                <w:b w:val="false"/>
                <w:sz w:val="15"/>
              </w:rPr>
              <w:t>ARK</w:t>
            </w:r>
            <w:r>
              <w:rPr>
                <w:rFonts w:ascii="Times New Roman" w:hAnsi="Times New Roman"/>
                <w:sz w:val="20"/>
              </w:rPr>
              <w:t> </w:t>
            </w:r>
            <w:r>
              <w:rPr>
                <w:rFonts w:ascii="Arial;sans-serif" w:hAnsi="Arial;sans-serif"/>
                <w:b w:val="false"/>
                <w:sz w:val="20"/>
              </w:rPr>
              <w:t>D</w:t>
            </w:r>
            <w:r>
              <w:rPr>
                <w:rFonts w:ascii="Arial;sans-serif" w:hAnsi="Arial;sans-serif"/>
                <w:b w:val="false"/>
                <w:sz w:val="15"/>
              </w:rPr>
              <w:t>ANKBERG</w:t>
            </w:r>
          </w:p>
        </w:tc>
      </w:tr>
      <w:tr>
        <w:trPr/>
        <w:tc>
          <w:tcPr>
            <w:tcW w:w="21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Dankberg</w:t>
            </w:r>
          </w:p>
        </w:tc>
      </w:tr>
      <w:tr>
        <w:trPr/>
        <w:tc>
          <w:tcPr>
            <w:tcW w:w="21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48" w:name="vsat-ex31_2.htm"/>
      <w:bookmarkStart w:id="49" w:name="ksvsatex31_2"/>
      <w:bookmarkEnd w:id="48"/>
      <w:bookmarkEnd w:id="49"/>
      <w:r>
        <w:rPr/>
        <w:t> </w:t>
      </w:r>
      <w:r>
        <w:br w:type="page"/>
      </w:r>
    </w:p>
    <w:p>
      <w:pPr>
        <w:pStyle w:val="TextBody"/>
        <w:bidi w:val="0"/>
        <w:spacing w:before="0" w:after="0"/>
        <w:jc w:val="right"/>
        <w:rPr>
          <w:rFonts w:ascii="Times New Roman" w:hAnsi="Times New Roman"/>
          <w:sz w:val="20"/>
        </w:rPr>
      </w:pPr>
      <w:r>
        <w:rPr>
          <w:rFonts w:ascii="Arial;sans-serif" w:hAnsi="Arial;sans-serif"/>
          <w:b/>
          <w:sz w:val="20"/>
        </w:rPr>
        <w:t>Exhibit 31.2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Arial;sans-serif" w:hAnsi="Arial;sans-serif"/>
          <w:b w:val="false"/>
          <w:sz w:val="20"/>
        </w:rPr>
        <w:t>CERTIFICATION OF CHIEF FINANCIAL OFFICER PURSUANT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val="false"/>
          <w:sz w:val="20"/>
        </w:rPr>
        <w:t>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 Shawn Duffy, Chief Financial Officer of Viasat, Inc., certify that:</w:t>
      </w:r>
      <w:r>
        <w:rPr>
          <w:rFonts w:ascii="Times New Roman" w:hAnsi="Times New Roman"/>
          <w:sz w:val="20"/>
        </w:rPr>
        <w:t xml:space="preserve"> </w:t>
      </w:r>
    </w:p>
    <w:p>
      <w:pPr>
        <w:pStyle w:val="TextBody"/>
        <w:bidi w:val="0"/>
        <w:spacing w:before="120" w:after="0"/>
        <w:jc w:val="left"/>
        <w:rPr>
          <w:rFonts w:ascii="Arial" w:hAnsi="Arial"/>
          <w:b w:val="false"/>
          <w:sz w:val="20"/>
        </w:rPr>
      </w:pPr>
      <w:r>
        <w:rPr>
          <w:rFonts w:ascii="Arial" w:hAnsi="Arial"/>
          <w:b w:val="false"/>
          <w:sz w:val="20"/>
        </w:rPr>
        <w:t>1.</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I have reviewed this annual report on Form 10-K of Viasat, Inc.; </w:t>
      </w:r>
    </w:p>
    <w:p>
      <w:pPr>
        <w:pStyle w:val="TextBody"/>
        <w:bidi w:val="0"/>
        <w:spacing w:before="120" w:after="0"/>
        <w:jc w:val="left"/>
        <w:rPr>
          <w:rFonts w:ascii="Arial" w:hAnsi="Arial"/>
          <w:b w:val="false"/>
          <w:sz w:val="20"/>
        </w:rPr>
      </w:pPr>
      <w:r>
        <w:rPr>
          <w:rFonts w:ascii="Arial" w:hAnsi="Arial"/>
          <w:b w:val="false"/>
          <w:sz w:val="20"/>
        </w:rPr>
        <w:t>2.</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Arial" w:hAnsi="Arial"/>
          <w:b w:val="false"/>
          <w:sz w:val="20"/>
        </w:rPr>
      </w:pPr>
      <w:r>
        <w:rPr>
          <w:rFonts w:ascii="Arial" w:hAnsi="Arial"/>
          <w:b w:val="false"/>
          <w:sz w:val="20"/>
        </w:rPr>
        <w:t>3.</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Arial" w:hAnsi="Arial"/>
          <w:b w:val="false"/>
          <w:sz w:val="20"/>
        </w:rPr>
      </w:pPr>
      <w:r>
        <w:rPr>
          <w:rFonts w:ascii="Arial" w:hAnsi="Arial"/>
          <w:b w:val="false"/>
          <w:sz w:val="20"/>
        </w:rPr>
        <w:t>4.</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Arial" w:hAnsi="Arial"/>
          <w:b w:val="false"/>
          <w:sz w:val="20"/>
        </w:rPr>
      </w:pPr>
      <w:r>
        <w:rPr>
          <w:rFonts w:ascii="Arial" w:hAnsi="Arial"/>
          <w:b w:val="false"/>
          <w:sz w:val="20"/>
        </w:rPr>
        <w:t>b)</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Arial" w:hAnsi="Arial"/>
          <w:b w:val="false"/>
          <w:sz w:val="20"/>
        </w:rPr>
      </w:pPr>
      <w:r>
        <w:rPr>
          <w:rFonts w:ascii="Arial" w:hAnsi="Arial"/>
          <w:b w:val="false"/>
          <w:sz w:val="20"/>
        </w:rPr>
        <w:t>c)</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Arial" w:hAnsi="Arial"/>
          <w:b w:val="false"/>
          <w:sz w:val="20"/>
        </w:rPr>
      </w:pPr>
      <w:r>
        <w:rPr>
          <w:rFonts w:ascii="Arial" w:hAnsi="Arial"/>
          <w:b w:val="false"/>
          <w:sz w:val="20"/>
        </w:rPr>
        <w:t>d)</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Arial" w:hAnsi="Arial"/>
          <w:b w:val="false"/>
          <w:sz w:val="20"/>
        </w:rPr>
      </w:pPr>
      <w:r>
        <w:rPr>
          <w:rFonts w:ascii="Arial" w:hAnsi="Arial"/>
          <w:b w:val="false"/>
          <w:sz w:val="20"/>
        </w:rPr>
        <w:t>5.</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Arial" w:hAnsi="Arial"/>
          <w:b w:val="false"/>
          <w:sz w:val="20"/>
        </w:rPr>
      </w:pPr>
      <w:r>
        <w:rPr>
          <w:rFonts w:ascii="Arial" w:hAnsi="Arial"/>
          <w:b w:val="false"/>
          <w:sz w:val="20"/>
        </w:rPr>
        <w:t>b)</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240" w:after="0"/>
        <w:jc w:val="left"/>
        <w:rPr>
          <w:rFonts w:ascii="Arial;sans-serif" w:hAnsi="Arial;sans-serif"/>
          <w:b w:val="false"/>
          <w:sz w:val="20"/>
        </w:rPr>
      </w:pPr>
      <w:r>
        <w:rPr>
          <w:rFonts w:ascii="Arial;sans-serif" w:hAnsi="Arial;sans-serif"/>
          <w:b w:val="false"/>
          <w:sz w:val="20"/>
        </w:rPr>
        <w:t>Date: May 22, 2023</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w:t>
            </w:r>
            <w:r>
              <w:rPr>
                <w:rFonts w:ascii="Arial;sans-serif" w:hAnsi="Arial;sans-serif"/>
                <w:b w:val="false"/>
                <w:sz w:val="15"/>
              </w:rPr>
              <w:t>S</w:t>
            </w:r>
            <w:r>
              <w:rPr>
                <w:rFonts w:ascii="Arial;sans-serif" w:hAnsi="Arial;sans-serif"/>
                <w:b w:val="false"/>
                <w:sz w:val="20"/>
              </w:rPr>
              <w:t>/ S</w:t>
            </w:r>
            <w:r>
              <w:rPr>
                <w:rFonts w:ascii="Arial;sans-serif" w:hAnsi="Arial;sans-serif"/>
                <w:b w:val="false"/>
                <w:sz w:val="15"/>
              </w:rPr>
              <w:t>HAWN</w:t>
            </w:r>
            <w:r>
              <w:rPr>
                <w:rFonts w:ascii="Times New Roman" w:hAnsi="Times New Roman"/>
                <w:sz w:val="20"/>
              </w:rPr>
              <w:t> </w:t>
            </w:r>
            <w:r>
              <w:rPr>
                <w:rFonts w:ascii="Arial;sans-serif" w:hAnsi="Arial;sans-serif"/>
                <w:b w:val="false"/>
                <w:sz w:val="20"/>
              </w:rPr>
              <w:t>D</w:t>
            </w:r>
            <w:r>
              <w:rPr>
                <w:rFonts w:ascii="Arial;sans-serif" w:hAnsi="Arial;sans-serif"/>
                <w:b w:val="false"/>
                <w:sz w:val="15"/>
              </w:rPr>
              <w:t>UFFY</w:t>
            </w:r>
            <w:r>
              <w:rPr>
                <w:rFonts w:ascii="Times New Roman" w:hAnsi="Times New Roman"/>
                <w:sz w:val="20"/>
              </w:rPr>
              <w:t xml:space="preserve"> </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Shawn Duffy</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Financial Officer</w:t>
            </w:r>
          </w:p>
        </w:tc>
      </w:tr>
    </w:tbl>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50" w:name="vsat-ex32_1.htm"/>
      <w:bookmarkStart w:id="51" w:name="ksvsatex32_1"/>
      <w:bookmarkEnd w:id="50"/>
      <w:bookmarkEnd w:id="51"/>
      <w:r>
        <w:rPr>
          <w:rFonts w:ascii="Arial;sans-serif" w:hAnsi="Arial;sans-serif"/>
          <w:b/>
          <w:sz w:val="20"/>
        </w:rPr>
        <w:t>Exhibit 32.1</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Arial;sans-serif" w:hAnsi="Arial;sans-serif"/>
          <w:b w:val="false"/>
          <w:sz w:val="20"/>
        </w:rPr>
        <w:t>CERTIFICATION OF CHIEF EXECUTIVE OFFICER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(a) the accompanying annual report on Form 10-K of the Company for the fiscal year ended March 31, 2023 (the “Report”) fully complies with the requirements of Section 13(a) or Section 15(d), as applicable, of the Securities Exchange Act of 1934, as amended;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(b)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bidi w:val="0"/>
        <w:spacing w:before="240" w:after="0"/>
        <w:jc w:val="left"/>
        <w:rPr>
          <w:rFonts w:ascii="Arial;sans-serif" w:hAnsi="Arial;sans-serif"/>
          <w:b w:val="false"/>
          <w:sz w:val="20"/>
        </w:rPr>
      </w:pPr>
      <w:r>
        <w:rPr>
          <w:rFonts w:ascii="Arial;sans-serif" w:hAnsi="Arial;sans-serif"/>
          <w:b w:val="false"/>
          <w:sz w:val="20"/>
        </w:rPr>
        <w:t>Dated: May 22, 2023</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w:t>
            </w:r>
            <w:r>
              <w:rPr>
                <w:rFonts w:ascii="Arial;sans-serif" w:hAnsi="Arial;sans-serif"/>
                <w:b w:val="false"/>
                <w:sz w:val="15"/>
              </w:rPr>
              <w:t>S</w:t>
            </w:r>
            <w:r>
              <w:rPr>
                <w:rFonts w:ascii="Arial;sans-serif" w:hAnsi="Arial;sans-serif"/>
                <w:b w:val="false"/>
                <w:sz w:val="20"/>
              </w:rPr>
              <w:t>/ M</w:t>
            </w:r>
            <w:r>
              <w:rPr>
                <w:rFonts w:ascii="Arial;sans-serif" w:hAnsi="Arial;sans-serif"/>
                <w:b w:val="false"/>
                <w:sz w:val="15"/>
              </w:rPr>
              <w:t>ARK</w:t>
            </w:r>
            <w:r>
              <w:rPr>
                <w:rFonts w:ascii="Times New Roman" w:hAnsi="Times New Roman"/>
                <w:sz w:val="20"/>
              </w:rPr>
              <w:t> </w:t>
            </w:r>
            <w:r>
              <w:rPr>
                <w:rFonts w:ascii="Arial;sans-serif" w:hAnsi="Arial;sans-serif"/>
                <w:b w:val="false"/>
                <w:sz w:val="20"/>
              </w:rPr>
              <w:t>D</w:t>
            </w:r>
            <w:r>
              <w:rPr>
                <w:rFonts w:ascii="Arial;sans-serif" w:hAnsi="Arial;sans-serif"/>
                <w:b w:val="false"/>
                <w:sz w:val="15"/>
              </w:rPr>
              <w:t>ANKBERG</w:t>
            </w:r>
          </w:p>
        </w:tc>
      </w:tr>
      <w:tr>
        <w:trPr/>
        <w:tc>
          <w:tcPr>
            <w:tcW w:w="21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Dankberg</w:t>
            </w:r>
          </w:p>
        </w:tc>
      </w:tr>
      <w:tr>
        <w:trPr/>
        <w:tc>
          <w:tcPr>
            <w:tcW w:w="21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Executive Officer</w:t>
            </w:r>
          </w:p>
        </w:tc>
      </w:tr>
    </w:tbl>
    <w:p>
      <w:pPr>
        <w:pStyle w:val="TextBody"/>
        <w:bidi w:val="0"/>
        <w:spacing w:before="480" w:after="0"/>
        <w:jc w:val="center"/>
        <w:rPr>
          <w:rFonts w:ascii="Times New Roman" w:hAnsi="Times New Roman"/>
          <w:sz w:val="20"/>
        </w:rPr>
      </w:pPr>
      <w:r>
        <w:rPr>
          <w:rFonts w:ascii="Arial;sans-serif" w:hAnsi="Arial;sans-serif"/>
          <w:b w:val="false"/>
          <w:sz w:val="20"/>
        </w:rPr>
        <w:t>CERTIFICATION OF CHIEF FINANCIAL OFFICER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(a) the accompanying annual report on Form 10-K of the Company for the fiscal year ended March 31, 2023 (the “Report”) fully complies with the requirements of Section 13(a) or Section 15(d), as applicable, of the Securities Exchange Act of 1934, as amended;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(b)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bidi w:val="0"/>
        <w:spacing w:before="240" w:after="0"/>
        <w:jc w:val="left"/>
        <w:rPr>
          <w:rFonts w:ascii="Arial;sans-serif" w:hAnsi="Arial;sans-serif"/>
          <w:b w:val="false"/>
          <w:sz w:val="20"/>
        </w:rPr>
      </w:pPr>
      <w:r>
        <w:rPr>
          <w:rFonts w:ascii="Arial;sans-serif" w:hAnsi="Arial;sans-serif"/>
          <w:b w:val="false"/>
          <w:sz w:val="20"/>
        </w:rPr>
        <w:t>Dated: May 22, 2023</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w:t>
            </w:r>
            <w:r>
              <w:rPr>
                <w:rFonts w:ascii="Arial;sans-serif" w:hAnsi="Arial;sans-serif"/>
                <w:b w:val="false"/>
                <w:sz w:val="15"/>
              </w:rPr>
              <w:t>S</w:t>
            </w:r>
            <w:r>
              <w:rPr>
                <w:rFonts w:ascii="Arial;sans-serif" w:hAnsi="Arial;sans-serif"/>
                <w:b w:val="false"/>
                <w:sz w:val="20"/>
              </w:rPr>
              <w:t>/ S</w:t>
            </w:r>
            <w:r>
              <w:rPr>
                <w:rFonts w:ascii="Arial;sans-serif" w:hAnsi="Arial;sans-serif"/>
                <w:b w:val="false"/>
                <w:sz w:val="15"/>
              </w:rPr>
              <w:t>HAWN</w:t>
            </w:r>
            <w:r>
              <w:rPr>
                <w:rFonts w:ascii="Times New Roman" w:hAnsi="Times New Roman"/>
                <w:sz w:val="20"/>
              </w:rPr>
              <w:t> </w:t>
            </w:r>
            <w:r>
              <w:rPr>
                <w:rFonts w:ascii="Arial;sans-serif" w:hAnsi="Arial;sans-serif"/>
                <w:b w:val="false"/>
                <w:sz w:val="20"/>
              </w:rPr>
              <w:t>D</w:t>
            </w:r>
            <w:r>
              <w:rPr>
                <w:rFonts w:ascii="Arial;sans-serif" w:hAnsi="Arial;sans-serif"/>
                <w:b w:val="false"/>
                <w:sz w:val="15"/>
              </w:rPr>
              <w:t>UFFY</w:t>
            </w:r>
            <w:r>
              <w:rPr>
                <w:rFonts w:ascii="Times New Roman" w:hAnsi="Times New Roman"/>
                <w:sz w:val="20"/>
              </w:rPr>
              <w:t xml:space="preserve"> </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Shawn Duffy</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119312521322283/d210128dex21.htm" TargetMode="External"/><Relationship Id="rId4" Type="http://schemas.openxmlformats.org/officeDocument/2006/relationships/hyperlink" Target="https://www.sec.gov/Archives/edgar/data/797721/000119312522256649/d256660dex21.htm" TargetMode="External"/><Relationship Id="rId5" Type="http://schemas.openxmlformats.org/officeDocument/2006/relationships/hyperlink" Target="https://www.sec.gov/Archives/edgar/data/797721/000109581100004805/a66909ex3-1.txt" TargetMode="External"/><Relationship Id="rId6" Type="http://schemas.openxmlformats.org/officeDocument/2006/relationships/hyperlink" Target="https://www.sec.gov/Archives/edgar/data/797721/000119312512490491/d447607dex31.htm" TargetMode="External"/><Relationship Id="rId7" Type="http://schemas.openxmlformats.org/officeDocument/2006/relationships/hyperlink" Target="https://www.sec.gov/Archives/edgar/data/797721/000119312517290459/d414724dex41.htm" TargetMode="External"/><Relationship Id="rId8" Type="http://schemas.openxmlformats.org/officeDocument/2006/relationships/hyperlink" Target="https://www.sec.gov/Archives/edgar/data/797721/000119312517290459/d414724dex41.htm" TargetMode="External"/><Relationship Id="rId9" Type="http://schemas.openxmlformats.org/officeDocument/2006/relationships/hyperlink" Target="https://www.sec.gov/Archives/edgar/data/797721/000119312519088484/d727895dex41.htm" TargetMode="External"/><Relationship Id="rId10" Type="http://schemas.openxmlformats.org/officeDocument/2006/relationships/hyperlink" Target="https://www.sec.gov/Archives/edgar/data/797721/000119312519088484/d727895dex41.htm" TargetMode="External"/><Relationship Id="rId11" Type="http://schemas.openxmlformats.org/officeDocument/2006/relationships/hyperlink" Target="https://www.sec.gov/Archives/edgar/data/797721/000119312520177667/d907562dex41.htm" TargetMode="External"/><Relationship Id="rId12" Type="http://schemas.openxmlformats.org/officeDocument/2006/relationships/hyperlink" Target="https://www.sec.gov/Archives/edgar/data/797721/000119312520177667/d907562dex41.htm" TargetMode="External"/><Relationship Id="rId13" Type="http://schemas.openxmlformats.org/officeDocument/2006/relationships/hyperlink" Target="https://www.sec.gov/Archives/edgar/data/797721/000156459020027420/vsat-ex46_1091.htm" TargetMode="External"/><Relationship Id="rId14" Type="http://schemas.openxmlformats.org/officeDocument/2006/relationships/hyperlink" Target="https://www.sec.gov/Archives/edgar/data/797721/000119312521322283/d210128dex103.htm" TargetMode="External"/><Relationship Id="rId15" Type="http://schemas.openxmlformats.org/officeDocument/2006/relationships/hyperlink" Target="https://www.sec.gov/Archives/edgar/data/797721/000093639208000182/a38834exv99w1.htm" TargetMode="External"/><Relationship Id="rId16" Type="http://schemas.openxmlformats.org/officeDocument/2006/relationships/hyperlink" Target="https://www.sec.gov/Archives/edgar/data/797721/000119312521265514/d191187dex102.htm" TargetMode="External"/><Relationship Id="rId17" Type="http://schemas.openxmlformats.org/officeDocument/2006/relationships/hyperlink" Target="https://www.sec.gov/Archives/edgar/data/797721/000119312522237928/d330900dex101.htm" TargetMode="External"/><Relationship Id="rId18" Type="http://schemas.openxmlformats.org/officeDocument/2006/relationships/hyperlink" Target="https://www.sec.gov/Archives/edgar/data/797721/000119312515199042/d875350dex104.htm" TargetMode="External"/><Relationship Id="rId19" Type="http://schemas.openxmlformats.org/officeDocument/2006/relationships/hyperlink" Target="https://www.sec.gov/Archives/edgar/data/797721/000119312518036708/d493158dex101.htm" TargetMode="External"/><Relationship Id="rId20" Type="http://schemas.openxmlformats.org/officeDocument/2006/relationships/hyperlink" Target="https://www.sec.gov/Archives/edgar/data/797721/000119312517182146/d351569dex105.htm" TargetMode="External"/><Relationship Id="rId21" Type="http://schemas.openxmlformats.org/officeDocument/2006/relationships/hyperlink" Target="https://www.sec.gov/Archives/edgar/data/797721/000119312515199042/d875350dex106.htm" TargetMode="External"/><Relationship Id="rId22" Type="http://schemas.openxmlformats.org/officeDocument/2006/relationships/hyperlink" Target="https://www.sec.gov/Archives/edgar/data/797721/000119312515199042/d875350dex107.htm" TargetMode="External"/><Relationship Id="rId23" Type="http://schemas.openxmlformats.org/officeDocument/2006/relationships/hyperlink" Target="https://www.sec.gov/Archives/edgar/data/797721/000095012310071941/a56801exv10w1.htm" TargetMode="External"/><Relationship Id="rId24" Type="http://schemas.openxmlformats.org/officeDocument/2006/relationships/hyperlink" Target="https://www.sec.gov/Archives/edgar/data/797721/000095017022010881/vsat-ex10_121.htm" TargetMode="External"/><Relationship Id="rId25" Type="http://schemas.openxmlformats.org/officeDocument/2006/relationships/hyperlink" Target="https://www.sec.gov/Archives/edgar/data/797721/000119312521145463/d42352dex103.htm" TargetMode="External"/><Relationship Id="rId26" Type="http://schemas.openxmlformats.org/officeDocument/2006/relationships/hyperlink" Target="https://www.sec.gov/Archives/edgar/data/797721/000119312521145463/d42352dex104.htm" TargetMode="External"/><Relationship Id="rId27" Type="http://schemas.openxmlformats.org/officeDocument/2006/relationships/hyperlink" Target="https://www.sec.gov/Archives/edgar/data/797721/000119312521145463/d42352dex105.htm" TargetMode="External"/><Relationship Id="rId28" Type="http://schemas.openxmlformats.org/officeDocument/2006/relationships/hyperlink" Target="https://www.sec.gov/Archives/edgar/data/797721/000119312521145463/d42352dex106.htm" TargetMode="External"/><Relationship Id="rId29" Type="http://schemas.openxmlformats.org/officeDocument/2006/relationships/hyperlink" Target="https://www.sec.gov/Archives/edgar/data/797721/000119312521145463/d42352dex108.htm" TargetMode="External"/><Relationship Id="rId30" Type="http://schemas.openxmlformats.org/officeDocument/2006/relationships/hyperlink" Target="https://www.sec.gov/Archives/edgar/data/797721/000119312513454965/d636795dex101.htm" TargetMode="External"/><Relationship Id="rId31" Type="http://schemas.openxmlformats.org/officeDocument/2006/relationships/hyperlink" Target="https://www.sec.gov/Archives/edgar/data/797721/000119312515089537/d887434dex102.htm" TargetMode="External"/><Relationship Id="rId32" Type="http://schemas.openxmlformats.org/officeDocument/2006/relationships/hyperlink" Target="https://www.sec.gov/Archives/edgar/data/797721/000119312516600648/d198247dex101.htm" TargetMode="External"/><Relationship Id="rId33" Type="http://schemas.openxmlformats.org/officeDocument/2006/relationships/hyperlink" Target="https://www.sec.gov/Archives/edgar/data/797721/000156459018014641/vsat-ex10103_745.htm" TargetMode="External"/><Relationship Id="rId34" Type="http://schemas.openxmlformats.org/officeDocument/2006/relationships/hyperlink" Target="https://www.sec.gov/Archives/edgar/data/797721/000119312519014040/d684351dex101.htm" TargetMode="External"/><Relationship Id="rId35" Type="http://schemas.openxmlformats.org/officeDocument/2006/relationships/hyperlink" Target="https://www.sec.gov/Archives/edgar/data/797721/000119312521343695/d220124dex101.htm" TargetMode="External"/><Relationship Id="rId36" Type="http://schemas.openxmlformats.org/officeDocument/2006/relationships/hyperlink" Target="https://www.sec.gov/Archives/edgar/data/797721/000156459022008789/d226637dex102.htm" TargetMode="External"/><Relationship Id="rId37" Type="http://schemas.openxmlformats.org/officeDocument/2006/relationships/hyperlink" Target="https://www.sec.gov/Archives/edgar/data/797721/000119312515089537/d887434dex101.htm" TargetMode="External"/><Relationship Id="rId38" Type="http://schemas.openxmlformats.org/officeDocument/2006/relationships/hyperlink" Target="https://www.sec.gov/Archives/edgar/data/797721/000119312515284965/d933025dex101.htm" TargetMode="External"/><Relationship Id="rId39" Type="http://schemas.openxmlformats.org/officeDocument/2006/relationships/hyperlink" Target="https://www.sec.gov/Archives/edgar/data/797721/000119312516516584/d152081dex101.htm" TargetMode="External"/><Relationship Id="rId40" Type="http://schemas.openxmlformats.org/officeDocument/2006/relationships/hyperlink" Target="https://www.sec.gov/Archives/edgar/data/797721/000119312516736730/d259569dex101.htm" TargetMode="External"/><Relationship Id="rId41" Type="http://schemas.openxmlformats.org/officeDocument/2006/relationships/hyperlink" Target="https://www.sec.gov/Archives/edgar/data/797721/000119312518223698/d548983dex101.htm" TargetMode="External"/><Relationship Id="rId42" Type="http://schemas.openxmlformats.org/officeDocument/2006/relationships/hyperlink" Target="https://www.sec.gov/Archives/edgar/data/797721/000119312519057936/d713677dex101.htm" TargetMode="External"/><Relationship Id="rId43" Type="http://schemas.openxmlformats.org/officeDocument/2006/relationships/hyperlink" Target="https://www.sec.gov/Archives/edgar/data/797721/000095017022015832/vsat-ex10_2.htm" TargetMode="External"/><Relationship Id="rId44" Type="http://schemas.openxmlformats.org/officeDocument/2006/relationships/hyperlink" Target="https://www.sec.gov/Archives/edgar/data/797721/000156459022008789/d226637dex10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88764</Words>
  <Characters>504023</Characters>
  <CharactersWithSpaces>594963</CharactersWithSpaces>
  <Paragraphs>12486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