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SCHEDULE 14A INFORMATION</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5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1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4"/>
          <w:szCs w:val="24"/>
          <w:color w:val="auto"/>
        </w:rPr>
        <w:t>☒</w:t>
      </w:r>
    </w:p>
    <w:p>
      <w:pPr>
        <w:spacing w:after="0" w:line="7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24"/>
          <w:szCs w:val="24"/>
          <w:color w:val="auto"/>
        </w:rPr>
        <w:t>☐</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60"/>
          </w:cols>
          <w:pgMar w:left="240" w:top="230" w:right="399" w:bottom="1440" w:gutter="0" w:footer="0" w:header="0"/>
        </w:sectPr>
      </w:pPr>
    </w:p>
    <w:p>
      <w:pPr>
        <w:spacing w:after="0" w:line="15"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83"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ectPr>
          <w:pgSz w:w="11900" w:h="16838" w:orient="portrait"/>
          <w:cols w:equalWidth="0" w:num="2">
            <w:col w:w="220" w:space="140"/>
            <w:col w:w="10900"/>
          </w:cols>
          <w:pgMar w:left="240" w:top="230" w:right="399" w:bottom="1440" w:gutter="0" w:footer="0" w:header="0"/>
          <w:type w:val="continuous"/>
        </w:sectPr>
      </w:pP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370840</wp:posOffset>
            </wp:positionV>
            <wp:extent cx="4631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No fee required.</w:t>
      </w:r>
    </w:p>
    <w:p>
      <w:pPr>
        <w:spacing w:after="0" w:line="26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computed on table below per Exchange Act Rules 14a-6(i)(1) and 0-11.</w:t>
      </w:r>
    </w:p>
    <w:p>
      <w:pPr>
        <w:spacing w:after="0" w:line="7" w:lineRule="exact"/>
        <w:rPr>
          <w:rFonts w:ascii="MS PGothic" w:cs="MS PGothic" w:eastAsia="MS PGothic" w:hAnsi="MS PGothic"/>
          <w:sz w:val="24"/>
          <w:szCs w:val="24"/>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20" w:hanging="461"/>
        <w:spacing w:after="0" w:line="250"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paid previously with preliminary materials.</w:t>
      </w:r>
    </w:p>
    <w:p>
      <w:pPr>
        <w:spacing w:after="0" w:line="209" w:lineRule="exact"/>
        <w:rPr>
          <w:rFonts w:ascii="MS PGothic" w:cs="MS PGothic" w:eastAsia="MS PGothic" w:hAnsi="MS PGothic"/>
          <w:sz w:val="24"/>
          <w:szCs w:val="24"/>
          <w:color w:val="auto"/>
        </w:rPr>
      </w:pPr>
    </w:p>
    <w:p>
      <w:pPr>
        <w:ind w:left="360" w:right="640" w:hanging="352"/>
        <w:spacing w:after="0" w:line="180" w:lineRule="auto"/>
        <w:tabs>
          <w:tab w:leader="none" w:pos="36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60"/>
          </w:cols>
          <w:pgMar w:left="240" w:top="230" w:right="3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805815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16, 2015</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You are cordially invited to attend our 2015 annual meeting of stockholders, which will be held on September 16, 2015 at 8:30 a.m. Pacific Time at the corporate offices of ViaSat located at 6155 El Camino Real, Founders Hall, Carlsbad, California. We are holding the annual meeting for the following purposes:</w:t>
      </w:r>
    </w:p>
    <w:p>
      <w:pPr>
        <w:spacing w:after="0" w:line="4" w:lineRule="exact"/>
        <w:rPr>
          <w:sz w:val="20"/>
          <w:szCs w:val="20"/>
          <w:color w:val="auto"/>
        </w:rPr>
      </w:pPr>
    </w:p>
    <w:p>
      <w:pPr>
        <w:ind w:left="1480" w:right="8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Frank J. Biondi, Jr., Robert Johnson and John Stenbit to serve as Class I Directors for a three-year term to expire at the 2018 annual meeting of stockholders.</w:t>
      </w:r>
    </w:p>
    <w:p>
      <w:pPr>
        <w:spacing w:after="0" w:line="5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ViaSat’s independent registered public accounting firm for the fiscal year ending March 31, 2016.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and restatement of the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and restatement of the 1996 Equity Participation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other business that may properly come before the annual meeting or any adjournments or postponements of the meeting.</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All stockholders of record as of July 20, 2015, the record date, are entitled to vote at the annual meeting. </w:t>
      </w:r>
      <w:r>
        <w:rPr>
          <w:rFonts w:ascii="Arial" w:cs="Arial" w:eastAsia="Arial" w:hAnsi="Arial"/>
          <w:sz w:val="16"/>
          <w:szCs w:val="16"/>
          <w:b w:val="1"/>
          <w:bCs w:val="1"/>
          <w:color w:val="auto"/>
        </w:rPr>
        <w:t>Your vote is very important. Whether or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auto"/>
        </w:rPr>
        <w:t>If your shares are held in “street name,” which means your shares are held of record by a broker, bank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you must provide your broker, bank or financial institution with instructions on how to vote your shares.</w:t>
      </w:r>
    </w:p>
    <w:p>
      <w:pPr>
        <w:spacing w:after="0" w:line="1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9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5"/>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19"/>
                <w:szCs w:val="19"/>
                <w:color w:val="auto"/>
              </w:rPr>
            </w:pPr>
          </w:p>
        </w:tc>
      </w:tr>
      <w:tr>
        <w:trPr>
          <w:trHeight w:val="380"/>
        </w:trPr>
        <w:tc>
          <w:tcPr>
            <w:tcW w:w="9420" w:type="dxa"/>
            <w:vAlign w:val="bottom"/>
            <w:gridSpan w:val="3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ABOUT THE ANNUAL MEETING AND VOTING</w:t>
              </w:r>
            </w:hyperlink>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54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CORPORATE GOVERNANCE PRINCIPLES AND BOARD MATTERS</w:t>
              </w:r>
            </w:hyperlink>
          </w:p>
        </w:tc>
        <w:tc>
          <w:tcPr>
            <w:tcW w:w="620" w:type="dxa"/>
            <w:vAlign w:val="bottom"/>
            <w:tcBorders>
              <w:top w:val="single" w:sz="8" w:color="0000EE"/>
            </w:tcBorders>
          </w:tcPr>
          <w:p>
            <w:pPr>
              <w:spacing w:after="0"/>
              <w:rPr>
                <w:sz w:val="17"/>
                <w:szCs w:val="17"/>
                <w:color w:val="auto"/>
              </w:rPr>
            </w:pPr>
          </w:p>
        </w:tc>
        <w:tc>
          <w:tcPr>
            <w:tcW w:w="326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Responsibilities</w:t>
              </w:r>
            </w:hyperlink>
          </w:p>
        </w:tc>
        <w:tc>
          <w:tcPr>
            <w:tcW w:w="7600" w:type="dxa"/>
            <w:vAlign w:val="bottom"/>
            <w:gridSpan w:val="3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258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Board Leadership and Independence</w:t>
              </w:r>
            </w:hyperlink>
          </w:p>
        </w:tc>
        <w:tc>
          <w:tcPr>
            <w:tcW w:w="6620" w:type="dxa"/>
            <w:vAlign w:val="bottom"/>
            <w:gridSpan w:val="2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Board Structure and Committee Composition</w:t>
              </w:r>
            </w:hyperlink>
          </w:p>
        </w:tc>
        <w:tc>
          <w:tcPr>
            <w:tcW w:w="6000" w:type="dxa"/>
            <w:vAlign w:val="bottom"/>
            <w:gridSpan w:val="1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Director Nomination Process</w:t>
              </w:r>
            </w:hyperlink>
          </w:p>
        </w:tc>
        <w:tc>
          <w:tcPr>
            <w:tcW w:w="7140" w:type="dxa"/>
            <w:vAlign w:val="bottom"/>
            <w:gridSpan w:val="3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Communications with the Board</w:t>
              </w:r>
            </w:hyperlink>
          </w:p>
        </w:tc>
        <w:tc>
          <w:tcPr>
            <w:tcW w:w="6900" w:type="dxa"/>
            <w:vAlign w:val="bottom"/>
            <w:gridSpan w:val="2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6"/>
              </w:rPr>
            </w:pPr>
            <w:hyperlink w:anchor="page13">
              <w:r>
                <w:rPr>
                  <w:rFonts w:ascii="Arial" w:cs="Arial" w:eastAsia="Arial" w:hAnsi="Arial"/>
                  <w:sz w:val="18"/>
                  <w:szCs w:val="18"/>
                  <w:b w:val="1"/>
                  <w:bCs w:val="1"/>
                  <w:color w:val="0000EE"/>
                  <w:w w:val="96"/>
                </w:rPr>
                <w:t>PROPOSAL 1: ELECTION OF DIRECTORS</w:t>
              </w:r>
            </w:hyperlink>
          </w:p>
        </w:tc>
        <w:tc>
          <w:tcPr>
            <w:tcW w:w="5920" w:type="dxa"/>
            <w:vAlign w:val="bottom"/>
            <w:gridSpan w:val="1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2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Overview</w:t>
              </w:r>
            </w:hyperlink>
          </w:p>
        </w:tc>
        <w:tc>
          <w:tcPr>
            <w:tcW w:w="8480" w:type="dxa"/>
            <w:vAlign w:val="bottom"/>
            <w:gridSpan w:val="3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43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Class I Directors with Terms Expiring at this Annual Meeting</w:t>
              </w:r>
            </w:hyperlink>
          </w:p>
        </w:tc>
        <w:tc>
          <w:tcPr>
            <w:tcW w:w="486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Class II Directors with Terms Expiring in 2016</w:t>
              </w:r>
            </w:hyperlink>
          </w:p>
        </w:tc>
        <w:tc>
          <w:tcPr>
            <w:tcW w:w="5880" w:type="dxa"/>
            <w:vAlign w:val="bottom"/>
            <w:gridSpan w:val="1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Class III Directors with Terms Expiring in 2017</w:t>
              </w:r>
            </w:hyperlink>
          </w:p>
        </w:tc>
        <w:tc>
          <w:tcPr>
            <w:tcW w:w="5820" w:type="dxa"/>
            <w:vAlign w:val="bottom"/>
            <w:gridSpan w:val="1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PROPOSAL 2: RATIFICATION OF APPOINTMENT OF INDEPENDENT REGISTERED PUBLIC ACCOUNTING FIRM</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2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Overview</w:t>
              </w:r>
            </w:hyperlink>
          </w:p>
        </w:tc>
        <w:tc>
          <w:tcPr>
            <w:tcW w:w="8480" w:type="dxa"/>
            <w:vAlign w:val="bottom"/>
            <w:gridSpan w:val="3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Principal Accountant Fees and Services</w:t>
              </w:r>
            </w:hyperlink>
          </w:p>
        </w:tc>
        <w:tc>
          <w:tcPr>
            <w:tcW w:w="640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Pre-Approval Policy of the Audit Committee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Recommendation of the Board</w:t>
              </w:r>
            </w:hyperlink>
          </w:p>
        </w:tc>
        <w:tc>
          <w:tcPr>
            <w:tcW w:w="6040" w:type="dxa"/>
            <w:vAlign w:val="bottom"/>
            <w:gridSpan w:val="1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3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PROPOSAL 3: ADVISORY VOTE ON EXECUTIVE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Overview</w:t>
              </w:r>
            </w:hyperlink>
          </w:p>
        </w:tc>
        <w:tc>
          <w:tcPr>
            <w:tcW w:w="4600" w:type="dxa"/>
            <w:vAlign w:val="bottom"/>
            <w:tcBorders>
              <w:top w:val="single" w:sz="8" w:color="0000EE"/>
            </w:tcBorders>
            <w:gridSpan w:val="32"/>
          </w:tcPr>
          <w:p>
            <w:pPr>
              <w:spacing w:after="0"/>
              <w:rPr>
                <w:sz w:val="17"/>
                <w:szCs w:val="17"/>
                <w:color w:val="auto"/>
              </w:rPr>
            </w:pPr>
          </w:p>
        </w:tc>
        <w:tc>
          <w:tcPr>
            <w:tcW w:w="388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12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PROPOSAL 4: AMENDMENT AND RESTATEMENT OF THE EMPLOYEE STOCK PURCHASE PLAN</w:t>
              </w:r>
            </w:hyperlink>
          </w:p>
        </w:tc>
        <w:tc>
          <w:tcPr>
            <w:tcW w:w="130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Overview</w:t>
              </w:r>
            </w:hyperlink>
          </w:p>
        </w:tc>
        <w:tc>
          <w:tcPr>
            <w:tcW w:w="8500" w:type="dxa"/>
            <w:vAlign w:val="bottom"/>
            <w:gridSpan w:val="3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Why You Should Vote for the Restated Purchase Plan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Summary of the Restated Purchase Plan</w:t>
              </w:r>
            </w:hyperlink>
          </w:p>
        </w:tc>
        <w:tc>
          <w:tcPr>
            <w:tcW w:w="940" w:type="dxa"/>
            <w:vAlign w:val="bottom"/>
            <w:tcBorders>
              <w:top w:val="single" w:sz="8" w:color="0000EE"/>
            </w:tcBorders>
            <w:gridSpan w:val="10"/>
          </w:tcPr>
          <w:p>
            <w:pPr>
              <w:spacing w:after="0"/>
              <w:rPr>
                <w:sz w:val="17"/>
                <w:szCs w:val="17"/>
                <w:color w:val="auto"/>
              </w:rPr>
            </w:pPr>
          </w:p>
        </w:tc>
        <w:tc>
          <w:tcPr>
            <w:tcW w:w="544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U.S. Federal Income Tax Consequences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New Plan Benefits</w:t>
              </w:r>
            </w:hyperlink>
          </w:p>
        </w:tc>
        <w:tc>
          <w:tcPr>
            <w:tcW w:w="640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96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7"/>
              </w:rPr>
            </w:pPr>
            <w:hyperlink w:anchor="page25">
              <w:r>
                <w:rPr>
                  <w:rFonts w:ascii="Arial" w:cs="Arial" w:eastAsia="Arial" w:hAnsi="Arial"/>
                  <w:sz w:val="18"/>
                  <w:szCs w:val="18"/>
                  <w:b w:val="1"/>
                  <w:bCs w:val="1"/>
                  <w:color w:val="0000EE"/>
                  <w:w w:val="97"/>
                </w:rPr>
                <w:t>PROPOSAL 5: AMENDMENT AND RESTATEMENT OF THE 1996 EQUITY PARTICIPATION PLAN</w:t>
              </w:r>
            </w:hyperlink>
          </w:p>
        </w:tc>
        <w:tc>
          <w:tcPr>
            <w:tcW w:w="146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Overview</w:t>
              </w:r>
            </w:hyperlink>
          </w:p>
        </w:tc>
        <w:tc>
          <w:tcPr>
            <w:tcW w:w="8500" w:type="dxa"/>
            <w:vAlign w:val="bottom"/>
            <w:gridSpan w:val="3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Why You Should Vote for the Restated Equity Plan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Summary of the Restated Equity Plan</w:t>
              </w:r>
            </w:hyperlink>
          </w:p>
        </w:tc>
        <w:tc>
          <w:tcPr>
            <w:tcW w:w="920" w:type="dxa"/>
            <w:vAlign w:val="bottom"/>
            <w:tcBorders>
              <w:top w:val="single" w:sz="8" w:color="0000EE"/>
            </w:tcBorders>
            <w:gridSpan w:val="13"/>
          </w:tcPr>
          <w:p>
            <w:pPr>
              <w:spacing w:after="0"/>
              <w:rPr>
                <w:sz w:val="17"/>
                <w:szCs w:val="17"/>
                <w:color w:val="auto"/>
              </w:rPr>
            </w:pPr>
          </w:p>
        </w:tc>
        <w:tc>
          <w:tcPr>
            <w:tcW w:w="5600" w:type="dxa"/>
            <w:vAlign w:val="bottom"/>
            <w:gridSpan w:val="1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 Federal Income Tax Consequences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New Plan Benefits</w:t>
              </w:r>
            </w:hyperlink>
          </w:p>
        </w:tc>
        <w:tc>
          <w:tcPr>
            <w:tcW w:w="640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OWNERSHIP OF SECURITIES</w:t>
              </w:r>
            </w:hyperlink>
          </w:p>
        </w:tc>
        <w:tc>
          <w:tcPr>
            <w:tcW w:w="6920" w:type="dxa"/>
            <w:vAlign w:val="bottom"/>
            <w:gridSpan w:val="2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220" w:type="dxa"/>
            <w:vAlign w:val="bottom"/>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Beneficial Ownership Table</w:t>
              </w:r>
            </w:hyperlink>
          </w:p>
        </w:tc>
        <w:tc>
          <w:tcPr>
            <w:tcW w:w="7220" w:type="dxa"/>
            <w:vAlign w:val="bottom"/>
            <w:gridSpan w:val="3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Section 16(a) Beneficial Ownership Reporting Compliance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41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Hedging, Short Sale and Pledging Policies</w:t>
              </w:r>
            </w:hyperlink>
          </w:p>
        </w:tc>
        <w:tc>
          <w:tcPr>
            <w:tcW w:w="504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EXECUTIVE COMPENSATION</w:t>
              </w:r>
            </w:hyperlink>
          </w:p>
        </w:tc>
        <w:tc>
          <w:tcPr>
            <w:tcW w:w="6880" w:type="dxa"/>
            <w:vAlign w:val="bottom"/>
            <w:gridSpan w:val="2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6420" w:type="dxa"/>
            <w:vAlign w:val="bottom"/>
            <w:gridSpan w:val="2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6840" w:type="dxa"/>
            <w:vAlign w:val="bottom"/>
            <w:gridSpan w:val="2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Grants of Plan-Based Awards in Fiscal Year 2015</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500" w:type="dxa"/>
            <w:vAlign w:val="bottom"/>
            <w:tcBorders>
              <w:right w:val="single" w:sz="8" w:color="0000EE"/>
            </w:tcBorders>
            <w:gridSpan w:val="1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Outstanding Equity Awards at 2015 Fiscal Year End</w:t>
              </w:r>
            </w:hyperlink>
          </w:p>
        </w:tc>
        <w:tc>
          <w:tcPr>
            <w:tcW w:w="552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Vested in Fiscal Year 2015</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38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Equity Compensation Plan Information</w:t>
              </w:r>
            </w:hyperlink>
          </w:p>
        </w:tc>
        <w:tc>
          <w:tcPr>
            <w:tcW w:w="534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Pension Benefits</w:t>
              </w:r>
            </w:hyperlink>
          </w:p>
        </w:tc>
        <w:tc>
          <w:tcPr>
            <w:tcW w:w="6440" w:type="dxa"/>
            <w:vAlign w:val="bottom"/>
            <w:gridSpan w:val="2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5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gridSpan w:val="2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Non-qualified Deferred Compensation</w:t>
              </w:r>
            </w:hyperlink>
          </w:p>
        </w:tc>
        <w:tc>
          <w:tcPr>
            <w:tcW w:w="6480" w:type="dxa"/>
            <w:vAlign w:val="bottom"/>
            <w:gridSpan w:val="2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2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Potential Payments Upon Termination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82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 Compensation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Compensation Committee Interlocks and Insider Participation</w:t>
              </w:r>
            </w:hyperlink>
          </w:p>
        </w:tc>
        <w:tc>
          <w:tcPr>
            <w:tcW w:w="446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0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CERTAIN RELATIONSHIPS AND RELATED TRANSACTIONS</w:t>
              </w:r>
            </w:hyperlink>
          </w:p>
        </w:tc>
        <w:tc>
          <w:tcPr>
            <w:tcW w:w="402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220" w:type="dxa"/>
            <w:vAlign w:val="bottom"/>
          </w:tcPr>
          <w:p>
            <w:pPr>
              <w:spacing w:after="0"/>
              <w:rPr>
                <w:sz w:val="17"/>
                <w:szCs w:val="17"/>
                <w:color w:val="auto"/>
              </w:rPr>
            </w:pPr>
          </w:p>
        </w:tc>
        <w:tc>
          <w:tcPr>
            <w:tcW w:w="8820" w:type="dxa"/>
            <w:vAlign w:val="bottom"/>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Review and Approval of Related Party Transactions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20" w:type="dxa"/>
            <w:vAlign w:val="bottom"/>
          </w:tcPr>
          <w:p>
            <w:pPr>
              <w:spacing w:after="0"/>
              <w:rPr>
                <w:sz w:val="17"/>
                <w:szCs w:val="17"/>
                <w:color w:val="auto"/>
              </w:rPr>
            </w:pPr>
          </w:p>
        </w:tc>
        <w:tc>
          <w:tcPr>
            <w:tcW w:w="3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Related Party Transactions</w:t>
              </w:r>
            </w:hyperlink>
          </w:p>
        </w:tc>
        <w:tc>
          <w:tcPr>
            <w:tcW w:w="516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AUDIT COMMITTEE REPORT</w:t>
              </w:r>
            </w:hyperlink>
          </w:p>
        </w:tc>
        <w:tc>
          <w:tcPr>
            <w:tcW w:w="652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r>
      <w:tr>
        <w:trPr>
          <w:trHeight w:val="196"/>
        </w:trPr>
        <w:tc>
          <w:tcPr>
            <w:tcW w:w="9040" w:type="dxa"/>
            <w:vAlign w:val="bottom"/>
            <w:gridSpan w:val="11"/>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MATTERS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0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6"/>
              </w:rPr>
            </w:pPr>
            <w:hyperlink w:anchor="page58">
              <w:r>
                <w:rPr>
                  <w:rFonts w:ascii="Arial" w:cs="Arial" w:eastAsia="Arial" w:hAnsi="Arial"/>
                  <w:sz w:val="18"/>
                  <w:szCs w:val="18"/>
                  <w:b w:val="1"/>
                  <w:bCs w:val="1"/>
                  <w:color w:val="0000EE"/>
                  <w:w w:val="96"/>
                </w:rPr>
                <w:t>APPENDIX A: EMPLOYEE STOCK PURCHASE PLAN, AS AMENDED AND RESTATED</w:t>
              </w:r>
            </w:hyperlink>
          </w:p>
        </w:tc>
        <w:tc>
          <w:tcPr>
            <w:tcW w:w="200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A-1</w:t>
            </w:r>
          </w:p>
        </w:tc>
      </w:tr>
      <w:tr>
        <w:trPr>
          <w:trHeight w:val="196"/>
        </w:trPr>
        <w:tc>
          <w:tcPr>
            <w:tcW w:w="9040" w:type="dxa"/>
            <w:vAlign w:val="bottom"/>
            <w:gridSpan w:val="11"/>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APPENDIX B: 1996 EQUITY PARTICIPATION PLAN, AS AMENDED AND RESTATED</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B-1</w:t>
            </w:r>
          </w:p>
        </w:tc>
      </w:tr>
      <w:tr>
        <w:trPr>
          <w:trHeight w:val="20"/>
        </w:trPr>
        <w:tc>
          <w:tcPr>
            <w:tcW w:w="2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67310</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16, 2015 at</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8:30 a.m. Pacific Time at the corporate offices of ViaSat located at 6155 El Camino Real, Founders Hall, Carlsbad, California, and at any adjournments or postponements of the meeting, for the purposes set forth in the Notice of Annual Meeting of Stockholders.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ANNUAL MEETING AND VOTING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2015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intend to begin mailing this proxy statement, the attached notice of annual meeting and the enclosed proxy card on or about July 24, 2015 to all stockholders of record entitled to vote at the annual meeting. Only stockholders who owned ViaSat common stock on the record date, July 20, 2015, are entitled to vote at the annual meeting. On this record date, there were approximately 48,030,727 shares of ViaSat common stock outstanding. Common stock is our only class of stock entitled to vote. We are also sending along with this proxy statement our fiscal year 2015 annual report, which includes our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90" w:lineRule="exact"/>
        <w:rPr>
          <w:sz w:val="20"/>
          <w:szCs w:val="20"/>
          <w:color w:val="auto"/>
        </w:rPr>
      </w:pPr>
    </w:p>
    <w:p>
      <w:pPr>
        <w:ind w:left="660" w:right="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Frank J. Biondi, Jr., Robert Johnson and John Stenbit to serve as Class I Directors for a three-year term to expire at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 accounting firm for the 2016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advisory vote on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The amendment and restatement of the Employee Stock Purchase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5</w:t>
      </w:r>
      <w:r>
        <w:rPr>
          <w:rFonts w:ascii="Arial" w:cs="Arial" w:eastAsia="Arial" w:hAnsi="Arial"/>
          <w:sz w:val="18"/>
          <w:szCs w:val="18"/>
          <w:color w:val="auto"/>
        </w:rPr>
        <w:t>: The amendment and restatement of the 1996 Equity Participation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84" w:lineRule="exact"/>
        <w:rPr>
          <w:sz w:val="20"/>
          <w:szCs w:val="20"/>
          <w:color w:val="auto"/>
        </w:rPr>
      </w:pPr>
    </w:p>
    <w:p>
      <w:pPr>
        <w:ind w:left="5680" w:right="4560" w:hanging="5226"/>
        <w:spacing w:after="0" w:line="533"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the director nominees listed in this proxy statement (Proposal 1); 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as ViaSat’s independent registered public accounting firm (Proposal 2);</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executive compensation (Proposal 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and restatement of the Employee Stock Purchase Plan (Proposal 4);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and restatement of the 1996 Equity Participation Plan (Proposal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one vote for every share of ViaSat common stock that you own as of July 20,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record date, July 20, 2015,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20, 2015.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quorum is present when at least a majority of the outstanding shares entitled to vote are represented at the annual meeting either in person or by proxy.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year, approximately 24,015,365 shares must be represented to constitute a quorum at the meeting and permit us to conduct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our transfer agent, Computershare.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2016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tabulating the voting results for each proposal, neither abstentions nor shares that constitute broker non-votes are considered votes cast on that proposal.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Thus, abstentions and broker non-votes will not affect the outcome of any matter being voted on at the meeting, assuming that a quorum is obtained.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3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 (760) 476-2633. We will promptly send additional copies of the annual report or proxy statement upon receipt of such request.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ViaSat annual meeting of stockholders to be held on September 16, 2015</w:t>
      </w:r>
    </w:p>
    <w:p>
      <w:pPr>
        <w:spacing w:after="0" w:line="11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auto"/>
        </w:rPr>
        <w:t>This proxy statement and our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stockholders are available on the Investor Relations section of our website at </w:t>
      </w:r>
      <w:r>
        <w:rPr>
          <w:rFonts w:ascii="Arial" w:cs="Arial" w:eastAsia="Arial" w:hAnsi="Arial"/>
          <w:sz w:val="16"/>
          <w:szCs w:val="16"/>
          <w:b w:val="1"/>
          <w:bCs w:val="1"/>
          <w:i w:val="1"/>
          <w:iCs w:val="1"/>
          <w:color w:val="auto"/>
        </w:rPr>
        <w:t>investors.viasat.com</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stockholder of record, you can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Primary Responsibilities. </w:t>
      </w:r>
      <w:r>
        <w:rPr>
          <w:rFonts w:ascii="Arial" w:cs="Arial" w:eastAsia="Arial" w:hAnsi="Arial"/>
          <w:sz w:val="16"/>
          <w:szCs w:val="16"/>
          <w:color w:val="auto"/>
        </w:rPr>
        <w:t>The Board of Directors is the company’s governing body, responsible for overseeing ViaSat’s Chief Executive Officer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management in the competent and ethical operation of the company on a day-to-day basis and assuring that the long-term interests of the stockholders are being served. To satisfy its duties, directors are expected to take a proactive, focused approach to their position, and set standards to ensure that the company is committed to business success through the maintenance of high standards of responsibility and ethics.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We take a comprehensive approach to risk management which is reflected in the reporting processes by which our management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comprehensive information to the Board to support the Board’s role in oversight, approval and decision-making. Our senior management is responsible for assessing and managing the company’s various exposures to risk on a day-to-day basis, including the creation of appropriate risk management programs and policies. The Board is responsible for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Independence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currently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14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of Directors is not considered independent if, for example, he or she is (1) an employee of ViaSat, or (2) a partner in, or a controlling shareholder or an executive officer of, an entity to which ViaSat made, or from which ViaSat received, payments in the current or any of the past three fiscal years that exceed 5% of the recipient’s consolidated gross revenues for that year.</w:t>
      </w:r>
    </w:p>
    <w:p>
      <w:pPr>
        <w:spacing w:after="0" w:line="14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None of the directors were disqualified from independent status under the objective standards, other than Mr. Dankberg, who does not qualify as independent because he is a ViaSat employee. The subjective evaluation of director independence by the Board of Directors was made in the context of the objective standards by taking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result of this evaluation, the Board of Directors affirmatively determined that each member of the Board other than Mr. Dankberg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this proxy statement, our Board of Directors has eight directors and the following four standing committees: (1) Audit Committee,</w:t>
      </w:r>
    </w:p>
    <w:p>
      <w:pPr>
        <w:spacing w:after="0" w:line="38" w:lineRule="exact"/>
        <w:rPr>
          <w:sz w:val="20"/>
          <w:szCs w:val="20"/>
          <w:color w:val="auto"/>
        </w:rPr>
      </w:pPr>
    </w:p>
    <w:p>
      <w:pPr>
        <w:ind w:right="40" w:firstLine="8"/>
        <w:spacing w:after="0" w:line="287"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During our fiscal year ended April 3, 2015, the Board held eight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except for Mr. Biondi (who was appointed as a director only after the fiscal year had ended) and Mr. Bowman. Although we do not have a formal policy regarding attendance by members of our Board at our annual meeting of stockholders, we encourage the attendance of our directors and director nominees at our annual meeting, and historically more than a majority have done so. Six of our directors attended last year’s annual meeting of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Nomination,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Evaluation and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Human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Banking and</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6140" w:type="dxa"/>
            <w:vAlign w:val="bottom"/>
            <w:vMerge w:val="restart"/>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Resources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Governance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6140" w:type="dxa"/>
            <w:vAlign w:val="bottom"/>
            <w:vMerge w:val="continue"/>
          </w:tcPr>
          <w:p>
            <w:pPr>
              <w:spacing w:after="0"/>
              <w:rPr>
                <w:sz w:val="14"/>
                <w:szCs w:val="14"/>
                <w:color w:val="auto"/>
              </w:rPr>
            </w:pPr>
          </w:p>
        </w:tc>
        <w:tc>
          <w:tcPr>
            <w:tcW w:w="12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Frank J. Biondi, Jr. (1)</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Bowman</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Meetings in Fiscal Year 2015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4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Biondi was appointed as a director on April 8, 2015, and appointed as a member of the Audit Committee and Compensation and Human Resources Committee on May 5, 2015.</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reviews the professional services provided by our independent registered public accounting firm,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five members of our Audit Committee is an “audit committee financial expert” as defined by the rules of the SEC. The responsibilities and activities of the Audit Committee are described in greater detail in the Audit Committee Report.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Compensation and Human Resources Committee</w:t>
      </w:r>
      <w:r>
        <w:rPr>
          <w:rFonts w:ascii="Arial" w:cs="Arial" w:eastAsia="Arial" w:hAnsi="Arial"/>
          <w:sz w:val="16"/>
          <w:szCs w:val="16"/>
          <w:color w:val="auto"/>
        </w:rPr>
        <w:t>. The Compensation and Human Resources Committee is responsible for designing and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ViaSat’s compensation plans, policies and programs, including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the Compensation Discussion and Analysis section of this proxy statement.</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Nomination, Evaluation and Corporate Governance Committee</w:t>
      </w:r>
      <w:r>
        <w:rPr>
          <w:rFonts w:ascii="Arial" w:cs="Arial" w:eastAsia="Arial" w:hAnsi="Arial"/>
          <w:sz w:val="16"/>
          <w:szCs w:val="16"/>
          <w:color w:val="auto"/>
        </w:rPr>
        <w:t>. The Nomination, Evaluation and Corporate Governance Committee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recommendation to the Board of a set of corporate governance guidelines and principles, provides oversight of the process for the self-assessment by the Board and each of its committees, reviews and recommends nominees for election as directors and committee members, conducts the evaluation of our Chief Executive Officer, and advises the Board with respect to Board and committee composition.</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Banking and Finance Committee</w:t>
      </w:r>
      <w:r>
        <w:rPr>
          <w:rFonts w:ascii="Arial" w:cs="Arial" w:eastAsia="Arial" w:hAnsi="Arial"/>
          <w:sz w:val="18"/>
          <w:szCs w:val="18"/>
          <w:color w:val="auto"/>
        </w:rPr>
        <w:t>. The Banking and Finance Committee oversees certain aspects of corporate finance for the company, and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recommendations to the Board about the company’s financial affairs and policies, including short and long-term financing plans, objectives and principles, borrowings or the issuance of debt and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Nomination, Evaluation and Corporate Governance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and experience, practical and mature business judgment, and with respect to current directors, performance on the ViaSat Board. These factors, and any other qualifications considered useful by the Nomination, Evaluation and Corporate Governance Committee, are reviewed in the context of an assessment of the perceived needs of the Board at a particular point in time. As a result, the priorities and emphasis of the Nomination, Evaluation and Corporate Governance Committee with regard to these factors may change from time to time to take into account changes in our business and other trends, as well as the portfolio of skills and experience of current and prospective Board members.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recommending candidates for election to the Board of Directors, the Nomination, Evaluation and Corporate Governance Committee considers nominees recommended by directors, management and stockholders using the same criteria to evaluate all candidates. The Nomination, Evaluation and Corporate Governance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Evaluation and Corporate Governance Committee recommends the candidate for consideration by the full Board of Directors. The Nomination, Evaluation and Corporate Governance Committee may engage consultants or third party search firms to assist in identifying and evaluating potential nominees.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Nomination, Evaluation and Corporate Governance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authorized number of directors is presently eight. In accordance with our certificate of incorporation, we divide our Board of Directors into three classes, with Class I and Class II consisting of three members, and Class III consisting of two members. We elect one class of directors to serve a three-year term at each annual meeting of stockholders. At this year’s annual meeting of stockholders, we will elect three Class I Directors to hold office until the 2018 annual meeting. At next year’s annual meeting of stockholders, we will elect three Class II directors to hold office until the 2019 annual meeting, and the following year, we will elect two Class III Directors to hold office until the 2020 annual meeting. Thereafter, elections will continue in a similar manner at subsequent annual meetings. Each elected director will continue to serve until his successor is duly elected or appointed.</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Board of Directors unanimously nominated Frank J. Biondi, Jr., Robert Johnson and John Stenbit as Class I nominees for election to the Board. Unless proxy cards are otherwise marked, the persons named as proxies will vote all proxies received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Mr. Biondi, Mr. Johnson and Mr. Stenbit.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spacing w:after="0"/>
              <w:rPr>
                <w:sz w:val="15"/>
                <w:szCs w:val="15"/>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Position with ViaSat</w:t>
            </w:r>
          </w:p>
        </w:tc>
        <w:tc>
          <w:tcPr>
            <w:tcW w:w="23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Term Expires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r>
      <w:tr>
        <w:trPr>
          <w:trHeight w:val="203"/>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34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CCEEFF"/>
            </w:tcBorders>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and Chief Executive Officer</w:t>
            </w: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2017</w:t>
            </w: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III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Bowman</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56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III</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at this Annual Meeting</w:t>
      </w:r>
    </w:p>
    <w:p>
      <w:pPr>
        <w:spacing w:after="0" w:line="96"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i w:val="1"/>
          <w:iCs w:val="1"/>
          <w:color w:val="auto"/>
        </w:rPr>
        <w:t xml:space="preserve">Frank J. Biondi, Jr. </w:t>
      </w:r>
      <w:r>
        <w:rPr>
          <w:rFonts w:ascii="Arial" w:cs="Arial" w:eastAsia="Arial" w:hAnsi="Arial"/>
          <w:sz w:val="18"/>
          <w:szCs w:val="18"/>
          <w:color w:val="auto"/>
        </w:rPr>
        <w:t>has served as a director of ViaSat since April 2015. Mr. Biondi provides our Board with leadership expertise and expansive board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resulting from his top executive roles at various corporations in the television and entertainment industries. Mr. Biondi currently serves as Senior Managing Director of WaterView Advisors LLC, a private equity fund specializing in media, a position he has held since 1999. Prior to joining WaterView Advisors, Mr. Biondi was Chairman and CEO of Universal Studios from 1996 through 1998, served as President and CEO of Viacom Inc. from 1987 to 1996, and served as Chairman and CEO of Coca Cola Television and an Executive Vice President of the Entertainment Business Sector of the Coca Cola Company from 1985 through 1987. Mr. Biondi currently serves on the Board of Directors of Amgen, Inc., Cablevision Systems Corporation, Seagate Technology PLC and RealD Inc. Mr. Biondi previously served on the Board of Directors of Hasbro, Inc. from 2002 until May 2015, the Board of Directors of Yahoo! Inc. from 2008 until 2010 and the Board of Directors of Harrah’s Entertainment from 2002 to 2008. He is a graduate of Princeton University and earned an MBA from Harvard University.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Robert Johnson </w:t>
      </w:r>
      <w:r>
        <w:rPr>
          <w:rFonts w:ascii="Arial" w:cs="Arial" w:eastAsia="Arial" w:hAnsi="Arial"/>
          <w:sz w:val="16"/>
          <w:szCs w:val="16"/>
          <w:color w:val="auto"/>
        </w:rPr>
        <w:t>has been a director of ViaSat since 1986. Mr. Johnson brings significant business and corporate finance expertise to our Board through his</w:t>
      </w:r>
      <w:r>
        <w:rPr>
          <w:rFonts w:ascii="Arial" w:cs="Arial" w:eastAsia="Arial" w:hAnsi="Arial"/>
          <w:sz w:val="16"/>
          <w:szCs w:val="16"/>
          <w:i w:val="1"/>
          <w:iCs w:val="1"/>
          <w:color w:val="auto"/>
        </w:rPr>
        <w:t xml:space="preserve"> </w:t>
      </w:r>
      <w:r>
        <w:rPr>
          <w:rFonts w:ascii="Arial" w:cs="Arial" w:eastAsia="Arial" w:hAnsi="Arial"/>
          <w:sz w:val="16"/>
          <w:szCs w:val="16"/>
          <w:color w:val="auto"/>
        </w:rPr>
        <w:t>role as an investor in companies in various industries.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Caltech, UCLA Anderson School of Management and the Claremont Graduate School. Mr. Johnson earned B.S. and M.S. degrees in Electrical Engineering from Stanford University and M.B.A. and D.B.A. degrees from the Harvard Business School.</w:t>
      </w:r>
    </w:p>
    <w:p>
      <w:pPr>
        <w:spacing w:after="0" w:line="11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John Stenbit </w:t>
      </w:r>
      <w:r>
        <w:rPr>
          <w:rFonts w:ascii="Arial" w:cs="Arial" w:eastAsia="Arial" w:hAnsi="Arial"/>
          <w:sz w:val="16"/>
          <w:szCs w:val="16"/>
          <w:color w:val="auto"/>
        </w:rPr>
        <w:t>has been a director of ViaSat since August 2004, and is a consultant for various government and commercial clients. Mr. Stenbit provides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with significant technological, defense and national security expertise as a result of his distinguished career of corporate and government service focused on the communications, aerospace and satellite fields. From 2001 to his retirement in March 2004, Mr. Stenbit served as the Assistant Secretary of Defense for Command, Control, Communications, and Intelligence (C3I) and later as Assistant Secretary of Defense of Networks and Information Integration / Department of Defense Chief Information Officer, the C3I successor organization. From 1977 to 2001, Mr. Stenbit worked for TRW, retiring as Executive Vice President.</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Stenbit was a Fulbright Fellow and Aerospace Corporation Fellow at the Technische Hogeschool, Einhoven, Netherlands. Mr. Stenbit has chaired the Science Advisory Panel to the Director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 of directors of Loral Space &amp; Communications Inc. (Nasdaq: LORL) and Defense Group Inc., a private corporation. He also serves on the board of trustees of The Mitre Corp., a not-for-profit corporation, and as a member of the Advisory Boards of the National Security Agency and the Science Advisory Group of the U.S. Strategic Command. Mr. Stenbit previously served as a director of Cogent, Inc., SM&amp;A Corporation and SI International, Inc.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2016</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Bob Bowman </w:t>
      </w:r>
      <w:r>
        <w:rPr>
          <w:rFonts w:ascii="Arial" w:cs="Arial" w:eastAsia="Arial" w:hAnsi="Arial"/>
          <w:sz w:val="16"/>
          <w:szCs w:val="16"/>
          <w:color w:val="auto"/>
        </w:rPr>
        <w:t>has served as a director of ViaSat since April 2013. Mr. Bowman provides valuable insights to our Board as a result of his experience as a</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various media companies, his knowledge of digital media, and his extensive financial experience in both the public and private sectors. Mr. Bowman serves as President of Business and Media of Major League Baseball Advanced Media, L.P., which manages the interactive and internet rights for Major League Baseball, a position he has held since its inception in 2000. Prior to joining MLB Advanced Media, he was President and Chief Operations Officer of ITT Corporation from 1995 to 2000, where he previously served as Chief Financial Officer from 1991 to 1995. Mr. Bowman served as Treasurer of the State of Michigan from 1983 to 1990, overseeing its tax policy and collection and the state’s pension fund. He currently serves as President of the Michigan Education Trust and as a member of the board of directors of Take-Two Interactive Software, Inc. and Vince Holding Corp. Mr. Bowman also formerly served on the board of directors of Blockbuster Inc., The Warnaco Group, Inc. and World Wrestling Entertainment, Inc.</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B. Allen Lay </w:t>
      </w:r>
      <w:r>
        <w:rPr>
          <w:rFonts w:ascii="Arial" w:cs="Arial" w:eastAsia="Arial" w:hAnsi="Arial"/>
          <w:sz w:val="16"/>
          <w:szCs w:val="16"/>
          <w:color w:val="auto"/>
        </w:rPr>
        <w:t>has been a director of ViaSat since 1996. Mr. Lay brings significant business and financial expertise to our Board due to his background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in companies in various fields.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formerly served as the President and Chief Operating Officer of CADO Systems, Inc., and Chief Executive Officer of Meridian Data Inc. and Westbrae Natural Inc. He has served on a number of boards of directors of companies both private and public, and currently serves on the board of directors of Carley Lamps, LLC and NPI, LLC.</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Dr. Jeffrey Nash </w:t>
      </w:r>
      <w:r>
        <w:rPr>
          <w:rFonts w:ascii="Arial" w:cs="Arial" w:eastAsia="Arial" w:hAnsi="Arial"/>
          <w:sz w:val="18"/>
          <w:szCs w:val="18"/>
          <w:color w:val="auto"/>
        </w:rPr>
        <w:t>has been a director of ViaSat since 1987. Dr. Nash provides our Board with significant operational and financial expertise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 as an executive of, investor in, and consultant to technology companies in various fields, including communications, aerospace and defense. From 2003 to 2009, Dr. Nash was President and Chairman of Inclined Plane Inc., a privately-held consulting and intellectual property development company serving the defense, communications and media industries. Dr. Nash also brings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significant expertise and perspective through his service as a member of the boards of directors of private and public companies in various industries, including defense. Dr. Nash previously served as a director of REMEC, Inc., a former manufacturer of microwave products for defense, commercial communications and related applications, and Pepperball Technologies, Inc., a former manufacturer of non-lethal personal defense equipment for law enforcement, security and personal defense applications.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in 2017</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a majority-owned subsidiary of ViaSat that develops advanced signal processing technologies for communication applications, and was a director of REMEC, Inc. In addition, Mr. Dankberg serves on the board of Minnetronix, Inc., a privately-held medical device and design company, and was elected to the Rice University Board of Trustees in 2013.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Harvey White </w:t>
      </w:r>
      <w:r>
        <w:rPr>
          <w:rFonts w:ascii="Arial" w:cs="Arial" w:eastAsia="Arial" w:hAnsi="Arial"/>
          <w:sz w:val="16"/>
          <w:szCs w:val="16"/>
          <w:color w:val="auto"/>
        </w:rPr>
        <w:t>has been a director of ViaSat since May 2005. Mr. White provides our Board with significant operational, management and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as an executive of large complex organizations in various industries, including wireless communications. Since June 2004, Mr. White has served as Chairman of (SHW)2 Enterprises, a business development and consulting firm. From September 1998 through June 2004, Mr. White served as Chairman and Chief Executive Officer of Leap Wireless International, Inc. Leap Wireless filed a voluntary petition for relief under Chapter 11 of the U.S. Bankruptcy Code in April 2003, and completed its financial restructuring and emerged from bankruptcy in August 2004. Prior to Leap Wireless, Mr. White was a co-founder of QUALCOMM Incorporated (Nasdaq: QCOM) where he held various positions including director, President and Chief Operating Officer. Mr. White also has significant expertise and perspective as a member of the boards of directors of private and public companies in various industries. Mr. White formerly served on the board of directors of Applied Micro Circuits Corporation (Nasdaq: AMCC) and Motive, Inc. Mr. White attended West Virginia Wesleyan College and Marshall University where he earned a B.A. degree in Economics.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Biondi, Mr. Johnson and Mr. Stenbit.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Audit Committee has selected PricewaterhouseCoopers LLP as ViaSat’s independent registered public accounting firm for our fiscal year ending March 31, 2016.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by PricewaterhouseCoopers for professional services rendered for the fiscal years ended April 3, 2015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4,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FY</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2015 Fees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2014 Fees</w:t>
            </w:r>
          </w:p>
        </w:tc>
        <w:tc>
          <w:tcPr>
            <w:tcW w:w="0" w:type="dxa"/>
            <w:vAlign w:val="bottom"/>
          </w:tcPr>
          <w:p>
            <w:pPr>
              <w:spacing w:after="0"/>
              <w:rPr>
                <w:sz w:val="1"/>
                <w:szCs w:val="1"/>
                <w:color w:val="auto"/>
              </w:rPr>
            </w:pPr>
          </w:p>
        </w:tc>
      </w:tr>
      <w:tr>
        <w:trPr>
          <w:trHeight w:val="168"/>
        </w:trPr>
        <w:tc>
          <w:tcPr>
            <w:tcW w:w="8480" w:type="dxa"/>
            <w:vAlign w:val="bottom"/>
            <w:gridSpan w:val="3"/>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Audit Fees</w:t>
            </w:r>
          </w:p>
        </w:tc>
        <w:tc>
          <w:tcPr>
            <w:tcW w:w="7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2,196,168</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1,979,025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69,941</w:t>
            </w:r>
          </w:p>
        </w:tc>
        <w:tc>
          <w:tcPr>
            <w:tcW w:w="760" w:type="dxa"/>
            <w:vAlign w:val="bottom"/>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2,325,529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2,127,965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consolidated financial statements and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consists of assurance and related services provided by PricewaterhouseCoopers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professional services rendered by PricewaterhouseCoopers, primarily in connection with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and tax advice activities. These services include assistance with the preparation of tax returns, claims for refunds, value added tax compliance, and consultations on state, local and international tax matters.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on-line research tool.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2015, the fees paid to PricewaterhouseCoopers shown in the table above were pre-approved in accordance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as ViaSat’s independent registered public accounting firm.</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providing ViaSat stockholders with an opportunity to cast an advisory vote to endorse or not endorse the compensation of our Named Executive Officers (defined below)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our last annual meeting of stockholders held in September 2014, an overwhelming majority of the votes cast on the say-on-pay proposal were voted in favor of the proposal. We were gratified that, at our last annual meeting, approximately 90% of the votes cast by our stockholders supported our executive compensation program. Our Board of Directors believes this affirms stockholders’ support of ViaSat’s approach to executive compensation.</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executives with the interests of our stockholders by linking a substantial portion of compensation to the company’s performance. The program is designed to reward superior performance and provide financial consequences for underperformance. The program is also designed to attract, retain and motivate a talented team of executives with superior ability, experience and leadership to grow the company’s business and build stockholder value. We urge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request stockholder approval, on an advisory basis, of the compensation of ViaSat’s Named Executive Officers, as disclosed in ViaSat’s proxy statement for the 2015 annual meeting of stockholders pursuant to the compensation disclosure rules of the SEC, including the Compensation Discussion and Analysis, the Summary Compensation Table and the other related compensation tables and disclosure.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Consistent with the preference of our stockholders as reflected in our prior non-binding advisory vote on the frequency of future say-on-pay votes, this say-on-pay advisory vote will be presented on an annual basis unless otherwise disclosed. Following this year’s advisory vote, the next scheduled say-on-pay advisory vote will take place at our 2016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compensation of the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RESTATEMENT OF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 STOCK PURCHASE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June 16, 2015, our Board of Directors approved the Restated Purchase Plan, subject to stockholder approval at the annual meeting. The Restated Purchase Plan will become effective on the day of the annual meeting, assuming approval of this Proposal 4 by our stockholders.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approved by the stockholders, the Restated Purchase Plan will provide for an increase of 300,000 shares over the number of shares of common stock currently authorized for issuance under the existing Purchase Plan, for a total of 2,850,000 shares. As of July 1, 2015, only 184,909 shares remained available for purchase under the existing Purchase Plan.</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Purchase Plan (as described below) that are intended to qualify for favorable tax treatment under Section 423 of the U.S. Internal Revenue Code of 1986, as amended (the Code).</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this Proposal 4 is not approved, the Restated Purchase Plan will not become effective, the existing Purchase Plan will continue in full force and effect, and we may continue to grant purchase rights under the existing Purchase Plan, subject to its terms, conditions and limitations, using the shares available for issuance thereunder.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RECOMMENDS THAT YOU VOTE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AMENDMENT AND RESTATEMENT OF THE PURCHASE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Should Vote for the Restated Purchase Plan</w:t>
      </w:r>
    </w:p>
    <w:p>
      <w:pPr>
        <w:spacing w:after="0" w:line="96"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i w:val="1"/>
          <w:iCs w:val="1"/>
          <w:color w:val="auto"/>
        </w:rPr>
        <w:t xml:space="preserve">The Purchase Plan is a Valuable Retention Tool. </w:t>
      </w:r>
      <w:r>
        <w:rPr>
          <w:rFonts w:ascii="Arial" w:cs="Arial" w:eastAsia="Arial" w:hAnsi="Arial"/>
          <w:sz w:val="16"/>
          <w:szCs w:val="16"/>
          <w:color w:val="auto"/>
        </w:rPr>
        <w:t>We firmly believe that the Purchase Plan is a necessary and powerful incentive and retention tool that</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w:t>
      </w:r>
    </w:p>
    <w:p>
      <w:pPr>
        <w:spacing w:after="0" w:line="1" w:lineRule="exact"/>
        <w:rPr>
          <w:sz w:val="20"/>
          <w:szCs w:val="20"/>
          <w:color w:val="auto"/>
        </w:rPr>
      </w:pPr>
    </w:p>
    <w:p>
      <w:pPr>
        <w:ind w:right="10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incentive for continued employment. The Restated Purchase Plan will also continue to align the interests of employees with those of stockholders through increased stock ownership.</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The Purchase Plan Will No Longer Have Shares Available for Grant</w:t>
      </w:r>
      <w:r>
        <w:rPr>
          <w:rFonts w:ascii="Arial" w:cs="Arial" w:eastAsia="Arial" w:hAnsi="Arial"/>
          <w:sz w:val="16"/>
          <w:szCs w:val="16"/>
          <w:color w:val="auto"/>
        </w:rPr>
        <w:t>. As of July 1, 2015, 184,909 shares remained available for purchase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Plan. Based on historical usage, we estimate that these shares would only be sufficient for the next two offering periods, after which the remaining shares would be insufficient to meet the anticipated demand for shares under the Purchase Plan during the offering period that commences on July 1, 2016. Thus, the increase in the shares available for issuance under the Purchase Plan pursuant to the amendment and restatement is necessary to allow us to continue to provide an employee stock purchase plan beyond July 1, 2016 without interruption.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Factors Considered in Determining Proposed Increase to Share Reserve</w:t>
      </w:r>
      <w:r>
        <w:rPr>
          <w:rFonts w:ascii="Arial" w:cs="Arial" w:eastAsia="Arial" w:hAnsi="Arial"/>
          <w:sz w:val="16"/>
          <w:szCs w:val="16"/>
          <w:color w:val="auto"/>
        </w:rPr>
        <w:t>. Our Board of Directors approved the amendment and restatement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Plan based upon a recommendation of the Compensation and Human Resources Committee. In making its determination, the Compensation and Human Resources Committee and the Board of Directors considered various factors in determining the appropriate number of shares to be added to the share reserve under the Purchase Plan, including an analysis of certain burn rate, dilution and overhang metrics and the costs of the increase in the share reserve.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fiscal year 2015, 2014 and 2013 annual gross burn rates for the Purchase Plan were 0.32%, 0.30% and 0.36%, respectively (calculated by dividing the number of shares issued under the Purchase Plan during the applicable fiscal year by the weighted-average number of shares outstanding during such fiscal year). This represents a three-year average burn rate of 0.33% of common shares outstanding.</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fiscal years 2015, 2014 and 2013, our fiscal year end overhang rates for the Purchase Plan were 0.56%, 0.90% and 1.23%, respectively (calculated by dividing the number of shares remaining available for issuance under the Purchase Plan by the number of our shares outstanding at the end of the applicable fiscal year). If approved, the issuance of the additional 300,000 shares to be reserved under the Restated Purchase Plan would dilute the holdings of stockholders by an additional 0.62%, based on the number of shares of ViaSat common stock outstanding as of July 1, 2015.</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Based on this historical usage of shares under the Purchase Plan, we estimate that the 300,000 additional authorized shares being requested under the Restated Purchase Plan would be sufficient for awards for approximately four additional six-month offering periods (or through approximately July 1, 2018, however, we reserve the right to request additional shares for issuance under the Restated Purchase Plan prior to that date). However, the actual usage rate of the Purchase Plan may differ from historical usage rates and will depend on various factors, including employee participation levels, changes in our stock price and hiring activity, which we cannot predict with any degree of certainty at this time. The total aggregate equity value of the 300,000 additional shares being requested, based on the per share closing price of ViaSat common stock on July 1, 2015 ($60.68), is approximately $18.2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Restated Purchase Plan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General Nature and Purpose</w:t>
      </w:r>
      <w:r>
        <w:rPr>
          <w:rFonts w:ascii="Arial" w:cs="Arial" w:eastAsia="Arial" w:hAnsi="Arial"/>
          <w:sz w:val="16"/>
          <w:szCs w:val="16"/>
          <w:color w:val="auto"/>
        </w:rPr>
        <w:t>. The primary purpose of the Restated Purchase Plan is to provide employees an opportunity to participate in the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by purchasing common stock of ViaSat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ViaSat benefits from the periodic investments of capital provided by participants in the Restated Purchase Plan.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Code Section 423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Restated Purchase Plan will be administered by the Compensation and Human Resources Committee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the Restated Purchase Plan, the plan administrator determines 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Purchase Plan will govern any sub-plan unless superseded by the terms of such sub-plan.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Shares Subject to Restated Purchase Plan</w:t>
      </w:r>
      <w:r>
        <w:rPr>
          <w:rFonts w:ascii="Arial" w:cs="Arial" w:eastAsia="Arial" w:hAnsi="Arial"/>
          <w:sz w:val="18"/>
          <w:szCs w:val="18"/>
          <w:color w:val="auto"/>
        </w:rPr>
        <w:t>. The Purchase Plan currently provides for the issuance of up to 2,550,000 shares of our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184,909 shares remain available for issuance as of July 1, 2015). If this Proposal 4 is approved, the Restated Purchase Plan will provide for the issuance of up to 2,850,000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Only employees may participate in the Restated Purchase Plan. For this purpose, an “employee” is any person who is regularly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ViaSat or any of its majority-owned subsidiaries which have been designated by the Board of Directors as participating companies under the Restated Purchase Plan and who has been employed by a participating company for not less than five calendar days prior to the beginning of an offering period. No employee will be permitted to subscribe for shares 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Restated Purchase Plan (valued at the time such purchase right is granted) for each calendar year during which such purchase right is outstanding. An employee may purchase up to 100,000 shares during an offering period under the Restated Purchase Plan. Any payroll deductions not applied to the purchase of shares due to the application of this limitation will be refunded to the participant. Participation in the Section 423 Component is further subject to the eligibility requirements of Section 423 of the Code.</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with respect to the Non-Section 423 Component, all of the foregoing rules will apply in determining who is an eligible employee, except</w:t>
      </w:r>
    </w:p>
    <w:p>
      <w:pPr>
        <w:spacing w:after="0" w:line="38" w:lineRule="exact"/>
        <w:rPr>
          <w:sz w:val="20"/>
          <w:szCs w:val="20"/>
          <w:color w:val="auto"/>
        </w:rPr>
      </w:pPr>
    </w:p>
    <w:p>
      <w:pPr>
        <w:ind w:right="400"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plan administrator may limit eligibility further within a participating company so as to only designate some employees of a participating company as eligible employees, or (2) to the extent such eligibility rules are not consistent with applicable local laws.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1, 2015, there were 3,675 employees eligible to participate in the Purchase Plan, of whom 1,964 were participating.</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There is generally one offering period under the Restated Purchase Plan during each six-month period commencing January 1 and</w:t>
      </w:r>
      <w:r>
        <w:rPr>
          <w:rFonts w:ascii="Arial" w:cs="Arial" w:eastAsia="Arial" w:hAnsi="Arial"/>
          <w:sz w:val="18"/>
          <w:szCs w:val="18"/>
          <w:i w:val="1"/>
          <w:iCs w:val="1"/>
          <w:color w:val="auto"/>
        </w:rPr>
        <w:t xml:space="preserve"> </w:t>
      </w:r>
      <w:r>
        <w:rPr>
          <w:rFonts w:ascii="Arial" w:cs="Arial" w:eastAsia="Arial" w:hAnsi="Arial"/>
          <w:sz w:val="18"/>
          <w:szCs w:val="18"/>
          <w:color w:val="auto"/>
        </w:rPr>
        <w:t>July 1 of each year of the Purchase Plan. The current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period will end on December 31, 2015. The first day of an offering period is referred to as the Grant Date. The last trading day of an offering period is referred to as the Exercise Date.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per share at which shares will be sold in an offering under the Restated Purchase Plan is the lower of (1) 85%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share of ViaSat common stock on the Grant Date or (2) 85% of the fair market value of a share of ViaSat common stock on the Exercise Date. The fair market value per share of ViaSat common stock on a given date is the closing price as reported by Nasdaq. On July 1, 2015, the closing price of ViaSat common stock on the Nasdaq Global Select Market was $60.68 per share.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Payment of Purchase Price; Payroll Deductions</w:t>
      </w:r>
      <w:r>
        <w:rPr>
          <w:rFonts w:ascii="Arial" w:cs="Arial" w:eastAsia="Arial" w:hAnsi="Arial"/>
          <w:sz w:val="16"/>
          <w:szCs w:val="16"/>
          <w:color w:val="auto"/>
        </w:rPr>
        <w:t>. The purchase price of the shares is generally accumulated by payroll deductions over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Purchase Plan are used for general corporate purposes. Any payroll deductions not applied to the purchase of shares due to the application of this limitation will be refunded to the participant.</w:t>
      </w:r>
    </w:p>
    <w:p>
      <w:pPr>
        <w:spacing w:after="0" w:line="120"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8"/>
          <w:szCs w:val="18"/>
          <w:i w:val="1"/>
          <w:iCs w:val="1"/>
          <w:color w:val="auto"/>
        </w:rPr>
        <w:t>Withdrawal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participant may terminate his or her interest in a given offering by signing and delivering a notice of withdrawal from the Restated</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Purchase Plan within such number of days prior to the Exercise Date of the applicable offering period as is prescribed by the plan administrator for withdrawals.</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Termination of a participant’s employment for any reason, including retirement, cancels his or her participation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Share Proration</w:t>
      </w:r>
      <w:r>
        <w:rPr>
          <w:rFonts w:ascii="Arial" w:cs="Arial" w:eastAsia="Arial" w:hAnsi="Arial"/>
          <w:sz w:val="16"/>
          <w:szCs w:val="16"/>
          <w:color w:val="auto"/>
        </w:rPr>
        <w:t>. Should the total number of shares of ViaSat common stock which are to be purchased under outstanding purchase rights on any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Date exceed (1) the number of shares then available for issuance under the Restated Purchase Plan or (2) the number of shares available for issuance under the Restated Purchase Plan as of the commencement of that offering period, the Compensation and Human Resources Committee will make a pro rata allocation of the available shares in as nearly a uniform manner as possible, and the payroll deductions of each participant (to the extent in excess of the aggregate purchase price payable for the ViaSat common stock prorated to such individual) will be refunded to such participant.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Capital Changes</w:t>
      </w:r>
      <w:r>
        <w:rPr>
          <w:rFonts w:ascii="Arial" w:cs="Arial" w:eastAsia="Arial" w:hAnsi="Arial"/>
          <w:sz w:val="18"/>
          <w:szCs w:val="18"/>
          <w:color w:val="auto"/>
        </w:rPr>
        <w:t>. In the event of any changes in our capitalization, such as stock splits, stock dividends, recapitalizations or combinations,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or decrease in the number of outstanding shares of common stock, appropriate adjustments will be made in the shares subject to purchase and in the price per share under the Purchase Plan.</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Effect of Liquidation, Dissolution, Sale of Assets or Merger</w:t>
      </w:r>
      <w:r>
        <w:rPr>
          <w:rFonts w:ascii="Arial" w:cs="Arial" w:eastAsia="Arial" w:hAnsi="Arial"/>
          <w:sz w:val="16"/>
          <w:szCs w:val="16"/>
          <w:color w:val="auto"/>
        </w:rPr>
        <w:t>. In the event of liquidation, dissolution, merger, consolidation or sale of all or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assets of ViaSat or 50% or more of ViaSat’s then outstanding voting stock, the Exercise Date with respect to the current offering period will be the business day immediately preceding the effective date of such event (or such other prior date determined by the Compensation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and Human Resources Committee), unless the Compensation and Human Resources Committee provides for the assumption or substitution of such rights to purchase shares of common stock under the Restated Purchase Plan.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Amendment and Termination of the Purchase Plan</w:t>
      </w:r>
      <w:r>
        <w:rPr>
          <w:rFonts w:ascii="Arial" w:cs="Arial" w:eastAsia="Arial" w:hAnsi="Arial"/>
          <w:sz w:val="16"/>
          <w:szCs w:val="16"/>
          <w:color w:val="auto"/>
        </w:rPr>
        <w:t>. The Restated Purchase Plan may be wholly or partially amended or otherwise modified, suspended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at any time or from time to time by our Board of Directors. However, without approval of our stockholders, the Restated Purchase Plan may not be amended to (1) change the number or type of shares of common stock reserved for issuance under the Purchase Plan, (2) decrease the purchase price of common stock issued under the Restated Purchase Plan below a price computed in accordance with the applicable provisions of the Restated Purchase Plan, (3) 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w:t>
      </w:r>
    </w:p>
    <w:p>
      <w:pPr>
        <w:spacing w:after="0" w:line="12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i w:val="1"/>
          <w:iCs w:val="1"/>
          <w:color w:val="auto"/>
        </w:rPr>
        <w:t xml:space="preserve">Securities Laws. </w:t>
      </w:r>
      <w:r>
        <w:rPr>
          <w:rFonts w:ascii="Arial" w:cs="Arial" w:eastAsia="Arial" w:hAnsi="Arial"/>
          <w:sz w:val="16"/>
          <w:szCs w:val="16"/>
          <w:color w:val="auto"/>
        </w:rPr>
        <w:t>The Restated Purchase Plan is intended to conform to all provisions of the Securities Act of 1933, as amended, and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as amended, and any and all regulations and rules promulgated by the SEC thereunder, including, without limitation, Rule 16b-3.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described above, the Restated Purchase Plan has a Section 423 Component and a Non-Section 423 Component. The tax consequences for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taxpayer will depend on whether he or she participates in the Section 423 Component or the Non-Section 423 Component.</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Tax Consequences to U.S. Participants in the Section 423 Component</w:t>
      </w:r>
      <w:r>
        <w:rPr>
          <w:rFonts w:ascii="Arial" w:cs="Arial" w:eastAsia="Arial" w:hAnsi="Arial"/>
          <w:sz w:val="16"/>
          <w:szCs w:val="16"/>
          <w:color w:val="auto"/>
        </w:rPr>
        <w:t>. The right of participants to make purchases under the Section 423 Component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132"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i w:val="1"/>
          <w:iCs w:val="1"/>
          <w:color w:val="auto"/>
        </w:rPr>
        <w:t>Tax Consequences to U.S. Participants in the Non-Section 423 Component</w:t>
      </w:r>
      <w:r>
        <w:rPr>
          <w:rFonts w:ascii="Arial" w:cs="Arial" w:eastAsia="Arial" w:hAnsi="Arial"/>
          <w:sz w:val="16"/>
          <w:szCs w:val="16"/>
          <w:color w:val="auto"/>
        </w:rPr>
        <w:t>. A U.S. participant in the Non-Section 423 Component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equal to the value of the common stock on the day he or she purchased the common stock less the purchase price.</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When a participant sells the common stock he or she purchased under the Non-Section 423 Component of the Restated Purchase Plan, he or she also will have a capital gain or loss equal to the difference between the sales proceeds and the value of the common stock on the day he or she purchased it. This capital gain or loss will be long-term if the participant held the common stock for more than one year and otherwise will be short-term.</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entitled to a deduction for amounts taxed as ordinary income to a participant to the extent of ordinary income recognized upon a purchase made under the Non-Section 423 Component.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4. For illustrative purposes only, the following table sets forth (1) the number of shares of ViaSat common stock that were purchased under the Purchase Plan during the 2015 fiscal year, and (2) the aggregate purchase price paid, for the individuals and groups identified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or Group</w:t>
            </w:r>
          </w:p>
        </w:tc>
        <w:tc>
          <w:tcPr>
            <w:tcW w:w="6360" w:type="dxa"/>
            <w:vAlign w:val="bottom"/>
            <w:vMerge w:val="restart"/>
          </w:tcPr>
          <w:p>
            <w:pPr>
              <w:spacing w:after="0"/>
              <w:rPr>
                <w:sz w:val="14"/>
                <w:szCs w:val="14"/>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Number of Shares</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Aggregate Purchase</w:t>
            </w: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19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Purchased (#)</w:t>
            </w:r>
          </w:p>
        </w:tc>
        <w:tc>
          <w:tcPr>
            <w:tcW w:w="12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7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156</w:t>
            </w:r>
          </w:p>
        </w:tc>
        <w:tc>
          <w:tcPr>
            <w:tcW w:w="116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369</w:t>
            </w:r>
          </w:p>
        </w:tc>
        <w:tc>
          <w:tcPr>
            <w:tcW w:w="1160" w:type="dxa"/>
            <w:vAlign w:val="bottom"/>
          </w:tcPr>
          <w:p>
            <w:pPr>
              <w:jc w:val="right"/>
              <w:spacing w:after="0"/>
              <w:rPr>
                <w:sz w:val="20"/>
                <w:szCs w:val="20"/>
                <w:color w:val="auto"/>
              </w:rPr>
            </w:pPr>
            <w:r>
              <w:rPr>
                <w:rFonts w:ascii="Arial" w:cs="Arial" w:eastAsia="Arial" w:hAnsi="Arial"/>
                <w:sz w:val="18"/>
                <w:szCs w:val="18"/>
                <w:color w:val="auto"/>
              </w:rPr>
              <w:t>18,103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 (11 persons)</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40" w:type="dxa"/>
            <w:vAlign w:val="bottom"/>
            <w:gridSpan w:val="2"/>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(6 persons) (1) (2)</w:t>
            </w: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employees, as a group</w:t>
            </w: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150,518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who are not ViaSat employees are not eligible to participate in the Purchase Plan.</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Biondi, who was appointed as a director after the end of the 2015 fiscal year, is excluded from the director group as of April 3,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amendment and restatement of the Purchase Plan.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RESTATEMENT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1996 EQUITY PARTICIPATION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16, 2015, our Board of Directors approved the Restated Equity Plan, subject to stockholder approval at the annual meeting. The Restated Equity Plan will become effective on the day of the annual meeting, assuming approval of this Proposal 5 by our stockholders.</w:t>
      </w:r>
    </w:p>
    <w:p>
      <w:pPr>
        <w:spacing w:after="0" w:line="113"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i w:val="1"/>
          <w:iCs w:val="1"/>
          <w:color w:val="auto"/>
        </w:rPr>
        <w:t>Summary of Material Amendments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Restated Equity Plan will implement the following material changes:</w:t>
      </w:r>
    </w:p>
    <w:p>
      <w:pPr>
        <w:spacing w:after="0" w:line="90" w:lineRule="exact"/>
        <w:rPr>
          <w:sz w:val="20"/>
          <w:szCs w:val="20"/>
          <w:color w:val="auto"/>
        </w:rPr>
      </w:pPr>
    </w:p>
    <w:p>
      <w:pPr>
        <w:ind w:left="660" w:hanging="206"/>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Increase in Share Reserve. </w:t>
      </w:r>
      <w:r>
        <w:rPr>
          <w:rFonts w:ascii="Arial" w:cs="Arial" w:eastAsia="Arial" w:hAnsi="Arial"/>
          <w:sz w:val="18"/>
          <w:szCs w:val="18"/>
          <w:color w:val="auto"/>
        </w:rPr>
        <w:t>If approved by the stockholders, the Restated Equity Plan will provide for an increase of 3.8 million shares over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currently available for issuance under the Equity Plan. As of July 1, 2015, approximately 643,098 shares remained available for issuance under the Equity Plan, which is insufficient to meet our forecasted needs during the next year. After carefully forecasting our anticipated employee growth rate for the next few years, we believe that this increase will be sufficient for approximately two to three years’ worth of equity-based grants under our current compensation program.</w:t>
      </w:r>
    </w:p>
    <w:p>
      <w:pPr>
        <w:spacing w:after="0" w:line="61"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Extension of Time Period for Granting Incentive Stock Options. </w:t>
      </w:r>
      <w:r>
        <w:rPr>
          <w:rFonts w:ascii="Arial" w:cs="Arial" w:eastAsia="Arial" w:hAnsi="Arial"/>
          <w:sz w:val="18"/>
          <w:szCs w:val="18"/>
          <w:color w:val="auto"/>
        </w:rPr>
        <w:t>The Restated Equity Plan will permit the granting of stock options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incentive stock options, or ISOs, as defined under Section 422 of the Code, through June 15, 2025.</w:t>
      </w:r>
    </w:p>
    <w:p>
      <w:pPr>
        <w:spacing w:after="0" w:line="50" w:lineRule="exact"/>
        <w:rPr>
          <w:rFonts w:ascii="Arial" w:cs="Arial" w:eastAsia="Arial" w:hAnsi="Arial"/>
          <w:sz w:val="18"/>
          <w:szCs w:val="18"/>
          <w:color w:val="auto"/>
        </w:rPr>
      </w:pPr>
    </w:p>
    <w:p>
      <w:pPr>
        <w:ind w:left="660" w:right="60" w:hanging="206"/>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Approval of Material Terms of Performance Goals. </w:t>
      </w:r>
      <w:r>
        <w:rPr>
          <w:rFonts w:ascii="Arial" w:cs="Arial" w:eastAsia="Arial" w:hAnsi="Arial"/>
          <w:sz w:val="16"/>
          <w:szCs w:val="16"/>
          <w:color w:val="auto"/>
        </w:rPr>
        <w:t>We are also seeking stockholder approval of the material terms of performance goals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Equity Plan. Stockholder approval of such terms would preserve our ability to deduct compensation associated with future performance-based awards made under the Restated Equity Plan to certain executives. Section 162(m) of the Code limits the deductions a publicly-held company can claim for compensation in excess of $1 million paid in a given year to its chief executive officer and its three other most highly-compensated executive officers (other than its chief financial officer) (these officers are generally referred to as the “covered employees”). “Performance-based” compensation that meets certain requirements is not counted against the $1 million deductibility cap. One of the requirements of “performance-based” compensation for purposes of Section 162(m) is that the material terms of the performance goals under which compensation may be paid be disclosed to and approved by our public stockholders. For purposes of Section 162(m), the material terms include (1) the employees eligible to receive compensation, (2) a description of the business criteria on which the performance goals may be based and (3) the maximum amount of compensation that can be paid to an employee under the performance goals. Each of these aspects of the Restated Equity Plan is discussed below, and stockholder approval of this Proposal 5 will be deemed to constitute approval of the material terms of the performance goals under the Restated Equity Plan for purposes of the stockholder approval requirements of Section 162(m).</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 approval of the material terms of the performance goals under the Restated Equity Plan is only one of several requirements under</w:t>
      </w:r>
    </w:p>
    <w:p>
      <w:pPr>
        <w:spacing w:after="0" w:line="38" w:lineRule="exact"/>
        <w:rPr>
          <w:sz w:val="20"/>
          <w:szCs w:val="20"/>
          <w:color w:val="auto"/>
        </w:rPr>
      </w:pPr>
    </w:p>
    <w:p>
      <w:pPr>
        <w:ind w:left="700" w:right="80"/>
        <w:spacing w:after="0" w:line="253" w:lineRule="auto"/>
        <w:rPr>
          <w:sz w:val="20"/>
          <w:szCs w:val="20"/>
          <w:color w:val="auto"/>
        </w:rPr>
      </w:pPr>
      <w:r>
        <w:rPr>
          <w:rFonts w:ascii="Arial" w:cs="Arial" w:eastAsia="Arial" w:hAnsi="Arial"/>
          <w:sz w:val="18"/>
          <w:szCs w:val="18"/>
          <w:color w:val="auto"/>
        </w:rPr>
        <w:t>Section 162(m) that must be satisfied for amounts paid under the Restated Equity Plan to qualify for the “performance-based” compensation exemption under Section 162(m), and submission of the material terms of the Restated Equity Plan’s performance goals for stockholder approval should not be viewed as a guarantee that we will be able to deduct any or all compensation under the Restated Equity Plan. Nothing in this Proposal 5 precludes us or our Compensation and Human Resources Committee from making any payment or granting awards that are not intended to qualify for tax deductibility under Section 162(m).</w:t>
      </w:r>
    </w:p>
    <w:p>
      <w:pPr>
        <w:spacing w:after="0" w:line="145"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color w:val="auto"/>
        </w:rPr>
        <w:t xml:space="preserve">Stockholder Approval Requirement. </w:t>
      </w:r>
      <w:r>
        <w:rPr>
          <w:rFonts w:ascii="Arial" w:cs="Arial" w:eastAsia="Arial" w:hAnsi="Arial"/>
          <w:sz w:val="18"/>
          <w:szCs w:val="18"/>
          <w:color w:val="auto"/>
        </w:rPr>
        <w:t>In general, stockholder approval of the Restated Equity Plan will implement the foregoing changes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(1) complying with the terms of the Equity Plan regarding amendments,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8"/>
        <w:spacing w:after="0" w:line="306"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meeting the stockholder approval requirements of Nasdaq, (3) extending the period of time during which we may be able to take tax deductions for certain compensation resulting from awards granted under the Restated Equity Plan and qualifying as performance-based compensation under Section 162(m) of the Code, and (4) preserving our ability to grant stock options under the Restated Equity Plan that are intended to qualify as ISOs.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this Proposal 5 is not approved, the Restated Equity Plan will not become effective, the existing Equity Plan will continue in full force and effect, and we may continue to grant awards under the Equity Plan, subject to its terms, conditions and limitations, using the shares available for issuance thereunder.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RECOMMENDS THAT YOU VOTE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AMENDMENT AND RESTATEMENT OF THE EQUITY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Should Vote for the Restated Equity Plan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Equity Incentive Awards Are an Important Part of Our Compensation Philosophy. </w:t>
      </w:r>
      <w:r>
        <w:rPr>
          <w:rFonts w:ascii="Arial" w:cs="Arial" w:eastAsia="Arial" w:hAnsi="Arial"/>
          <w:sz w:val="16"/>
          <w:szCs w:val="16"/>
          <w:color w:val="auto"/>
        </w:rPr>
        <w:t>Our equity compensation plans are critical to our ongoing effort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including stock options and restricted stock units, to new and existing employees, directors and eligible consultants has helped us attract, retain and motivate world-class talent. Historically, we have primarily issued stock options and restricted stock units because these forms of equity compensation provide a strong retention value and incentive for employees to work to grow the business and build stockholder value, and are attractive to employees who share the entrepreneurial spirit that has made ViaSat a success.</w:t>
      </w:r>
    </w:p>
    <w:p>
      <w:pPr>
        <w:spacing w:after="0" w:line="11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believe our strategy is working. During the last two years, our employee turnover rate, inclusive of both voluntary and involuntary turnover, has averaged below 7.5%, which is much lower than the annual 19.0% employee turnover rate for similar industries as reported in the 2015 Radford Trends Report.</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Also, our equity incentive program is broad-based. The equity incentive programs ViaSat has in place have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July 1, 2015, 45.6% of our employees held outstanding equity awards and all of our non-employee directors held outstanding equity awards.</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 xml:space="preserve">The Equity Plan Will No Longer Have Shares Available for Grant. </w:t>
      </w:r>
      <w:r>
        <w:rPr>
          <w:rFonts w:ascii="Arial" w:cs="Arial" w:eastAsia="Arial" w:hAnsi="Arial"/>
          <w:sz w:val="15"/>
          <w:szCs w:val="15"/>
          <w:color w:val="auto"/>
        </w:rPr>
        <w:t>Under our current forecasts, the Equity Plan will run out of shares available for grant</w:t>
      </w:r>
      <w:r>
        <w:rPr>
          <w:rFonts w:ascii="Arial" w:cs="Arial" w:eastAsia="Arial" w:hAnsi="Arial"/>
          <w:sz w:val="15"/>
          <w:szCs w:val="15"/>
          <w:i w:val="1"/>
          <w:iCs w:val="1"/>
          <w:color w:val="auto"/>
        </w:rPr>
        <w:t xml:space="preserve"> </w:t>
      </w:r>
      <w:r>
        <w:rPr>
          <w:rFonts w:ascii="Arial" w:cs="Arial" w:eastAsia="Arial" w:hAnsi="Arial"/>
          <w:sz w:val="15"/>
          <w:szCs w:val="15"/>
          <w:color w:val="auto"/>
        </w:rPr>
        <w:t>in less than one year, and we will not be able to continue to issue equity to our employees,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make equity grants to them. Equity-based grants are a more effective compensation vehicle than cash at a growth-oriented, entrepreneurial company because they align employee and stockholder interests with a smaller impact on current income and cash flow.</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We Manage Our Equity Incentive Award Use Carefully. </w:t>
      </w:r>
      <w:r>
        <w:rPr>
          <w:rFonts w:ascii="Arial" w:cs="Arial" w:eastAsia="Arial" w:hAnsi="Arial"/>
          <w:sz w:val="18"/>
          <w:szCs w:val="18"/>
          <w:color w:val="auto"/>
        </w:rPr>
        <w:t>We manage our long-term stockholder dilution by limiting the number of equity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The Compensation and Human Resources Committee carefully monitors our total dilution and equity expense to ensure that we maximize stockholder value by granting only the appropriate number of equity awards necessary to attract, reward and retain employees. The following table summarizes the awards outstanding and shares available for grant under our existing Equity Plan as of July 1, 2015, and the proposed increase in shares authorized for issuance under the Restated Equity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as of July 1, 2015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a % of</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Outstanding (2)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Value (3)</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1,795,325</w:t>
            </w:r>
          </w:p>
        </w:tc>
        <w:tc>
          <w:tcPr>
            <w:tcW w:w="7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108,940,321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Weighted average exercise price of outstanding options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47.42</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term of outstanding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 years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w w:val="87"/>
              </w:rPr>
              <w:t>2,152,888</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130,637,244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grant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643,098</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39,023,187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8"/>
                <w:szCs w:val="18"/>
                <w:color w:val="auto"/>
              </w:rPr>
              <w:t>Proposed increase in shares available for future issuance under Restated Equity Plan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20"/>
              <w:spacing w:after="0"/>
              <w:rPr>
                <w:sz w:val="20"/>
                <w:szCs w:val="20"/>
                <w:color w:val="auto"/>
              </w:rPr>
            </w:pPr>
            <w:r>
              <w:rPr>
                <w:rFonts w:ascii="Arial" w:cs="Arial" w:eastAsia="Arial" w:hAnsi="Arial"/>
                <w:sz w:val="18"/>
                <w:szCs w:val="18"/>
                <w:color w:val="auto"/>
              </w:rPr>
              <w:t>(over existing share reserve under Equity Plan)</w:t>
            </w:r>
          </w:p>
        </w:tc>
        <w:tc>
          <w:tcPr>
            <w:tcW w:w="1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w w:val="87"/>
              </w:rPr>
              <w:t>3,800,000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230,584,000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the shares available for grant under the ViaSat, Inc. Employee Stock Purchase Plan, which are discussed in detail under Proposal 4 above.</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48,018,665 shares of ViaSat common stock outstanding as of July 1,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closing price of ViaSat common stock on July 1, 2015 ($60.68).</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fiscal year 2015, 2014 and 2013 annual gross burn rates under the Equity Plan were 2.48%, 2.44% and 2.33%, respectively (calculated by dividing the number of shares subject to equity awards granted during the applicable fiscal year by the weighted-average number of shares outstanding during such fiscal year). If we multiply each “full-value award” by a multiplier of 2.50 (consistent with the methodology employed by certain proxy advisory firms), the “adjusted” annual gross burn rates under the Equity Plan would be 5.07%, 4.91% and 4.83% for fiscal years 2015, 2014 and 2013, respectively. Our three-year average “adjusted” gross burn rate of 4.94% during this period was below the applicable ISS burn rate limit of 5.85% for non-S&amp;P 500, Russell 3000 Technology Hardware and Equipment companies.</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fiscal years 2015, 2014 and 2013, our end of year equity overhang rates for the Equity Plan were 10.15%, 13.93% and 17.42%,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year). If approved, the issuance of the additional 3.8 million shares to be reserved under the Restated Equity Plan would dilute the holdings of stockholders by an additional 7.91%, based on the number of shares of ViaSat common stock outstanding as of July 1, 2015.</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requesting approval of the Restated Equity Plan, we are asking stockholders for a projected two to three year pool of shares to provide a predictable but competitive amount of equity for attracting, retaining and motivating employees,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The Restated Equity Plan Combines Compensation and Governance Best Practices. </w:t>
      </w:r>
      <w:r>
        <w:rPr>
          <w:rFonts w:ascii="Arial" w:cs="Arial" w:eastAsia="Arial" w:hAnsi="Arial"/>
          <w:sz w:val="18"/>
          <w:szCs w:val="18"/>
          <w:color w:val="auto"/>
        </w:rPr>
        <w:t>The Restated Equity Plan includes provisions that are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our stockholders’ interests and to reflect corporate governance best practices including:</w:t>
      </w:r>
    </w:p>
    <w:p>
      <w:pPr>
        <w:spacing w:after="0" w:line="51" w:lineRule="exact"/>
        <w:rPr>
          <w:sz w:val="20"/>
          <w:szCs w:val="20"/>
          <w:color w:val="auto"/>
        </w:rPr>
      </w:pPr>
    </w:p>
    <w:p>
      <w:pPr>
        <w:ind w:left="660" w:hanging="206"/>
        <w:spacing w:after="0" w:line="33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Continued broad-based eligibility for equity awards. </w:t>
      </w:r>
      <w:r>
        <w:rPr>
          <w:rFonts w:ascii="Arial" w:cs="Arial" w:eastAsia="Arial" w:hAnsi="Arial"/>
          <w:sz w:val="16"/>
          <w:szCs w:val="16"/>
          <w:color w:val="auto"/>
        </w:rPr>
        <w:t>We grant equity awards to a significant number of our employees. By doing so, we link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with stockholder interests throughout the organization and motivate our employees to act as owners of the business.</w:t>
      </w:r>
    </w:p>
    <w:p>
      <w:pPr>
        <w:spacing w:after="0" w:line="4" w:lineRule="exact"/>
        <w:rPr>
          <w:rFonts w:ascii="Arial" w:cs="Arial" w:eastAsia="Arial" w:hAnsi="Arial"/>
          <w:sz w:val="16"/>
          <w:szCs w:val="16"/>
          <w:color w:val="auto"/>
        </w:rPr>
      </w:pPr>
    </w:p>
    <w:p>
      <w:pPr>
        <w:ind w:left="660" w:right="3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Stockholder approval is required for additional shares</w:t>
      </w:r>
      <w:r>
        <w:rPr>
          <w:rFonts w:ascii="Arial" w:cs="Arial" w:eastAsia="Arial" w:hAnsi="Arial"/>
          <w:sz w:val="18"/>
          <w:szCs w:val="18"/>
          <w:color w:val="auto"/>
        </w:rPr>
        <w:t>. The Restated Equity Plan does not contain an annual “evergreen” provision. The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Plan authorizes a fixed number of shares, so that stockholder approval is required to increase the maximum number of shares of our common stock which may be issued under the Restated Equity Plan.</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No discount stock options or stock appreciation rights. </w:t>
      </w:r>
      <w:r>
        <w:rPr>
          <w:rFonts w:ascii="Arial" w:cs="Arial" w:eastAsia="Arial" w:hAnsi="Arial"/>
          <w:sz w:val="18"/>
          <w:szCs w:val="18"/>
          <w:color w:val="auto"/>
        </w:rPr>
        <w:t>All stock options and stock appreciation rights will have an exercise price equal to or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our common stock on the date the stock option or stock appreciation right is granted. To date we have not granted any stock appreciation rights.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No single-trigger vesting of awards.  </w:t>
      </w:r>
      <w:r>
        <w:rPr>
          <w:rFonts w:ascii="Arial" w:cs="Arial" w:eastAsia="Arial" w:hAnsi="Arial"/>
          <w:sz w:val="16"/>
          <w:szCs w:val="16"/>
          <w:color w:val="auto"/>
        </w:rPr>
        <w:t>The Restated Equity Plan does not have single-trigger accelerated vesting provisions for changes in control.</w:t>
      </w:r>
    </w:p>
    <w:p>
      <w:pPr>
        <w:spacing w:after="0" w:line="113" w:lineRule="exact"/>
        <w:rPr>
          <w:rFonts w:ascii="Arial" w:cs="Arial" w:eastAsia="Arial" w:hAnsi="Arial"/>
          <w:sz w:val="16"/>
          <w:szCs w:val="16"/>
          <w:color w:val="auto"/>
        </w:rPr>
      </w:pPr>
    </w:p>
    <w:p>
      <w:pPr>
        <w:ind w:left="660" w:right="40" w:hanging="206"/>
        <w:spacing w:after="0" w:line="28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awards. </w:t>
      </w:r>
      <w:r>
        <w:rPr>
          <w:rFonts w:ascii="Arial" w:cs="Arial" w:eastAsia="Arial" w:hAnsi="Arial"/>
          <w:sz w:val="16"/>
          <w:szCs w:val="16"/>
          <w:color w:val="auto"/>
        </w:rPr>
        <w:t>Not more than 500,000 shares may be subject to options or stock appreciation rights for any one individual per fiscal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Equity Plan also has an individual award limit of 150,000 shares per fiscal year for grants of restricted stock, performance awards, dividend equivalents, restricted stock units and stock payments (except for grants made upon initial service of an employee, which have an award limit of</w:t>
      </w:r>
    </w:p>
    <w:p>
      <w:pPr>
        <w:spacing w:after="0" w:line="1" w:lineRule="exact"/>
        <w:rPr>
          <w:rFonts w:ascii="Arial" w:cs="Arial" w:eastAsia="Arial" w:hAnsi="Arial"/>
          <w:sz w:val="16"/>
          <w:szCs w:val="16"/>
          <w:color w:val="auto"/>
        </w:rPr>
      </w:pPr>
    </w:p>
    <w:p>
      <w:pPr>
        <w:ind w:left="660" w:right="140"/>
        <w:spacing w:after="0" w:line="261" w:lineRule="auto"/>
        <w:rPr>
          <w:rFonts w:ascii="Arial" w:cs="Arial" w:eastAsia="Arial" w:hAnsi="Arial"/>
          <w:sz w:val="16"/>
          <w:szCs w:val="16"/>
          <w:color w:val="auto"/>
        </w:rPr>
      </w:pPr>
      <w:r>
        <w:rPr>
          <w:rFonts w:ascii="Arial" w:cs="Arial" w:eastAsia="Arial" w:hAnsi="Arial"/>
          <w:sz w:val="18"/>
          <w:szCs w:val="18"/>
          <w:color w:val="auto"/>
        </w:rPr>
        <w:t>300,000 shares). In addition, the maximum aggregate amount of cash that may be paid in cash to any one person during any calendar year with respect to one or more awards initially payable in cash shall be $1,000,000.</w:t>
      </w:r>
    </w:p>
    <w:p>
      <w:pPr>
        <w:spacing w:after="0" w:line="56"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Repricing is not allowed. </w:t>
      </w:r>
      <w:r>
        <w:rPr>
          <w:rFonts w:ascii="Arial" w:cs="Arial" w:eastAsia="Arial" w:hAnsi="Arial"/>
          <w:sz w:val="18"/>
          <w:szCs w:val="18"/>
          <w:color w:val="auto"/>
        </w:rPr>
        <w:t>The Restated Equity Plan prohibits the repricing or other exchange of underwater stock options and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for new awards or cash without prior stockholder approval.</w:t>
      </w:r>
    </w:p>
    <w:p>
      <w:pPr>
        <w:spacing w:after="0" w:line="50" w:lineRule="exact"/>
        <w:rPr>
          <w:rFonts w:ascii="Arial" w:cs="Arial" w:eastAsia="Arial" w:hAnsi="Arial"/>
          <w:sz w:val="18"/>
          <w:szCs w:val="18"/>
          <w:color w:val="auto"/>
        </w:rPr>
      </w:pPr>
    </w:p>
    <w:p>
      <w:pPr>
        <w:ind w:left="660" w:right="60" w:hanging="206"/>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Reasonable limit on full value awards. </w:t>
      </w:r>
      <w:r>
        <w:rPr>
          <w:rFonts w:ascii="Arial" w:cs="Arial" w:eastAsia="Arial" w:hAnsi="Arial"/>
          <w:sz w:val="18"/>
          <w:szCs w:val="18"/>
          <w:color w:val="auto"/>
        </w:rPr>
        <w:t>For purposes of calculating the shares that remain available for issuance under the Restated Equity Plan, grants</w:t>
      </w:r>
      <w:r>
        <w:rPr>
          <w:rFonts w:ascii="Arial" w:cs="Arial" w:eastAsia="Arial" w:hAnsi="Arial"/>
          <w:sz w:val="18"/>
          <w:szCs w:val="18"/>
          <w:i w:val="1"/>
          <w:iCs w:val="1"/>
          <w:color w:val="auto"/>
        </w:rPr>
        <w:t xml:space="preserve"> </w:t>
      </w:r>
      <w:r>
        <w:rPr>
          <w:rFonts w:ascii="Arial" w:cs="Arial" w:eastAsia="Arial" w:hAnsi="Arial"/>
          <w:sz w:val="18"/>
          <w:szCs w:val="18"/>
          <w:color w:val="auto"/>
        </w:rPr>
        <w:t>of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 granted prior to September 22, 2010 and subsequent to September 19, 2012, and as 2.65 shares for each share subject to full value awards granted during the period beginning on September 22, 2010 and ending on September 19, 2012.</w:t>
      </w:r>
    </w:p>
    <w:p>
      <w:pPr>
        <w:spacing w:after="0" w:line="63" w:lineRule="exact"/>
        <w:rPr>
          <w:rFonts w:ascii="Arial" w:cs="Arial" w:eastAsia="Arial" w:hAnsi="Arial"/>
          <w:sz w:val="18"/>
          <w:szCs w:val="18"/>
          <w:color w:val="auto"/>
        </w:rPr>
      </w:pPr>
    </w:p>
    <w:p>
      <w:pPr>
        <w:ind w:left="660" w:right="20" w:hanging="206"/>
        <w:spacing w:after="0" w:line="28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Reasonable share counting provisions. </w:t>
      </w:r>
      <w:r>
        <w:rPr>
          <w:rFonts w:ascii="Arial" w:cs="Arial" w:eastAsia="Arial" w:hAnsi="Arial"/>
          <w:sz w:val="16"/>
          <w:szCs w:val="16"/>
          <w:color w:val="auto"/>
        </w:rPr>
        <w:t>In general, when awards granted under the Restated Equity Plan expire or are canceled, or are settled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or when the shares subject to a full value award are forfeited by the holder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However, the following shares will not be returned to the share reserve under the Restated Equity Plan: shares of common stock that are delivered by the grantee or withheld by us as payment of the exercise price in connection with the exercise of an option or payment of the tax withholding obligation in connection with any option or stock appreciation right; shares purchased on the open market with the cash proceeds from the exercise of options; and shares subject to a stock appreciation right that are not issued in connection with the stock settlement of the stock appreciation right on its exercise.</w:t>
      </w:r>
    </w:p>
    <w:p>
      <w:pPr>
        <w:spacing w:after="0" w:line="37" w:lineRule="exact"/>
        <w:rPr>
          <w:rFonts w:ascii="Arial" w:cs="Arial" w:eastAsia="Arial" w:hAnsi="Arial"/>
          <w:sz w:val="16"/>
          <w:szCs w:val="16"/>
          <w:color w:val="auto"/>
        </w:rPr>
      </w:pPr>
    </w:p>
    <w:p>
      <w:pPr>
        <w:ind w:left="660" w:right="3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dividend payments on performance awards. </w:t>
      </w:r>
      <w:r>
        <w:rPr>
          <w:rFonts w:ascii="Arial" w:cs="Arial" w:eastAsia="Arial" w:hAnsi="Arial"/>
          <w:sz w:val="18"/>
          <w:szCs w:val="18"/>
          <w:color w:val="auto"/>
        </w:rPr>
        <w:t>Dividends and dividend equivalents may not be paid on awards subject to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unless and until such conditions are met.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The Restated Equity Plan does not provide for any tax gross-ups.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Restated Equity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General Nature and Purpose. </w:t>
      </w:r>
      <w:r>
        <w:rPr>
          <w:rFonts w:ascii="Arial" w:cs="Arial" w:eastAsia="Arial" w:hAnsi="Arial"/>
          <w:sz w:val="16"/>
          <w:szCs w:val="16"/>
          <w:color w:val="auto"/>
        </w:rPr>
        <w:t>The Restated Equity Plan was adopted (1) to further our growth, development and financial success by providing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and Human Resources Committee of the Board of Directors will administer the Restated Equity Plan. The full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Shares Subject to Restated Equity Plan. </w:t>
      </w:r>
      <w:r>
        <w:rPr>
          <w:rFonts w:ascii="Arial" w:cs="Arial" w:eastAsia="Arial" w:hAnsi="Arial"/>
          <w:sz w:val="16"/>
          <w:szCs w:val="16"/>
          <w:color w:val="auto"/>
        </w:rPr>
        <w:t>The Equity Plan currently provides for the issuance of up to 21,400,000 shares of our common stock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643,098 shares remain available for issuance as of July 1, 2015) and, if this Proposal 5 is approved, the Restated Equity Plan will provide for the issuance of up to 25,200,000 shares of our common stock. Under the terms of the Restated Equity Plan, the shares available for issuance may be used for all types of awards under a fungible pool formula. Pursuant to this fungible pool formula, the authorized share limit will be reduced by one share for every one share subject to an option or a stock appreciation right. Full value awards will be counted against the Restated Equity Plan’s authorized share limit as 2 shares for each share subject to full value awards granted prior to September 22, 2010 and subsequent to September 19, 2012, and as 2.65 shares for each share subject to full value awards granted during the period beginning on September 22, 2010 and ending on September 19, 2012. The payment of dividend equivalents in cash in conjunction with any outstanding awards will not be counted against the shares available for issuance under the Restated Equity Plan.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(1) any award under the Restated Equity Plan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 and (3) any shares purchased on the open market with the cash proceeds from the exercise of options.</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number of shares subject to the Restated Equity Plan, and the limitations on the number of shares subject to grants and awards under the Restated Equity Plan, may in the discretion of the plan administrator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calendar year).</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Not more than 500,000 shares may be subject to options or stock appreciation rights for any one individual per fiscal year. The Restated Equity Plan also has an individual award limit of 150,000 shares per fiscal year for grants of restricted stock, performance awards, dividend equivalents, restricted stock units and stock payments (except for grants made upon initial service of an employee, which has an award limit of 300,000 shares). In addition, the maximum aggregate amount of cash that may be paid in cash to any one person during any calendar year with respect to one or more awards initially payable in cash shall be $1,000,000.</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Any employee, consultant or non-employee director selected by the plan administrator is eligible to receive equity awards under the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Plan. The plan administrator, in its absolute discretion, will determine (1) among the eligible participants the individuals to whom awards are to be granted, (2) the number of shares to be granted, and (3) the terms and conditions of the grants. As of July 1, 2015, outstanding equity awards have been issued to 1,675 of our 3,675 employees, to none of our 323 consultants, and to all of our seven non-employee directors under the Equity Plan.</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Grant of Options. </w:t>
      </w:r>
      <w:r>
        <w:rPr>
          <w:rFonts w:ascii="Arial" w:cs="Arial" w:eastAsia="Arial" w:hAnsi="Arial"/>
          <w:sz w:val="18"/>
          <w:szCs w:val="18"/>
          <w:color w:val="auto"/>
        </w:rPr>
        <w:t>The plan administrator will from time to time, in its absolute discretion, determine (1) the number of shares to be subject to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selected employees, consultants and non-employee directors, (2) whether the options are to be incentive stock options or non-qualified stock options, and (3) the terms and conditions of the options, in a manner consistent with the Restated Equity Plan.</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Purchase Price of Optioned Shares. </w:t>
      </w:r>
      <w:r>
        <w:rPr>
          <w:rFonts w:ascii="Arial" w:cs="Arial" w:eastAsia="Arial" w:hAnsi="Arial"/>
          <w:sz w:val="16"/>
          <w:szCs w:val="16"/>
          <w:color w:val="auto"/>
        </w:rPr>
        <w:t>The price per share of the shares subject to each option is set by the plan administrator. However, the price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Terms of Options. </w:t>
      </w:r>
      <w:r>
        <w:rPr>
          <w:rFonts w:ascii="Arial" w:cs="Arial" w:eastAsia="Arial" w:hAnsi="Arial"/>
          <w:sz w:val="18"/>
          <w:szCs w:val="18"/>
          <w:color w:val="auto"/>
        </w:rPr>
        <w:t>The term of an option is set by the plan administrator in its discretion. However, the term of an option cannot exceed six years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Restated Equity Plan. In the case of incentive stock options granted to an individual then owning more than 10% of the total combined voting power of all classes of stock of ViaSat, the term may not exceed five years.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Upon the exercise of an option under the Restated Equity Plan, the optionee must make full cash payment to the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ViaSat for the shares with respect to which the option, or portion of the option, is exercised. However, the plan administrator may in its discretion allow various forms of payment, which are described in the Restated Equity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Other Stock Awards. </w:t>
      </w:r>
      <w:r>
        <w:rPr>
          <w:rFonts w:ascii="Arial" w:cs="Arial" w:eastAsia="Arial" w:hAnsi="Arial"/>
          <w:sz w:val="16"/>
          <w:szCs w:val="16"/>
          <w:color w:val="auto"/>
        </w:rPr>
        <w:t>The Restated Equity Plan allows for various other awards including restricted stock, performance awards, dividend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awards subject to performance vesting conditions unless and until such conditions are met. The Compensation and Human Resources Committee will also determine whether performance awards are intended to be performance-based compensation within the meaning of Section 162(m) of the Code.</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During the term of the Restated Equity Plan, a person who is initially elected to the Board of Directors and who is a 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grants to non-employee directors vest in three equal annual installments on the first three anniversaries of the date of grant. The annual equity grants to non-employee directors vest in full on the first anniversary of the date of grant.</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Performance-Based Compensation Under Section 162(m) of the Code. </w:t>
      </w:r>
      <w:r>
        <w:rPr>
          <w:rFonts w:ascii="Arial" w:cs="Arial" w:eastAsia="Arial" w:hAnsi="Arial"/>
          <w:sz w:val="16"/>
          <w:szCs w:val="16"/>
          <w:color w:val="auto"/>
        </w:rPr>
        <w:t>The Compensation and Human Resources Committee may grant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stock appreciation rights, dividend equivalents, performance awards, cash bonuses and stock payments to employees who are or may be “covered employees” (as defined in Section 162(m) of the Code) that are intended to be performance-based compensation within the meaning of Section 162(m) of the Code. The Compensation and Human Resources Committee will have the discretion to pay compensation that is not qualified performance-based compensation and that is not tax deductible. In order to constitute qualified performance-based compensation under Section 162(m) of the Code, in addition to certain other requirements, the relevant amounts must be payable only upon the attainment of pre-established, objective performance goals set by the Compensation and Human Resources Committee and based on stockholder-approved performance criteria. In asking our stockholders to approve the Restated Equity Plan, we are also requesting our stockholders approve the below performance criteria to extend the period during which we may qualify awards granted under the Restated Equity Plan as qualified performance-based compensation.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Restated Equity Plan includes the following performance criteria that may be considered by the Compensation and Human Resources Committee when granting performance-based awards, any of which may be measured with respect to our performance or the performance of a division, business unit or an individual:</w:t>
      </w:r>
    </w:p>
    <w:p>
      <w:pPr>
        <w:spacing w:after="0" w:line="59"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earnings (either before or after one or more of the following: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(either before or after taxes),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per share of ViaSat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and Human Resources Committee shall select the performance criteria (and any permissible objectively determinable adjustments) for each performance award for purposes of establishing the performance goal or performance goals applicable to such performance award for the designated performance period. The Compensation and Human Resources Committee will define in an objective fashion the manner of calculating the performance criteria it selects to use for such awards. With regard to a particular performance period, the Compensation and Human Resources Committee will have the discretion to select the length of the performance period, the type of performance-based awards to be granted, and the performance goals that will be used to measure the performance for the period.</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No Repricing. </w:t>
      </w:r>
      <w:r>
        <w:rPr>
          <w:rFonts w:ascii="Arial" w:cs="Arial" w:eastAsia="Arial" w:hAnsi="Arial"/>
          <w:sz w:val="18"/>
          <w:szCs w:val="18"/>
          <w:color w:val="auto"/>
        </w:rPr>
        <w:t>The Restated Equity Plan prohibits the repricing or other exchange of underwater stock options or stock appreciation rights for new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or cash without prior stockholder approval.</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Amendment and Termination of the Plan. </w:t>
      </w:r>
      <w:r>
        <w:rPr>
          <w:rFonts w:ascii="Arial" w:cs="Arial" w:eastAsia="Arial" w:hAnsi="Arial"/>
          <w:sz w:val="16"/>
          <w:szCs w:val="16"/>
          <w:color w:val="auto"/>
        </w:rPr>
        <w:t>The Restated Equity Plan may be wholly or partially amended or otherwise modified, suspended or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at any time or from time to time by the plan administrator. However, without approval of the stockholders of ViaSat, the Restated Equity Plan may not be amended to (1) increase the maximum number of shares issuable upon exercise of equity awards granted under the Restated Equity Plan, (2) increase the annual award limits applicable to participants, and (3) no action of the plan administrator may be taken that would otherwise require stockholder approval as a matter of applicable law, regulation or rule. The Restated Equity Plan will continue until terminated by the plan administrator. No incentive stock options may be granted under the Restated Equity Plan after June 15, 2025.</w:t>
      </w:r>
    </w:p>
    <w:p>
      <w:pPr>
        <w:spacing w:after="0" w:line="120"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i w:val="1"/>
          <w:iCs w:val="1"/>
          <w:color w:val="auto"/>
        </w:rPr>
        <w:t xml:space="preserve">Securities Laws. </w:t>
      </w:r>
      <w:r>
        <w:rPr>
          <w:rFonts w:ascii="Arial" w:cs="Arial" w:eastAsia="Arial" w:hAnsi="Arial"/>
          <w:sz w:val="15"/>
          <w:szCs w:val="15"/>
          <w:color w:val="auto"/>
        </w:rPr>
        <w:t>The Restated Equity Plan is intended to conform to all provisions of the Securities Act of 1933, as amended, and the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of 1934, as amended, and any and all regulations and rules promulgated by the SEC thereunder, including, without limitation, Rule 16b-3.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is a general discussion of the principal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Consequences to Employees: Incentive Stock Options. </w:t>
      </w:r>
      <w:r>
        <w:rPr>
          <w:rFonts w:ascii="Arial" w:cs="Arial" w:eastAsia="Arial" w:hAnsi="Arial"/>
          <w:sz w:val="16"/>
          <w:szCs w:val="16"/>
          <w:color w:val="auto"/>
        </w:rPr>
        <w:t>No income is recognized for federal income tax purposes by an optionee at the time an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Consequences to Employees: Non-Qualified Stock Options. </w:t>
      </w:r>
      <w:r>
        <w:rPr>
          <w:rFonts w:ascii="Arial" w:cs="Arial" w:eastAsia="Arial" w:hAnsi="Arial"/>
          <w:sz w:val="18"/>
          <w:szCs w:val="18"/>
          <w:color w:val="auto"/>
        </w:rPr>
        <w:t>No income is recognized by an optionee at the time a non-qualified stock option is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at the time shares of common stock are issued to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Consequences to ViaSat: Incentive Stock Options. </w:t>
      </w:r>
      <w:r>
        <w:rPr>
          <w:rFonts w:ascii="Arial" w:cs="Arial" w:eastAsia="Arial" w:hAnsi="Arial"/>
          <w:sz w:val="16"/>
          <w:szCs w:val="16"/>
          <w:color w:val="auto"/>
        </w:rPr>
        <w:t>We will not be allowed a deduction for federal income tax purposes at the time of the grant or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Consequences to ViaSat: Non-Qualified Stock Options. </w:t>
      </w:r>
      <w:r>
        <w:rPr>
          <w:rFonts w:ascii="Arial" w:cs="Arial" w:eastAsia="Arial" w:hAnsi="Arial"/>
          <w:sz w:val="16"/>
          <w:szCs w:val="16"/>
          <w:color w:val="auto"/>
        </w:rPr>
        <w:t>Generally, we will be entitled to a deduction for federal income tax purposes in the year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amount as the optionee is considered to have realized ordinary income in connection with the exercise of a non-qualified stock option.</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Generally, a participant in the Restated Equity Plan will not be taxed upon the grant or purchase of restricted stock that is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be taxed upon the grant of a stock appreciation right. Upon the exercise of the stock appreciation right,</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Performance Awards, Dividend Equivalents, Restricted Stock Units and Stock Payments. </w:t>
      </w:r>
      <w:r>
        <w:rPr>
          <w:rFonts w:ascii="Arial" w:cs="Arial" w:eastAsia="Arial" w:hAnsi="Arial"/>
          <w:sz w:val="18"/>
          <w:szCs w:val="18"/>
          <w:color w:val="auto"/>
        </w:rPr>
        <w:t>A participant will have ordinary income upon receipt of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payable under a performance award, dividend equivalents, restricted stock units and stock payments. ViaSat will be eligible for a tax deduction as a compensation expense equal to the amount of ordinary income recognized by the participant.</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Under Section 162(m) of the Code, in general, income tax deductions of publicly-traded companies may be limited to the extent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base salary, annual bonus, stock option exercises and non-qualified benefits paid in 1994 and thereafter) for certain executive officers exceeds $1 million in any one taxable year. However, under Section 162(m) of the Code, the deduction limit does not apply to certain “performance-based” compensation established by an independent compensation committee which conforms to certain restrictive conditions stated under the Code and related regulations. Stock options and stock appreciation rights granted under the Restated Equity Plan may qualify as “performance-based” compensation under Section 162(m) of the Code. The Restated Equity Plan has been structured with the intent that other awards granted under the Restated Equity Plan may, in the discretion of the Compensation and Human Resources Committee, be structured so as to qualify for the “performance-based” compensation exception to the $1 million annual deductibility limit under Section 162(m) of the Code. However, awards granted under the Restated Equity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Plan will be treated as performance-based compensation under Section 162(m) of the Code only if the awards and the procedures associated with them comply with all requirements of Section 162(m) of the Code. There can be no assurance that compensation attributable to awards granted under the Restated Equity Plan will be treated as performance-based compensation under Section 162(m) of the Code and thus be deductible to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number of awards that an employee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units and stock options to non-employee directors. Other than these formula grants, neither the Compensation and Human Resources Committee nor the Board of Directors has made any determination to grant any awards to any persons under the Restated Equity Plan as of the date of this proxy statement. For illustrative purposes only, the following table sets forth the aggregate number of shares subject to restricted stock units and stock options granted under the Equity Plan during the last fiscal year.</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Number of Shares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or Group</w:t>
            </w:r>
          </w:p>
        </w:tc>
        <w:tc>
          <w:tcPr>
            <w:tcW w:w="6100" w:type="dxa"/>
            <w:vAlign w:val="bottom"/>
            <w:vMerge w:val="restart"/>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18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90"/>
              </w:rPr>
              <w:t>Granted (#)</w:t>
            </w:r>
          </w:p>
        </w:tc>
        <w:tc>
          <w:tcPr>
            <w:tcW w:w="12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Granted (#)</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36,667</w:t>
            </w: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21,667</w:t>
            </w:r>
          </w:p>
        </w:tc>
        <w:tc>
          <w:tcPr>
            <w:tcW w:w="114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7,500</w:t>
            </w:r>
          </w:p>
        </w:tc>
        <w:tc>
          <w:tcPr>
            <w:tcW w:w="114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8,333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6,667</w:t>
            </w: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 (11 persons)</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128,834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All current directors who are not executive officers, as a group (6 persons) (1)</w:t>
            </w:r>
          </w:p>
        </w:tc>
        <w:tc>
          <w:tcPr>
            <w:tcW w:w="2180" w:type="dxa"/>
            <w:vAlign w:val="bottom"/>
            <w:gridSpan w:val="2"/>
          </w:tcPr>
          <w:p>
            <w:pPr>
              <w:jc w:val="right"/>
              <w:ind w:right="1120"/>
              <w:spacing w:after="0"/>
              <w:rPr>
                <w:sz w:val="20"/>
                <w:szCs w:val="20"/>
                <w:color w:val="auto"/>
              </w:rPr>
            </w:pPr>
            <w:r>
              <w:rPr>
                <w:rFonts w:ascii="Arial" w:cs="Arial" w:eastAsia="Arial" w:hAnsi="Arial"/>
                <w:sz w:val="18"/>
                <w:szCs w:val="18"/>
                <w:color w:val="auto"/>
              </w:rPr>
              <w:t>9,600</w:t>
            </w:r>
          </w:p>
        </w:tc>
        <w:tc>
          <w:tcPr>
            <w:tcW w:w="11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employees, as a group</w:t>
            </w:r>
          </w:p>
        </w:tc>
        <w:tc>
          <w:tcPr>
            <w:tcW w:w="21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677,460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Biondi, who was appointed as a director after the end of the 2015 fiscal year, is excluded from the director group as of April 3,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amendment and restatement of the Equity Plan.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information known to us regarding the ownership of ViaSat common stock as of July 1, 2015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(1)</w:t>
            </w:r>
          </w:p>
        </w:tc>
        <w:tc>
          <w:tcPr>
            <w:tcW w:w="4500" w:type="dxa"/>
            <w:vAlign w:val="bottom"/>
            <w:vMerge w:val="restart"/>
          </w:tcPr>
          <w:p>
            <w:pPr>
              <w:spacing w:after="0"/>
              <w:rPr>
                <w:sz w:val="14"/>
                <w:szCs w:val="14"/>
                <w:color w:val="auto"/>
              </w:rPr>
            </w:pPr>
          </w:p>
        </w:tc>
        <w:tc>
          <w:tcPr>
            <w:tcW w:w="29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2"/>
              </w:rPr>
              <w:t>Amount and Nature of</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Percent Beneficial</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2980" w:type="dxa"/>
            <w:vAlign w:val="bottom"/>
            <w:gridSpan w:val="2"/>
          </w:tcPr>
          <w:p>
            <w:pPr>
              <w:jc w:val="right"/>
              <w:ind w:right="1540"/>
              <w:spacing w:after="0" w:line="148" w:lineRule="exact"/>
              <w:rPr>
                <w:sz w:val="20"/>
                <w:szCs w:val="20"/>
                <w:color w:val="auto"/>
              </w:rPr>
            </w:pPr>
            <w:r>
              <w:rPr>
                <w:rFonts w:ascii="Arial" w:cs="Arial" w:eastAsia="Arial" w:hAnsi="Arial"/>
                <w:sz w:val="14"/>
                <w:szCs w:val="14"/>
                <w:b w:val="1"/>
                <w:bCs w:val="1"/>
                <w:color w:val="auto"/>
                <w:w w:val="86"/>
              </w:rPr>
              <w:t>Beneficial Ownership (2)</w:t>
            </w:r>
          </w:p>
        </w:tc>
        <w:tc>
          <w:tcPr>
            <w:tcW w:w="11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7"/>
              </w:rPr>
              <w:t>Ownership (%) (3)</w:t>
            </w:r>
          </w:p>
        </w:tc>
        <w:tc>
          <w:tcPr>
            <w:tcW w:w="0" w:type="dxa"/>
            <w:vAlign w:val="bottom"/>
          </w:tcPr>
          <w:p>
            <w:pPr>
              <w:spacing w:after="0"/>
              <w:rPr>
                <w:sz w:val="1"/>
                <w:szCs w:val="1"/>
                <w:color w:val="auto"/>
              </w:rPr>
            </w:pPr>
          </w:p>
        </w:tc>
      </w:tr>
      <w:tr>
        <w:trPr>
          <w:trHeight w:val="190"/>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14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1,996,953(4)</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685,496(5)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372,213(6)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Baldridge</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354,277(7)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349,765(8)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69,700(9)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65,711(10)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34,400(11)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26,732(12)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Bowman</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14,600(13)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14,365(14)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6,271(15)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4,910,815</w:t>
            </w: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Other 5% Stockholders:</w:t>
            </w: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Baupost Group, L.L.C.</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11,533,137(16)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FPR Partners, LLC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4,115,978(17)</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3,754,008(18)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Southeastern Asset Management, Inc.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3,481,237(19)</w:t>
            </w: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2,874,317(20)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276"/>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364"/>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w:t>
      </w:r>
    </w:p>
    <w:p>
      <w:pPr>
        <w:spacing w:after="0" w:line="1" w:lineRule="exact"/>
        <w:rPr>
          <w:rFonts w:ascii="Arial" w:cs="Arial" w:eastAsia="Arial" w:hAnsi="Arial"/>
          <w:sz w:val="18"/>
          <w:szCs w:val="18"/>
          <w:color w:val="auto"/>
        </w:rPr>
      </w:pPr>
    </w:p>
    <w:p>
      <w:pPr>
        <w:ind w:left="460" w:hanging="364"/>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July 1, 2015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2015 and references to restricted stock units in the footnotes of the table include only restricted stock units that are scheduled to vest within 60 days after July 1, 2015.</w:t>
      </w:r>
    </w:p>
    <w:p>
      <w:pPr>
        <w:spacing w:after="0" w:line="2" w:lineRule="exact"/>
        <w:rPr>
          <w:rFonts w:ascii="Arial" w:cs="Arial" w:eastAsia="Arial" w:hAnsi="Arial"/>
          <w:sz w:val="18"/>
          <w:szCs w:val="18"/>
          <w:color w:val="auto"/>
        </w:rPr>
      </w:pPr>
    </w:p>
    <w:p>
      <w:pPr>
        <w:ind w:left="460" w:right="180" w:hanging="364"/>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48,018,665 shares of common stock outstanding on July 1, 2015 plus (b) the number of shares of common stock that such person had the right to acquire within 60 days after July 1, 2015.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364"/>
        <w:spacing w:after="0" w:line="28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(a) 425,000 shares subject to options exercisable by Mr. Dankberg within 60 days after July 1, 2015, (b) 31,434 shares held by the Dankberg Family Foundation, (c) 1,539,042 shares held by the Dankberg Family Trust, and (d) 587,049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only 1.2% of the total outstanding shares of ViaSat common stock as of July 1, 2015, (iii) the maximum aggregate principal amount of advances secured by Mr. Dankberg’s pledged shares is $9.5 million, which, based on the closing price of ViaSat common stock on July 1, 2015, would be equivalent to only approximately 156,559 shares of ViaSat common stock, and (iv) Mr. Dankberg has advised us that he has the financial capacity to meet a margin call or repay any advance under his margin agreement without resort to the pledged shares.</w:t>
      </w:r>
    </w:p>
    <w:p>
      <w:pPr>
        <w:spacing w:after="0" w:line="5" w:lineRule="exact"/>
        <w:rPr>
          <w:rFonts w:ascii="Arial" w:cs="Arial" w:eastAsia="Arial" w:hAnsi="Arial"/>
          <w:sz w:val="16"/>
          <w:szCs w:val="16"/>
          <w:color w:val="auto"/>
        </w:rPr>
      </w:pPr>
    </w:p>
    <w:p>
      <w:pPr>
        <w:ind w:left="460" w:right="260" w:hanging="364"/>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35,000 shares subject to options exercisable by Mr. Johnson within 60 days after July 1, 2015, and (b) 650,496 shares held by the Robert W. Johnson Revocable Trust dated 8/13/1992.</w:t>
      </w:r>
    </w:p>
    <w:p>
      <w:pPr>
        <w:ind w:left="460" w:right="360" w:hanging="364"/>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15,000 shares subject to options exercisable by Lay Ventures L.P. within 60 days after July 1, 2015, (b) 15,000 shares subject to options exercisable by Mr. Lay within 60 days after July 1, 2015, and (c) 186,026 shares, 125,787 shares and 30,400 shares held by Lay Ventures, L.P., the Lay Living Trust and the Lay Charitable Remainder Trust, respectively.</w:t>
      </w:r>
    </w:p>
    <w:p>
      <w:pPr>
        <w:spacing w:after="0" w:line="1" w:lineRule="exact"/>
        <w:rPr>
          <w:rFonts w:ascii="Arial" w:cs="Arial" w:eastAsia="Arial" w:hAnsi="Arial"/>
          <w:sz w:val="18"/>
          <w:szCs w:val="18"/>
          <w:color w:val="auto"/>
        </w:rPr>
      </w:pPr>
    </w:p>
    <w:p>
      <w:pPr>
        <w:ind w:left="460" w:right="200" w:hanging="364"/>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218,850 shares subject to options exercisable by Mr. Baldridge within 60 days after July 1, 2015, and (b) 133,514 shares held by the Richard and Donna Baldridge Family Trust.</w:t>
      </w:r>
    </w:p>
    <w:p>
      <w:pPr>
        <w:ind w:left="460" w:right="320" w:hanging="364"/>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Dr. Nash within 60 days after July 1, 2015, and (b) 329,765 shares held by the Nash Family Trust n/d/t 3/18/1980.</w:t>
      </w:r>
    </w:p>
    <w:p>
      <w:pPr>
        <w:ind w:left="460" w:right="20" w:hanging="364"/>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Mr. White within 60 days after July 1, 2015, (b) 48,100 shares held by the Harvey P. and Sheryl L. White Trust, and (c) 1,600 shares held by The Sheryl &amp; Harvey White Foundation.</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42,188 shares subject to options exercisable by Mr. Lippert within 60 days after July 1, 2015.</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23,000 shares subject to options exercisable by Mr. Stenbit within 60 days after July 1, 2015, and (b) 6,600 shares held by THE PIETJE 2012 GIFT TRUST.</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14,375 shares subject to options exercisable by Mr. Dirks within 60 days after July 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11,000 shares subject to options exercisable by Mr. Bowman within 60 days after July 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4,375 shares subject to options exercisable by Mrs. Duffy within 60 days after July 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2,188 shares subject to options exercisable by Mr. Peterman within 60 days after July 1, 2015.</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jointly filed with the SEC on February 13, 2015 by The Baupost Group, L.L.C. (Baupost), SAK Corporation and Seth A. Klarman. Baupost is a registered investment adviser and acts as an investment adviser and general partner to certain private investment limited partnerships. SAK Corporation is the manager of Baupost. Mr. Klarman is the sole director and sole officer of SAK Corporation and a controlling person of Baupost. The address of Baupost, SAK Corporation and Mr. Klarman is 10 St. James Avenue, Suite 1700, Boston, Massachusetts 02116.</w:t>
      </w:r>
    </w:p>
    <w:p>
      <w:pPr>
        <w:spacing w:after="0" w:line="2"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jointly filed with the SEC on February 13, 2015 by FPR Partners, LLC, Andrew Raab and Bob Peck. Mr. Raab and Mr. Peck are the managing directors and managing members of FPR Partners, LLC. The address of FPR Partners, LLC, Mr. Raab and Mr. Peck is 199 Fremont Street, Suite 2500, San Francisco, California 94105.</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January 23, 2015 by BlackRock, Inc. The address of BlackRock, Inc. is 55 East 52nd Street, New York, New York 10022.</w:t>
      </w:r>
    </w:p>
    <w:p>
      <w:pPr>
        <w:ind w:left="46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13, 2015 by Southeastern Asset Management, Inc. (Southeastern), Longleaf Partners Small-Cap Fund (Longleaf) and O. Mason Hawkins. The Schedule 13G reports that each of Southeastern and Longleaf has shared voting power and shared dispositive power with respect to 3,436,313 shares and Southeastern has sole dispositive power over 44,924 shares, that Mr. Hawkins does not have shared voting power or shared dispositive power with respect to any shares, and that the securities reported are owned legally by Southeastern’s investment advisory clients and none are owned directly or indirectly by Southeastern. Southeastern is a registered investment adviser and acts as an investment adviser to Longleaf, an investment company. Mr. Hawkins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54" w:lineRule="auto"/>
        <w:rPr>
          <w:sz w:val="20"/>
          <w:szCs w:val="20"/>
          <w:color w:val="auto"/>
        </w:rPr>
      </w:pPr>
      <w:r>
        <w:rPr>
          <w:rFonts w:ascii="Arial" w:cs="Arial" w:eastAsia="Arial" w:hAnsi="Arial"/>
          <w:sz w:val="18"/>
          <w:szCs w:val="18"/>
          <w:color w:val="auto"/>
        </w:rPr>
        <w:t>the chairman of the board and chief executive officer of Southeastern. The address of Southeastern, Longleaf and Mr. Hawkins is 6410 Poplar Avenue, Suite 900, Memphis, Tennessee 38119.</w:t>
      </w:r>
    </w:p>
    <w:p>
      <w:pPr>
        <w:ind w:left="460" w:right="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11, 2015 by The Vanguard Group. The address of The Vanguard Group is 100 Vanguard Boulevard, Malvern, Pennsylvania 19355.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April 3,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Short Sale and Pledging Policies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ViaSat’s policies prohibit all of our directors and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officers, including the establishment of a margin account containing ViaSat common stock, to be pre-cleared by our General Counsel.</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Compensation Discussion and Analysis provides information regarding the compensation program in place for our executive officers, including the Named Executive Officers identified in the Summary Compensation Table, during our 2015 fiscal year. In particular, this Compensation Discussion and Analysis provides information related to each of the following aspects of our executive compensation program:</w:t>
      </w:r>
    </w:p>
    <w:p>
      <w:pPr>
        <w:spacing w:after="0" w:line="2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executive compensation program incorporates these components because our Compensation and Human Resources Committee considers a blend of these components to be necessary and effective in order to provide a competitive total compensation package to our executive officers while meeting the principal objectives of our executive compensation program. In addition, the Compensation and Human Resources Committee believes that our use of base salary, annual cash bonuses and long-term equity awards as the primary components of our executive compensation program is consistent with the executive compensation programs employed by technology companies of similar size and stage of growth.</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overall compensation objectives are premised on the following three fundamental principles, each of which is discussed below: (1) 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in our industry with compensation that is competitive and fair. Because our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We strongly believe that a significant amount of executive compensation should be performance-based.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words, our compensation program is designed to reward superior performance, and we believe that our executive officers should feel accountable for the overall performance of our business as well as their individual performance. In order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 and individual performance.</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Alignment with Stockholder Interests. </w:t>
      </w:r>
      <w:r>
        <w:rPr>
          <w:rFonts w:ascii="Arial" w:cs="Arial" w:eastAsia="Arial" w:hAnsi="Arial"/>
          <w:sz w:val="18"/>
          <w:szCs w:val="18"/>
          <w:color w:val="auto"/>
        </w:rPr>
        <w:t>We believe that executive compensation and stockholder interests should be linked, and our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so that the financial interests of our executive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officers are aligned with the interests of our stockholders. We accomplish this objective in a couple of ways. First, as noted above, payments of annual cash bonuses are based on, among other things, pre-determined corporate financial performance metrics and operational targets that, if achieved, we believe enhance the value of our common stock.</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Second, a significant portion of the total compensation paid to our executive officers is paid in the form of equity to further align the interests of executives with stockholders and to provide each executive with an incentive to manage ViaSat from the perspective of an owner with an equity stake in the business. Because vesting is based on continued employment, our equity-based incentives also facilitate the retention of executives through the term of the awards. We use a combination of restricted stock units and stock option awards as the primary incentive vehicles for long-term compensation to create a meaningful opportunity for reward predicated on the creation of long-term stockholder value. We believe that restricted stock units are an effective tool for meeting our compensation goal of increasing long-term stockholder value by tying the value of the restricted stock units to our future performance. In addition, because employees are able to profit from stock options only if our stock price increases in value over the stock option’s exercise price, we believe the options provide effective incentives to executives to achieve increases in the value of our stock.</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Structure Allows Competitive and Fair Compensation Packages. </w:t>
      </w:r>
      <w:r>
        <w:rPr>
          <w:rFonts w:ascii="Arial" w:cs="Arial" w:eastAsia="Arial" w:hAnsi="Arial"/>
          <w:sz w:val="18"/>
          <w:szCs w:val="18"/>
          <w:color w:val="auto"/>
        </w:rPr>
        <w:t>We provide innovative satellite and other wireless communications and networking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systems and services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Four outside directors currently serve on the Compensation and Human Resources Committee. Each member qualifies as an “outside director” within the meaning of Section 162(m) of the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1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 financial and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 strategic positioning,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the most recent say-on-pay vote,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Industry Compensation Data. </w:t>
      </w:r>
      <w:r>
        <w:rPr>
          <w:rFonts w:ascii="Arial" w:cs="Arial" w:eastAsia="Arial" w:hAnsi="Arial"/>
          <w:sz w:val="16"/>
          <w:szCs w:val="16"/>
          <w:color w:val="auto"/>
        </w:rPr>
        <w:t>The Compensation and Human Resources Committee reviews the executive compensation data of comparable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other companies which are otherwise relevant as part of the process of determining executive compensation. In fiscal year 2015, the Compensation and Human Resources Committee again engaged Compensia, independent compensation consultant to the Compensation and Human Resources Committee, to provide insight and advice on matters regarding trends in executive officer compensation and benefits practices. After conducting an evaluation using the factors established by the SEC and Nasdaq, the Compensation and Human Resources Committee determined that Compensia is independent and that there is no conflict of interest resulting from the engagement of Compensia during fiscal year 2015.</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the assistance of Compensia, the Compensation and Human Resources Committee reviewed the compensation practices of a peer group consisting of a broad range of companies in the high technology industry. For fiscal year 2015 compensation decisions, this peer group consisted of the following companies: Akamai Technologies, Arris Group, Aruba Networks, Inc., Avid Technology, Inc., Ciena Corporation, Equinix, Inc., Finisar Corp., FLIR Systems, Inc., Harris Corporation, Internap Network Svs., Polycom, Inc., Riverbed, Rockwell Collins Inc., and Teledyne Technologies. The peer group was selected based on factors such as industry, revenue, business model and market capitalization. Additionally, the Compensation and Human Resources Committee believes that this group of companies provides an appropriate peer group because they consist of similar organizations against whom we compete to obtain and retain top quality talent. In addition to peer group data, the Compensation and Human Resources Committee also reviewed information from the Radford Global Technology Survey, a nationally recognized compensation survey containing market information of companies in the high technology industry. This survey was not compiled specifically for ViaSat but rather represents a database containing comparative compensation data and information for hundreds of other high technology companies, thereby permitting the Compensation and Human Resources Committee to review pooled compensation data for positions similar to those held by each executive officer. The survey information provided to the Compensation and Human Resources Committee does not include the particular names of those companies whose pay practices are surveyed with respect to any particular position being reviewed. Unlike peer group compensation data, which is limited to publicly available information and does not provide precise comparisons by position,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and includes a wide range of other organizations in the technology sector outside ViaSat’s traditional competitors, which range is represented by such surveys. As a result, the Compensation and Human Resources Committee relies on a combination of industry survey data and peer group compensation data in evaluating our executive compensation.</w:t>
      </w:r>
    </w:p>
    <w:p>
      <w:pPr>
        <w:spacing w:after="0" w:line="12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i w:val="1"/>
          <w:iCs w:val="1"/>
          <w:color w:val="auto"/>
        </w:rPr>
        <w:t xml:space="preserve">Individual Performance. </w:t>
      </w:r>
      <w:r>
        <w:rPr>
          <w:rFonts w:ascii="Arial" w:cs="Arial" w:eastAsia="Arial" w:hAnsi="Arial"/>
          <w:sz w:val="15"/>
          <w:szCs w:val="15"/>
          <w:color w:val="auto"/>
        </w:rPr>
        <w:t>The Compensation and Human Resources Committee makes an assessment of individual executive performance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the individual performance and contributions of executives other than themselves. With respect to assessing the individual performance of our Chief Executive Officer, the Compensation and Human Resources Committee relies on an annual assessment completed by our Nomination, Evaluation and Corporate Governance Committee. In evaluating the performance of our President, the Nomination, Evaluation and Corporate Governance Committee relies on input from our Chief Executive Officer.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Company Financial and Operational Performance. </w:t>
      </w:r>
      <w:r>
        <w:rPr>
          <w:rFonts w:ascii="Arial" w:cs="Arial" w:eastAsia="Arial" w:hAnsi="Arial"/>
          <w:sz w:val="18"/>
          <w:szCs w:val="18"/>
          <w:color w:val="auto"/>
        </w:rPr>
        <w:t>As previously discussed, a major component of our executive compensation program is the belief that</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amount of executive compensation should be based on performance, including company financial and operational performance. These financial and operational performance metrics are important factors considered by the Compensation and Human Resources Committee in determining base salary, cash bonuses and equity awards.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Company Strategic Positioning</w:t>
      </w:r>
      <w:r>
        <w:rPr>
          <w:rFonts w:ascii="Arial" w:cs="Arial" w:eastAsia="Arial" w:hAnsi="Arial"/>
          <w:sz w:val="16"/>
          <w:szCs w:val="16"/>
          <w:color w:val="auto"/>
        </w:rPr>
        <w:t>. Given the importance of the long-term performance of the company, the current strategic positioning of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also a significant factor in the assessment and determination of our executive compensation program. The Compensation and Human Resources Committee takes into account the strategic positioning of the company as a basis for determining annual cash bonus compensation and other executive compensation.</w:t>
      </w:r>
    </w:p>
    <w:p>
      <w:pPr>
        <w:spacing w:after="0" w:line="107"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i w:val="1"/>
          <w:iCs w:val="1"/>
          <w:color w:val="auto"/>
        </w:rPr>
        <w:t xml:space="preserve">Total Executive Compensation. </w:t>
      </w:r>
      <w:r>
        <w:rPr>
          <w:rFonts w:ascii="Arial" w:cs="Arial" w:eastAsia="Arial" w:hAnsi="Arial"/>
          <w:sz w:val="16"/>
          <w:szCs w:val="16"/>
          <w:color w:val="auto"/>
        </w:rPr>
        <w:t>As part of reviewing each component of executive officer compensation, the Compensation and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10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i w:val="1"/>
          <w:iCs w:val="1"/>
          <w:color w:val="auto"/>
        </w:rPr>
        <w:t xml:space="preserve">Affordability. </w:t>
      </w:r>
      <w:r>
        <w:rPr>
          <w:rFonts w:ascii="Arial" w:cs="Arial" w:eastAsia="Arial" w:hAnsi="Arial"/>
          <w:sz w:val="16"/>
          <w:szCs w:val="16"/>
          <w:color w:val="auto"/>
        </w:rPr>
        <w:t>Prior to completing the executive cash compensation (base salary and annual cash bonuses) process, 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The Role of Stockholder Say-on-Pay Votes. </w:t>
      </w:r>
      <w:r>
        <w:rPr>
          <w:rFonts w:ascii="Arial" w:cs="Arial" w:eastAsia="Arial" w:hAnsi="Arial"/>
          <w:sz w:val="16"/>
          <w:szCs w:val="16"/>
          <w:color w:val="auto"/>
        </w:rPr>
        <w:t>At our most recent annual meeting of stockholders, we conducted a non-binding advisory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our Named Executive Officers, commonly referred to as a “say-on-pay” vote. Our stockholders overwhelmingly approved the compensation of our Named Executive Officers, with approximately 90% of stockholder votes cast in favor of our executive compensation program at our last annual meeting. As the Compensation and Human Resources Committee evaluated our executive compensation policies and practices throughout fiscal year 2015, they were mindful of the strong support our stockholders expressed for our compensation philosophy and objectives. As a result, the Compensation and Human Resources Committee decided to retain our general approach to executive compensation, with an emphasis on incentive compensation that rewards our most senior executives when they deliver value for our stockholders and, as a result, made no significant changes to our executive compensation program. The Compensation and Human Resources Committee will continue to consider the outcome of say-on-pay advisory votes when making future compensation decisions for the Named Executive Officers.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Determination of Compensation. </w:t>
      </w:r>
      <w:r>
        <w:rPr>
          <w:rFonts w:ascii="Arial" w:cs="Arial" w:eastAsia="Arial" w:hAnsi="Arial"/>
          <w:sz w:val="16"/>
          <w:szCs w:val="16"/>
          <w:color w:val="auto"/>
        </w:rPr>
        <w:t>The Compensation and Human Resources Committee and the Board hold several meetings each year for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determination of executive compensation. After considering the factors for executive compensation described above, the Compensation and Human Resources Committee determines (or makes a recommendation to the Board) regarding the appropriate compensation for each individual executive officer. However, we do not believe that it is appropriate to establish compensation levels solely by benchmarking. We rely upon the judgment of our Compensation and Human Resources Committee members in making compensation decisions, after reviewing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market compensation paid by other companies is one of the many factors that we consider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12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strive to achieve an appropriate mix between equity incentive awards and cash payments in order to meet our objectives. Any apportionment goal is not applied rigidly and does not control our compensation decisions. Our mix of compensation elements is designed to reward recent results, align compensation with stockholder interests and fairly compensate executives through a combination of cash and equity incentive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awards. We believe the most important indicator of whether our compensation objectives are being met is our ability to motivate our executive officers to deliver superior performance and retain them to continue their careers with ViaSat on a cost-effective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determining base salary, the Compensation and Human Resources Committee primarily considers (1) executive compensation survey</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considers to what extent the executive:</w:t>
      </w:r>
    </w:p>
    <w:p>
      <w:pPr>
        <w:spacing w:after="0" w:line="32"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demonstrates leadership and success in contributing toward ViaSat’s achievement of key business and financial objectives,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contributes significantly to the development and execution of ViaSat’s long-term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17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assessing individual executive performance and contributions during fiscal year 2015 for fiscal year 2016 base salary determination purposes, the Compensation and Human Resources Committee considered the individual contributions toward the achievement of key strategic objectives, such as the continued earnings growth of our Exede</w:t>
      </w:r>
      <w:r>
        <w:rPr>
          <w:rFonts w:ascii="Arial" w:cs="Arial" w:eastAsia="Arial" w:hAnsi="Arial"/>
          <w:sz w:val="10"/>
          <w:szCs w:val="10"/>
          <w:color w:val="auto"/>
        </w:rPr>
        <w:t>®</w:t>
      </w:r>
      <w:r>
        <w:rPr>
          <w:rFonts w:ascii="Arial" w:cs="Arial" w:eastAsia="Arial" w:hAnsi="Arial"/>
          <w:sz w:val="16"/>
          <w:szCs w:val="16"/>
          <w:color w:val="auto"/>
        </w:rPr>
        <w:t xml:space="preserve"> consumer business, strong positioning and growth of the company’s government mobile broadband business, service performance of in-flight Wi-Fi services, key awards, and development progress on the ViaSat-2 satellite and associated ground technologies. In light of the foregoing, the Compensation and Human Resources Committee set new base salaries for each of the executive officers. The following table describes the base salaries for fiscal years 2015 and 2016 for each of our Named Executive Officers.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2015 and Fiscal Year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480" w:type="dxa"/>
            <w:vAlign w:val="bottom"/>
            <w:vMerge w:val="restart"/>
          </w:tcPr>
          <w:p>
            <w:pPr>
              <w:spacing w:after="0"/>
              <w:rPr>
                <w:sz w:val="14"/>
                <w:szCs w:val="14"/>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Fiscal Year 2015</w:t>
            </w:r>
          </w:p>
        </w:tc>
        <w:tc>
          <w:tcPr>
            <w:tcW w:w="17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Fiscal Year 2016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7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5"/>
              </w:rPr>
              <w:t xml:space="preserve">Base Salary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965,000</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1,025,000</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800,000</w:t>
            </w:r>
          </w:p>
        </w:tc>
        <w:tc>
          <w:tcPr>
            <w:tcW w:w="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850,000</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450,000</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9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425,000</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Consistent with our overall compensation objectives of linking compensation to performance, aligning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stockholder interests, and attracting and retaining top level executive officers in our industry, our Compensation and Human Resources Committee approved annual cash bonuses for fiscal year 2015. Under our executive compensation program, targets for cash bonuses are established as a percentage of base salary and actual award amounts are determined primarily based on the achievement of certain company and individual performance objectives. For fiscal year 2015, the range for the target bonus for each Named Executive Officer was determined by the Compensation and Human Resources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w:t>
      </w:r>
    </w:p>
    <w:p>
      <w:pPr>
        <w:spacing w:after="0" w:line="14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For fiscal year 2015, the metrics for determining annual cash bonuses for our Named Executive Officers, other than our Chief Executive Officer, placed equal emphasis on ViaSat’s annual financial performance and individual performance. The financial objectives were set at the beginning of fiscal year 2015 and were based on the year’s internally-developed financial plan, which was approved by our Board. The individual performance objectives for the executive officers (excluding the Chief Executive Officer and President) were determined by the Compensation and Human Resources Committee, with the objectives for the executive officers (other than our Chief Executive Officer and President) based on input and recommendations from our Chief Executive Officer and President. These individual performance objectives are qualitative in nature and not quantifiable.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but achievable. The table below describes the company financial and individual objectives and weighting of each objective used for determining annual cash bonuses for our executive officers (other than our Chief Executive Officer and President) for fiscal year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2015 Cash Bonus Objectives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4"/>
              </w:rPr>
              <w:t>Performance Metric</w:t>
            </w:r>
          </w:p>
        </w:tc>
        <w:tc>
          <w:tcPr>
            <w:tcW w:w="5900" w:type="dxa"/>
            <w:vAlign w:val="bottom"/>
            <w:vMerge w:val="restart"/>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1"/>
              </w:rPr>
              <w:t>Approximate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FY 2015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FY 2015</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00" w:type="dxa"/>
            <w:vAlign w:val="bottom"/>
            <w:vMerge w:val="continue"/>
          </w:tcPr>
          <w:p>
            <w:pPr>
              <w:spacing w:after="0"/>
              <w:rPr>
                <w:sz w:val="14"/>
                <w:szCs w:val="14"/>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Weighting (%)</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Objective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2"/>
              </w:rPr>
              <w:t>Actual Results</w:t>
            </w:r>
          </w:p>
        </w:tc>
        <w:tc>
          <w:tcPr>
            <w:tcW w:w="0" w:type="dxa"/>
            <w:vAlign w:val="bottom"/>
          </w:tcPr>
          <w:p>
            <w:pPr>
              <w:spacing w:after="0"/>
              <w:rPr>
                <w:sz w:val="1"/>
                <w:szCs w:val="1"/>
                <w:color w:val="auto"/>
              </w:rPr>
            </w:pPr>
          </w:p>
        </w:tc>
      </w:tr>
      <w:tr>
        <w:trPr>
          <w:trHeight w:val="181"/>
        </w:trPr>
        <w:tc>
          <w:tcPr>
            <w:tcW w:w="7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Financial — Non-GAAP Diluted Net Income Per Share Attributable to ViaSat, Inc. Common</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(1)</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Financial — Adjusted EBITDA (2)</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299.7 million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344.8 million</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New Contract Awards</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1,257.6 million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1,413.4 million</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Financial — Total Revenues</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1,416.1 million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1,382.5 million</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Net Operating Asset Turnover</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Achievement of Individual Goals</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itemized reconciliation between net income per share attributable to ViaSat, Inc. common stockholders on a GAAP and non-GAAP basis for fiscal year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2015 is set forth below:</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1"/>
              </w:rPr>
              <w:t>Twelve months ended</w:t>
            </w:r>
          </w:p>
        </w:tc>
        <w:tc>
          <w:tcPr>
            <w:tcW w:w="0" w:type="dxa"/>
            <w:vAlign w:val="bottom"/>
          </w:tcPr>
          <w:p>
            <w:pPr>
              <w:spacing w:after="0"/>
              <w:rPr>
                <w:sz w:val="1"/>
                <w:szCs w:val="1"/>
                <w:color w:val="auto"/>
              </w:rPr>
            </w:pPr>
          </w:p>
        </w:tc>
      </w:tr>
      <w:tr>
        <w:trPr>
          <w:trHeight w:val="161"/>
        </w:trPr>
        <w:tc>
          <w:tcPr>
            <w:tcW w:w="9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April 3, 2015</w:t>
            </w:r>
          </w:p>
        </w:tc>
        <w:tc>
          <w:tcPr>
            <w:tcW w:w="0" w:type="dxa"/>
            <w:vAlign w:val="bottom"/>
          </w:tcPr>
          <w:p>
            <w:pPr>
              <w:spacing w:after="0"/>
              <w:rPr>
                <w:sz w:val="1"/>
                <w:szCs w:val="1"/>
                <w:color w:val="auto"/>
              </w:rPr>
            </w:pPr>
          </w:p>
        </w:tc>
      </w:tr>
      <w:tr>
        <w:trPr>
          <w:trHeight w:val="142"/>
        </w:trPr>
        <w:tc>
          <w:tcPr>
            <w:tcW w:w="91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ViaSat, Inc.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40,363</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Non-GAAP net income attributable to ViaSat, Inc.</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attributable to ViaSat, Inc. common stockholders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Diluted common equivalent shares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48,285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3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ViaSat, Inc. before interest, income taxes, depreciation and amortization, adjusted to exclude certain significant items as set forth below. We 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Adjusted EBITDA to evaluate our operating performance, to allocate resources and capital, to measure performance for incentive compensation programs and to evaluate future growth opportunities. An itemized reconciliation between net income attributable to ViaSat, Inc. and Adjusted EBITDA for fiscal year 2015 is set forth below:</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GAAP net income attributable to ViaSat, Inc.</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Provision for income taxes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Acquisition-related expenses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991"/>
        <w:spacing w:after="0"/>
        <w:rPr>
          <w:sz w:val="20"/>
          <w:szCs w:val="20"/>
          <w:color w:val="auto"/>
        </w:rPr>
      </w:pPr>
      <w:r>
        <w:rPr>
          <w:rFonts w:ascii="Arial" w:cs="Arial" w:eastAsia="Arial" w:hAnsi="Arial"/>
          <w:sz w:val="11"/>
          <w:szCs w:val="11"/>
          <w:b w:val="1"/>
          <w:bCs w:val="1"/>
          <w:color w:val="auto"/>
        </w:rPr>
        <w:t>Twelve months ended</w:t>
      </w:r>
    </w:p>
    <w:p>
      <w:pPr>
        <w:spacing w:after="0" w:line="35" w:lineRule="exact"/>
        <w:rPr>
          <w:sz w:val="20"/>
          <w:szCs w:val="20"/>
          <w:color w:val="auto"/>
        </w:rPr>
      </w:pPr>
    </w:p>
    <w:p>
      <w:pPr>
        <w:jc w:val="center"/>
        <w:ind w:right="991"/>
        <w:spacing w:after="0"/>
        <w:rPr>
          <w:sz w:val="20"/>
          <w:szCs w:val="20"/>
          <w:color w:val="auto"/>
        </w:rPr>
      </w:pPr>
      <w:r>
        <w:rPr>
          <w:rFonts w:ascii="Arial" w:cs="Arial" w:eastAsia="Arial" w:hAnsi="Arial"/>
          <w:sz w:val="14"/>
          <w:szCs w:val="14"/>
          <w:b w:val="1"/>
          <w:bCs w:val="1"/>
          <w:color w:val="auto"/>
        </w:rPr>
        <w:t>April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1" w:lineRule="exact"/>
        <w:rPr>
          <w:sz w:val="20"/>
          <w:szCs w:val="20"/>
          <w:color w:val="auto"/>
        </w:rPr>
      </w:pPr>
    </w:p>
    <w:p>
      <w:pPr>
        <w:ind w:left="769" w:hanging="769"/>
        <w:spacing w:after="0"/>
        <w:tabs>
          <w:tab w:leader="none" w:pos="769" w:val="left"/>
        </w:tabs>
        <w:numPr>
          <w:ilvl w:val="0"/>
          <w:numId w:val="29"/>
        </w:numPr>
        <w:rPr>
          <w:rFonts w:ascii="Arial" w:cs="Arial" w:eastAsia="Arial" w:hAnsi="Arial"/>
          <w:sz w:val="15"/>
          <w:szCs w:val="15"/>
          <w:color w:val="auto"/>
        </w:rPr>
      </w:pPr>
      <w:r>
        <w:rPr>
          <w:rFonts w:ascii="Arial" w:cs="Arial" w:eastAsia="Arial" w:hAnsi="Arial"/>
          <w:sz w:val="15"/>
          <w:szCs w:val="15"/>
          <w:color w:val="auto"/>
        </w:rPr>
        <w:t>40,363</w:t>
      </w:r>
    </w:p>
    <w:p>
      <w:pPr>
        <w:spacing w:after="0" w:line="49" w:lineRule="exact"/>
        <w:rPr>
          <w:rFonts w:ascii="Arial" w:cs="Arial" w:eastAsia="Arial" w:hAnsi="Arial"/>
          <w:sz w:val="15"/>
          <w:szCs w:val="15"/>
          <w:color w:val="auto"/>
        </w:rPr>
      </w:pPr>
    </w:p>
    <w:p>
      <w:pPr>
        <w:ind w:left="769"/>
        <w:spacing w:after="0"/>
        <w:rPr>
          <w:rFonts w:ascii="Arial" w:cs="Arial" w:eastAsia="Arial" w:hAnsi="Arial"/>
          <w:sz w:val="15"/>
          <w:szCs w:val="15"/>
          <w:color w:val="auto"/>
        </w:rPr>
      </w:pPr>
      <w:r>
        <w:rPr>
          <w:rFonts w:ascii="Arial" w:cs="Arial" w:eastAsia="Arial" w:hAnsi="Arial"/>
          <w:sz w:val="15"/>
          <w:szCs w:val="15"/>
          <w:color w:val="auto"/>
        </w:rPr>
        <w:t>13,827</w:t>
      </w:r>
    </w:p>
    <w:p>
      <w:pPr>
        <w:spacing w:after="0" w:line="43" w:lineRule="exact"/>
        <w:rPr>
          <w:rFonts w:ascii="Arial" w:cs="Arial" w:eastAsia="Arial" w:hAnsi="Arial"/>
          <w:sz w:val="15"/>
          <w:szCs w:val="15"/>
          <w:color w:val="auto"/>
        </w:rPr>
      </w:pPr>
    </w:p>
    <w:p>
      <w:pPr>
        <w:ind w:left="769"/>
        <w:spacing w:after="0"/>
        <w:rPr>
          <w:rFonts w:ascii="Arial" w:cs="Arial" w:eastAsia="Arial" w:hAnsi="Arial"/>
          <w:sz w:val="15"/>
          <w:szCs w:val="15"/>
          <w:color w:val="auto"/>
        </w:rPr>
      </w:pPr>
      <w:r>
        <w:rPr>
          <w:rFonts w:ascii="Arial" w:cs="Arial" w:eastAsia="Arial" w:hAnsi="Arial"/>
          <w:sz w:val="15"/>
          <w:szCs w:val="15"/>
          <w:color w:val="auto"/>
        </w:rPr>
        <w:t>29,426</w:t>
      </w:r>
    </w:p>
    <w:p>
      <w:pPr>
        <w:spacing w:after="0" w:line="44"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221,433</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39,353</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975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 w:lineRule="exact"/>
        <w:rPr>
          <w:sz w:val="20"/>
          <w:szCs w:val="20"/>
          <w:color w:val="auto"/>
        </w:rPr>
      </w:pPr>
    </w:p>
    <w:p>
      <w:pPr>
        <w:ind w:left="689" w:hanging="689"/>
        <w:spacing w:after="0"/>
        <w:tabs>
          <w:tab w:leader="none" w:pos="689" w:val="left"/>
        </w:tabs>
        <w:numPr>
          <w:ilvl w:val="0"/>
          <w:numId w:val="30"/>
        </w:numPr>
        <w:rPr>
          <w:rFonts w:ascii="Arial" w:cs="Arial" w:eastAsia="Arial" w:hAnsi="Arial"/>
          <w:sz w:val="15"/>
          <w:szCs w:val="15"/>
          <w:color w:val="auto"/>
        </w:rPr>
      </w:pPr>
      <w:r>
        <w:rPr>
          <w:rFonts w:ascii="Arial" w:cs="Arial" w:eastAsia="Arial" w:hAnsi="Arial"/>
          <w:sz w:val="15"/>
          <w:szCs w:val="15"/>
          <w:color w:val="auto"/>
        </w:rPr>
        <w:t>344,846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975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975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431" w:space="720"/>
            <w:col w:w="2249"/>
          </w:cols>
          <w:pgMar w:left="240" w:top="459" w:right="259" w:bottom="1440" w:gutter="0" w:footer="0" w:header="0"/>
          <w:type w:val="continuous"/>
        </w:sectPr>
      </w:pPr>
    </w:p>
    <w:p>
      <w:pPr>
        <w:spacing w:after="0" w:line="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purposes of determining the annual cash bonus for our Chief Executive Officer in fiscal year 2015, the Compensation and Human Resources Committee relied on an assessment of our Chief Executive Officer completed by the Nomination, Evaluation and Corporate Governance Committee. The criteria used by the Nomination, Evaluation and Corporate Governance Committee for our Chief Executive Officer’s fiscal year 2015 evaluation included the following, with approximately equal weighting applied to each of the three main categories:</w:t>
      </w:r>
    </w:p>
    <w:p>
      <w:pPr>
        <w:spacing w:after="0" w:line="62" w:lineRule="exact"/>
        <w:rPr>
          <w:sz w:val="20"/>
          <w:szCs w:val="20"/>
          <w:color w:val="auto"/>
        </w:rPr>
      </w:pPr>
    </w:p>
    <w:p>
      <w:pPr>
        <w:ind w:left="660" w:right="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Company Financial Performance. </w:t>
      </w:r>
      <w:r>
        <w:rPr>
          <w:rFonts w:ascii="Arial" w:cs="Arial" w:eastAsia="Arial" w:hAnsi="Arial"/>
          <w:sz w:val="18"/>
          <w:szCs w:val="18"/>
          <w:color w:val="auto"/>
        </w:rPr>
        <w:t>Non-GAAP diluted net income per share attributable to ViaSat, Inc. common stockholders, Adjusted EBITDA, new</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awards, total revenues and net operating asset turnover (at the same levels as set forth in the table above).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Leadership.  </w:t>
      </w:r>
      <w:r>
        <w:rPr>
          <w:rFonts w:ascii="Arial" w:cs="Arial" w:eastAsia="Arial" w:hAnsi="Arial"/>
          <w:sz w:val="16"/>
          <w:szCs w:val="16"/>
          <w:color w:val="auto"/>
        </w:rPr>
        <w:t>Defining, managing and attaining corporate goals, exemplifying and promoting ethics and integrity throughout the company.</w:t>
      </w:r>
    </w:p>
    <w:p>
      <w:pPr>
        <w:spacing w:after="0" w:line="113"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Strategic. </w:t>
      </w:r>
      <w:r>
        <w:rPr>
          <w:rFonts w:ascii="Arial" w:cs="Arial" w:eastAsia="Arial" w:hAnsi="Arial"/>
          <w:sz w:val="18"/>
          <w:szCs w:val="18"/>
          <w:color w:val="auto"/>
        </w:rPr>
        <w:t>Industry positioning, short-term and long-term strategies, measurable progress in key business areas and effective pursuit of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performance metrics for determining the annual cash bonuses for our Chief Executive Officer consist of both objective and subjective criteria. Under the objective performance factors, the company must achieve quantifiable financial performance metrics, as described above. As is the case with our other executive officers, the attainment of our Chief Executive Officer’s leadership and strategic individual performance factors, while made in the context of the objective criteria, is based upon a subjective evaluation of his individual performance by the Compensation and Human Resources Committee with input from the Nomination, Evaluation and Corporate Governance Committee. With respect to leadership performance, the Nomination, Evaluation and Corporate Governance Committee determined that Mr. Dankberg achieved, among other things:</w:t>
      </w:r>
    </w:p>
    <w:p>
      <w:pPr>
        <w:spacing w:after="0" w:line="39" w:lineRule="exact"/>
        <w:rPr>
          <w:sz w:val="20"/>
          <w:szCs w:val="20"/>
          <w:color w:val="auto"/>
        </w:rPr>
      </w:pPr>
    </w:p>
    <w:p>
      <w:pPr>
        <w:ind w:left="660" w:right="14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recognition of ViaSat’s industry transforming strategy, including Mr. Dankberg’s induction into the Society of Satellite Professionals Hall of Fame,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progress on strategy development with respect to the Company’s various business areas,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commitment to a culture of ethical leadership with employee engagement at levels surpassing high tech industry benchmarks.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terms of strategic objectives, the Nomination, Evaluation and Corporate Governance Committee determined that Mr. Dankberg achieved, among other things:</w:t>
      </w:r>
    </w:p>
    <w:p>
      <w:pPr>
        <w:spacing w:after="0" w:line="51" w:lineRule="exact"/>
        <w:rPr>
          <w:sz w:val="20"/>
          <w:szCs w:val="20"/>
          <w:color w:val="auto"/>
        </w:rPr>
      </w:pPr>
    </w:p>
    <w:p>
      <w:pPr>
        <w:jc w:val="center"/>
        <w:ind w:left="5620" w:right="1000" w:hanging="5166"/>
        <w:spacing w:after="0" w:line="440"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industry accolades for Exede in the Air in-flight Wi-Fi service, including the Via Satellite Excellence Award and the Crystal Cabin Award, 40</w:t>
      </w:r>
    </w:p>
    <w:p>
      <w:pPr>
        <w:sectPr>
          <w:pgSz w:w="11900" w:h="16838" w:orient="portrait"/>
          <w:cols w:equalWidth="0" w:num="1">
            <w:col w:w="11400"/>
          </w:cols>
          <w:pgMar w:left="240" w:top="459" w:right="2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consistent growth in the subscriber base of Exede broadband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progress towards next generation broadband satellites,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government systems segment outperforming competitors in a challenging U.S. Department of Defense environment.</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coming to its determination, the Compensation and Human Resources Committee does not follow any guidelines nor are there any such standing guidelines regarding the exercise of such discretion.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executive bonus program does not have any pre-established minimum or maximum payout. At the beginning of each fiscal year, the Board approves ViaSat’s financial plan for the upcoming fiscal year and the Compensation and Human Resources Committee approves the target bonus pool (executives and employees) for the upcoming fiscal year. The Board and the Compensation and Human Resources Committee also retain the discretion to take additional factors into account (such as market conditions, key awards, total executive compensation, strategic positioning, additional company financial metrics or extraordinary individual contributions) and make adjustments to executive bonus compensation to the extent appropriate.</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Based upon ViaSat’s financial results for fiscal year 2015 relative to the pre-established financial objectives described above and the Compensation and Human Resources Committee’s subjective evaluation of ViaSat’s other corporate achievements during fiscal year 2015 and individual executive performance, the Compensation and Human Resources Committee, acting under delegation of authority from the Board, approved the cash bonuses in the table below for our Named Executive Officers for fiscal year 2015 (paid in fiscal year 2016). The Compensation and Human Resources Committee determined that the company’s achievement relative to the pre-established financial objectives described above was approximately 129%. In making its overall determinations relative to the individual component of each executive’s bonus, the Compensation and Human Resources Committee placed special emphasis on the leadership provided by the executive team in the achievement of critical non-financial, operational and strategic business objectives during fiscal year 2015, specifically including each executive’s contributions during the fiscal year to the level of earnings growth for our Exede consumer business, continued progress in the development of our next generation satellites, our transformation toward a customer-centric culture, continued growth in our global mobile broadband service business and overall strong strategic positioning, which resulted in the bonus awards reflected in the following table.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2015 Cash Bonuses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Target Cash</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Actual Cash</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Bonuses As</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Bonuses As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060" w:type="dxa"/>
            <w:vAlign w:val="bottom"/>
            <w:vMerge w:val="restart"/>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of Base</w:t>
            </w:r>
          </w:p>
        </w:tc>
        <w:tc>
          <w:tcPr>
            <w:tcW w:w="15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Actual Cash</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of Base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15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91"/>
              </w:rPr>
              <w:t>Salary (%)</w:t>
            </w:r>
          </w:p>
        </w:tc>
        <w:tc>
          <w:tcPr>
            <w:tcW w:w="15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Bonuses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Salary (%)</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100-125</w:t>
            </w:r>
          </w:p>
        </w:tc>
        <w:tc>
          <w:tcPr>
            <w:tcW w:w="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1,200,000</w:t>
            </w: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100-125</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1,000,000</w:t>
            </w: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50-125</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50-125</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450,000</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50-125</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50-125</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375,000</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Equity-Based Compensation</w:t>
      </w:r>
      <w:r>
        <w:rPr>
          <w:rFonts w:ascii="Arial" w:cs="Arial" w:eastAsia="Arial" w:hAnsi="Arial"/>
          <w:sz w:val="15"/>
          <w:szCs w:val="15"/>
          <w:color w:val="auto"/>
        </w:rPr>
        <w:t>. Consistent with our belief that equity-based compensation is a key component of an effective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at growth-oriented technology companies, our Board approved (upon recommendation of our Compensation and Human Resources Committee) long-term equity awards to our executive officers in fiscal year 2015. Our Compensation and Human Resources Committee determined equity award levels for fiscal year 2015 in a manner consistent with the determination of base salary and annual cash bonuses. The Compensation and Human Resources Committee considered</w:t>
      </w:r>
    </w:p>
    <w:p>
      <w:pPr>
        <w:spacing w:after="0" w:line="3" w:lineRule="exact"/>
        <w:rPr>
          <w:sz w:val="20"/>
          <w:szCs w:val="20"/>
          <w:color w:val="auto"/>
        </w:rPr>
      </w:pPr>
    </w:p>
    <w:p>
      <w:pPr>
        <w:jc w:val="both"/>
        <w:ind w:right="160" w:firstLine="8"/>
        <w:spacing w:after="0" w:line="255"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industry compensation data described above, (2) individual performance and contributions, (3) total executive compensation, and (4) the availability and affordability of shares for equity grants in determining equity compensation for executives. For fiscal year 2015 equity compensation awards, the Compensation and Human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Resources Committee engaged Compensia to assist the Compensation and Human Resources Committee in providing market data and recommendations related to equity compensation grants for our executive officers. In addition, the Compensation and Human Resources Committee relied on the equity compensation survey data from Radford, which reports an equity compensation range for comparable positions using various metrics. In determining the availability and affordability of shares for equity grants, the Compensation and Human Resources Committee considered the:</w:t>
      </w:r>
    </w:p>
    <w:p>
      <w:pPr>
        <w:spacing w:after="0" w:line="32"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shares available for issuance under our equity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shares budgeted for non-executive equity grants,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future retention and new hire grants to executives and non-executives,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estimated accounting expense of potential equity grants,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consequences associated with the grant of equity awards.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Based on the factors discussed above, our Board (upon recommendation from the Compensation and Human Resources Committee) approved equity incentive awards for our Named Executive Officers in November 2014. The values of these equity awards were generally between the 40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based on the peer group and industry survey data described above. For more information on these equity awards, see the Grants of Plan-Based Awards in Fiscal Year 2015 table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Other Benefits</w:t>
      </w:r>
      <w:r>
        <w:rPr>
          <w:rFonts w:ascii="Arial" w:cs="Arial" w:eastAsia="Arial" w:hAnsi="Arial"/>
          <w:sz w:val="16"/>
          <w:szCs w:val="16"/>
          <w:color w:val="auto"/>
        </w:rPr>
        <w:t>. We provide a comprehensive benefits package to all of our employees, including our executive officers, which includes medical, dental,</w:t>
      </w:r>
      <w:r>
        <w:rPr>
          <w:rFonts w:ascii="Arial" w:cs="Arial" w:eastAsia="Arial" w:hAnsi="Arial"/>
          <w:sz w:val="16"/>
          <w:szCs w:val="16"/>
          <w:i w:val="1"/>
          <w:iCs w:val="1"/>
          <w:color w:val="auto"/>
        </w:rPr>
        <w:t xml:space="preserve"> </w:t>
      </w:r>
      <w:r>
        <w:rPr>
          <w:rFonts w:ascii="Arial" w:cs="Arial" w:eastAsia="Arial" w:hAnsi="Arial"/>
          <w:sz w:val="16"/>
          <w:szCs w:val="16"/>
          <w:color w:val="auto"/>
        </w:rPr>
        <w:t>vision care, disability insurance, life insurance benefits, flexible spending plan, 401(k) savings plan, educational reimbursement program, employee assistance program, employee stock purchase plan, holidays and personal time off which includes vacation and sick days. Certain executives also receive access to our sports and golf club memberships. We do not currently offer defined benefit pension or supplemental executive retirement plans to any of our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Stock options and restricted stock units are part of the equity compensation program for many of our employees. Equity awards are granted in approximately 12 month cycles. Grant approval for executive officers occurs at meetings of the Board. Because of the more extensive process for determining executive equity grants, executive equity grants are not always made at the same time as grants to all other eligible employees.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grants made as part of our annual equity grant process for our current employees, stock option and restricted stock unit grants may also be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our Chief Executive Officer, President and Vice President of Human Resources to make grants to employees other than executive officers, subject to certain guidelines and an overall share limitation. Grants made by these senior executives under delegation of authority from the Compensation and Human Resources Committee are generally made once per quarter. We do not grant “re-load” options, make loans to executives for any purpose, including to exercise stock options, nor do we grant stock options at a discount.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enhance our overall corporate governance practices and executive compensation program, our Board has adopted stock ownership guidelines for our executive officers. These guidelines are designed to align our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executive officers’ interests with our stockholders’ long-term interests by promoting long-term ownership of ViaSat common stock, which reduces the incentive for excessive short-term risk taking. These guidelines provide that, within five years of the later of the adoption of the guidelines or his or her first date of employment, our executive officers should attain an investment position in shares of ViaSat common stock having a value not less than the amounts specified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6"/>
              </w:rPr>
              <w:t>Stock Ownership Guideline</w:t>
            </w:r>
          </w:p>
        </w:tc>
      </w:tr>
      <w:tr>
        <w:trPr>
          <w:trHeight w:val="168"/>
        </w:trPr>
        <w:tc>
          <w:tcPr>
            <w:tcW w:w="2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Executive Officer</w:t>
            </w:r>
          </w:p>
        </w:tc>
        <w:tc>
          <w:tcPr>
            <w:tcW w:w="40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a multiple of base salary)</w:t>
            </w:r>
          </w:p>
        </w:tc>
        <w:tc>
          <w:tcPr>
            <w:tcW w:w="1540" w:type="dxa"/>
            <w:vAlign w:val="bottom"/>
          </w:tcPr>
          <w:p>
            <w:pPr>
              <w:spacing w:after="0"/>
              <w:rPr>
                <w:sz w:val="14"/>
                <w:szCs w:val="14"/>
                <w:color w:val="auto"/>
              </w:rPr>
            </w:pP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1"/>
              </w:rPr>
              <w:t>Chief Executive Officer</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President and Chief Operating Officer</w:t>
            </w:r>
          </w:p>
        </w:tc>
        <w:tc>
          <w:tcPr>
            <w:tcW w:w="3280" w:type="dxa"/>
            <w:vAlign w:val="bottom"/>
            <w:gridSpan w:val="2"/>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0"/>
              </w:rPr>
              <w:t>Other Executive Officers</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90"/>
              </w:rPr>
              <w:t>One time</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select and implement the components of our compensation program primarily for their ability to help us achieve the company’s objectives and not on the basis of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In addition, Section 162(m) of the Code generally sets a limit of $1.0 million on the amount of annual compensation (other than certain enumerated categories of performance-based compensation) that we may deduct for federal income tax purposes for certain covered individuals. We have not adopted a policy requiring that all compensation be deductible, although the Compensation and Human Resources Committee will continue to review the Section 162(m) deductibility of our compensation arrangements in fiscal year 2016 and future fiscal years. The Compensation and Human Resources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and Human Resources Committee</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Stenbit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 sets forth the compensation earned during the fiscal years ended April 3, 2015, April 4, 2014 and March 29, 2013 by our Chief Executive Officer, all persons serving as our Chief Financial Officer during the 2015 fiscal year, as well as our three other most highly compensated executive officers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Non-Equity</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Fiscal</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Year</w:t>
            </w:r>
          </w:p>
        </w:tc>
        <w:tc>
          <w:tcPr>
            <w:tcW w:w="56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3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00" w:type="dxa"/>
            <w:vAlign w:val="bottom"/>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28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300" w:type="dxa"/>
            <w:vAlign w:val="bottom"/>
          </w:tcPr>
          <w:p>
            <w:pPr>
              <w:spacing w:after="0"/>
              <w:rPr>
                <w:sz w:val="14"/>
                <w:szCs w:val="14"/>
                <w:color w:val="auto"/>
              </w:rPr>
            </w:pPr>
          </w:p>
        </w:tc>
        <w:tc>
          <w:tcPr>
            <w:tcW w:w="68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2015</w:t>
            </w: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965,000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2,414,889</w:t>
            </w:r>
          </w:p>
        </w:tc>
        <w:tc>
          <w:tcPr>
            <w:tcW w:w="3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2,471,106</w:t>
            </w:r>
          </w:p>
        </w:tc>
        <w:tc>
          <w:tcPr>
            <w:tcW w:w="3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1,200,000</w:t>
            </w:r>
          </w:p>
        </w:tc>
        <w:tc>
          <w:tcPr>
            <w:tcW w:w="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21,540</w:t>
            </w:r>
          </w:p>
        </w:tc>
        <w:tc>
          <w:tcPr>
            <w:tcW w:w="3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7,072,535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and Chief</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2,030,313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2,350,680</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1,100,000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25,700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6,456,093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1,439,912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1,653,707</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115,801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4,934,420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800,000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1,426,989</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1,460,199</w:t>
            </w:r>
          </w:p>
        </w:tc>
        <w:tc>
          <w:tcPr>
            <w:tcW w:w="300" w:type="dxa"/>
            <w:vAlign w:val="bottom"/>
          </w:tcPr>
          <w:p>
            <w:pPr>
              <w:spacing w:after="0"/>
              <w:rPr>
                <w:sz w:val="11"/>
                <w:szCs w:val="11"/>
                <w:color w:val="auto"/>
              </w:rPr>
            </w:pP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12,240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4,699,428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716,000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1,116,663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1,292,874</w:t>
            </w:r>
          </w:p>
        </w:tc>
        <w:tc>
          <w:tcPr>
            <w:tcW w:w="3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825,000</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48,087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3,998,624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8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2013</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660,000</w:t>
            </w:r>
          </w:p>
        </w:tc>
        <w:tc>
          <w:tcPr>
            <w:tcW w:w="28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746,582</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857,426</w:t>
            </w:r>
          </w:p>
        </w:tc>
        <w:tc>
          <w:tcPr>
            <w:tcW w:w="300" w:type="dxa"/>
            <w:vAlign w:val="bottom"/>
          </w:tcPr>
          <w:p>
            <w:pPr>
              <w:spacing w:after="0"/>
              <w:rPr>
                <w:sz w:val="13"/>
                <w:szCs w:val="13"/>
                <w:color w:val="auto"/>
              </w:rPr>
            </w:pPr>
          </w:p>
        </w:tc>
        <w:tc>
          <w:tcPr>
            <w:tcW w:w="12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625,000</w:t>
            </w:r>
          </w:p>
        </w:tc>
        <w:tc>
          <w:tcPr>
            <w:tcW w:w="13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11,450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2,900,458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 (4)</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197,580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202,181</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17,819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1,062,580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531,635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632,779</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19,487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1,762,701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Treasury and Corporate</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Shawn Duffy (5)</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400,000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493,950</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505,454</w:t>
            </w:r>
          </w:p>
        </w:tc>
        <w:tc>
          <w:tcPr>
            <w:tcW w:w="300" w:type="dxa"/>
            <w:vAlign w:val="bottom"/>
          </w:tcPr>
          <w:p>
            <w:pPr>
              <w:spacing w:after="0"/>
              <w:rPr>
                <w:sz w:val="11"/>
                <w:szCs w:val="11"/>
                <w:color w:val="auto"/>
              </w:rPr>
            </w:pP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450,000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16,801</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1,866,205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336,500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355,288</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411,369</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375,000</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Chief Financial Officer</w:t>
            </w:r>
          </w:p>
        </w:tc>
        <w:tc>
          <w:tcPr>
            <w:tcW w:w="8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2013</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275,000</w:t>
            </w:r>
          </w:p>
        </w:tc>
        <w:tc>
          <w:tcPr>
            <w:tcW w:w="28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217,800</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150,000</w:t>
            </w:r>
          </w:p>
        </w:tc>
        <w:tc>
          <w:tcPr>
            <w:tcW w:w="13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8,675</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651,475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548,811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561,615</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15,571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2,100,997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Vice President —</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435,800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406,087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470,136</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9,284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1,746,307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Counsel and Secretary</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302,488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347,418</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8,914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375,000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439,089</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449,292</w:t>
            </w:r>
          </w:p>
        </w:tc>
        <w:tc>
          <w:tcPr>
            <w:tcW w:w="300" w:type="dxa"/>
            <w:vAlign w:val="bottom"/>
          </w:tcPr>
          <w:p>
            <w:pPr>
              <w:spacing w:after="0"/>
              <w:rPr>
                <w:sz w:val="11"/>
                <w:szCs w:val="11"/>
                <w:color w:val="auto"/>
              </w:rPr>
            </w:pP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375,000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166,350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1,804,731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312,500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577,034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516,089</w:t>
            </w:r>
          </w:p>
        </w:tc>
        <w:tc>
          <w:tcPr>
            <w:tcW w:w="3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250,000</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164,973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1,820,596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Government Systems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460" w:right="220" w:hanging="452"/>
        <w:spacing w:after="0" w:line="28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and restricted stock units granted in fiscal years 2015, 2014 and 2013.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for the respective year end, refer to note 6 to the financial statements included in our annual report on Form 10-K for the fiscal year ended April 3, 2015, as filed with the SEC.</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w:t>
      </w:r>
    </w:p>
    <w:p>
      <w:pPr>
        <w:spacing w:after="0" w:line="9" w:lineRule="exact"/>
        <w:rPr>
          <w:rFonts w:ascii="Arial" w:cs="Arial" w:eastAsia="Arial" w:hAnsi="Arial"/>
          <w:sz w:val="18"/>
          <w:szCs w:val="18"/>
          <w:color w:val="auto"/>
        </w:rPr>
      </w:pPr>
    </w:p>
    <w:p>
      <w:pPr>
        <w:ind w:left="460" w:right="46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for fiscal year 2015 include the following: reimbursement of club dues for Mr. Dankberg, Ms. Duffy and Mr. Lippert in the amount of $10,912, $7,445 and $13,956, respectively; reimbursement of relocation expenses for Mr. Dirks in the amount of $6,469; housing allowance for Mr. Peterman in the amount of $155,457; and matching 401(k) contributions for Mr. Dankberg, Mr. Baldridge, Mr. Dirks, Ms. Duffy, Mr. Lippert and Mr. Peterman in the amount of $9,128, $12,240, $11,350, $9,356, $1,615 and $10,893, respectively.</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Dirks served as Chief Financial Officer from April 26, 2013 to June 17, 2014, whereupon he assumed the position of Senior Vice President—Treasury and Corporate Development.</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Duffy was appointed Senior Vice President and Chief Financial Officer on June 17,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grants of plan-based awards to each of the Named Executive Officers during fiscal year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87"/>
              </w:rPr>
              <w:t>Estimated Future Payouts Under</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 Base</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60" w:type="dxa"/>
            <w:vAlign w:val="bottom"/>
            <w:gridSpan w:val="7"/>
            <w:vMerge w:val="continue"/>
          </w:tcPr>
          <w:p>
            <w:pPr>
              <w:spacing w:after="0"/>
              <w:rPr>
                <w:sz w:val="5"/>
                <w:szCs w:val="5"/>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Price of</w:t>
            </w: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60" w:type="dxa"/>
            <w:vAlign w:val="bottom"/>
            <w:gridSpan w:val="7"/>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9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60" w:type="dxa"/>
            <w:vAlign w:val="bottom"/>
            <w:gridSpan w:val="7"/>
            <w:vMerge w:val="continue"/>
          </w:tcPr>
          <w:p>
            <w:pPr>
              <w:spacing w:after="0"/>
              <w:rPr>
                <w:sz w:val="5"/>
                <w:szCs w:val="5"/>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of Shares</w:t>
            </w:r>
          </w:p>
        </w:tc>
        <w:tc>
          <w:tcPr>
            <w:tcW w:w="10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Awards (1)</w:t>
            </w: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Stock</w:t>
            </w:r>
          </w:p>
        </w:tc>
        <w:tc>
          <w:tcPr>
            <w:tcW w:w="10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Grant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Threshold</w:t>
            </w:r>
          </w:p>
        </w:tc>
        <w:tc>
          <w:tcPr>
            <w:tcW w:w="22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Target</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or Units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gridSpan w:val="2"/>
          </w:tcPr>
          <w:p>
            <w:pPr>
              <w:jc w:val="center"/>
              <w:ind w:left="132"/>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3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4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965,000</w:t>
            </w: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36,667</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2,414,889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65.86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2,471,106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800,000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21,667</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1,426,989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65,000</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65.86</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1,460,199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w:t>
            </w: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210,000</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65.86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Shawn Duffy</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200,000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493,950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22,500</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65.86</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505,454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225,000</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8,333</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65.86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561,615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187,500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6,667</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439,089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11/17/2014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20,000</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65.86</w:t>
            </w:r>
          </w:p>
        </w:tc>
        <w:tc>
          <w:tcPr>
            <w:tcW w:w="600" w:type="dxa"/>
            <w:vAlign w:val="bottom"/>
          </w:tcPr>
          <w:p>
            <w:pPr>
              <w:jc w:val="right"/>
              <w:spacing w:after="0"/>
              <w:rPr>
                <w:sz w:val="20"/>
                <w:szCs w:val="20"/>
                <w:color w:val="auto"/>
              </w:rPr>
            </w:pPr>
            <w:r>
              <w:rPr>
                <w:rFonts w:ascii="Arial" w:cs="Arial" w:eastAsia="Arial" w:hAnsi="Arial"/>
                <w:sz w:val="14"/>
                <w:szCs w:val="14"/>
                <w:color w:val="auto"/>
              </w:rPr>
              <w:t>449,292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460" w:right="200" w:hanging="452"/>
        <w:spacing w:after="0" w:line="28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target amounts payable under our annual cash bonus program for fiscal year 2015.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1996 Equity Participation Plan as the closing price per share on the grant date.</w:t>
      </w:r>
    </w:p>
    <w:p>
      <w:pPr>
        <w:ind w:left="460" w:hanging="452"/>
        <w:spacing w:after="0" w:line="29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column represents the grant date fair value, calculated in accordance with SEC rules, of each equity award.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6 to the financial statements included in our annual report on Form 10-K for the fiscal year ended April 3, 2015, as filed with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 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held by each of the Named Executive Officers as of April 3,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Unearned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Units</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Stock</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Number of Securities</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That</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Have</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Have</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Options (#)</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1"/>
              </w:rPr>
              <w:t>Unexercised</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41"/>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Expiration</w:t>
            </w:r>
          </w:p>
        </w:tc>
        <w:tc>
          <w:tcPr>
            <w:tcW w:w="7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78"/>
              </w:rPr>
              <w:t>Vested</w:t>
            </w:r>
          </w:p>
        </w:tc>
        <w:tc>
          <w:tcPr>
            <w:tcW w:w="88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75"/>
        </w:trPr>
        <w:tc>
          <w:tcPr>
            <w:tcW w:w="2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Exercisable</w:t>
            </w:r>
          </w:p>
        </w:tc>
        <w:tc>
          <w:tcPr>
            <w:tcW w:w="260" w:type="dxa"/>
            <w:vAlign w:val="bottom"/>
          </w:tcPr>
          <w:p>
            <w:pPr>
              <w:spacing w:after="0"/>
              <w:rPr>
                <w:sz w:val="12"/>
                <w:szCs w:val="12"/>
                <w:color w:val="auto"/>
              </w:rPr>
            </w:pPr>
          </w:p>
        </w:tc>
        <w:tc>
          <w:tcPr>
            <w:tcW w:w="12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Unexercisable (1)</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9"/>
              </w:rPr>
              <w:t>Options (#)</w:t>
            </w:r>
          </w:p>
        </w:tc>
        <w:tc>
          <w:tcPr>
            <w:tcW w:w="7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9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Date</w:t>
            </w: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24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11/10/2009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150,000</w:t>
            </w: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29.45</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11/10/2015</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ind w:left="360"/>
              <w:spacing w:after="0" w:line="136" w:lineRule="exact"/>
              <w:rPr>
                <w:sz w:val="20"/>
                <w:szCs w:val="20"/>
                <w:color w:val="auto"/>
              </w:rPr>
            </w:pPr>
            <w:r>
              <w:rPr>
                <w:rFonts w:ascii="Arial" w:cs="Arial" w:eastAsia="Arial" w:hAnsi="Arial"/>
                <w:sz w:val="14"/>
                <w:szCs w:val="14"/>
                <w:color w:val="auto"/>
                <w:w w:val="71"/>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w w:val="71"/>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11/10/2010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11/10/2011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85,500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11/10/2017</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11/12/2012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59,500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59,500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11/12/2018</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11/14/2013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11/14/2019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11/10/2011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569,905</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11/12/2012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19,833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1,189,782</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24,999</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1,499,690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36,667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2,199,653</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11/10/2009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75,000</w:t>
            </w:r>
          </w:p>
        </w:tc>
        <w:tc>
          <w:tcPr>
            <w:tcW w:w="260" w:type="dxa"/>
            <w:vAlign w:val="bottom"/>
          </w:tcPr>
          <w:p>
            <w:pPr>
              <w:spacing w:after="0"/>
              <w:rPr>
                <w:sz w:val="11"/>
                <w:szCs w:val="11"/>
                <w:color w:val="auto"/>
              </w:rPr>
            </w:pPr>
          </w:p>
        </w:tc>
        <w:tc>
          <w:tcPr>
            <w:tcW w:w="12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29.45</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11/10/2015</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55,000</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44,250</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14,750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44.53</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11/10/2017</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30,850</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30,850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36.30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11/12/2018</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13,750</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41,250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11/14/2019</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65,000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4,937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296,171</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10,283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616,877</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13,749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824,803</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0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21,667</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9"/>
              </w:rPr>
              <w:t>1,299,803</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4/26/2013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18,750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4/26/2019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11/14/2013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11/14/2019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11/17/2014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4/26/2013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359,940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1,875</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112,481</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179,970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Shawn Duffy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88"/>
              </w:rPr>
              <w:t>11/14/2013</w:t>
            </w:r>
          </w:p>
        </w:tc>
        <w:tc>
          <w:tcPr>
            <w:tcW w:w="6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4,375</w:t>
            </w:r>
          </w:p>
        </w:tc>
        <w:tc>
          <w:tcPr>
            <w:tcW w:w="150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13,125</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60.91</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11/14/2019</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22,500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59,990</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179,970</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4,374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262,396</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0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7,500</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449,925</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11/10/2010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11/10/2011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15,938</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5,312</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11/10/2017</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11/12/2012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11/12/2018</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11/14/2013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11/14/2019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11/10/2011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1,770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106,182</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11/12/2012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4,166</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249,918</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299,950</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8,333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499,897</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w w:val="99"/>
              </w:rPr>
              <w:t>4/26/2013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12,750</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47.42</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4/26/2019</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2,188</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6,562</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11/14/2019</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20,000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11/17/2020</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4/26/2013</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359,940</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131,198</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11/17/2014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6,667</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399,953</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Computed by multiplying the market price of our common stock ($59.99) on April 2, 2015 (the last trading day of fiscal year 2015) by the number of shares subject to such stock award.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2015</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year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70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740" w:type="dxa"/>
            <w:vAlign w:val="bottom"/>
          </w:tcPr>
          <w:p>
            <w:pPr>
              <w:spacing w:after="0"/>
              <w:rPr>
                <w:sz w:val="11"/>
                <w:szCs w:val="11"/>
                <w:color w:val="auto"/>
              </w:rPr>
            </w:pPr>
          </w:p>
        </w:tc>
        <w:tc>
          <w:tcPr>
            <w:tcW w:w="170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60" w:type="dxa"/>
            <w:vAlign w:val="bottom"/>
            <w:vMerge w:val="restart"/>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Exercise</w:t>
            </w:r>
          </w:p>
        </w:tc>
        <w:tc>
          <w:tcPr>
            <w:tcW w:w="17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74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170,000</w:t>
            </w: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7,521,748</w:t>
            </w: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36,501</w:t>
            </w: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2,301,761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60" w:type="dxa"/>
            <w:vAlign w:val="bottom"/>
          </w:tcPr>
          <w:p>
            <w:pPr>
              <w:jc w:val="right"/>
              <w:spacing w:after="0"/>
              <w:rPr>
                <w:sz w:val="20"/>
                <w:szCs w:val="20"/>
                <w:color w:val="auto"/>
              </w:rPr>
            </w:pPr>
            <w:r>
              <w:rPr>
                <w:rFonts w:ascii="Arial" w:cs="Arial" w:eastAsia="Arial" w:hAnsi="Arial"/>
                <w:sz w:val="18"/>
                <w:szCs w:val="18"/>
                <w:color w:val="auto"/>
              </w:rPr>
              <w:t>107,500</w:t>
            </w:r>
          </w:p>
        </w:tc>
        <w:tc>
          <w:tcPr>
            <w:tcW w:w="74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w w:val="92"/>
              </w:rPr>
              <w:t>4,719,313</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19,246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1,213,699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4,959</w:t>
            </w:r>
          </w:p>
        </w:tc>
        <w:tc>
          <w:tcPr>
            <w:tcW w:w="760" w:type="dxa"/>
            <w:vAlign w:val="bottom"/>
          </w:tcPr>
          <w:p>
            <w:pPr>
              <w:jc w:val="right"/>
              <w:spacing w:after="0"/>
              <w:rPr>
                <w:sz w:val="20"/>
                <w:szCs w:val="20"/>
                <w:color w:val="auto"/>
              </w:rPr>
            </w:pPr>
            <w:r>
              <w:rPr>
                <w:rFonts w:ascii="Arial" w:cs="Arial" w:eastAsia="Arial" w:hAnsi="Arial"/>
                <w:sz w:val="18"/>
                <w:szCs w:val="18"/>
                <w:color w:val="auto"/>
              </w:rPr>
              <w:t>312,788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741,575</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960" w:type="dxa"/>
            <w:vAlign w:val="bottom"/>
          </w:tcPr>
          <w:p>
            <w:pPr>
              <w:jc w:val="right"/>
              <w:spacing w:after="0"/>
              <w:rPr>
                <w:sz w:val="20"/>
                <w:szCs w:val="20"/>
                <w:color w:val="auto"/>
              </w:rPr>
            </w:pPr>
            <w:r>
              <w:rPr>
                <w:rFonts w:ascii="Arial" w:cs="Arial" w:eastAsia="Arial" w:hAnsi="Arial"/>
                <w:sz w:val="18"/>
                <w:szCs w:val="18"/>
                <w:color w:val="auto"/>
              </w:rPr>
              <w:t>4,250</w:t>
            </w:r>
          </w:p>
        </w:tc>
        <w:tc>
          <w:tcPr>
            <w:tcW w:w="74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62,156</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2,730</w:t>
            </w:r>
          </w:p>
        </w:tc>
        <w:tc>
          <w:tcPr>
            <w:tcW w:w="760" w:type="dxa"/>
            <w:vAlign w:val="bottom"/>
          </w:tcPr>
          <w:p>
            <w:pPr>
              <w:jc w:val="right"/>
              <w:spacing w:after="0"/>
              <w:rPr>
                <w:sz w:val="20"/>
                <w:szCs w:val="20"/>
                <w:color w:val="auto"/>
              </w:rPr>
            </w:pPr>
            <w:r>
              <w:rPr>
                <w:rFonts w:ascii="Arial" w:cs="Arial" w:eastAsia="Arial" w:hAnsi="Arial"/>
                <w:sz w:val="18"/>
                <w:szCs w:val="18"/>
                <w:color w:val="auto"/>
              </w:rPr>
              <w:t>156,058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market price of our common stock on the date of exercise and the option exercise price, multiplied by the number of shares for which the option was exercised.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provides information as of April 3, 2015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20" w:type="dxa"/>
            <w:vAlign w:val="bottom"/>
          </w:tcPr>
          <w:p>
            <w:pPr>
              <w:spacing w:after="0"/>
              <w:rPr>
                <w:sz w:val="14"/>
                <w:szCs w:val="14"/>
                <w:color w:val="auto"/>
              </w:rPr>
            </w:pPr>
          </w:p>
        </w:tc>
        <w:tc>
          <w:tcPr>
            <w:tcW w:w="2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Future Issuance Under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340" w:type="dxa"/>
            <w:vAlign w:val="bottom"/>
            <w:gridSpan w:val="2"/>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120" w:type="dxa"/>
            <w:vAlign w:val="bottom"/>
          </w:tcPr>
          <w:p>
            <w:pPr>
              <w:spacing w:after="0"/>
              <w:rPr>
                <w:sz w:val="12"/>
                <w:szCs w:val="12"/>
                <w:color w:val="auto"/>
              </w:rPr>
            </w:pPr>
          </w:p>
        </w:tc>
        <w:tc>
          <w:tcPr>
            <w:tcW w:w="22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and Rights (#) (1)</w:t>
            </w:r>
          </w:p>
        </w:tc>
        <w:tc>
          <w:tcPr>
            <w:tcW w:w="1120" w:type="dxa"/>
            <w:vAlign w:val="bottom"/>
          </w:tcPr>
          <w:p>
            <w:pPr>
              <w:spacing w:after="0"/>
              <w:rPr>
                <w:sz w:val="14"/>
                <w:szCs w:val="14"/>
                <w:color w:val="auto"/>
              </w:rPr>
            </w:pPr>
          </w:p>
        </w:tc>
        <w:tc>
          <w:tcPr>
            <w:tcW w:w="220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7"/>
              </w:rPr>
              <w:t>and Rights ($) (2)</w:t>
            </w:r>
          </w:p>
        </w:tc>
        <w:tc>
          <w:tcPr>
            <w:tcW w:w="18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Reflected in Column (a)) (#)</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2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security holders (3)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3,801,064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1,303,060(4)</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security 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22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3,801,064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1,303,060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outstanding restricted stock units. Excludes purchase rights currently accruing under the ViaSat, Inc. Employee Stock Purchase Plan.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weighted average exercise price does not take into account the shares subject to outstanding restricted stock units, which have no exercise price.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two plans: (a) the 1996 Equity Participation Plan of ViaSat, Inc., and (b) the ViaSat, Inc. Employee Stock Purchase Plan.</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 1,038,041 shares available for future issuance under the 1996 Equity Participation Plan of ViaSat, Inc., and (b) 265,019 shares available for future issuance under the ViaSat, Inc. Employee Stock Purchase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participates in or has account balances in qualified or non-qualified defined benefit plans sponsored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accordance with Section 409A of the Code, ViaSat allows executives to elect to defer the timing of receipt of the shares issuable pursuant to their restricted stock unit awards. None of our Named Executive Officers has made a deferral election with respect to any of their outstanding restricted stock unit awards. We do not currently offer any other non-qualified defined contribution or other deferred compensation plans for our Named Executive Officers.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ViaSat provides for certain severance benefits in the event that an executive’s employment is involuntarily or constructively terminated within two months prior to or within 18 months following a change in control. We believe that reasonable severance benefits provide for a stable work environment by reinforcing and encouraging the continued attention and dedication of our key executives to their duties of employment without personal distraction or conflict of interest in circumstances which could arise from the occurrence of a change in control.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change in control severance agreements (Change in Control Agreements) with each of the Named Executive Officers. Under each Change in Control Agreement, in the event an executive’s employment is terminated by ViaSat without “cause” or the executive resigns for “good reason,” in either case, within two months prior to or within 18 months following a “change in control” (as each term is defined in the Change in Control Agreement), the executive will be entitled to receive the following in lieu of any severance benefits to which such executive may otherwise be entitled under any severance plan or program:</w:t>
      </w:r>
    </w:p>
    <w:p>
      <w:pPr>
        <w:spacing w:after="0" w:line="62" w:lineRule="exact"/>
        <w:rPr>
          <w:sz w:val="20"/>
          <w:szCs w:val="20"/>
          <w:color w:val="auto"/>
        </w:rPr>
      </w:pPr>
    </w:p>
    <w:p>
      <w:pPr>
        <w:ind w:left="660" w:right="38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executive’s fully earned but unpaid base salary, when due, through the date of termination, plus all other benefits to which the executive may be entitled for such period,</w:t>
      </w:r>
    </w:p>
    <w:p>
      <w:pPr>
        <w:spacing w:after="0" w:line="50" w:lineRule="exact"/>
        <w:rPr>
          <w:rFonts w:ascii="Arial" w:cs="Arial" w:eastAsia="Arial" w:hAnsi="Arial"/>
          <w:sz w:val="18"/>
          <w:szCs w:val="18"/>
          <w:color w:val="auto"/>
        </w:rPr>
      </w:pPr>
    </w:p>
    <w:p>
      <w:pPr>
        <w:ind w:left="660" w:right="720" w:hanging="206"/>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lump sum cash payment based on a multiplier of the sum of the executive’s then current annual base salary and target annual cash bonus (the multiplier used is 3.0 for the positions of Chief Executive Officer and President, and 2.0 for the remaining Named Executive Officers),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continuation of health and other benefits for a period of 18 months following the date of termination,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full vesting of any outstanding equity awards.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condition to the executive’s receipt of any of the post-termination benefits described above, the executive must (1) execute a written general release of all claims against us,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provides notice of non-renewal.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The table assumes that the termination hypothetically occurred on April 3, 2015, the last day of fiscal year 2015, and that the Change in Control Agreements were in effect as of such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Intrinsic</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Earned But</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Intrinsic</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Value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Unpaid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Base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Accrued</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Severance</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COBRA</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vMerge w:val="restart"/>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Salary</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Vacation</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Payment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Payments</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56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rPr>
              <w:t>($) (3)</w:t>
            </w:r>
          </w:p>
        </w:tc>
        <w:tc>
          <w:tcPr>
            <w:tcW w:w="3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(4)</w:t>
            </w:r>
          </w:p>
        </w:tc>
        <w:tc>
          <w:tcPr>
            <w:tcW w:w="3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(5)</w:t>
            </w:r>
          </w:p>
        </w:tc>
        <w:tc>
          <w:tcPr>
            <w:tcW w:w="320" w:type="dxa"/>
            <w:vAlign w:val="bottom"/>
          </w:tcPr>
          <w:p>
            <w:pPr>
              <w:spacing w:after="0"/>
              <w:rPr>
                <w:sz w:val="14"/>
                <w:szCs w:val="14"/>
                <w:color w:val="auto"/>
              </w:rPr>
            </w:pPr>
          </w:p>
        </w:tc>
        <w:tc>
          <w:tcPr>
            <w:tcW w:w="840" w:type="dxa"/>
            <w:vAlign w:val="bottom"/>
          </w:tcPr>
          <w:p>
            <w:pPr>
              <w:jc w:val="right"/>
              <w:ind w:right="2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185,577</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5,790,000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33,724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1,850,165</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5,459,030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13,318,496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153,846</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4,800,000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33,724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958,872</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3,037,654</w:t>
            </w:r>
          </w:p>
        </w:tc>
        <w:tc>
          <w:tcPr>
            <w:tcW w:w="840" w:type="dxa"/>
            <w:vAlign w:val="bottom"/>
          </w:tcPr>
          <w:p>
            <w:pPr>
              <w:jc w:val="right"/>
              <w:spacing w:after="0"/>
              <w:rPr>
                <w:sz w:val="20"/>
                <w:szCs w:val="20"/>
                <w:color w:val="auto"/>
              </w:rPr>
            </w:pPr>
            <w:r>
              <w:rPr>
                <w:rFonts w:ascii="Arial" w:cs="Arial" w:eastAsia="Arial" w:hAnsi="Arial"/>
                <w:sz w:val="18"/>
                <w:szCs w:val="18"/>
                <w:color w:val="auto"/>
              </w:rPr>
              <w:t>8,984,096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33,724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652,391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24,212</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1,200,000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33,724</w:t>
            </w:r>
          </w:p>
        </w:tc>
        <w:tc>
          <w:tcPr>
            <w:tcW w:w="3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952,281</w:t>
            </w:r>
          </w:p>
        </w:tc>
        <w:tc>
          <w:tcPr>
            <w:tcW w:w="840" w:type="dxa"/>
            <w:vAlign w:val="bottom"/>
          </w:tcPr>
          <w:p>
            <w:pPr>
              <w:jc w:val="right"/>
              <w:spacing w:after="0"/>
              <w:rPr>
                <w:sz w:val="20"/>
                <w:szCs w:val="20"/>
                <w:color w:val="auto"/>
              </w:rPr>
            </w:pPr>
            <w:r>
              <w:rPr>
                <w:rFonts w:ascii="Arial" w:cs="Arial" w:eastAsia="Arial" w:hAnsi="Arial"/>
                <w:sz w:val="18"/>
                <w:szCs w:val="18"/>
                <w:color w:val="auto"/>
              </w:rPr>
              <w:t>2,210,217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1,350,000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33,724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378,249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1,155,947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40,316</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1,125,000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33,724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160,268</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891,091</w:t>
            </w:r>
          </w:p>
        </w:tc>
        <w:tc>
          <w:tcPr>
            <w:tcW w:w="840" w:type="dxa"/>
            <w:vAlign w:val="bottom"/>
          </w:tcPr>
          <w:p>
            <w:pPr>
              <w:jc w:val="right"/>
              <w:spacing w:after="0"/>
              <w:rPr>
                <w:sz w:val="20"/>
                <w:szCs w:val="20"/>
                <w:color w:val="auto"/>
              </w:rPr>
            </w:pPr>
            <w:r>
              <w:rPr>
                <w:rFonts w:ascii="Arial" w:cs="Arial" w:eastAsia="Arial" w:hAnsi="Arial"/>
                <w:sz w:val="18"/>
                <w:szCs w:val="18"/>
                <w:color w:val="auto"/>
              </w:rPr>
              <w:t>2,250,399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fully earned but unpaid salary as of April 3, 2015.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accrual for vacation that had not been taken as of April 3,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shown equal an aggregate of 18 months of COBRA payments for the Named Executive Officer.</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intrinsic value of accelerated stock options is based on the difference between the market price of our common stock ($59.99) on April 2, 2015 (the last trading day of fiscal year 2015) and the option exercise price, multiplied by the number of shares for which the option was accelerated (taking into consideration only options where the market price of our common stock on April 2, 2015 is higher than the options exercise price).</w:t>
      </w:r>
    </w:p>
    <w:p>
      <w:pPr>
        <w:spacing w:after="0" w:line="2" w:lineRule="exact"/>
        <w:rPr>
          <w:rFonts w:ascii="Arial" w:cs="Arial" w:eastAsia="Arial" w:hAnsi="Arial"/>
          <w:sz w:val="16"/>
          <w:szCs w:val="16"/>
          <w:color w:val="auto"/>
        </w:rPr>
      </w:pPr>
    </w:p>
    <w:p>
      <w:pPr>
        <w:ind w:left="460" w:right="26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intrinsic value of accelerated restricted stock units is computed by multiplying the market price of our common stock ($59.99) on April 2, 2015 (the last trading day of fiscal year 2015) by the number of shares that were accelerated.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earned during the fiscal year ended April 3, 2015 by each of our non-employee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5"/>
              </w:rPr>
              <w:t>Fees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and Non-qualified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Earned</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Non-Equity</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or Paid</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60" w:type="dxa"/>
            <w:vAlign w:val="bottom"/>
            <w:vMerge w:val="restart"/>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 Cash</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50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50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4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J. Biondi, Jr. (3)</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7"/>
              </w:rPr>
              <w:t>—</w:t>
            </w:r>
          </w:p>
        </w:tc>
        <w:tc>
          <w:tcPr>
            <w:tcW w:w="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Bob Bowman</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76,500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269,174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81,000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109,000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100,562</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92,112</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restricted stock units granted in fiscal year 2015. These amounts generally reflect the amount that the company expects to expense in its financial statements over the award’s vesting schedule, and do not correspond to the actual value that will be realized by the non-employee directors. For additional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2" w:lineRule="auto"/>
        <w:rPr>
          <w:sz w:val="20"/>
          <w:szCs w:val="20"/>
          <w:color w:val="auto"/>
        </w:rPr>
      </w:pPr>
      <w:r>
        <w:rPr>
          <w:rFonts w:ascii="Arial" w:cs="Arial" w:eastAsia="Arial" w:hAnsi="Arial"/>
          <w:sz w:val="18"/>
          <w:szCs w:val="18"/>
          <w:color w:val="auto"/>
        </w:rPr>
        <w:t>information on the valuation assumptions used in the calculation of these amounts, refer to note 6 to the financial statements included in our annual report on Form 10-K for the fiscal year ended April 3, 2015, as filed with the SEC. The aggregate number of restricted stock units outstanding at the end of fiscal year 2015 for each director was as follows: Mr. Bowman (3,600); Mr. Johnson (1,600); Mr. Lay (1,600); Dr. Nash (1,600); Mr. Stenbit (1,600); and Mr. White (1,600).</w:t>
      </w:r>
    </w:p>
    <w:p>
      <w:pPr>
        <w:spacing w:after="0" w:line="1" w:lineRule="exact"/>
        <w:rPr>
          <w:sz w:val="20"/>
          <w:szCs w:val="20"/>
          <w:color w:val="auto"/>
        </w:rPr>
      </w:pPr>
    </w:p>
    <w:p>
      <w:pPr>
        <w:ind w:left="460" w:right="1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calculated in accordance with SEC rules, of stock options granted in fiscal year 2015.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April 3, 2015, as filed with the SEC. The aggregate number of stock options outstanding at the end of fiscal year 2015 for each director was as follows: Mr. Bowman (19,000); Mr. Johnson (40,000); Mr. Lay (35,000, of which 15,000 stock options are held by Lay Ventures L.P.); Dr. Nash (25,000); Mr. Stenbit (32,500); and Mr. White (25,000).</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Biondi was appointed as a director on April 8, 2015.</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Directors who are employees of the company, such as Mr. Dankberg, do not receive any additional compensation for their services as directors. Non-employee directors are entitled to receive an annual retainer for their service in the amount of $50,000 as a member of the Board,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 At the time of initial election to the Board, each non-employee director is granted 3,000 restricted stock units and an option to purchase 9,000 shares of our common stock, and at each subsequent annual meeting of stockholders, each non-employee director is entitled to receive an annual equity grant in the form of 1,600 restricted stock units and an option to purchase 5,000 shares of our common stock. Members of the Board of Directors are reimbursed for expenses incurred in attending Board and committee meetings, and in connection with Board related activities.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the later of the adoption of the guidelines or his or her first date of election to our Board, our non-employee directors should attain an investment position in ViaSat common stock having a value not less than three times the value of their annual retainer for general Board service.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members of the Compensation and Human Resources Committee for the 2015 fiscal year were Dr. Nash, Mr. Stenbit and Mr. White. During fiscal year 2015, no interlocking relationship existed between any member of the Compensation and Human Resources Committee and any member of any other company’s board of directors or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37"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matters the Audit Committee or the Board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brother of Mark Dankberg, ViaSat’s Chairman and Chief Executive Officer, is a tax partner with Deloitte &amp; Touche LLP. In the ordinary course of business, we have engaged, and may in the future engage, Deloitte to provide tax consulting and other services. During fiscal year 2015, we paid Deloitte approximately $148,000 for these services. Another brother of Mr. Dankberg is employed as an information systems architect at ViaSat. He earned an aggregate of approximately $166,500 in base salary during fiscal year 2015, and participates in our equity award and benefit programs. Mr. Dankberg’s son is a business intelligence manager at ViaSat. He earned an aggregate of approximately $219,000 in base salary and bonus during fiscal year 2015, and participates in our equity award and benefit programs.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brother of Mark Miller, ViaSat’s Chief Technical Officer, is a systems design engineer at ViaSat. He earned an aggregate of approximately $169,500 in base salary and bonus during fiscal year 2015, and participates in our equity award and benefit programs.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Audit Committee has reviewed and discussed the audited consolidated financial statements for fiscal year 2015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April 3, 2015 for filing with the SEC.</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3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 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Johnson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Stockholder Proposals for Inclusion in ViaSat’s 2016 Proxy Statement. </w:t>
      </w:r>
      <w:r>
        <w:rPr>
          <w:rFonts w:ascii="Arial" w:cs="Arial" w:eastAsia="Arial" w:hAnsi="Arial"/>
          <w:sz w:val="16"/>
          <w:szCs w:val="16"/>
          <w:color w:val="auto"/>
        </w:rPr>
        <w:t>Stockholders of ViaSat may submit proposals on matters appropriate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at meetings of our stockholders in accordance with Rule 14a-8 promulgated under the Securities Exchange Act of 1934. To be eligible for inclusion in our proxy statement relating to the 2016 annual meeting of stockholders, proposals must satisfy the conditions established by the SEC for stockholder proposals to be included in the proxy statement, and must otherwise be received by ViaSat no later than March 26, 2016, unless the date of the 2016 annual meeting is changed by more than 30 days from the anniversary of our 2015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Stockholder Proposals for Presentation at the 2016 Annual Meeting. </w:t>
      </w:r>
      <w:r>
        <w:rPr>
          <w:rFonts w:ascii="Arial" w:cs="Arial" w:eastAsia="Arial" w:hAnsi="Arial"/>
          <w:sz w:val="16"/>
          <w:szCs w:val="16"/>
          <w:color w:val="auto"/>
        </w:rPr>
        <w:t>If a stockholder wishes to present a proposal at our 2016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10"/>
          <w:szCs w:val="10"/>
          <w:color w:val="auto"/>
        </w:rPr>
        <w:t>th</w:t>
      </w:r>
      <w:r>
        <w:rPr>
          <w:rFonts w:ascii="Arial" w:cs="Arial" w:eastAsia="Arial" w:hAnsi="Arial"/>
          <w:sz w:val="16"/>
          <w:szCs w:val="16"/>
          <w:color w:val="auto"/>
        </w:rPr>
        <w:t xml:space="preserve"> day nor later than the 90</w:t>
      </w:r>
      <w:r>
        <w:rPr>
          <w:rFonts w:ascii="Arial" w:cs="Arial" w:eastAsia="Arial" w:hAnsi="Arial"/>
          <w:sz w:val="10"/>
          <w:szCs w:val="10"/>
          <w:color w:val="auto"/>
        </w:rPr>
        <w:t>th</w:t>
      </w:r>
      <w:r>
        <w:rPr>
          <w:rFonts w:ascii="Arial" w:cs="Arial" w:eastAsia="Arial" w:hAnsi="Arial"/>
          <w:sz w:val="16"/>
          <w:szCs w:val="16"/>
          <w:color w:val="auto"/>
        </w:rPr>
        <w:t xml:space="preserve"> day prior to the anniversary of our 2015 annual meeting. As a result, proposals submitted pursuant to these provisions of our bylaws must be received no earlier than the close of business on May 19, 2016 and no later than the close of business on June 18, 2016. However, if the date of the 2016 annual meeting is advanced by more than 30 days or delayed by more than 60 days from the anniversary of the 2015 annual meeting, notice by the stockholder must be received no later than the later of (1) the 90</w:t>
      </w:r>
      <w:r>
        <w:rPr>
          <w:rFonts w:ascii="Arial" w:cs="Arial" w:eastAsia="Arial" w:hAnsi="Arial"/>
          <w:sz w:val="10"/>
          <w:szCs w:val="10"/>
          <w:color w:val="auto"/>
        </w:rPr>
        <w:t>th</w:t>
      </w:r>
      <w:r>
        <w:rPr>
          <w:rFonts w:ascii="Arial" w:cs="Arial" w:eastAsia="Arial" w:hAnsi="Arial"/>
          <w:sz w:val="16"/>
          <w:szCs w:val="16"/>
          <w:color w:val="auto"/>
        </w:rPr>
        <w:t xml:space="preserve"> day prior to the 2016 annual meeting or (2)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disclosure of the date of the 2016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SEPTEMBER 16, 2015)</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ViaSat, Inc., a corporation organized under the laws of the State of Delaware (the “Company”), hereby adopts the ViaSat, Inc. Employee Stock Purchase Plan (the “Plan”). The purposes of the Plan are as follows:</w:t>
      </w:r>
    </w:p>
    <w:p>
      <w:pPr>
        <w:spacing w:after="0" w:line="51"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assist Employees of the Participating Companies in acquiring a stock ownership interest in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help Employees provide for their future security and to encourage them to remain in the employment of the Participating Companies.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Plan includes two components: a Code Section 423 Component (the “Section 423 Component”) and a non-Code Section 423 Component (the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It is the intention of the Company to have the Section 423 Component qualify as an “employee stock purchase plan”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 The provisions of the Section 423 Component, accordingly, shall be construed so as to extend and limit participation on a uniform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nondiscriminatory basis consistent with the requirements of Section 423 of the Code. In addition, this Plan authorizes the grant of Options under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which does not qualify as an “employee stock purchase plan” under Section 423 of the Code; such Options granted under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shall be granted pursuant to separate Offerings containing such sub-plans, appendices, rules or procedures as may be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designed to achieve tax, securities laws or other objectives for Eligible Employees and the Participating Companies in locations outside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Except as otherwise provided herein, the Non-Section 423 Component will operate and be administered in the same manner as the Section 423 Component.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Offerings intended to be made under the Non-Section 423 Component will be designated as such by the Committee at or prior to the time of such Offering.</w:t>
      </w:r>
    </w:p>
    <w:p>
      <w:pPr>
        <w:spacing w:after="0" w:line="18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purposes of this Plan, the Committee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4" w:lineRule="exact"/>
        <w:rPr>
          <w:sz w:val="20"/>
          <w:szCs w:val="20"/>
          <w:color w:val="auto"/>
        </w:rPr>
      </w:pPr>
    </w:p>
    <w:p>
      <w:pPr>
        <w:ind w:right="12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or (ii) any entity in which the Company has a significant equity interest, in either case as determined by the Committee, whether now or hereafter existing (which, for avoidance of doubt, shall include any Subsidiary).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“Authorization” has the meaning assigned to that term in Section 3(b) hereof.</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“Board of Directors” or “Board” means the Board of Directors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 and the U.S. Treasury Regulations thereunder.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“Committee” means the committee appointed to administer the Plan pursuant to Section 12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“Company” means ViaSat, Inc., a Delaware corporation.</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“Eligible Compensation” means, with respect to any Offering Period, an Eligible Employee’s base pay or, for Participants in non-U.S. jurisdictions, equivalent amounts as determined by the Committee. The Committee, in its discretion, may, on a uniform and nondiscriminatory basis for each Offering, establish a different definition of Eligible Compensation on a prospective basis.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“Eligible Employee” means:</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w:t>
      </w:r>
    </w:p>
    <w:p>
      <w:pPr>
        <w:spacing w:after="0" w:line="25" w:lineRule="exact"/>
        <w:rPr>
          <w:rFonts w:ascii="Arial" w:cs="Arial" w:eastAsia="Arial" w:hAnsi="Arial"/>
          <w:sz w:val="16"/>
          <w:szCs w:val="16"/>
          <w:color w:val="auto"/>
        </w:rPr>
      </w:pPr>
    </w:p>
    <w:p>
      <w:pPr>
        <w:ind w:left="460" w:right="200" w:firstLine="443"/>
        <w:spacing w:after="0" w:line="259" w:lineRule="auto"/>
        <w:tabs>
          <w:tab w:leader="none" w:pos="11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Notwithstanding the foregoing, the Committee may exclude from participation in the Plan or any Offering as an Eligible Employee:</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any Employee that is a “highly compensated employee” of the Company or any Participating Company (within the meaning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414(q) of the Code), or that is such a “highly compensated employee” (1) with compensation above a specified level, (2) who is an officer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and/or (3) is subject to the disclosure requirements of Section 16(a) of the Exchange Act, and/or</w:t>
      </w:r>
    </w:p>
    <w:p>
      <w:pPr>
        <w:spacing w:after="0" w:line="84" w:lineRule="exact"/>
        <w:rPr>
          <w:sz w:val="20"/>
          <w:szCs w:val="20"/>
          <w:color w:val="auto"/>
        </w:rPr>
      </w:pPr>
    </w:p>
    <w:p>
      <w:pPr>
        <w:ind w:left="920" w:right="20" w:firstLine="421"/>
        <w:spacing w:after="0" w:line="283" w:lineRule="auto"/>
        <w:tabs>
          <w:tab w:leader="none" w:pos="1618"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exclusion in clauses (A), and/or (B) shall be applied in an identical manner under each Offering to all Employees of the Participating Companies in such Offering, in accordance with Treasury Regulation</w:t>
      </w:r>
    </w:p>
    <w:p>
      <w:pPr>
        <w:spacing w:after="0" w:line="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Section 1.423-2(e).</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 respect to the Non-Section 423 Component, all of the foregoing rules shall apply in determining who is an “Eligible Employee,” except</w:t>
      </w:r>
    </w:p>
    <w:p>
      <w:pPr>
        <w:spacing w:after="0" w:line="38" w:lineRule="exact"/>
        <w:rPr>
          <w:rFonts w:ascii="Arial" w:cs="Arial" w:eastAsia="Arial" w:hAnsi="Arial"/>
          <w:sz w:val="16"/>
          <w:szCs w:val="16"/>
          <w:color w:val="auto"/>
        </w:rPr>
      </w:pPr>
    </w:p>
    <w:p>
      <w:pPr>
        <w:ind w:left="460" w:right="340" w:firstLine="4"/>
        <w:spacing w:after="0" w:line="323" w:lineRule="auto"/>
        <w:tabs>
          <w:tab w:leader="none" w:pos="7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Committee may limit eligibility further within a Participating Company so as to only designate some Employees of a Participating Company as Eligible Employees, and (B) to the extent the foregoing eligibility rules are not consistent with applicable local laws.</w:t>
      </w:r>
    </w:p>
    <w:p>
      <w:pPr>
        <w:spacing w:after="0" w:line="93" w:lineRule="exact"/>
        <w:rPr>
          <w:sz w:val="20"/>
          <w:szCs w:val="20"/>
          <w:color w:val="auto"/>
        </w:rPr>
      </w:pPr>
    </w:p>
    <w:p>
      <w:pPr>
        <w:ind w:right="20" w:firstLine="464"/>
        <w:spacing w:after="0" w:line="289" w:lineRule="auto"/>
        <w:tabs>
          <w:tab w:leader="none" w:pos="6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“Exchange Act” means the U.S. Securities Exchange Act of 1934,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“Exercise Date” means, with respect to any Option, the last Trading Day of the Offering Period for which the Option was granted.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64"/>
        <w:spacing w:after="0" w:line="259" w:lineRule="auto"/>
        <w:tabs>
          <w:tab w:leader="none" w:pos="6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 Date” means, with respect to any Option, the date upon which the Option is granted, as set forth in Section 3(a) hereof.</w:t>
      </w:r>
    </w:p>
    <w:p>
      <w:pPr>
        <w:spacing w:after="0" w:line="17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“Non-Section 423 Component” means the sub-plans, appendices, rules or procedures, if any, adopted by the Committee as a part of this Plan, pursuant to which Options that do not satisfy the requirements for “employee stock purchase plans” that are set forth under Section 423 of the Code may be granted pursuant to Offerings to non-U.S. Eligible Employees.</w:t>
      </w:r>
    </w:p>
    <w:p>
      <w:pPr>
        <w:spacing w:after="0" w:line="140" w:lineRule="exact"/>
        <w:rPr>
          <w:rFonts w:ascii="Arial" w:cs="Arial" w:eastAsia="Arial" w:hAnsi="Arial"/>
          <w:sz w:val="18"/>
          <w:szCs w:val="18"/>
          <w:color w:val="auto"/>
        </w:rPr>
      </w:pPr>
    </w:p>
    <w:p>
      <w:pPr>
        <w:ind w:firstLine="464"/>
        <w:spacing w:after="0" w:line="302" w:lineRule="auto"/>
        <w:tabs>
          <w:tab w:leader="none" w:pos="705" w:val="left"/>
        </w:tabs>
        <w:numPr>
          <w:ilvl w:val="0"/>
          <w:numId w:val="55"/>
        </w:numPr>
        <w:rPr>
          <w:rFonts w:ascii="Arial" w:cs="Arial" w:eastAsia="Arial" w:hAnsi="Arial"/>
          <w:sz w:val="15"/>
          <w:szCs w:val="15"/>
          <w:color w:val="auto"/>
        </w:rPr>
      </w:pPr>
      <w:r>
        <w:rPr>
          <w:rFonts w:ascii="Arial" w:cs="Arial" w:eastAsia="Arial" w:hAnsi="Arial"/>
          <w:sz w:val="15"/>
          <w:szCs w:val="15"/>
          <w:color w:val="auto"/>
        </w:rPr>
        <w:t>“Offering” means an offer under the Plan of an Option that may be exercised during an Offering Period as further described in Sections 3 and 4.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w:t>
      </w:r>
    </w:p>
    <w:p>
      <w:pPr>
        <w:spacing w:after="0" w:line="164" w:lineRule="exact"/>
        <w:rPr>
          <w:rFonts w:ascii="Arial" w:cs="Arial" w:eastAsia="Arial" w:hAnsi="Arial"/>
          <w:sz w:val="15"/>
          <w:szCs w:val="15"/>
          <w:color w:val="auto"/>
        </w:rPr>
      </w:pPr>
    </w:p>
    <w:p>
      <w:pPr>
        <w:ind w:right="100" w:firstLine="464"/>
        <w:spacing w:after="0" w:line="298"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“Offering Period” means the six-month periods commencing January 1 and July 1 of each Plan Year as specified in Section 3(a) hereof or such other dates which are six months apart as determined by the Committee. Options shall be granted on the Grant Date and exercised on the Exercise Date as provided in Sections 3(a) and 4(a) hereof. The Committee may establish a different duration for one or more Offering Periods or different commencing or ending dates for such Offering Periods; provided, however, that no Offering Period may have a duration exceeding 27 months.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 means an option granted under the Plan to an Eligible Employee to purchase shares of the Company’s Stock.</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 Price” has the meaning set forth in Section 4(b) hereof.</w:t>
      </w:r>
    </w:p>
    <w:p>
      <w:pPr>
        <w:spacing w:after="0" w:line="171" w:lineRule="exact"/>
        <w:rPr>
          <w:rFonts w:ascii="Arial" w:cs="Arial" w:eastAsia="Arial" w:hAnsi="Arial"/>
          <w:sz w:val="18"/>
          <w:szCs w:val="18"/>
          <w:color w:val="auto"/>
        </w:rPr>
      </w:pPr>
    </w:p>
    <w:p>
      <w:pPr>
        <w:ind w:firstLine="464"/>
        <w:spacing w:after="0" w:line="259" w:lineRule="auto"/>
        <w:tabs>
          <w:tab w:leader="none" w:pos="6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“Participant” means an Eligible Employee who has complied with the provisions of Section 3(b) hereof.</w:t>
      </w:r>
    </w:p>
    <w:p>
      <w:pPr>
        <w:spacing w:after="0" w:line="171"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“Participating Company” means the Company and such present or future Subsidiary Corporations or Affiliates of the Company as the Board of Directors or the Committee shall from time to time designate; provided, however, that at any given time, a Subsidiary that is a Participating Company in the Section 423 Component will not be a Participating Company in the Non-Section 423 Component. The designation by the Committee of Participating Companies and changes in such designations by the Committee shall not require stockholder approval. Only Subsidiary Corporations may be designated as Participating Companies for purposes of the Section 423 Component.</w:t>
      </w:r>
    </w:p>
    <w:p>
      <w:pPr>
        <w:spacing w:after="0" w:line="142" w:lineRule="exact"/>
        <w:rPr>
          <w:rFonts w:ascii="Arial" w:cs="Arial" w:eastAsia="Arial" w:hAnsi="Arial"/>
          <w:sz w:val="18"/>
          <w:szCs w:val="18"/>
          <w:color w:val="auto"/>
        </w:rPr>
      </w:pPr>
    </w:p>
    <w:p>
      <w:pPr>
        <w:ind w:right="78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“Participating Company Group” means, at any point in time, the Company and all other Subsidiary Corporations or Affiliates which are then Participating Companies.</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“Payday” means the regular and recurring established day for payment of cash compensation to Employees of the Company or any Participating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“Plan” means the ViaSat, Inc. Employee Stock Purchase Plan, including both the Section 423 Component and the Non-Section 423 Component and any other sub-plans or appendices hereto, as amended and restated.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“Section 423 Component” means those Offerings under the Plan that are intended to meet the requirements set forth in Section 423(b) of the Code.</w:t>
      </w:r>
    </w:p>
    <w:p>
      <w:pPr>
        <w:spacing w:after="0" w:line="194" w:lineRule="exact"/>
        <w:rPr>
          <w:sz w:val="20"/>
          <w:szCs w:val="20"/>
          <w:color w:val="auto"/>
        </w:rPr>
      </w:pPr>
    </w:p>
    <w:p>
      <w:pPr>
        <w:ind w:left="780" w:hanging="31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“Stock” means the Company’s common stock, $0.0001 par value.</w:t>
      </w:r>
    </w:p>
    <w:p>
      <w:pPr>
        <w:spacing w:after="0" w:line="194" w:lineRule="exact"/>
        <w:rPr>
          <w:rFonts w:ascii="Arial" w:cs="Arial" w:eastAsia="Arial" w:hAnsi="Arial"/>
          <w:sz w:val="16"/>
          <w:szCs w:val="16"/>
          <w:color w:val="auto"/>
        </w:rPr>
      </w:pPr>
    </w:p>
    <w:p>
      <w:pPr>
        <w:ind w:firstLine="464"/>
        <w:spacing w:after="0" w:line="259" w:lineRule="auto"/>
        <w:tabs>
          <w:tab w:leader="none" w:pos="7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Date” means the date a Participant ceases to be an Eligible Employee.</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“Trading Day” means a day on which the national stock exchange upon which the Stock is listed is open for trading.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 SUBJECT TO THE PLAN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Subject to the provisions of Section 9 hereof (relating to adjustments upon changes in the Stock) and Section 11 hereof (relating to amendments of the Plan), the Stock which may be sold pursuant to Options granted under the Plan shall not exceed in the aggregate 2,850,000 shares, and may be unissued shares or treasury shares or shares bought on the market for purposes of the Plan. These 2,850,000 shares include shares that were available but not used under the prior version of this Plan (i.e., the ViaSat, Inc. Employee Stock Purchase Plan as amended and restated effective September 18, 2013) as well as 300,000 additional shares that were made available for issuance for the first time as part of this amended and restated Plan. All or any portion of such maximum number of shares may be issued under the Section 423 Component.</w:t>
      </w:r>
    </w:p>
    <w:p>
      <w:pPr>
        <w:spacing w:after="0" w:line="114"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96" w:lineRule="exact"/>
        <w:rPr>
          <w:rFonts w:ascii="Arial" w:cs="Arial" w:eastAsia="Arial" w:hAnsi="Arial"/>
          <w:sz w:val="18"/>
          <w:szCs w:val="18"/>
          <w:b w:val="1"/>
          <w:bCs w:val="1"/>
          <w:color w:val="auto"/>
        </w:rPr>
      </w:pPr>
    </w:p>
    <w:p>
      <w:pPr>
        <w:ind w:right="40" w:firstLine="464"/>
        <w:spacing w:after="0" w:line="286" w:lineRule="auto"/>
        <w:tabs>
          <w:tab w:leader="none" w:pos="69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 (e) hereof), 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without any interest thereon, unless otherwise required by local law for Participants in non-U.S. jurisdictions. Further, the Committee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8"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Election to Participate; Payroll Deduction Authorization</w:t>
      </w:r>
      <w:r>
        <w:rPr>
          <w:rFonts w:ascii="Arial" w:cs="Arial" w:eastAsia="Arial" w:hAnsi="Arial"/>
          <w:sz w:val="16"/>
          <w:szCs w:val="16"/>
          <w:color w:val="auto"/>
        </w:rPr>
        <w:t>.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Committee)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may adopt rules and procedures for the implementation and administration of payroll deduction elections and the grant and exercise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Options under the Plan, including the following:</w:t>
      </w:r>
    </w:p>
    <w:p>
      <w:pPr>
        <w:spacing w:after="0" w:line="84" w:lineRule="exact"/>
        <w:rPr>
          <w:sz w:val="20"/>
          <w:szCs w:val="20"/>
          <w:color w:val="auto"/>
        </w:rPr>
      </w:pPr>
    </w:p>
    <w:p>
      <w:pPr>
        <w:ind w:right="280" w:firstLine="921"/>
        <w:spacing w:after="0" w:line="306" w:lineRule="auto"/>
        <w:tabs>
          <w:tab w:leader="none" w:pos="11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whether a Participant’s payroll deduction election may be stated in terms of a dollar amount on each Payday, a percentage of Eligible Compensation on each Payday or in any other manner; provided that, in the absence of any determination by the Committee, a Participant’s payroll deduction election shall be stated in terms of a percentage of such Participant’s Eligible Compensation on each Payday;</w:t>
      </w:r>
    </w:p>
    <w:p>
      <w:pPr>
        <w:spacing w:after="0" w:line="106" w:lineRule="exact"/>
        <w:rPr>
          <w:rFonts w:ascii="Arial" w:cs="Arial" w:eastAsia="Arial" w:hAnsi="Arial"/>
          <w:sz w:val="16"/>
          <w:szCs w:val="16"/>
          <w:color w:val="auto"/>
        </w:rPr>
      </w:pPr>
    </w:p>
    <w:p>
      <w:pPr>
        <w:jc w:val="both"/>
        <w:ind w:right="40" w:firstLine="921"/>
        <w:spacing w:after="0" w:line="256" w:lineRule="auto"/>
        <w:tabs>
          <w:tab w:leader="none" w:pos="11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minimum or maximum dollar or percentage limitations that apply to a Participant’s payroll deduction election; provided that, in the absence of any determination by the Committee, the minimum payroll deduction to be made by a Participant per Payday is $10.00 (if a specific amount is selected) or 1% of Eligible Compensation (if a specific percentage is selected); provided, further, that in the absence of any determination by the Committee, the maximum payroll deduction to be made by a Participant per Payday is 5% of Eligible Compensation;</w:t>
      </w:r>
    </w:p>
    <w:p>
      <w:pPr>
        <w:spacing w:after="0" w:line="143" w:lineRule="exact"/>
        <w:rPr>
          <w:rFonts w:ascii="Arial" w:cs="Arial" w:eastAsia="Arial" w:hAnsi="Arial"/>
          <w:sz w:val="18"/>
          <w:szCs w:val="18"/>
          <w:color w:val="auto"/>
        </w:rPr>
      </w:pPr>
    </w:p>
    <w:p>
      <w:pPr>
        <w:ind w:left="1220" w:hanging="299"/>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determination of the exchange ratio applicable to amounts withheld in a currency other than U.S. dollars;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determination of the date and manner by which the Fair Market Value of a share of Stock is determined for purposes of administration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w:t>
      </w:r>
    </w:p>
    <w:p>
      <w:pPr>
        <w:spacing w:after="0" w:line="140" w:lineRule="exact"/>
        <w:rPr>
          <w:sz w:val="20"/>
          <w:szCs w:val="20"/>
          <w:color w:val="auto"/>
        </w:rPr>
      </w:pPr>
    </w:p>
    <w:p>
      <w:pPr>
        <w:ind w:right="60" w:firstLine="464"/>
        <w:spacing w:after="0" w:line="255"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$25,000 Limitation</w:t>
      </w:r>
      <w:r>
        <w:rPr>
          <w:rFonts w:ascii="Arial" w:cs="Arial" w:eastAsia="Arial" w:hAnsi="Arial"/>
          <w:sz w:val="18"/>
          <w:szCs w:val="18"/>
          <w:color w:val="auto"/>
        </w:rPr>
        <w:t>.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w:t>
      </w:r>
    </w:p>
    <w:p>
      <w:pPr>
        <w:spacing w:after="0" w:line="142"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64"/>
        <w:spacing w:after="0" w:line="255"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Foreign Employees</w:t>
      </w:r>
      <w:r>
        <w:rPr>
          <w:rFonts w:ascii="Arial" w:cs="Arial" w:eastAsia="Arial" w:hAnsi="Arial"/>
          <w:sz w:val="18"/>
          <w:szCs w:val="18"/>
          <w:color w:val="auto"/>
        </w:rPr>
        <w:t>. Notwithstanding any other provisions of the Plan to the contrary, in non-U.S. jurisdictions where participation in the Plan through payroll deductions is prohibited, the Committee may provide that an Eligible Employee may elect to participate through contributions to his or her account under the Plan in a form acceptable to the Committee in lieu of or in addition to payroll deductions; provided, however, that, for any Offering under the Section 423 Component, the Committee must determine that any alternative method of contribution is applied on an equal and uniform basis to all Eligible Employees in the Offering.</w:t>
      </w:r>
    </w:p>
    <w:p>
      <w:pPr>
        <w:spacing w:after="0" w:line="136" w:lineRule="exact"/>
        <w:rPr>
          <w:rFonts w:ascii="Arial" w:cs="Arial" w:eastAsia="Arial" w:hAnsi="Arial"/>
          <w:sz w:val="18"/>
          <w:szCs w:val="18"/>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OPTION PRICE</w:t>
      </w:r>
    </w:p>
    <w:p>
      <w:pPr>
        <w:spacing w:after="0" w:line="96" w:lineRule="exact"/>
        <w:rPr>
          <w:rFonts w:ascii="Arial" w:cs="Arial" w:eastAsia="Arial" w:hAnsi="Arial"/>
          <w:sz w:val="18"/>
          <w:szCs w:val="18"/>
          <w:b w:val="1"/>
          <w:bCs w:val="1"/>
          <w:color w:val="auto"/>
        </w:rPr>
      </w:pPr>
    </w:p>
    <w:p>
      <w:pPr>
        <w:ind w:firstLine="464"/>
        <w:spacing w:after="0" w:line="294"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credited to such Participant’s account and carried forward and applied toward the purchase of whole shares of Stock pursuant to the Option, if any, granted to such Participant for the next following Offering Period. Fractional shares will not be issued.</w:t>
      </w:r>
    </w:p>
    <w:p>
      <w:pPr>
        <w:spacing w:after="0" w:line="115" w:lineRule="exact"/>
        <w:rPr>
          <w:rFonts w:ascii="Arial" w:cs="Arial" w:eastAsia="Arial" w:hAnsi="Arial"/>
          <w:sz w:val="16"/>
          <w:szCs w:val="16"/>
          <w:color w:val="auto"/>
        </w:rPr>
      </w:pPr>
    </w:p>
    <w:p>
      <w:pPr>
        <w:ind w:right="60" w:firstLine="464"/>
        <w:spacing w:after="0" w:line="259" w:lineRule="auto"/>
        <w:tabs>
          <w:tab w:leader="none" w:pos="70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Option Price Defined</w:t>
      </w:r>
      <w:r>
        <w:rPr>
          <w:rFonts w:ascii="Arial" w:cs="Arial" w:eastAsia="Arial" w:hAnsi="Arial"/>
          <w:sz w:val="18"/>
          <w:szCs w:val="18"/>
          <w:color w:val="auto"/>
        </w:rPr>
        <w:t>.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w:t>
      </w:r>
    </w:p>
    <w:p>
      <w:pPr>
        <w:spacing w:after="0" w:line="140" w:lineRule="exact"/>
        <w:rPr>
          <w:rFonts w:ascii="Arial" w:cs="Arial" w:eastAsia="Arial" w:hAnsi="Arial"/>
          <w:sz w:val="18"/>
          <w:szCs w:val="18"/>
          <w:color w:val="auto"/>
        </w:rPr>
      </w:pPr>
    </w:p>
    <w:p>
      <w:pPr>
        <w:ind w:right="20" w:firstLine="464"/>
        <w:spacing w:after="0" w:line="288"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 shall relieve the Company from liability to any Participant except to pay to the Participant the amount of the balance in the Participant’s account in cash in one lump sum.</w:t>
      </w:r>
    </w:p>
    <w:p>
      <w:pPr>
        <w:spacing w:after="0" w:line="119" w:lineRule="exact"/>
        <w:rPr>
          <w:rFonts w:ascii="Arial" w:cs="Arial" w:eastAsia="Arial" w:hAnsi="Arial"/>
          <w:sz w:val="16"/>
          <w:szCs w:val="16"/>
          <w:color w:val="auto"/>
        </w:rPr>
      </w:pPr>
    </w:p>
    <w:p>
      <w:pPr>
        <w:ind w:right="20" w:firstLine="464"/>
        <w:spacing w:after="0" w:line="254" w:lineRule="auto"/>
        <w:tabs>
          <w:tab w:leader="none" w:pos="70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Pro Rata Allocations</w:t>
      </w:r>
      <w:r>
        <w:rPr>
          <w:rFonts w:ascii="Arial" w:cs="Arial" w:eastAsia="Arial" w:hAnsi="Arial"/>
          <w:sz w:val="18"/>
          <w:szCs w:val="18"/>
          <w:color w:val="auto"/>
        </w:rPr>
        <w:t>.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Committee shall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w:t>
      </w:r>
    </w:p>
    <w:p>
      <w:pPr>
        <w:spacing w:after="0" w:line="138" w:lineRule="exact"/>
        <w:rPr>
          <w:rFonts w:ascii="Arial" w:cs="Arial" w:eastAsia="Arial" w:hAnsi="Arial"/>
          <w:sz w:val="18"/>
          <w:szCs w:val="18"/>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THE PLAN</w:t>
      </w:r>
    </w:p>
    <w:p>
      <w:pPr>
        <w:spacing w:after="0" w:line="96" w:lineRule="exact"/>
        <w:rPr>
          <w:rFonts w:ascii="Arial" w:cs="Arial" w:eastAsia="Arial" w:hAnsi="Arial"/>
          <w:sz w:val="18"/>
          <w:szCs w:val="18"/>
          <w:b w:val="1"/>
          <w:bCs w:val="1"/>
          <w:color w:val="auto"/>
        </w:rPr>
      </w:pPr>
    </w:p>
    <w:p>
      <w:pPr>
        <w:ind w:right="40" w:firstLine="464"/>
        <w:spacing w:after="0" w:line="291"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Committee).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68"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Eligibility Following Withdrawal</w:t>
      </w:r>
      <w:r>
        <w:rPr>
          <w:rFonts w:ascii="Arial" w:cs="Arial" w:eastAsia="Arial" w:hAnsi="Arial"/>
          <w:sz w:val="18"/>
          <w:szCs w:val="18"/>
          <w:color w:val="auto"/>
        </w:rPr>
        <w:t>. A Participant who withdraws from the Plan and who is still an Eligible Employee shall be eligible to participate again in the Plan as of any subsequent Grant Date by delivering to the Company an Authorization pursuant to Section 3(b) hereof.</w:t>
      </w:r>
    </w:p>
    <w:p>
      <w:pPr>
        <w:spacing w:after="0" w:line="125" w:lineRule="exact"/>
        <w:rPr>
          <w:rFonts w:ascii="Arial" w:cs="Arial" w:eastAsia="Arial" w:hAnsi="Arial"/>
          <w:sz w:val="18"/>
          <w:szCs w:val="18"/>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TRANSFER OF EMPLOYMENT</w:t>
      </w:r>
    </w:p>
    <w:p>
      <w:pPr>
        <w:spacing w:after="0" w:line="96" w:lineRule="exact"/>
        <w:rPr>
          <w:rFonts w:ascii="Arial" w:cs="Arial" w:eastAsia="Arial" w:hAnsi="Arial"/>
          <w:sz w:val="18"/>
          <w:szCs w:val="18"/>
          <w:b w:val="1"/>
          <w:bCs w:val="1"/>
          <w:color w:val="auto"/>
        </w:rPr>
      </w:pPr>
    </w:p>
    <w:p>
      <w:pPr>
        <w:ind w:right="80" w:firstLine="464"/>
        <w:spacing w:after="0" w:line="298" w:lineRule="auto"/>
        <w:tabs>
          <w:tab w:leader="none" w:pos="69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Other than by Death</w:t>
      </w:r>
      <w:r>
        <w:rPr>
          <w:rFonts w:ascii="Arial" w:cs="Arial" w:eastAsia="Arial" w:hAnsi="Arial"/>
          <w:sz w:val="16"/>
          <w:szCs w:val="16"/>
          <w:color w:val="auto"/>
        </w:rPr>
        <w:t>.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w:t>
      </w:r>
    </w:p>
    <w:p>
      <w:pPr>
        <w:spacing w:after="0" w:line="112" w:lineRule="exact"/>
        <w:rPr>
          <w:rFonts w:ascii="Arial" w:cs="Arial" w:eastAsia="Arial" w:hAnsi="Arial"/>
          <w:sz w:val="16"/>
          <w:szCs w:val="16"/>
          <w:color w:val="auto"/>
        </w:rPr>
      </w:pPr>
    </w:p>
    <w:p>
      <w:pPr>
        <w:ind w:firstLine="464"/>
        <w:spacing w:after="0" w:line="318" w:lineRule="auto"/>
        <w:tabs>
          <w:tab w:leader="none" w:pos="705" w:val="left"/>
        </w:tabs>
        <w:numPr>
          <w:ilvl w:val="1"/>
          <w:numId w:val="65"/>
        </w:numPr>
        <w:rPr>
          <w:rFonts w:ascii="Arial" w:cs="Arial" w:eastAsia="Arial" w:hAnsi="Arial"/>
          <w:sz w:val="15"/>
          <w:szCs w:val="15"/>
          <w:color w:val="auto"/>
        </w:rPr>
      </w:pPr>
      <w:r>
        <w:rPr>
          <w:rFonts w:ascii="Arial" w:cs="Arial" w:eastAsia="Arial" w:hAnsi="Arial"/>
          <w:sz w:val="15"/>
          <w:szCs w:val="15"/>
          <w:u w:val="single" w:color="auto"/>
          <w:color w:val="auto"/>
        </w:rPr>
        <w:t>Termination By Death</w:t>
      </w:r>
      <w:r>
        <w:rPr>
          <w:rFonts w:ascii="Arial" w:cs="Arial" w:eastAsia="Arial" w:hAnsi="Arial"/>
          <w:sz w:val="15"/>
          <w:szCs w:val="15"/>
          <w:color w:val="auto"/>
        </w:rPr>
        <w:t>.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w:t>
      </w:r>
    </w:p>
    <w:p>
      <w:pPr>
        <w:spacing w:after="0" w:line="99" w:lineRule="exact"/>
        <w:rPr>
          <w:rFonts w:ascii="Arial" w:cs="Arial" w:eastAsia="Arial" w:hAnsi="Arial"/>
          <w:sz w:val="15"/>
          <w:szCs w:val="15"/>
          <w:color w:val="auto"/>
        </w:rPr>
      </w:pPr>
    </w:p>
    <w:p>
      <w:pPr>
        <w:ind w:firstLine="464"/>
        <w:spacing w:after="0" w:line="286" w:lineRule="auto"/>
        <w:tabs>
          <w:tab w:leader="none" w:pos="69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Transfer of Employment</w:t>
      </w:r>
      <w:r>
        <w:rPr>
          <w:rFonts w:ascii="Arial" w:cs="Arial" w:eastAsia="Arial" w:hAnsi="Arial"/>
          <w:sz w:val="16"/>
          <w:szCs w:val="16"/>
          <w:color w:val="auto"/>
        </w:rPr>
        <w:t>.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21" w:lineRule="exact"/>
        <w:rPr>
          <w:rFonts w:ascii="Arial" w:cs="Arial" w:eastAsia="Arial" w:hAnsi="Arial"/>
          <w:sz w:val="16"/>
          <w:szCs w:val="16"/>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ASSIGNMENT</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RIGHTS OF STOCKHOLDERS UNTIL SHARES ISSUED</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CHANGES IN THE STOCK; ADJUSTMENTS OF AN OPTION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Whenever any change is made in the Stock by reason of a stock split, stock dividend, recapitalization or other subdivision, combination, or reclassification of shares, appropriate action shall be taken by the Committee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USE OF FUNDS; NO INTEREST PAID</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AMENDMENT OF THE PLAN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or the Committee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the Board of Directors or the Committee determines that the ongoing operation of the Plan may result in unfavorable financial accounting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consequences, the Board of Directors or the Committee may, to the extent permitted under Section 423 of the Code with respect to Offerings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423 Component, in its discretion and, to the extent necessary or desirable, modify or amend the Plan to reduce or eliminate such accounting consequence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84" w:lineRule="exact"/>
        <w:rPr>
          <w:sz w:val="20"/>
          <w:szCs w:val="20"/>
          <w:color w:val="auto"/>
        </w:rPr>
      </w:pPr>
    </w:p>
    <w:p>
      <w:pPr>
        <w:ind w:right="420"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altering the Option Price for any Offering Period including an Offering Period underway at the time of the change in Option Price;</w:t>
      </w:r>
    </w:p>
    <w:p>
      <w:pPr>
        <w:spacing w:after="0" w:line="171" w:lineRule="exact"/>
        <w:rPr>
          <w:rFonts w:ascii="Arial" w:cs="Arial" w:eastAsia="Arial" w:hAnsi="Arial"/>
          <w:sz w:val="18"/>
          <w:szCs w:val="18"/>
          <w:color w:val="auto"/>
        </w:rPr>
      </w:pPr>
    </w:p>
    <w:p>
      <w:pPr>
        <w:ind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Exercise Date, including an Offering Period underway at the time of the Board of Directors or Committee action;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reducing the maximum percentage of Eligible Compensation a Participant may elect to contribute;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reducing the maximum number of shares of Stock a Participant may purchase during any Offering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COMMITTEE; RULES AND REGULATIONS</w:t>
      </w:r>
    </w:p>
    <w:p>
      <w:pPr>
        <w:spacing w:after="0" w:line="96" w:lineRule="exact"/>
        <w:rPr>
          <w:rFonts w:ascii="Arial" w:cs="Arial" w:eastAsia="Arial" w:hAnsi="Arial"/>
          <w:sz w:val="18"/>
          <w:szCs w:val="18"/>
          <w:b w:val="1"/>
          <w:bCs w:val="1"/>
          <w:color w:val="auto"/>
        </w:rPr>
      </w:pPr>
    </w:p>
    <w:p>
      <w:pPr>
        <w:ind w:right="480" w:firstLine="464"/>
        <w:spacing w:after="0" w:line="286"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Appointment of Committee</w:t>
      </w:r>
      <w:r>
        <w:rPr>
          <w:rFonts w:ascii="Arial" w:cs="Arial" w:eastAsia="Arial" w:hAnsi="Arial"/>
          <w:sz w:val="16"/>
          <w:szCs w:val="16"/>
          <w:color w:val="auto"/>
        </w:rPr>
        <w:t>. The Plan shall be administered by the Committee, which shall be composed of two or more members of the Board of Directors, each of whom is both a “non-employee director” as defined by Rule 16b-3 under the Exchange Act and an “outside director” for purposes of</w:t>
      </w:r>
    </w:p>
    <w:p>
      <w:pPr>
        <w:spacing w:after="0" w:line="302" w:lineRule="auto"/>
        <w:rPr>
          <w:rFonts w:ascii="Arial" w:cs="Arial" w:eastAsia="Arial" w:hAnsi="Arial"/>
          <w:sz w:val="16"/>
          <w:szCs w:val="16"/>
          <w:color w:val="auto"/>
        </w:rPr>
      </w:pPr>
      <w:r>
        <w:rPr>
          <w:rFonts w:ascii="Arial" w:cs="Arial" w:eastAsia="Arial" w:hAnsi="Arial"/>
          <w:sz w:val="16"/>
          <w:szCs w:val="16"/>
          <w:color w:val="auto"/>
        </w:rPr>
        <w:t>Section 162(m) of the Code.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109" w:lineRule="exact"/>
        <w:rPr>
          <w:rFonts w:ascii="Arial" w:cs="Arial" w:eastAsia="Arial" w:hAnsi="Arial"/>
          <w:sz w:val="16"/>
          <w:szCs w:val="16"/>
          <w:color w:val="auto"/>
        </w:rPr>
      </w:pPr>
    </w:p>
    <w:p>
      <w:pPr>
        <w:ind w:right="60" w:firstLine="464"/>
        <w:spacing w:after="0" w:line="254" w:lineRule="auto"/>
        <w:tabs>
          <w:tab w:leader="none" w:pos="70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It shall be the duty of the Committee to conduct the general administration of the Plan in 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 For the avoidance of doubt, the Committee shall also have the exclusive authority to determine which Participating Companies shall participate in the Non-Section 423 Component and which shall participate in the Section 423 Component.</w:t>
      </w:r>
    </w:p>
    <w:p>
      <w:pPr>
        <w:spacing w:after="0" w:line="144" w:lineRule="exact"/>
        <w:rPr>
          <w:rFonts w:ascii="Arial" w:cs="Arial" w:eastAsia="Arial" w:hAnsi="Arial"/>
          <w:sz w:val="18"/>
          <w:szCs w:val="18"/>
          <w:color w:val="auto"/>
        </w:rPr>
      </w:pPr>
    </w:p>
    <w:p>
      <w:pPr>
        <w:ind w:right="1000" w:firstLine="464"/>
        <w:spacing w:after="0" w:line="268" w:lineRule="auto"/>
        <w:tabs>
          <w:tab w:leader="none" w:pos="69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Majority Rule</w:t>
      </w:r>
      <w:r>
        <w:rPr>
          <w:rFonts w:ascii="Arial" w:cs="Arial" w:eastAsia="Arial" w:hAnsi="Arial"/>
          <w:sz w:val="18"/>
          <w:szCs w:val="18"/>
          <w:color w:val="auto"/>
        </w:rPr>
        <w:t>. The Committee shall act by a majority of its members in office. The Committee may act either by vote at a meeting or by a memorandum or other written instrument signed by a majority of the Committee.</w:t>
      </w:r>
    </w:p>
    <w:p>
      <w:pPr>
        <w:spacing w:after="0" w:line="131" w:lineRule="exact"/>
        <w:rPr>
          <w:rFonts w:ascii="Arial" w:cs="Arial" w:eastAsia="Arial" w:hAnsi="Arial"/>
          <w:sz w:val="18"/>
          <w:szCs w:val="18"/>
          <w:color w:val="auto"/>
        </w:rPr>
      </w:pPr>
    </w:p>
    <w:p>
      <w:pPr>
        <w:ind w:right="20" w:firstLine="464"/>
        <w:spacing w:after="0" w:line="290" w:lineRule="auto"/>
        <w:tabs>
          <w:tab w:leader="none" w:pos="70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Compensation; Professional Assistance; Good Faith Actions</w:t>
      </w:r>
      <w:r>
        <w:rPr>
          <w:rFonts w:ascii="Arial" w:cs="Arial" w:eastAsia="Arial" w:hAnsi="Arial"/>
          <w:sz w:val="16"/>
          <w:szCs w:val="16"/>
          <w:color w:val="auto"/>
        </w:rPr>
        <w:t>. All expenses and liabilities incurred by members of the 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MERGER, ACQUISITION OR LIQUIDATION OF THE COMPANY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Exercise Date with respect to outstanding Options shall be the business day immediately preceding the effective date of such merger, consolidation, acquisition, liquidation, dissolution, or reorganization (or on such other prior date as is determined by the Committee) unless the Committee shall, in its sole discretion, provide for the assumption or substitution of such Options in a manner complying with Section 424(a) of the Code.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 APPROVAL BY STOCKHOLDERS</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This amended and restated Plan shall be effective on the date it is approved by the stockholders of the Company. The amended and restated Plan shall be submitted for the approval of the Company’s stockholders within 12 months after the date of the Board’s initial adoption of the amended and restated Plan. No Options granted under this amended and restated Plan shall be exercised, and no shares of Stock shall be issued hereunder, until this amended and restated Plan shall have been approved by the stockholders of the Company. In the event this amended and restated Plan shall not have been approved by the stockholders of the Company prior to the end of said 12-month period, all Options granted under this amended and restated Plan shall be canceled and become null and void without being exercised.</w:t>
      </w:r>
    </w:p>
    <w:p>
      <w:pPr>
        <w:spacing w:after="0" w:line="144"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EFFECT UPON OTHER PLANS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CONDITIONS TO ISSUANCE OF SHARES.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51" w:lineRule="exact"/>
        <w:rPr>
          <w:sz w:val="20"/>
          <w:szCs w:val="20"/>
          <w:color w:val="auto"/>
        </w:rPr>
      </w:pPr>
    </w:p>
    <w:p>
      <w:pPr>
        <w:ind w:left="700" w:hanging="236"/>
        <w:spacing w:after="0"/>
        <w:tabs>
          <w:tab w:leader="none" w:pos="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Stock is then listed;</w:t>
      </w:r>
    </w:p>
    <w:p>
      <w:pPr>
        <w:spacing w:after="0" w:line="171" w:lineRule="exact"/>
        <w:rPr>
          <w:rFonts w:ascii="Arial" w:cs="Arial" w:eastAsia="Arial" w:hAnsi="Arial"/>
          <w:sz w:val="18"/>
          <w:szCs w:val="18"/>
          <w:color w:val="auto"/>
        </w:rPr>
      </w:pPr>
    </w:p>
    <w:p>
      <w:pPr>
        <w:ind w:right="20" w:firstLine="464"/>
        <w:spacing w:after="0" w:line="259" w:lineRule="auto"/>
        <w:tabs>
          <w:tab w:leader="none" w:pos="70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or exemption of such shares under any federal, state, local or foreign law or under the rulings or regulations of the Securities and Exchange Commission or any other governmental regulatory body which the Committee shall, in its absolute discretion, deem necessary or advisable;</w:t>
      </w:r>
    </w:p>
    <w:p>
      <w:pPr>
        <w:spacing w:after="0" w:line="140" w:lineRule="exact"/>
        <w:rPr>
          <w:rFonts w:ascii="Arial" w:cs="Arial" w:eastAsia="Arial" w:hAnsi="Arial"/>
          <w:sz w:val="18"/>
          <w:szCs w:val="18"/>
          <w:color w:val="auto"/>
        </w:rPr>
      </w:pPr>
    </w:p>
    <w:p>
      <w:pPr>
        <w:ind w:right="560" w:firstLine="464"/>
        <w:spacing w:after="0" w:line="268" w:lineRule="auto"/>
        <w:tabs>
          <w:tab w:leader="none" w:pos="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federal, state, local or foreign governmental agency which the Committee shall, in its absolute discretion, determine to be necessary or advisable;</w:t>
      </w:r>
    </w:p>
    <w:p>
      <w:pPr>
        <w:spacing w:after="0" w:line="131" w:lineRule="exact"/>
        <w:rPr>
          <w:rFonts w:ascii="Arial" w:cs="Arial" w:eastAsia="Arial" w:hAnsi="Arial"/>
          <w:sz w:val="18"/>
          <w:szCs w:val="18"/>
          <w:color w:val="auto"/>
        </w:rPr>
      </w:pPr>
    </w:p>
    <w:p>
      <w:pPr>
        <w:ind w:right="440" w:firstLine="464"/>
        <w:spacing w:after="0" w:line="268" w:lineRule="auto"/>
        <w:tabs>
          <w:tab w:leader="none" w:pos="70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payment to the Company of all amounts which it or the employer is required to withhold under federal, state, local or foreign law upon grant, exercise of the Option or sale of shares of Stock; and</w:t>
      </w:r>
    </w:p>
    <w:p>
      <w:pPr>
        <w:spacing w:after="0" w:line="131" w:lineRule="exact"/>
        <w:rPr>
          <w:rFonts w:ascii="Arial" w:cs="Arial" w:eastAsia="Arial" w:hAnsi="Arial"/>
          <w:sz w:val="18"/>
          <w:szCs w:val="18"/>
          <w:color w:val="auto"/>
        </w:rPr>
      </w:pPr>
    </w:p>
    <w:p>
      <w:pPr>
        <w:ind w:right="480" w:firstLine="464"/>
        <w:spacing w:after="0" w:line="268" w:lineRule="auto"/>
        <w:tabs>
          <w:tab w:leader="none" w:pos="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from time to time establish for reasons of administrative convenience.</w:t>
      </w:r>
    </w:p>
    <w:p>
      <w:pPr>
        <w:spacing w:after="0" w:line="125"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on account, withholding obligations and employer social contribution liability due from a Participant, if any, of the Participating Company Group which arise upon the grant or exercise of the Option or upon such disposition of shares, respectively. The Committee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CONFORMITY TO SECURITIES LAWS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Notwithstanding any other provision of this Plan, the participation in this Plan and all elections thereunder shall be subject to, and may be limited by, such rules and restrictions as the Committee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NOTIFICATION OF DISPOSITION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 (b) 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NOTICES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HEADINGS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Headings are provided herein for convenience only and are not to serve as a basis for interpretation or construction of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EQUAL RIGHTS AND PRIVILEGES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Committee pursuant to Section 24 that are consistent with Section 423(b)(5) of the Code. Any provision of the Section 423 Component of the Plan that is inconsistent with Section 423 of the Code will, without further act 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amendment by the Company, the Board of Directors or the Committee, be reformed to comply with the equal rights and privileges requirement of Section 423 of the Code. Participants participating in the Non-Section 423 Component need not have the same rights and privileges as Employees participating in the Section 423 Component.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RULES FOR FOREIGN JURISDICTIONS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provision to the contrary in the Plan, 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Committee.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Committee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Committee shall not be required to obtain the approval of the stockholders of the Company prior to the adoption, amendment or termination of any such sub-plan, appendix, rules or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SECTION 409A OF THE CODE</w:t>
      </w:r>
    </w:p>
    <w:p>
      <w:pPr>
        <w:spacing w:after="0" w:line="9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of the Code,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Committee with respect thereto.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TAX-QUALIFICATION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the Company may endeavor to (a) qualify an Option for favorable tax treatment under the laws of the United States or non-U.S. jurisdictions or</w:t>
      </w:r>
    </w:p>
    <w:p>
      <w:pPr>
        <w:spacing w:after="0" w:line="38" w:lineRule="exact"/>
        <w:rPr>
          <w:sz w:val="20"/>
          <w:szCs w:val="20"/>
          <w:color w:val="auto"/>
        </w:rPr>
      </w:pPr>
    </w:p>
    <w:p>
      <w:pPr>
        <w:ind w:right="80" w:firstLine="8"/>
        <w:spacing w:after="0" w:line="261"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avoid adverse tax treatment (e.g., under Section 409A of the Code), the Company makes no representation to that effect and expressly disavows any covenant to maintain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favorable or avoid unfavorable tax treatment, notwithstanding anything to the contrary in this Plan, including Section 25. The Company shall be unconstrained in its corporate activities without regard to the potential negative tax impact on Participants under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REPORTS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DATES AND TIMES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references in the Plan to a date or time are intended to refer to dates and times determined pursuant to U.S. Pacific Time. Business days for purposes of the Plan are U.S. business days.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VIASAT,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SEPTEMBER 16, 2015)</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16, 2015, which is the date on which this amendment and restatement of the Plan was approved by the stockholders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this Plan are as follows:</w:t>
      </w:r>
    </w:p>
    <w:p>
      <w:pPr>
        <w:spacing w:after="0" w:line="90" w:lineRule="exact"/>
        <w:rPr>
          <w:sz w:val="20"/>
          <w:szCs w:val="20"/>
          <w:color w:val="auto"/>
        </w:rPr>
      </w:pPr>
    </w:p>
    <w:p>
      <w:pPr>
        <w:ind w:right="20" w:firstLine="464"/>
        <w:spacing w:after="0" w:line="259"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w:t>
      </w:r>
      <w:r>
        <w:rPr>
          <w:rFonts w:ascii="Arial" w:cs="Arial" w:eastAsia="Arial" w:hAnsi="Arial"/>
          <w:sz w:val="18"/>
          <w:szCs w:val="18"/>
          <w:color w:val="auto"/>
        </w:rPr>
        <w:t>. Wherever the following terms are used in this Plan they shall have the meanings specified below, unless the context clearly indicates otherwise.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Award Limit</w:t>
      </w:r>
      <w:r>
        <w:rPr>
          <w:rFonts w:ascii="Arial" w:cs="Arial" w:eastAsia="Arial" w:hAnsi="Arial"/>
          <w:sz w:val="16"/>
          <w:szCs w:val="16"/>
          <w:color w:val="auto"/>
        </w:rPr>
        <w:t xml:space="preserve">. “Award Limit” shall mean Five Hundred Thousand (500,000) shares of Common Stock with respect to Options or Stock Appreciation Rights granted under the Plan and One Hundred Fifty Thousand (150,000)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an individual’s initial service as an Employee, such limit will be Three Hundred Thousand (300,000)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Board</w:t>
      </w:r>
      <w:r>
        <w:rPr>
          <w:rFonts w:ascii="Arial" w:cs="Arial" w:eastAsia="Arial" w:hAnsi="Arial"/>
          <w:sz w:val="18"/>
          <w:szCs w:val="18"/>
          <w:color w:val="auto"/>
        </w:rPr>
        <w:t>. “Board” shall mean the Board of Directors of the Company.</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shall mean a change in ownership or control of the Company effected through either of the following transactions:</w:t>
      </w:r>
    </w:p>
    <w:p>
      <w:pPr>
        <w:spacing w:after="0" w:line="51" w:lineRule="exact"/>
        <w:rPr>
          <w:sz w:val="20"/>
          <w:szCs w:val="20"/>
          <w:color w:val="auto"/>
        </w:rPr>
      </w:pPr>
    </w:p>
    <w:p>
      <w:pPr>
        <w:ind w:left="460" w:right="260" w:firstLine="443"/>
        <w:spacing w:after="0" w:line="298" w:lineRule="auto"/>
        <w:tabs>
          <w:tab w:leader="none" w:pos="11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31" w:lineRule="exact"/>
        <w:rPr>
          <w:rFonts w:ascii="Arial" w:cs="Arial" w:eastAsia="Arial" w:hAnsi="Arial"/>
          <w:sz w:val="16"/>
          <w:szCs w:val="16"/>
          <w:color w:val="auto"/>
        </w:rPr>
      </w:pPr>
    </w:p>
    <w:p>
      <w:pPr>
        <w:ind w:left="460" w:right="60" w:firstLine="443"/>
        <w:spacing w:after="0" w:line="370" w:lineRule="auto"/>
        <w:tabs>
          <w:tab w:leader="none" w:pos="11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Committee</w:t>
      </w:r>
      <w:r>
        <w:rPr>
          <w:rFonts w:ascii="Arial" w:cs="Arial" w:eastAsia="Arial" w:hAnsi="Arial"/>
          <w:sz w:val="18"/>
          <w:szCs w:val="18"/>
          <w:color w:val="auto"/>
        </w:rPr>
        <w:t>. “Committee” shall mean the Compensation Committee of the Board, or another committee of the Board, appointed as provided in Section 9.1.</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Common Stock</w:t>
      </w:r>
      <w:r>
        <w:rPr>
          <w:rFonts w:ascii="Arial" w:cs="Arial" w:eastAsia="Arial" w:hAnsi="Arial"/>
          <w:sz w:val="16"/>
          <w:szCs w:val="16"/>
          <w:color w:val="auto"/>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Company</w:t>
      </w:r>
      <w:r>
        <w:rPr>
          <w:rFonts w:ascii="Arial" w:cs="Arial" w:eastAsia="Arial" w:hAnsi="Arial"/>
          <w:sz w:val="18"/>
          <w:szCs w:val="18"/>
          <w:color w:val="auto"/>
        </w:rPr>
        <w:t>. “Company” shall mean ViaSat, Inc.,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“Corporate Transaction” shall mean any of the following stockholder-approved transactions to which the Company is a party:</w:t>
      </w:r>
    </w:p>
    <w:p>
      <w:pPr>
        <w:spacing w:after="0" w:line="113" w:lineRule="exact"/>
        <w:rPr>
          <w:sz w:val="20"/>
          <w:szCs w:val="20"/>
          <w:color w:val="auto"/>
        </w:rPr>
      </w:pPr>
    </w:p>
    <w:p>
      <w:pPr>
        <w:ind w:left="460" w:right="80" w:firstLine="443"/>
        <w:spacing w:after="0" w:line="259"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Director</w:t>
      </w:r>
      <w:r>
        <w:rPr>
          <w:rFonts w:ascii="Arial" w:cs="Arial" w:eastAsia="Arial" w:hAnsi="Arial"/>
          <w:sz w:val="18"/>
          <w:szCs w:val="18"/>
          <w:color w:val="auto"/>
        </w:rPr>
        <w:t>. “Director” shall mean a member of the Board.</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“Dividend Equivalent” shall mean a right to receive the equivalent value (in cash or Common Stock) of dividends paid on Common Stock, awarded under Article VII of this Plan.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corporation which is a Subsidiary.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Exchange Act</w:t>
      </w:r>
      <w:r>
        <w:rPr>
          <w:rFonts w:ascii="Arial" w:cs="Arial" w:eastAsia="Arial" w:hAnsi="Arial"/>
          <w:sz w:val="18"/>
          <w:szCs w:val="18"/>
          <w:color w:val="auto"/>
        </w:rPr>
        <w:t>. “Exchange Act” shall mean the Securities Exchange Act of 1934, as amended.</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Fair Market Value</w:t>
      </w:r>
      <w:r>
        <w:rPr>
          <w:rFonts w:ascii="Arial" w:cs="Arial" w:eastAsia="Arial" w:hAnsi="Arial"/>
          <w:sz w:val="16"/>
          <w:szCs w:val="16"/>
          <w:color w:val="auto"/>
        </w:rPr>
        <w:t>. “Fair Market Value” of a share of Common Stock as of a given date shall be (i)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next following date on which a trade occurs, or (ii) if Common Stock is not traded on an exchange but is quoted on an automated quotation system, the closing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price of a share of Common Stock on such date as reported by such quotation system; or (iii)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Full Value Award</w:t>
      </w:r>
      <w:r>
        <w:rPr>
          <w:rFonts w:ascii="Arial" w:cs="Arial" w:eastAsia="Arial" w:hAnsi="Arial"/>
          <w:sz w:val="18"/>
          <w:szCs w:val="18"/>
          <w:color w:val="auto"/>
        </w:rPr>
        <w:t>. “Full Value Award” shall mean any award other than an Option or a Stock Appreciation Right with a per share purchase price lower than 100% of Fair Market Value on the date of grant and that is settled by the issuance of shares of Common Stock.</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Grantee</w:t>
      </w:r>
      <w:r>
        <w:rPr>
          <w:rFonts w:ascii="Arial" w:cs="Arial" w:eastAsia="Arial" w:hAnsi="Arial"/>
          <w:sz w:val="18"/>
          <w:szCs w:val="18"/>
          <w:color w:val="auto"/>
        </w:rPr>
        <w:t>. “Grantee” shall mean an Employee, Director or consultant granted a Performance Award, Dividend Equivalent, Stock Payment or Stock Appreciation Right, or an award of Restricted Stock Units, under this Plan.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“Incentive Stock Option” shall mean an option which conforms to the applicable provisions of Section 422 of the Code and which is designated as an Incentive Stock Option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“Independent Director” shall mean a member of the Board who is not an Employee of the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“Non-Qualified Stock Option” shall mean an Option which is not designated as an Incentive Stock Option by the Committee.</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Independent Directors and consultants shall be Non-Qualified Stock Options.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Optionee</w:t>
      </w:r>
      <w:r>
        <w:rPr>
          <w:rFonts w:ascii="Arial" w:cs="Arial" w:eastAsia="Arial" w:hAnsi="Arial"/>
          <w:sz w:val="18"/>
          <w:szCs w:val="18"/>
          <w:color w:val="auto"/>
        </w:rPr>
        <w:t>. “Optionee” shall mean an Employee, Director or consultant granted an Option under this Plan.</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Performance Award</w:t>
      </w:r>
      <w:r>
        <w:rPr>
          <w:rFonts w:ascii="Arial" w:cs="Arial" w:eastAsia="Arial" w:hAnsi="Arial"/>
          <w:sz w:val="18"/>
          <w:szCs w:val="18"/>
          <w:color w:val="auto"/>
        </w:rPr>
        <w:t>. “Performance Award” shall mean a cash bonus, stock bonus or other performance or incentive award that is paid in cash, Common Stock or a combination of both, awarded under Article VII of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Plan</w:t>
      </w:r>
      <w:r>
        <w:rPr>
          <w:rFonts w:ascii="Arial" w:cs="Arial" w:eastAsia="Arial" w:hAnsi="Arial"/>
          <w:sz w:val="18"/>
          <w:szCs w:val="18"/>
          <w:color w:val="auto"/>
        </w:rPr>
        <w:t>. “Plan” shall mean The 1996 Equity Participation Plan of ViaSat, Inc., as amended and restated.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QDRO</w:t>
      </w:r>
      <w:r>
        <w:rPr>
          <w:rFonts w:ascii="Arial" w:cs="Arial" w:eastAsia="Arial" w:hAnsi="Arial"/>
          <w:sz w:val="16"/>
          <w:szCs w:val="16"/>
          <w:color w:val="auto"/>
        </w:rPr>
        <w:t>. “QDRO” shall mean a qualified domestic relations order as defined by the Code or Title I of the Employee Retirement Income Security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1974, as amended, or the rules thereunder.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Restricted Stock</w:t>
      </w:r>
      <w:r>
        <w:rPr>
          <w:rFonts w:ascii="Arial" w:cs="Arial" w:eastAsia="Arial" w:hAnsi="Arial"/>
          <w:sz w:val="18"/>
          <w:szCs w:val="18"/>
          <w:color w:val="auto"/>
        </w:rPr>
        <w:t>. “Restricted Stock” shall mean Common Stock awarded under Article VI of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“Restricted Stock Unit” shall mean a right to receive Common Stock awarded under Article VII of this Plan.</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Restricted Stockholder</w:t>
      </w:r>
      <w:r>
        <w:rPr>
          <w:rFonts w:ascii="Arial" w:cs="Arial" w:eastAsia="Arial" w:hAnsi="Arial"/>
          <w:sz w:val="18"/>
          <w:szCs w:val="18"/>
          <w:color w:val="auto"/>
        </w:rPr>
        <w:t>. “Restricted Stockholder” shall mean an Employee, Director or consultant granted an award of Restricted Stock under Article VI of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Rule 16b-3</w:t>
      </w:r>
      <w:r>
        <w:rPr>
          <w:rFonts w:ascii="Arial" w:cs="Arial" w:eastAsia="Arial" w:hAnsi="Arial"/>
          <w:sz w:val="16"/>
          <w:szCs w:val="16"/>
          <w:color w:val="auto"/>
        </w:rPr>
        <w:t>. “Rule 16b-3” shall mean that certain Rule 16b-3 under the Exchange Act, as such Rule may be amended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“Stock Appreciation Right” shall mean a stock appreciation right granted under Article VIII of this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Stock Payment</w:t>
      </w:r>
      <w:r>
        <w:rPr>
          <w:rFonts w:ascii="Arial" w:cs="Arial" w:eastAsia="Arial" w:hAnsi="Arial"/>
          <w:sz w:val="15"/>
          <w:szCs w:val="15"/>
          <w:color w:val="auto"/>
        </w:rPr>
        <w:t>.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8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stock possessing 50 percent (50%) or more of the total combined voting power of all classes of stock in one of the other corporations in such chain.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Termination of Consultancy</w:t>
      </w:r>
      <w:r>
        <w:rPr>
          <w:rFonts w:ascii="Arial" w:cs="Arial" w:eastAsia="Arial" w:hAnsi="Arial"/>
          <w:sz w:val="18"/>
          <w:szCs w:val="18"/>
          <w:color w:val="auto"/>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45"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Termination of Directorship</w:t>
      </w:r>
      <w:r>
        <w:rPr>
          <w:rFonts w:ascii="Arial" w:cs="Arial" w:eastAsia="Arial" w:hAnsi="Arial"/>
          <w:sz w:val="15"/>
          <w:szCs w:val="15"/>
          <w:color w:val="auto"/>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8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SUBJECT TO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Shares Subject to Plan</w:t>
      </w:r>
      <w:r>
        <w:rPr>
          <w:rFonts w:ascii="Arial" w:cs="Arial" w:eastAsia="Arial" w:hAnsi="Arial"/>
          <w:sz w:val="18"/>
          <w:szCs w:val="18"/>
          <w:color w:val="auto"/>
        </w:rPr>
        <w:t>.</w:t>
      </w:r>
    </w:p>
    <w:p>
      <w:pPr>
        <w:spacing w:after="0" w:line="90" w:lineRule="exact"/>
        <w:rPr>
          <w:sz w:val="20"/>
          <w:szCs w:val="20"/>
          <w:color w:val="auto"/>
        </w:rPr>
      </w:pPr>
    </w:p>
    <w:p>
      <w:pPr>
        <w:jc w:val="both"/>
        <w:ind w:left="460" w:firstLine="443"/>
        <w:spacing w:after="0" w:line="306" w:lineRule="auto"/>
        <w:tabs>
          <w:tab w:leader="none" w:pos="113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 issued upon exercise of such options or rights or upon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such awards under the Plan shall not exceed 25,200,000. The shares of Common Stock issuable upon exercise of such options or rights or upon any such awards may be either previously authorized but unissued shares or treasury shares.</w:t>
      </w:r>
    </w:p>
    <w:p>
      <w:pPr>
        <w:spacing w:after="0" w:line="51" w:lineRule="exact"/>
        <w:rPr>
          <w:sz w:val="20"/>
          <w:szCs w:val="20"/>
          <w:color w:val="auto"/>
        </w:rPr>
      </w:pPr>
    </w:p>
    <w:p>
      <w:pPr>
        <w:ind w:left="460" w:firstLine="443"/>
        <w:spacing w:after="0" w:line="290"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shares subject to Options or Stock Appreciation Rights shall be counted against the numerical limit of Section 2.1(a) as one share for every share subject thereto. Any shares subject to Full Value Awards granted during the period beginning on September 22, 2010 and ending on September 19, 2012 will be counted against the numerical limit of Section 2.1(a) as 2.65 shares for every one share subject thereto. Any shares subject to Full Value Awards granted prior to September 22, 2010 and subsequent to September 19, 2012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37" w:lineRule="exact"/>
        <w:rPr>
          <w:rFonts w:ascii="Arial" w:cs="Arial" w:eastAsia="Arial" w:hAnsi="Arial"/>
          <w:sz w:val="16"/>
          <w:szCs w:val="16"/>
          <w:color w:val="auto"/>
        </w:rPr>
      </w:pPr>
    </w:p>
    <w:p>
      <w:pPr>
        <w:ind w:left="460" w:right="40" w:firstLine="443"/>
        <w:spacing w:after="0" w:line="309" w:lineRule="auto"/>
        <w:tabs>
          <w:tab w:leader="none" w:pos="1137"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 To the extent required by Section 162(m) of the Code, shares subject to Options which are canceled continue to be counted against the Award Limit and if, after grant of an Option, the Company stockholders approve an option exchange program whereby the price of shares subject to such Option is reduced, the transaction is treated as a cancellation of the Option and a grant of a new Option and both the Option deemed to be canceled and the Option deemed to be granted are counted against the Award Limit. Furthermore, to the extent required by Section 162(m) of the Code, if, after grant of a Stock Appreciation Right, the base amount on which stock appreciation is calculated is reduced to reflect a reduction in the Fair Market Value of the Company’s Common Stock, the transaction is treated as a cancellation of the Stock Appreciation Right and a grant of a new Stock Appreciation Right and both the Stock Appreciation Right deemed to be canceled and the Stock Appreciation Right deemed to be granted are counted against the Award Limit.</w:t>
      </w:r>
    </w:p>
    <w:p>
      <w:pPr>
        <w:spacing w:after="0" w:line="10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Add-Back of Shares</w:t>
      </w:r>
      <w:r>
        <w:rPr>
          <w:rFonts w:ascii="Arial" w:cs="Arial" w:eastAsia="Arial" w:hAnsi="Arial"/>
          <w:sz w:val="16"/>
          <w:szCs w:val="16"/>
          <w:color w:val="auto"/>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GRANTING OF OPTIONS</w:t>
      </w:r>
    </w:p>
    <w:p>
      <w:pPr>
        <w:spacing w:after="0" w:line="16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Eligibility</w:t>
      </w:r>
      <w:r>
        <w:rPr>
          <w:rFonts w:ascii="Arial" w:cs="Arial" w:eastAsia="Arial" w:hAnsi="Arial"/>
          <w:sz w:val="16"/>
          <w:szCs w:val="16"/>
          <w:color w:val="auto"/>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5"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Disqualification for Stock Ownership</w:t>
      </w:r>
      <w:r>
        <w:rPr>
          <w:rFonts w:ascii="Arial" w:cs="Arial" w:eastAsia="Arial" w:hAnsi="Arial"/>
          <w:sz w:val="18"/>
          <w:szCs w:val="18"/>
          <w:color w:val="auto"/>
        </w:rPr>
        <w:t>.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Granting of Options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this Plan:</w:t>
      </w:r>
    </w:p>
    <w:p>
      <w:pPr>
        <w:spacing w:after="0" w:line="90" w:lineRule="exact"/>
        <w:rPr>
          <w:rFonts w:ascii="Arial" w:cs="Arial" w:eastAsia="Arial" w:hAnsi="Arial"/>
          <w:sz w:val="18"/>
          <w:szCs w:val="18"/>
          <w:color w:val="auto"/>
        </w:rPr>
      </w:pPr>
    </w:p>
    <w:p>
      <w:pPr>
        <w:jc w:val="both"/>
        <w:ind w:left="920" w:right="600" w:firstLine="421"/>
        <w:spacing w:after="0" w:line="357" w:lineRule="auto"/>
        <w:tabs>
          <w:tab w:leader="none" w:pos="1549" w:val="left"/>
        </w:tabs>
        <w:numPr>
          <w:ilvl w:val="1"/>
          <w:numId w:val="76"/>
        </w:numPr>
        <w:rPr>
          <w:rFonts w:ascii="Arial" w:cs="Arial" w:eastAsia="Arial" w:hAnsi="Arial"/>
          <w:sz w:val="15"/>
          <w:szCs w:val="15"/>
          <w:color w:val="auto"/>
        </w:rPr>
      </w:pPr>
      <w:r>
        <w:rPr>
          <w:rFonts w:ascii="Arial" w:cs="Arial" w:eastAsia="Arial" w:hAnsi="Arial"/>
          <w:sz w:val="15"/>
          <w:szCs w:val="15"/>
          <w:color w:val="auto"/>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ind w:left="920" w:right="580" w:firstLine="421"/>
        <w:spacing w:after="0" w:line="268" w:lineRule="auto"/>
        <w:tabs>
          <w:tab w:leader="none" w:pos="15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key Employees or consultants;</w:t>
      </w:r>
    </w:p>
    <w:p>
      <w:pPr>
        <w:spacing w:after="0" w:line="50" w:lineRule="exact"/>
        <w:rPr>
          <w:rFonts w:ascii="Arial" w:cs="Arial" w:eastAsia="Arial" w:hAnsi="Arial"/>
          <w:sz w:val="18"/>
          <w:szCs w:val="18"/>
          <w:color w:val="auto"/>
        </w:rPr>
      </w:pPr>
    </w:p>
    <w:p>
      <w:pPr>
        <w:ind w:left="920" w:right="240" w:firstLine="421"/>
        <w:spacing w:after="0" w:line="332" w:lineRule="auto"/>
        <w:tabs>
          <w:tab w:leader="none" w:pos="16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Subject to Section 3.3, determine whether such Options are to be Incentive Stock Options or Non-Qualified Stock Options and whether such Options are to qualify as performance-based compensation as described in Section 162(m)(4)(C) of the Code; and</w:t>
      </w:r>
    </w:p>
    <w:p>
      <w:pPr>
        <w:spacing w:after="0" w:line="4" w:lineRule="exact"/>
        <w:rPr>
          <w:rFonts w:ascii="Arial" w:cs="Arial" w:eastAsia="Arial" w:hAnsi="Arial"/>
          <w:sz w:val="16"/>
          <w:szCs w:val="16"/>
          <w:color w:val="auto"/>
        </w:rPr>
      </w:pPr>
    </w:p>
    <w:p>
      <w:pPr>
        <w:ind w:left="920" w:firstLine="421"/>
        <w:spacing w:after="0" w:line="306" w:lineRule="auto"/>
        <w:tabs>
          <w:tab w:leader="none" w:pos="1637"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Determine the terms and conditions of such Options, consistent with this Plan;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terms and conditions of Options intended to qualify as performance-based compensation as described in Section 162(m)(4)(C) of the Code shall include, but not be limited to, such terms and conditions as may be necessary to meet the applicable provisions of Section 162(m) of the Code.</w:t>
      </w:r>
    </w:p>
    <w:p>
      <w:pPr>
        <w:spacing w:after="0" w:line="25" w:lineRule="exact"/>
        <w:rPr>
          <w:rFonts w:ascii="Arial" w:cs="Arial" w:eastAsia="Arial" w:hAnsi="Arial"/>
          <w:sz w:val="16"/>
          <w:szCs w:val="16"/>
          <w:color w:val="auto"/>
        </w:rPr>
      </w:pPr>
    </w:p>
    <w:p>
      <w:pPr>
        <w:ind w:left="460" w:firstLine="443"/>
        <w:spacing w:after="0" w:line="286"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auto"/>
        </w:rPr>
        <w:t>provided, however</w:t>
      </w:r>
      <w:r>
        <w:rPr>
          <w:rFonts w:ascii="Arial" w:cs="Arial" w:eastAsia="Arial" w:hAnsi="Arial"/>
          <w:sz w:val="16"/>
          <w:szCs w:val="16"/>
          <w:color w:val="auto"/>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43" w:lineRule="exact"/>
        <w:rPr>
          <w:rFonts w:ascii="Arial" w:cs="Arial" w:eastAsia="Arial" w:hAnsi="Arial"/>
          <w:sz w:val="16"/>
          <w:szCs w:val="16"/>
          <w:color w:val="auto"/>
        </w:rPr>
      </w:pPr>
    </w:p>
    <w:p>
      <w:pPr>
        <w:ind w:left="460" w:right="40" w:firstLine="443"/>
        <w:spacing w:after="0" w:line="268"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Incentive Stock Option granted under this Plan may be modified by the Committee to disqualify such option from treatment as an “incentive stock option” under Section 422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6"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OPTIONS</w:t>
      </w:r>
    </w:p>
    <w:p>
      <w:pPr>
        <w:spacing w:after="0" w:line="16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Option Agreement</w:t>
      </w:r>
      <w:r>
        <w:rPr>
          <w:rFonts w:ascii="Arial" w:cs="Arial" w:eastAsia="Arial" w:hAnsi="Arial"/>
          <w:sz w:val="18"/>
          <w:szCs w:val="18"/>
          <w:color w:val="auto"/>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Options intended to qualify as performance-based compensation as described in Section 162(m)(4)(C) of the Code shall contain such terms and conditions as may be necessary to meet the applicable provisions of Section 162(m) of the Code. Stock Option Agreements evidencing Incentive Stock Options shall contain such terms and conditions as may be necessary to meet the applicable provisions of Section 422 of the Code.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The price per share of the shares subject to each Option shall be set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such price shall not be less than 100% of the Fair Market Value of a share of Common Stock on the date the Option is granted and in the case of Incentive Stock Options granted to an individual then owning (within the meaning of Section 424(d) of the Code) more than 10% of the total combined voting power of all classes of stock of the Company or any Subsidiary or parent corporation thereof (within the meaning of Section 422 of the Code) such price shall not be less than 110% of the Fair Market Value of a share of Common Stock on the date the Option is granted.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Option Term</w:t>
      </w:r>
      <w:r>
        <w:rPr>
          <w:rFonts w:ascii="Arial" w:cs="Arial" w:eastAsia="Arial" w:hAnsi="Arial"/>
          <w:sz w:val="16"/>
          <w:szCs w:val="16"/>
          <w:color w:val="auto"/>
        </w:rPr>
        <w:t xml:space="preserve">. The term of an Option shall be set by the Committee in its discretion;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 Option shall have a term longer than six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 years from the date the Option is granted and in the case of Incentive Stock Options granted to an individual then owning (within the meaning of</w:t>
      </w:r>
    </w:p>
    <w:p>
      <w:pPr>
        <w:spacing w:after="0" w:line="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424(d) of the Code) more than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1"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 The Committee may also provide that the vesting of an Option granted under the Plan which is intended to qualify as performance-based compensation as described in Section 162(m)(4)(C) of the Code shall occur upon the satisfaction of one or more performance goals based on the performance criteria set forth in Section 7.1.</w:t>
      </w:r>
    </w:p>
    <w:p>
      <w:pPr>
        <w:spacing w:after="0" w:line="39" w:lineRule="exact"/>
        <w:rPr>
          <w:rFonts w:ascii="Arial" w:cs="Arial" w:eastAsia="Arial" w:hAnsi="Arial"/>
          <w:sz w:val="16"/>
          <w:szCs w:val="16"/>
          <w:color w:val="auto"/>
        </w:rPr>
      </w:pPr>
    </w:p>
    <w:p>
      <w:pPr>
        <w:ind w:left="460" w:right="60" w:firstLine="443"/>
        <w:spacing w:after="0" w:line="298"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31" w:lineRule="exact"/>
        <w:rPr>
          <w:rFonts w:ascii="Arial" w:cs="Arial" w:eastAsia="Arial" w:hAnsi="Arial"/>
          <w:sz w:val="16"/>
          <w:szCs w:val="16"/>
          <w:color w:val="auto"/>
        </w:rPr>
      </w:pPr>
    </w:p>
    <w:p>
      <w:pPr>
        <w:ind w:left="460" w:firstLine="443"/>
        <w:spacing w:after="0" w:line="254"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Consideration</w:t>
      </w:r>
      <w:r>
        <w:rPr>
          <w:rFonts w:ascii="Arial" w:cs="Arial" w:eastAsia="Arial" w:hAnsi="Arial"/>
          <w:sz w:val="16"/>
          <w:szCs w:val="16"/>
          <w:color w:val="auto"/>
        </w:rPr>
        <w:t>. In consideration of the granting of an Option, the Optionee shall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EXERCISE OF OPTIONS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Manner of Exercise</w:t>
      </w:r>
      <w:r>
        <w:rPr>
          <w:rFonts w:ascii="Arial" w:cs="Arial" w:eastAsia="Arial" w:hAnsi="Arial"/>
          <w:sz w:val="16"/>
          <w:szCs w:val="16"/>
          <w:i w:val="1"/>
          <w:iCs w:val="1"/>
          <w:color w:val="auto"/>
        </w:rPr>
        <w:t>.</w:t>
      </w:r>
      <w:r>
        <w:rPr>
          <w:rFonts w:ascii="Arial" w:cs="Arial" w:eastAsia="Arial" w:hAnsi="Arial"/>
          <w:sz w:val="16"/>
          <w:szCs w:val="16"/>
          <w:color w:val="auto"/>
        </w:rPr>
        <w:t xml:space="preserve"> All or a portion of an exercisable Option shall be deemed exercised upon delivery of all of the following to the Secretary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or his office:</w:t>
      </w:r>
    </w:p>
    <w:p>
      <w:pPr>
        <w:spacing w:after="0" w:line="84" w:lineRule="exact"/>
        <w:rPr>
          <w:sz w:val="20"/>
          <w:szCs w:val="20"/>
          <w:color w:val="auto"/>
        </w:rPr>
      </w:pPr>
    </w:p>
    <w:p>
      <w:pPr>
        <w:ind w:left="460" w:right="8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5" w:lineRule="auto"/>
        <w:tabs>
          <w:tab w:leader="none" w:pos="11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61" w:lineRule="exact"/>
        <w:rPr>
          <w:rFonts w:ascii="Arial" w:cs="Arial" w:eastAsia="Arial" w:hAnsi="Arial"/>
          <w:sz w:val="18"/>
          <w:szCs w:val="18"/>
          <w:color w:val="auto"/>
        </w:rPr>
      </w:pPr>
    </w:p>
    <w:p>
      <w:pPr>
        <w:ind w:left="460" w:right="60" w:firstLine="443"/>
        <w:spacing w:after="0" w:line="268" w:lineRule="auto"/>
        <w:tabs>
          <w:tab w:leader="none" w:pos="113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10.1 by any person or persons other than the Optionee, appropriate proof of the right of such person or persons to exercise the Option; and</w:t>
      </w:r>
    </w:p>
    <w:p>
      <w:pPr>
        <w:spacing w:after="0" w:line="50" w:lineRule="exact"/>
        <w:rPr>
          <w:rFonts w:ascii="Arial" w:cs="Arial" w:eastAsia="Arial" w:hAnsi="Arial"/>
          <w:sz w:val="18"/>
          <w:szCs w:val="18"/>
          <w:color w:val="auto"/>
        </w:rPr>
      </w:pPr>
    </w:p>
    <w:p>
      <w:pPr>
        <w:ind w:left="460" w:right="60" w:firstLine="443"/>
        <w:spacing w:after="0" w:line="302" w:lineRule="auto"/>
        <w:tabs>
          <w:tab w:leader="none" w:pos="1147" w:val="left"/>
        </w:tabs>
        <w:numPr>
          <w:ilvl w:val="1"/>
          <w:numId w:val="80"/>
        </w:numPr>
        <w:rPr>
          <w:rFonts w:ascii="Arial" w:cs="Arial" w:eastAsia="Arial" w:hAnsi="Arial"/>
          <w:sz w:val="15"/>
          <w:szCs w:val="15"/>
          <w:color w:val="auto"/>
        </w:rPr>
      </w:pPr>
      <w:r>
        <w:rPr>
          <w:rFonts w:ascii="Arial" w:cs="Arial" w:eastAsia="Arial" w:hAnsi="Arial"/>
          <w:sz w:val="15"/>
          <w:szCs w:val="15"/>
          <w:color w:val="auto"/>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w:t>
      </w:r>
    </w:p>
    <w:p>
      <w:pPr>
        <w:ind w:left="460" w:firstLine="4"/>
        <w:spacing w:after="0" w:line="281" w:lineRule="auto"/>
        <w:tabs>
          <w:tab w:leader="none" w:pos="757"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w:t>
      </w:r>
    </w:p>
    <w:p>
      <w:pPr>
        <w:spacing w:after="0" w:line="4" w:lineRule="exact"/>
        <w:rPr>
          <w:rFonts w:ascii="Arial" w:cs="Arial" w:eastAsia="Arial" w:hAnsi="Arial"/>
          <w:sz w:val="16"/>
          <w:szCs w:val="16"/>
          <w:color w:val="auto"/>
        </w:rPr>
      </w:pPr>
    </w:p>
    <w:p>
      <w:pPr>
        <w:ind w:left="460" w:right="40" w:firstLine="4"/>
        <w:spacing w:after="0" w:line="302" w:lineRule="auto"/>
        <w:tabs>
          <w:tab w:leader="none" w:pos="8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10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Conditions to Issuance of Shares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4"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90"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59" w:lineRule="exact"/>
        <w:rPr>
          <w:rFonts w:ascii="Arial" w:cs="Arial" w:eastAsia="Arial" w:hAnsi="Arial"/>
          <w:sz w:val="18"/>
          <w:szCs w:val="18"/>
          <w:color w:val="auto"/>
        </w:rPr>
      </w:pPr>
    </w:p>
    <w:p>
      <w:pPr>
        <w:ind w:left="460" w:right="240" w:firstLine="443"/>
        <w:spacing w:after="0" w:line="332"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Ownership and Transfer Restrictions</w:t>
      </w:r>
      <w:r>
        <w:rPr>
          <w:rFonts w:ascii="Arial" w:cs="Arial" w:eastAsia="Arial" w:hAnsi="Arial"/>
          <w:sz w:val="18"/>
          <w:szCs w:val="18"/>
          <w:color w:val="auto"/>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Limitations on Exercise of Options Granted to Independent Directors</w:t>
      </w:r>
      <w:r>
        <w:rPr>
          <w:rFonts w:ascii="Arial" w:cs="Arial" w:eastAsia="Arial" w:hAnsi="Arial"/>
          <w:sz w:val="18"/>
          <w:szCs w:val="18"/>
          <w:color w:val="auto"/>
        </w:rPr>
        <w:t>. No Option granted to an Independent Director may be exercised to any extent by anyone after the first to occur of the following events:</w:t>
      </w:r>
    </w:p>
    <w:p>
      <w:pPr>
        <w:spacing w:after="0" w:line="51" w:lineRule="exact"/>
        <w:rPr>
          <w:sz w:val="20"/>
          <w:szCs w:val="20"/>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death;</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50" w:lineRule="exact"/>
        <w:rPr>
          <w:rFonts w:ascii="Arial" w:cs="Arial" w:eastAsia="Arial" w:hAnsi="Arial"/>
          <w:sz w:val="18"/>
          <w:szCs w:val="18"/>
          <w:color w:val="auto"/>
        </w:rPr>
      </w:pPr>
    </w:p>
    <w:p>
      <w:pPr>
        <w:ind w:left="460" w:right="780" w:firstLine="443"/>
        <w:spacing w:after="0" w:line="268"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three (3) months from the last to occur of the Optionee’s Termination of Directorship, Termination of Consultancy or Termination of Employment, unless the Optionee dies within said three-month period;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six (6) years from the date the Option was granted.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AWARD OF RESTRICTED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Committee (or the Board, in the case of Restricted Stock awarded to Independent Directors) may from time to time, in its absolute discretion:</w:t>
      </w:r>
    </w:p>
    <w:p>
      <w:pPr>
        <w:spacing w:after="0" w:line="113" w:lineRule="exact"/>
        <w:rPr>
          <w:rFonts w:ascii="Arial" w:cs="Arial" w:eastAsia="Arial" w:hAnsi="Arial"/>
          <w:sz w:val="16"/>
          <w:szCs w:val="16"/>
          <w:color w:val="auto"/>
        </w:rPr>
      </w:pPr>
    </w:p>
    <w:p>
      <w:pPr>
        <w:ind w:left="920" w:right="180" w:firstLine="421"/>
        <w:spacing w:after="0" w:line="332" w:lineRule="auto"/>
        <w:tabs>
          <w:tab w:leader="none" w:pos="1549" w:val="left"/>
        </w:tabs>
        <w:numPr>
          <w:ilvl w:val="1"/>
          <w:numId w:val="85"/>
        </w:numPr>
        <w:rPr>
          <w:rFonts w:ascii="Arial" w:cs="Arial" w:eastAsia="Arial" w:hAnsi="Arial"/>
          <w:sz w:val="16"/>
          <w:szCs w:val="16"/>
          <w:color w:val="auto"/>
        </w:rPr>
      </w:pPr>
      <w:r>
        <w:rPr>
          <w:rFonts w:ascii="Arial" w:cs="Arial" w:eastAsia="Arial" w:hAnsi="Arial"/>
          <w:sz w:val="16"/>
          <w:szCs w:val="16"/>
          <w:color w:val="auto"/>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4" w:lineRule="exact"/>
        <w:rPr>
          <w:rFonts w:ascii="Arial" w:cs="Arial" w:eastAsia="Arial" w:hAnsi="Arial"/>
          <w:sz w:val="16"/>
          <w:szCs w:val="16"/>
          <w:color w:val="auto"/>
        </w:rPr>
      </w:pPr>
    </w:p>
    <w:p>
      <w:pPr>
        <w:ind w:left="1600" w:hanging="259"/>
        <w:spacing w:after="0"/>
        <w:tabs>
          <w:tab w:leader="none" w:pos="16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auto"/>
        </w:rPr>
      </w:pPr>
    </w:p>
    <w:p>
      <w:pPr>
        <w:ind w:left="460" w:right="300" w:firstLine="443"/>
        <w:spacing w:after="0" w:line="335" w:lineRule="auto"/>
        <w:tabs>
          <w:tab w:leader="none" w:pos="1147"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The Committee (or the Board, in the case of Restricted Stock awarded to Independent Directors) shall establish the purchase price, if any, and form of payment for Restricted Stock;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11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the right to receive all dividends and other distributions paid or made with respect to the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discretion of the Committee (or the Board, in the case of Restricted Stock granted to an Independent Director), any extraordinary distributions with respect to the Common Stock shall be subject to the restrictions set forth in Section 6.5. In addition, with respect to Restricted Stock that is subject to performance-based vesting, dividends which are paid prior to vesting shall only be paid out to the Restricted Stockholder to the extent that the performance-based vesting conditions are subsequently satisfied and the share of Restricted Stock vests.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Restriction</w:t>
      </w:r>
      <w:r>
        <w:rPr>
          <w:rFonts w:ascii="Arial" w:cs="Arial" w:eastAsia="Arial" w:hAnsi="Arial"/>
          <w:sz w:val="16"/>
          <w:szCs w:val="16"/>
          <w:color w:val="auto"/>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The Committee may also provide that the vesting of Restricted Stock granted under the Plan which is intended to qualify as performance-based compensation as described in Section 162(m)(4)(C) of the Code shall occur upon the satisfaction of one or more performance goals based on the performance criteria set forth in Section 7.1. Notwithstanding the foregoing, except as permitted under Section 10.3 of the Plan,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Repurchase or Forfeiture of Restricted Stock</w:t>
      </w:r>
      <w:r>
        <w:rPr>
          <w:rFonts w:ascii="Arial" w:cs="Arial" w:eastAsia="Arial" w:hAnsi="Arial"/>
          <w:sz w:val="15"/>
          <w:szCs w:val="15"/>
          <w:color w:val="auto"/>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10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Escrow</w:t>
      </w:r>
      <w:r>
        <w:rPr>
          <w:rFonts w:ascii="Arial" w:cs="Arial" w:eastAsia="Arial" w:hAnsi="Arial"/>
          <w:sz w:val="16"/>
          <w:szCs w:val="16"/>
          <w:color w:val="auto"/>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Legend</w:t>
      </w:r>
      <w:r>
        <w:rPr>
          <w:rFonts w:ascii="Arial" w:cs="Arial" w:eastAsia="Arial" w:hAnsi="Arial"/>
          <w:sz w:val="18"/>
          <w:szCs w:val="18"/>
          <w:color w:val="auto"/>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AWARDS, DIVIDEND EQUIVALENTS,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RESTRICTED STOCK UNITS, STOCK PAYMENTS</w:t>
      </w:r>
    </w:p>
    <w:p>
      <w:pPr>
        <w:spacing w:after="0" w:line="165"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Performance Awards</w:t>
      </w:r>
      <w:r>
        <w:rPr>
          <w:rFonts w:ascii="Arial" w:cs="Arial" w:eastAsia="Arial" w:hAnsi="Arial"/>
          <w:sz w:val="15"/>
          <w:szCs w:val="15"/>
          <w:color w:val="auto"/>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shall be used to establish such performance goals shall be limited to the following: (a) net earnings (either before or after one or more of the following: (i) interest, (ii) taxes, (iii) depreciation and (iv) amortization), (b) 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w:t>
      </w:r>
    </w:p>
    <w:p>
      <w:pPr>
        <w:spacing w:after="0" w:line="5" w:lineRule="exact"/>
        <w:rPr>
          <w:sz w:val="20"/>
          <w:szCs w:val="20"/>
          <w:color w:val="auto"/>
        </w:rPr>
      </w:pPr>
    </w:p>
    <w:p>
      <w:pPr>
        <w:ind w:right="60" w:firstLine="8"/>
        <w:spacing w:after="0" w:line="288" w:lineRule="auto"/>
        <w:tabs>
          <w:tab w:leader="none" w:pos="297"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shall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shall consider (among such other factors as it deems relevant in light of the specific type of award) the contributions, responsibilities and other compensation of the particular key Employee, consultant or Independent Director.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Such Dividend Equivalents shall be converted to cash or additional shares of Common Stock by such formula and at such time and subject to such limitations as may be determined by the Committee (or the Board, in the case of an award to an Independent Director). In addition, Dividend Equivalents with respect to an award that is subject to performance-based vesting that are based on dividends paid prior to the vesting of such award shall only be paid out to the Restricted Stockholder or Grantee to the extent that the performance-based vesting conditions are subsequently satisfied and the award vests. Notwithstanding the foregoing, no Dividend Equivalents shall be payable with respect to Options or Stock Appreciation Rights.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Stock Payments</w:t>
      </w:r>
      <w:r>
        <w:rPr>
          <w:rFonts w:ascii="Arial" w:cs="Arial" w:eastAsia="Arial" w:hAnsi="Arial"/>
          <w:sz w:val="16"/>
          <w:szCs w:val="16"/>
          <w:color w:val="auto"/>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 The Committee may provide that the vesting of Stock Payments granted under the Plan which are intended to qualify as performance-based compensation as described in Section 162(m)(4)(C) of the Code shall occur upon the satisfaction of one or more performance goals based on the performance criteria set forth in Section 7.1.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88"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The Committee may provide that the vesting of Restricted Stock Units granted under the Plan which are intended to qualify as performance-based compensation as described in Section 162(m)(4)(C) of the Code shall occur upon the satisfaction of one or more performance goals based on the performance criteria set forth in Section 7.1.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38" w:lineRule="exact"/>
        <w:rPr>
          <w:rFonts w:ascii="Arial" w:cs="Arial" w:eastAsia="Arial" w:hAnsi="Arial"/>
          <w:sz w:val="16"/>
          <w:szCs w:val="16"/>
          <w:color w:val="auto"/>
        </w:rPr>
      </w:pPr>
    </w:p>
    <w:p>
      <w:pPr>
        <w:ind w:left="460" w:right="140" w:firstLine="443"/>
        <w:spacing w:after="0" w:line="287"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who is initially elected to the Board at an annual meeting of stockholders and who is an Independent Director at the time of such initial election shall receive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color w:val="auto"/>
        </w:rPr>
        <w:t>only an initial Restricted Stock Unit award on the date of such election pursuant to the preceding sentence and shall not receive a Restricted Stock Unit award pursuant to this sentence until the date of the next annual meeting of stockholders following such initial election.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Performance Award Agreement, Dividend Equivalent Agreement, Restricted Stock Unit Agreement, Stock Payment Agreement</w:t>
      </w:r>
      <w:r>
        <w:rPr>
          <w:rFonts w:ascii="Arial" w:cs="Arial" w:eastAsia="Arial" w:hAnsi="Arial"/>
          <w:sz w:val="18"/>
          <w:szCs w:val="18"/>
          <w:color w:val="auto"/>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of Restricted Stock Unit and/or Stock Payment shall be set by the Committee (or the Board, in the case of an award to an Independent Director) in its discretion.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Exercise Upon Termination of Employment</w:t>
      </w:r>
      <w:r>
        <w:rPr>
          <w:rFonts w:ascii="Arial" w:cs="Arial" w:eastAsia="Arial" w:hAnsi="Arial"/>
          <w:sz w:val="16"/>
          <w:szCs w:val="16"/>
          <w:color w:val="auto"/>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Payment on Exercise</w:t>
      </w:r>
      <w:r>
        <w:rPr>
          <w:rFonts w:ascii="Arial" w:cs="Arial" w:eastAsia="Arial" w:hAnsi="Arial"/>
          <w:sz w:val="18"/>
          <w:szCs w:val="18"/>
          <w:color w:val="auto"/>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APPRECIATION RIGHTS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written Stock Appreciation Right Agreement, which shall be executed by the Grantee and an authorized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Stock Appreciation Right shall have a term longer than six (6) years from the date the Stock Appreciation Right is granted. The Committee, in its discretion, may determine whether a Stock Appreciation Right is to qualify as performance-based compensation as described in Section 162(m)(4)(C) of the Code and Stock Appreciation Right Agreements evidencing Stock Appreciation Rights intended to so qualify shall contain such terms and conditions as may be necessary to meet the applicable provisions of Section 162(m) of the Code, including providing that the vesting of such Stock Appreciation Rights shall occur upon the satisfaction of one or more performance goals based on the performance criteria set forth in Section 7.1.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Coupled Stock Appreciation Rights</w:t>
      </w:r>
      <w:r>
        <w:rPr>
          <w:rFonts w:ascii="Arial" w:cs="Arial" w:eastAsia="Arial" w:hAnsi="Arial"/>
          <w:sz w:val="18"/>
          <w:szCs w:val="18"/>
          <w:color w:val="auto"/>
        </w:rPr>
        <w:t>.</w:t>
      </w:r>
    </w:p>
    <w:p>
      <w:pPr>
        <w:spacing w:after="0" w:line="90" w:lineRule="exact"/>
        <w:rPr>
          <w:sz w:val="20"/>
          <w:szCs w:val="20"/>
          <w:color w:val="auto"/>
        </w:rPr>
      </w:pPr>
    </w:p>
    <w:p>
      <w:pPr>
        <w:ind w:left="460" w:right="280" w:firstLine="443"/>
        <w:spacing w:after="0" w:line="268"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Coupled Stock Appreciation Right (“CSAR”) shall be related to a particular Option and shall be exercisable only when and to the extent the related Option is exercisable.</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CSAR may be granted to the Grantee for no more than the number of shares subject to the simultaneously or previously granted Option to which it is coupled.</w:t>
      </w:r>
    </w:p>
    <w:p>
      <w:pPr>
        <w:spacing w:after="0" w:line="50"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Independent Stock Appreciation Rights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302" w:lineRule="auto"/>
        <w:tabs>
          <w:tab w:leader="none" w:pos="1137"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unless the Committee otherwise provides in the terms of the ISAR or otherwise, no ISAR granted to a person subject to Section 16 of the Exchange Act shall be exercisable until at least six months have elapsed from (but excluding) the date on which the Option was granted.</w:t>
      </w:r>
    </w:p>
    <w:p>
      <w:pPr>
        <w:spacing w:after="0" w:line="2" w:lineRule="exact"/>
        <w:rPr>
          <w:rFonts w:ascii="Arial" w:cs="Arial" w:eastAsia="Arial" w:hAnsi="Arial"/>
          <w:sz w:val="15"/>
          <w:szCs w:val="15"/>
          <w:color w:val="auto"/>
        </w:rPr>
      </w:pPr>
    </w:p>
    <w:p>
      <w:pPr>
        <w:ind w:left="460" w:right="140"/>
        <w:spacing w:after="0" w:line="253" w:lineRule="auto"/>
        <w:rPr>
          <w:rFonts w:ascii="Arial" w:cs="Arial" w:eastAsia="Arial" w:hAnsi="Arial"/>
          <w:sz w:val="15"/>
          <w:szCs w:val="15"/>
          <w:color w:val="auto"/>
        </w:rPr>
      </w:pPr>
      <w:r>
        <w:rPr>
          <w:rFonts w:ascii="Arial" w:cs="Arial" w:eastAsia="Arial" w:hAnsi="Arial"/>
          <w:sz w:val="18"/>
          <w:szCs w:val="18"/>
          <w:color w:val="auto"/>
        </w:rPr>
        <w:t xml:space="preserve">The exercise price per share of Common Stock subject to each ISAR shall be set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price shall not be less than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64" w:lineRule="exact"/>
        <w:rPr>
          <w:rFonts w:ascii="Arial" w:cs="Arial" w:eastAsia="Arial" w:hAnsi="Arial"/>
          <w:sz w:val="15"/>
          <w:szCs w:val="15"/>
          <w:color w:val="auto"/>
        </w:rPr>
      </w:pPr>
    </w:p>
    <w:p>
      <w:pPr>
        <w:jc w:val="both"/>
        <w:ind w:left="460" w:right="100" w:firstLine="443"/>
        <w:spacing w:after="0" w:line="259"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370" w:lineRule="auto"/>
        <w:rPr>
          <w:sz w:val="20"/>
          <w:szCs w:val="20"/>
          <w:color w:val="auto"/>
        </w:rPr>
      </w:pPr>
      <w:r>
        <w:rPr>
          <w:rFonts w:ascii="Arial" w:cs="Arial" w:eastAsia="Arial" w:hAnsi="Arial"/>
          <w:sz w:val="15"/>
          <w:szCs w:val="15"/>
          <w:color w:val="auto"/>
        </w:rPr>
        <w:t>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Payment and Limitations on Exercise</w:t>
      </w:r>
      <w:r>
        <w:rPr>
          <w:rFonts w:ascii="Arial" w:cs="Arial" w:eastAsia="Arial" w:hAnsi="Arial"/>
          <w:sz w:val="18"/>
          <w:szCs w:val="18"/>
          <w:color w:val="auto"/>
        </w:rPr>
        <w:t>.</w:t>
      </w:r>
    </w:p>
    <w:p>
      <w:pPr>
        <w:spacing w:after="0" w:line="90" w:lineRule="exact"/>
        <w:rPr>
          <w:sz w:val="20"/>
          <w:szCs w:val="20"/>
          <w:color w:val="auto"/>
        </w:rPr>
      </w:pPr>
    </w:p>
    <w:p>
      <w:pPr>
        <w:jc w:val="both"/>
        <w:ind w:left="460" w:right="40" w:firstLine="443"/>
        <w:spacing w:after="0" w:line="306" w:lineRule="auto"/>
        <w:tabs>
          <w:tab w:leader="none" w:pos="1137"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25" w:lineRule="exact"/>
        <w:rPr>
          <w:rFonts w:ascii="Arial" w:cs="Arial" w:eastAsia="Arial" w:hAnsi="Arial"/>
          <w:sz w:val="16"/>
          <w:szCs w:val="16"/>
          <w:color w:val="auto"/>
        </w:rPr>
      </w:pPr>
    </w:p>
    <w:p>
      <w:pPr>
        <w:ind w:left="460" w:right="80" w:firstLine="443"/>
        <w:spacing w:after="0" w:line="332"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granting of a Stock Appreciation Right, the Grantee shall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Compensation Committee (or another committee or a subcommittee of the Board assuming the functions of the Committee under this Plan) shall consist solely of two or more Independent Directors appointed by and holding office at the pleasure of the Board, each of whom is both a “non-employee director” as defined by Rule 16b-3 and an “outside director” for purposes of Section 162(m) of the Code. Appointment of Committee members shall be effective upon acceptance of appointment. Committee members may resign at any time by delivering written notice to the Board. Vacancies in the Committee may be filled by the Board.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this Plan except with respect to matters which under Rule 16b-3 or Section 162(m) of the Code, or any regulations or rules issued thereunder, are required to be determined in the sole discretion of the Committee. To the extent permitted by applicable law, the Committee may from time to time delegate to a committee of one or more members of the Board or one or more officers of the Company the authority to grant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amend awards to Participants other than (a) senior executives of the Company who are subject to Section 16 of the Exchange Act, (b) any Employee who is, or could be, a “covered employee” within the meaning of Section 162(m) of the Code, or (c)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Compensation; Professional Assistance; Good Faith Actions</w:t>
      </w:r>
      <w:r>
        <w:rPr>
          <w:rFonts w:ascii="Arial" w:cs="Arial" w:eastAsia="Arial" w:hAnsi="Arial"/>
          <w:sz w:val="15"/>
          <w:szCs w:val="15"/>
          <w:color w:val="auto"/>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 Transferable</w:t>
      </w:r>
      <w:r>
        <w:rPr>
          <w:rFonts w:ascii="Arial" w:cs="Arial" w:eastAsia="Arial" w:hAnsi="Arial"/>
          <w:sz w:val="16"/>
          <w:szCs w:val="16"/>
          <w:color w:val="auto"/>
        </w:rPr>
        <w:t>. 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Amendment, Suspension or Termination of this Plan</w:t>
      </w:r>
      <w:r>
        <w:rPr>
          <w:rFonts w:ascii="Arial" w:cs="Arial" w:eastAsia="Arial" w:hAnsi="Arial"/>
          <w:sz w:val="15"/>
          <w:szCs w:val="15"/>
          <w:color w:val="auto"/>
        </w:rPr>
        <w:t>. Except as otherwise provided in this Section 10.2, this Plan may be wholly or partially amended or otherwise modified, suspended or terminated at any time or from time to time by the Board or the Committee. However, without approval of the Company’s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15, 2025.</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86" w:lineRule="auto"/>
        <w:tabs>
          <w:tab w:leader="none" w:pos="1137"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46" w:lineRule="exact"/>
        <w:rPr>
          <w:rFonts w:ascii="Arial" w:cs="Arial" w:eastAsia="Arial" w:hAnsi="Arial"/>
          <w:sz w:val="16"/>
          <w:szCs w:val="16"/>
          <w:color w:val="auto"/>
        </w:rPr>
      </w:pPr>
    </w:p>
    <w:p>
      <w:pPr>
        <w:ind w:left="920" w:right="60" w:firstLine="421"/>
        <w:spacing w:after="0" w:line="323" w:lineRule="auto"/>
        <w:tabs>
          <w:tab w:leader="none" w:pos="1549"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16" w:lineRule="exact"/>
        <w:rPr>
          <w:rFonts w:ascii="Arial" w:cs="Arial" w:eastAsia="Arial" w:hAnsi="Arial"/>
          <w:sz w:val="15"/>
          <w:szCs w:val="15"/>
          <w:color w:val="auto"/>
        </w:rPr>
      </w:pPr>
    </w:p>
    <w:p>
      <w:pPr>
        <w:ind w:left="920" w:right="200" w:firstLine="421"/>
        <w:spacing w:after="0" w:line="259" w:lineRule="auto"/>
        <w:tabs>
          <w:tab w:leader="none" w:pos="159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grant or exercise price with respect to any Option, Restricted Stock Unit, Performance Award, Stock Appreciation Right, Dividend Equivalent or Stock Payment, and</w:t>
      </w:r>
    </w:p>
    <w:p>
      <w:pPr>
        <w:spacing w:after="0" w:line="50" w:lineRule="exact"/>
        <w:rPr>
          <w:rFonts w:ascii="Arial" w:cs="Arial" w:eastAsia="Arial" w:hAnsi="Arial"/>
          <w:sz w:val="18"/>
          <w:szCs w:val="18"/>
          <w:color w:val="auto"/>
        </w:rPr>
      </w:pPr>
    </w:p>
    <w:p>
      <w:pPr>
        <w:jc w:val="both"/>
        <w:ind w:left="920" w:right="240" w:firstLine="421"/>
        <w:spacing w:after="0" w:line="357" w:lineRule="auto"/>
        <w:tabs>
          <w:tab w:leader="none" w:pos="1637"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Sections 10.3(b)(vii), 10.3(d) and 10.3(e) in the event of any Corporate Transaction or other transaction or event described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10.3(a) or any unusual or nonrecurring transactions or events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63" w:lineRule="exact"/>
        <w:rPr>
          <w:sz w:val="20"/>
          <w:szCs w:val="20"/>
          <w:color w:val="auto"/>
        </w:rPr>
      </w:pPr>
    </w:p>
    <w:p>
      <w:pPr>
        <w:ind w:left="920" w:firstLine="421"/>
        <w:spacing w:after="0" w:line="290" w:lineRule="auto"/>
        <w:tabs>
          <w:tab w:leader="none" w:pos="1549"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37" w:lineRule="exact"/>
        <w:rPr>
          <w:rFonts w:ascii="Arial" w:cs="Arial" w:eastAsia="Arial" w:hAnsi="Arial"/>
          <w:sz w:val="16"/>
          <w:szCs w:val="16"/>
          <w:color w:val="auto"/>
        </w:rPr>
      </w:pPr>
    </w:p>
    <w:p>
      <w:pPr>
        <w:ind w:left="920" w:right="220" w:firstLine="421"/>
        <w:spacing w:after="0" w:line="306" w:lineRule="auto"/>
        <w:tabs>
          <w:tab w:leader="none" w:pos="159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25" w:lineRule="exact"/>
        <w:rPr>
          <w:rFonts w:ascii="Arial" w:cs="Arial" w:eastAsia="Arial" w:hAnsi="Arial"/>
          <w:sz w:val="16"/>
          <w:szCs w:val="16"/>
          <w:color w:val="auto"/>
        </w:rPr>
      </w:pPr>
    </w:p>
    <w:p>
      <w:pPr>
        <w:ind w:left="920" w:right="60" w:firstLine="421"/>
        <w:spacing w:after="0" w:line="291" w:lineRule="auto"/>
        <w:tabs>
          <w:tab w:leader="none" w:pos="16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39" w:lineRule="exact"/>
        <w:rPr>
          <w:rFonts w:ascii="Arial" w:cs="Arial" w:eastAsia="Arial" w:hAnsi="Arial"/>
          <w:sz w:val="16"/>
          <w:szCs w:val="16"/>
          <w:color w:val="auto"/>
        </w:rPr>
      </w:pPr>
    </w:p>
    <w:p>
      <w:pPr>
        <w:ind w:left="920" w:right="60" w:firstLine="421"/>
        <w:spacing w:after="0" w:line="291" w:lineRule="auto"/>
        <w:tabs>
          <w:tab w:leader="none" w:pos="16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39" w:lineRule="exact"/>
        <w:rPr>
          <w:rFonts w:ascii="Arial" w:cs="Arial" w:eastAsia="Arial" w:hAnsi="Arial"/>
          <w:sz w:val="16"/>
          <w:szCs w:val="16"/>
          <w:color w:val="auto"/>
        </w:rPr>
      </w:pPr>
    </w:p>
    <w:p>
      <w:pPr>
        <w:ind w:left="920" w:right="20" w:firstLine="421"/>
        <w:spacing w:after="0" w:line="294" w:lineRule="auto"/>
        <w:tabs>
          <w:tab w:leader="none" w:pos="158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firstLine="421"/>
        <w:spacing w:after="0" w:line="298" w:lineRule="auto"/>
        <w:tabs>
          <w:tab w:leader="none" w:pos="1637"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31" w:lineRule="exact"/>
        <w:rPr>
          <w:rFonts w:ascii="Arial" w:cs="Arial" w:eastAsia="Arial" w:hAnsi="Arial"/>
          <w:sz w:val="16"/>
          <w:szCs w:val="16"/>
          <w:color w:val="auto"/>
        </w:rPr>
      </w:pPr>
    </w:p>
    <w:p>
      <w:pPr>
        <w:ind w:left="920" w:right="20" w:firstLine="421"/>
        <w:spacing w:after="0" w:line="286" w:lineRule="auto"/>
        <w:tabs>
          <w:tab w:leader="none" w:pos="1686"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46" w:lineRule="exact"/>
        <w:rPr>
          <w:rFonts w:ascii="Arial" w:cs="Arial" w:eastAsia="Arial" w:hAnsi="Arial"/>
          <w:sz w:val="16"/>
          <w:szCs w:val="16"/>
          <w:color w:val="auto"/>
        </w:rPr>
      </w:pPr>
    </w:p>
    <w:p>
      <w:pPr>
        <w:ind w:left="460" w:right="100" w:firstLine="443"/>
        <w:spacing w:after="0" w:line="306" w:lineRule="auto"/>
        <w:tabs>
          <w:tab w:leader="none" w:pos="1137"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25"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With respect to Incentive Stock Options and awards intended to qualify as performance-based compensation under Section 162(m), no adjustment or action described in this Section 10.3 or in any other provision of the Plan shall be authorized to the extent that such adjustment or action would cause the Plan to violate Section 422(b)(1) of the Code or would cause such award to fail to so qualify under Section 162(m), as the case may be, or any successor provisions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37" w:lineRule="exact"/>
        <w:rPr>
          <w:rFonts w:ascii="Arial" w:cs="Arial" w:eastAsia="Arial" w:hAnsi="Arial"/>
          <w:sz w:val="16"/>
          <w:szCs w:val="16"/>
          <w:color w:val="auto"/>
        </w:rPr>
      </w:pPr>
    </w:p>
    <w:p>
      <w:pPr>
        <w:ind w:left="1140" w:hanging="237"/>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auto"/>
        </w:rPr>
      </w:pPr>
    </w:p>
    <w:p>
      <w:pPr>
        <w:ind w:left="920" w:right="60" w:firstLine="421"/>
        <w:spacing w:after="0" w:line="259" w:lineRule="auto"/>
        <w:tabs>
          <w:tab w:leader="none" w:pos="154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59" w:lineRule="exact"/>
        <w:rPr>
          <w:rFonts w:ascii="Arial" w:cs="Arial" w:eastAsia="Arial" w:hAnsi="Arial"/>
          <w:sz w:val="18"/>
          <w:szCs w:val="18"/>
          <w:color w:val="auto"/>
        </w:rPr>
      </w:pPr>
    </w:p>
    <w:p>
      <w:pPr>
        <w:ind w:left="920" w:right="60" w:firstLine="421"/>
        <w:spacing w:after="0" w:line="298" w:lineRule="auto"/>
        <w:tabs>
          <w:tab w:leader="none" w:pos="1598"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be entitled to require payment in cash or deduction from other compensation payable to each Optionee, Grantee or Restricted Stockholder of any sums required by federal, state or local tax law to be withheld with respect to the issuance, vesting or exercise of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minimum amounts required to be withheld. The number of shares of Common Stock which may be so withheld or returned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Loans</w:t>
      </w:r>
      <w:r>
        <w:rPr>
          <w:rFonts w:ascii="Arial" w:cs="Arial" w:eastAsia="Arial" w:hAnsi="Arial"/>
          <w:sz w:val="18"/>
          <w:szCs w:val="18"/>
          <w:color w:val="auto"/>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143"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Forfeiture Provisions</w:t>
      </w:r>
      <w:r>
        <w:rPr>
          <w:rFonts w:ascii="Arial" w:cs="Arial" w:eastAsia="Arial" w:hAnsi="Arial"/>
          <w:sz w:val="16"/>
          <w:szCs w:val="16"/>
          <w:color w:val="auto"/>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w:t>
      </w:r>
    </w:p>
    <w:p>
      <w:pPr>
        <w:spacing w:after="0" w:line="1" w:lineRule="exact"/>
        <w:rPr>
          <w:sz w:val="20"/>
          <w:szCs w:val="20"/>
          <w:color w:val="auto"/>
        </w:rPr>
      </w:pPr>
    </w:p>
    <w:p>
      <w:pPr>
        <w:ind w:firstLine="8"/>
        <w:spacing w:after="0" w:line="252" w:lineRule="auto"/>
        <w:tabs>
          <w:tab w:leader="none" w:pos="2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148"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Limitations Applicable to Section 16 Persons and Performance-Based Compensation</w:t>
      </w:r>
      <w:r>
        <w:rPr>
          <w:rFonts w:ascii="Arial" w:cs="Arial" w:eastAsia="Arial" w:hAnsi="Arial"/>
          <w:sz w:val="15"/>
          <w:szCs w:val="15"/>
          <w:color w:val="auto"/>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any Option, Performance Award, Stock Appreciation Right, Dividend Equivalent, Stock Payment, Restricted Stock or Restricted Stock Unit intended to qualify as performance-based compensation as described in Section 162(m)(4)</w:t>
      </w:r>
    </w:p>
    <w:p>
      <w:pPr>
        <w:spacing w:after="0" w:line="4" w:lineRule="exact"/>
        <w:rPr>
          <w:sz w:val="20"/>
          <w:szCs w:val="20"/>
          <w:color w:val="auto"/>
        </w:rPr>
      </w:pPr>
    </w:p>
    <w:p>
      <w:pPr>
        <w:ind w:firstLine="8"/>
        <w:spacing w:after="0" w:line="302" w:lineRule="auto"/>
        <w:tabs>
          <w:tab w:leader="none" w:pos="2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 and this Plan shall be deemed amended to the extent necessary to conform to such requirements.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Effect of Plan Upon Options and Compensation Plans</w:t>
      </w:r>
      <w:r>
        <w:rPr>
          <w:rFonts w:ascii="Arial" w:cs="Arial" w:eastAsia="Arial" w:hAnsi="Arial"/>
          <w:sz w:val="18"/>
          <w:szCs w:val="18"/>
          <w:color w:val="auto"/>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44"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Plan.</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California without regard to conflicts of laws thereof.</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205740</wp:posOffset>
            </wp:positionV>
            <wp:extent cx="5565775" cy="7203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sz w:val="20"/>
                <w:szCs w:val="20"/>
                <w:color w:val="auto"/>
              </w:rPr>
            </w:pPr>
            <w:r>
              <w:rPr>
                <w:rFonts w:ascii="Arial" w:cs="Arial" w:eastAsia="Arial" w:hAnsi="Arial"/>
                <w:sz w:val="14"/>
                <w:szCs w:val="14"/>
                <w:color w:val="FFFFFF"/>
              </w:rPr>
              <w:t>IMPORTANT ANNUAL MEETING INFORMATION 000004 C123456789 ENDORSEMENT LINE SACKPACK</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000000000.000000 ext 000000000.000000 ext 000000000.000000 ext 000000000.000000 ext 000000000.000000 ext 000000000.000000 ext MR A SAMPLE DESIGNATION (IF ANY) ADD 1</w:t>
            </w:r>
          </w:p>
        </w:tc>
      </w:tr>
      <w:tr>
        <w:trPr>
          <w:trHeight w:val="41"/>
        </w:trPr>
        <w:tc>
          <w:tcPr>
            <w:tcW w:w="3440" w:type="dxa"/>
            <w:vAlign w:val="bottom"/>
          </w:tcPr>
          <w:p>
            <w:pPr>
              <w:spacing w:after="0"/>
              <w:rPr>
                <w:sz w:val="20"/>
                <w:szCs w:val="20"/>
                <w:color w:val="auto"/>
              </w:rPr>
            </w:pPr>
            <w:r>
              <w:rPr>
                <w:rFonts w:ascii="Arial" w:cs="Arial" w:eastAsia="Arial" w:hAnsi="Arial"/>
                <w:sz w:val="3"/>
                <w:szCs w:val="3"/>
                <w:color w:val="FFFFFF"/>
              </w:rPr>
              <w:t>ADD 2 ADD 3 ADD 4 ADD 5 ADD 6</w:t>
            </w:r>
          </w:p>
        </w:tc>
        <w:tc>
          <w:tcPr>
            <w:tcW w:w="4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Using a black ink pen, mark your votes with an X as shown in this example. Please do not write outside the designated areas. PROXY CARD FOR ANNUAL MEETING PLEASE FOLD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ALONG THE PERFORATION, DETACH AND RETURN THE BOTTOM PORTION IN THE ENCLOSED ENVELOPE. A Proposals — The ViaSat Board of Directors unanimously recommends</w:t>
            </w: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that stockholders vote “FOR” all the director nominees listed in Proposal 1, and “FOR” Proposals 2, 3, 4 and 5. 1. Election of</w:t>
            </w:r>
          </w:p>
        </w:tc>
        <w:tc>
          <w:tcPr>
            <w:tcW w:w="3660" w:type="dxa"/>
            <w:vAlign w:val="bottom"/>
            <w:gridSpan w:val="3"/>
          </w:tcPr>
          <w:p>
            <w:pPr>
              <w:ind w:left="320"/>
              <w:spacing w:after="0"/>
              <w:rPr>
                <w:sz w:val="20"/>
                <w:szCs w:val="20"/>
                <w:color w:val="auto"/>
              </w:rPr>
            </w:pPr>
            <w:r>
              <w:rPr>
                <w:rFonts w:ascii="Arial" w:cs="Arial" w:eastAsia="Arial" w:hAnsi="Arial"/>
                <w:sz w:val="3"/>
                <w:szCs w:val="3"/>
                <w:color w:val="FFFFFF"/>
              </w:rPr>
              <w:t>01—Frank J. Biondi, Jr. For Withhold 02—Robert</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Johnson For Withhold 03—John St nbit For Withhold 2. Ratification of Appointment of PricewaterhouseCo pers LLP as ViaSat’Directors:Independent Registered Public Accounting Firm 4.</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Amendment and Restatement of the Employee Stock Purchase Plan For Against Abstain 3. Advisory Vote on Executive Compensation 5. Amendment and Restatement of the 1996 Equity</w:t>
            </w:r>
          </w:p>
        </w:tc>
      </w:tr>
      <w:tr>
        <w:trPr>
          <w:trHeight w:val="41"/>
        </w:trPr>
        <w:tc>
          <w:tcPr>
            <w:tcW w:w="3440" w:type="dxa"/>
            <w:vAlign w:val="bottom"/>
          </w:tcPr>
          <w:p>
            <w:pPr>
              <w:spacing w:after="0"/>
              <w:rPr>
                <w:sz w:val="20"/>
                <w:szCs w:val="20"/>
                <w:color w:val="auto"/>
              </w:rPr>
            </w:pPr>
            <w:r>
              <w:rPr>
                <w:rFonts w:ascii="Arial" w:cs="Arial" w:eastAsia="Arial" w:hAnsi="Arial"/>
                <w:sz w:val="3"/>
                <w:szCs w:val="3"/>
                <w:color w:val="FFFFFF"/>
              </w:rPr>
              <w:t>Participation Plan For Against Abstain B Authorized</w:t>
            </w:r>
          </w:p>
        </w:tc>
        <w:tc>
          <w:tcPr>
            <w:tcW w:w="4800" w:type="dxa"/>
            <w:vAlign w:val="bottom"/>
            <w:gridSpan w:val="2"/>
          </w:tcPr>
          <w:p>
            <w:pPr>
              <w:ind w:left="360"/>
              <w:spacing w:after="0"/>
              <w:rPr>
                <w:sz w:val="20"/>
                <w:szCs w:val="20"/>
                <w:color w:val="auto"/>
              </w:rPr>
            </w:pPr>
            <w:r>
              <w:rPr>
                <w:rFonts w:ascii="Arial" w:cs="Arial" w:eastAsia="Arial" w:hAnsi="Arial"/>
                <w:sz w:val="3"/>
                <w:szCs w:val="3"/>
                <w:color w:val="FFFFFF"/>
              </w:rPr>
              <w:t>— Date and Sign Below — This section must be completed for your vote</w:t>
            </w:r>
          </w:p>
        </w:tc>
        <w:tc>
          <w:tcPr>
            <w:tcW w:w="3160" w:type="dxa"/>
            <w:vAlign w:val="bottom"/>
            <w:gridSpan w:val="2"/>
          </w:tcPr>
          <w:p>
            <w:pPr>
              <w:ind w:left="80"/>
              <w:spacing w:after="0"/>
              <w:rPr>
                <w:sz w:val="20"/>
                <w:szCs w:val="20"/>
                <w:color w:val="auto"/>
              </w:rPr>
            </w:pPr>
            <w:r>
              <w:rPr>
                <w:rFonts w:ascii="Arial" w:cs="Arial" w:eastAsia="Arial" w:hAnsi="Arial"/>
                <w:sz w:val="3"/>
                <w:szCs w:val="3"/>
                <w:color w:val="FFFFFF"/>
              </w:rPr>
              <w:t>be counted. Please sign your name(s) EXACTLY</w:t>
            </w:r>
          </w:p>
        </w:tc>
      </w:tr>
      <w:tr>
        <w:trPr>
          <w:trHeight w:val="41"/>
        </w:trPr>
        <w:tc>
          <w:tcPr>
            <w:tcW w:w="11400" w:type="dxa"/>
            <w:vAlign w:val="bottom"/>
            <w:gridSpan w:val="5"/>
          </w:tcPr>
          <w:p>
            <w:pPr>
              <w:ind w:left="180"/>
              <w:spacing w:after="0"/>
              <w:rPr>
                <w:sz w:val="20"/>
                <w:szCs w:val="20"/>
                <w:color w:val="auto"/>
              </w:rPr>
            </w:pPr>
            <w:r>
              <w:rPr>
                <w:rFonts w:ascii="Arial" w:cs="Arial" w:eastAsia="Arial" w:hAnsi="Arial"/>
                <w:sz w:val="3"/>
                <w:szCs w:val="3"/>
                <w:color w:val="FFFFFF"/>
              </w:rPr>
              <w:t>your name(s) appear(s) on this proxy card. If sharesSignaturesheld jointly, each joint holder must sign. When signing as trustee, executor, administrator, guardian, attorney or corporate officer,</w:t>
            </w:r>
          </w:p>
        </w:tc>
      </w:tr>
      <w:tr>
        <w:trPr>
          <w:trHeight w:val="41"/>
        </w:trPr>
        <w:tc>
          <w:tcPr>
            <w:tcW w:w="8240" w:type="dxa"/>
            <w:vAlign w:val="bottom"/>
            <w:gridSpan w:val="3"/>
          </w:tcPr>
          <w:p>
            <w:pPr>
              <w:spacing w:after="0"/>
              <w:rPr>
                <w:sz w:val="20"/>
                <w:szCs w:val="20"/>
                <w:color w:val="auto"/>
              </w:rPr>
            </w:pPr>
            <w:r>
              <w:rPr>
                <w:rFonts w:ascii="Arial" w:cs="Arial" w:eastAsia="Arial" w:hAnsi="Arial"/>
                <w:sz w:val="3"/>
                <w:szCs w:val="3"/>
                <w:color w:val="FFFFFF"/>
              </w:rPr>
              <w:t>please print your full title. Date (mm/dd/yyyy) — Please print date below. Signature 1 — Please keep signature within the box. Signature</w:t>
            </w:r>
          </w:p>
        </w:tc>
        <w:tc>
          <w:tcPr>
            <w:tcW w:w="3160" w:type="dxa"/>
            <w:vAlign w:val="bottom"/>
            <w:gridSpan w:val="2"/>
          </w:tcPr>
          <w:p>
            <w:pPr>
              <w:ind w:left="380"/>
              <w:spacing w:after="0"/>
              <w:rPr>
                <w:sz w:val="20"/>
                <w:szCs w:val="20"/>
                <w:color w:val="auto"/>
              </w:rPr>
            </w:pPr>
            <w:r>
              <w:rPr>
                <w:rFonts w:ascii="Arial" w:cs="Arial" w:eastAsia="Arial" w:hAnsi="Arial"/>
                <w:sz w:val="3"/>
                <w:szCs w:val="3"/>
                <w:color w:val="FFFFFF"/>
              </w:rPr>
              <w:t>Owner) — Please keep signature within the</w:t>
            </w:r>
          </w:p>
        </w:tc>
      </w:tr>
      <w:tr>
        <w:trPr>
          <w:trHeight w:val="0"/>
        </w:trPr>
        <w:tc>
          <w:tcPr>
            <w:tcW w:w="9280" w:type="dxa"/>
            <w:vAlign w:val="bottom"/>
            <w:gridSpan w:val="4"/>
          </w:tcPr>
          <w:p>
            <w:pPr>
              <w:spacing w:after="0" w:line="82" w:lineRule="exact"/>
              <w:rPr>
                <w:sz w:val="20"/>
                <w:szCs w:val="20"/>
                <w:color w:val="auto"/>
              </w:rPr>
            </w:pPr>
            <w:r>
              <w:rPr>
                <w:rFonts w:ascii="Arial" w:cs="Arial" w:eastAsia="Arial" w:hAnsi="Arial"/>
                <w:sz w:val="9"/>
                <w:szCs w:val="9"/>
                <w:color w:val="FFFFFF"/>
              </w:rPr>
              <w:t>box. IF VOTING BY MAIL, YOU MUST COMPLETE SECTIONS A—C ON BOTH SIDES OF THIS CARD. C 1234567890 1UP X 2389361 (JointNT MR A</w:t>
            </w:r>
          </w:p>
        </w:tc>
        <w:tc>
          <w:tcPr>
            <w:tcW w:w="2120" w:type="dxa"/>
            <w:vAlign w:val="bottom"/>
          </w:tcPr>
          <w:p>
            <w:pPr>
              <w:ind w:left="320"/>
              <w:spacing w:after="0" w:line="82" w:lineRule="exact"/>
              <w:rPr>
                <w:sz w:val="20"/>
                <w:szCs w:val="20"/>
                <w:color w:val="auto"/>
              </w:rPr>
            </w:pPr>
            <w:r>
              <w:rPr>
                <w:rFonts w:ascii="Arial" w:cs="Arial" w:eastAsia="Arial" w:hAnsi="Arial"/>
                <w:sz w:val="9"/>
                <w:szCs w:val="9"/>
                <w:color w:val="FFFFFF"/>
              </w:rPr>
              <w:t>(THIS AREA IS SET UP TO</w:t>
            </w:r>
          </w:p>
        </w:tc>
      </w:tr>
    </w:tbl>
    <w:p>
      <w:pPr>
        <w:ind w:right="60"/>
        <w:spacing w:after="0" w:line="187" w:lineRule="auto"/>
        <w:rPr>
          <w:sz w:val="20"/>
          <w:szCs w:val="20"/>
          <w:color w:val="auto"/>
        </w:rPr>
      </w:pPr>
      <w:r>
        <w:rPr>
          <w:rFonts w:ascii="Arial" w:cs="Arial" w:eastAsia="Arial" w:hAnsi="Arial"/>
          <w:sz w:val="18"/>
          <w:szCs w:val="18"/>
          <w:color w:val="FFFFFF"/>
          <w:vertAlign w:val="subscript"/>
        </w:rPr>
        <w:t>ACCOMMODA</w:t>
      </w:r>
      <w:r>
        <w:rPr>
          <w:rFonts w:ascii="Arial" w:cs="Arial" w:eastAsia="Arial" w:hAnsi="Arial"/>
          <w:sz w:val="10"/>
          <w:szCs w:val="10"/>
          <w:color w:val="FFFFFF"/>
        </w:rPr>
        <w:t>TE 140 CHARACTERS) MR A SAMPLE AND MR A SAMPLE AND MR A SAMPLE AND MR A SAMPLE AND MR A SAMPLE AND MRSAMPLE AND MR A SAMPLE AND MR SAMPLE AND 024A1D</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205740</wp:posOffset>
            </wp:positionV>
            <wp:extent cx="5565775" cy="7203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8"/>
          </w:tcPr>
          <w:p>
            <w:pPr>
              <w:spacing w:after="0"/>
              <w:rPr>
                <w:sz w:val="20"/>
                <w:szCs w:val="20"/>
                <w:color w:val="auto"/>
              </w:rPr>
            </w:pPr>
            <w:r>
              <w:rPr>
                <w:rFonts w:ascii="Arial" w:cs="Arial" w:eastAsia="Arial" w:hAnsi="Arial"/>
                <w:sz w:val="14"/>
                <w:szCs w:val="14"/>
                <w:color w:val="FFFFFF"/>
                <w:w w:val="98"/>
              </w:rPr>
              <w:t>Important Notice Regarding the Availability of Proxy Materials for the Annual Meeting The proxy materials for the ViaSat annual meeting of stockholders, including the proxy statement and</w:t>
            </w:r>
          </w:p>
        </w:tc>
        <w:tc>
          <w:tcPr>
            <w:tcW w:w="0" w:type="dxa"/>
            <w:vAlign w:val="bottom"/>
          </w:tcPr>
          <w:p>
            <w:pPr>
              <w:spacing w:after="0"/>
              <w:rPr>
                <w:sz w:val="1"/>
                <w:szCs w:val="1"/>
                <w:color w:val="auto"/>
              </w:rPr>
            </w:pPr>
          </w:p>
        </w:tc>
      </w:tr>
      <w:tr>
        <w:trPr>
          <w:trHeight w:val="41"/>
        </w:trPr>
        <w:tc>
          <w:tcPr>
            <w:tcW w:w="9200" w:type="dxa"/>
            <w:vAlign w:val="bottom"/>
            <w:gridSpan w:val="6"/>
          </w:tcPr>
          <w:p>
            <w:pPr>
              <w:ind w:left="80"/>
              <w:spacing w:after="0"/>
              <w:rPr>
                <w:sz w:val="20"/>
                <w:szCs w:val="20"/>
                <w:color w:val="auto"/>
              </w:rPr>
            </w:pPr>
            <w:r>
              <w:rPr>
                <w:rFonts w:ascii="Arial" w:cs="Arial" w:eastAsia="Arial" w:hAnsi="Arial"/>
                <w:sz w:val="3"/>
                <w:szCs w:val="3"/>
                <w:color w:val="FFFFFF"/>
              </w:rPr>
              <w:t>nnual report to stockholders, are available over the internet on the Investor Relations section of our website at investors.viasat.com. Electronic Access T</w:t>
            </w:r>
          </w:p>
        </w:tc>
        <w:tc>
          <w:tcPr>
            <w:tcW w:w="2180" w:type="dxa"/>
            <w:vAlign w:val="bottom"/>
            <w:gridSpan w:val="2"/>
          </w:tcPr>
          <w:p>
            <w:pPr>
              <w:jc w:val="right"/>
              <w:ind w:right="155"/>
              <w:spacing w:after="0"/>
              <w:rPr>
                <w:sz w:val="20"/>
                <w:szCs w:val="20"/>
                <w:color w:val="auto"/>
              </w:rPr>
            </w:pPr>
            <w:r>
              <w:rPr>
                <w:rFonts w:ascii="Arial" w:cs="Arial" w:eastAsia="Arial" w:hAnsi="Arial"/>
                <w:sz w:val="3"/>
                <w:szCs w:val="3"/>
                <w:color w:val="FFFFFF"/>
              </w:rPr>
              <w:t>Future Documents If you wish to</w:t>
            </w:r>
          </w:p>
        </w:tc>
        <w:tc>
          <w:tcPr>
            <w:tcW w:w="0" w:type="dxa"/>
            <w:vAlign w:val="bottom"/>
          </w:tcPr>
          <w:p>
            <w:pPr>
              <w:spacing w:after="0"/>
              <w:rPr>
                <w:sz w:val="1"/>
                <w:szCs w:val="1"/>
                <w:color w:val="auto"/>
              </w:rPr>
            </w:pPr>
          </w:p>
        </w:tc>
      </w:tr>
      <w:tr>
        <w:trPr>
          <w:trHeight w:val="41"/>
        </w:trPr>
        <w:tc>
          <w:tcPr>
            <w:tcW w:w="9200" w:type="dxa"/>
            <w:vAlign w:val="bottom"/>
            <w:gridSpan w:val="6"/>
          </w:tcPr>
          <w:p>
            <w:pPr>
              <w:spacing w:after="0"/>
              <w:rPr>
                <w:sz w:val="20"/>
                <w:szCs w:val="20"/>
                <w:color w:val="auto"/>
              </w:rPr>
            </w:pPr>
            <w:r>
              <w:rPr>
                <w:rFonts w:ascii="Arial" w:cs="Arial" w:eastAsia="Arial" w:hAnsi="Arial"/>
                <w:sz w:val="3"/>
                <w:szCs w:val="3"/>
                <w:color w:val="FFFFFF"/>
              </w:rPr>
              <w:t>access all future proxy statements and annual reports via the internet as they become available, please consent by marking the appropriate box below.</w:t>
            </w:r>
          </w:p>
        </w:tc>
        <w:tc>
          <w:tcPr>
            <w:tcW w:w="2180" w:type="dxa"/>
            <w:vAlign w:val="bottom"/>
            <w:gridSpan w:val="2"/>
          </w:tcPr>
          <w:p>
            <w:pPr>
              <w:jc w:val="right"/>
              <w:ind w:right="55"/>
              <w:spacing w:after="0"/>
              <w:rPr>
                <w:sz w:val="20"/>
                <w:szCs w:val="20"/>
                <w:color w:val="auto"/>
              </w:rPr>
            </w:pPr>
            <w:r>
              <w:rPr>
                <w:rFonts w:ascii="Arial" w:cs="Arial" w:eastAsia="Arial" w:hAnsi="Arial"/>
                <w:sz w:val="3"/>
                <w:szCs w:val="3"/>
                <w:color w:val="FFFFFF"/>
              </w:rPr>
              <w:t>to receive your future proxy</w:t>
            </w:r>
          </w:p>
        </w:tc>
        <w:tc>
          <w:tcPr>
            <w:tcW w:w="0" w:type="dxa"/>
            <w:vAlign w:val="bottom"/>
          </w:tcPr>
          <w:p>
            <w:pPr>
              <w:spacing w:after="0"/>
              <w:rPr>
                <w:sz w:val="1"/>
                <w:szCs w:val="1"/>
                <w:color w:val="auto"/>
              </w:rPr>
            </w:pPr>
          </w:p>
        </w:tc>
      </w:tr>
      <w:tr>
        <w:trPr>
          <w:trHeight w:val="41"/>
        </w:trPr>
        <w:tc>
          <w:tcPr>
            <w:tcW w:w="11120" w:type="dxa"/>
            <w:vAlign w:val="bottom"/>
            <w:gridSpan w:val="7"/>
          </w:tcPr>
          <w:p>
            <w:pPr>
              <w:spacing w:after="0"/>
              <w:rPr>
                <w:sz w:val="20"/>
                <w:szCs w:val="20"/>
                <w:color w:val="auto"/>
              </w:rPr>
            </w:pPr>
            <w:r>
              <w:rPr>
                <w:rFonts w:ascii="Arial" w:cs="Arial" w:eastAsia="Arial" w:hAnsi="Arial"/>
                <w:sz w:val="3"/>
                <w:szCs w:val="3"/>
                <w:color w:val="FFFFFF"/>
              </w:rPr>
              <w:t>materials electronically will help us conserve natural resources and reduce the costs of printing and distributing our proxy materials. This consent will remainChoosingeffect until you notify our</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7"/>
          </w:tcPr>
          <w:p>
            <w:pPr>
              <w:spacing w:after="0"/>
              <w:rPr>
                <w:sz w:val="20"/>
                <w:szCs w:val="20"/>
                <w:color w:val="auto"/>
              </w:rPr>
            </w:pPr>
            <w:r>
              <w:rPr>
                <w:rFonts w:ascii="Arial" w:cs="Arial" w:eastAsia="Arial" w:hAnsi="Arial"/>
                <w:sz w:val="3"/>
                <w:szCs w:val="3"/>
                <w:color w:val="FFFFFF"/>
              </w:rPr>
              <w:t>transfer agent, Computershare, by mail that you wish to resume mail delivery of the proxy statement and annual report. PLEASE FOLD ALONG THE PERFORATION, DETACH AND</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80" w:type="dxa"/>
            <w:vAlign w:val="bottom"/>
            <w:gridSpan w:val="4"/>
          </w:tcPr>
          <w:p>
            <w:pPr>
              <w:spacing w:after="0"/>
              <w:rPr>
                <w:sz w:val="20"/>
                <w:szCs w:val="20"/>
                <w:color w:val="auto"/>
              </w:rPr>
            </w:pPr>
            <w:r>
              <w:rPr>
                <w:rFonts w:ascii="Arial" w:cs="Arial" w:eastAsia="Arial" w:hAnsi="Arial"/>
                <w:sz w:val="3"/>
                <w:szCs w:val="3"/>
                <w:color w:val="FFFFFF"/>
              </w:rPr>
              <w:t>RETURN THE BOTTOM PORTION IN</w:t>
            </w:r>
          </w:p>
        </w:tc>
        <w:tc>
          <w:tcPr>
            <w:tcW w:w="8640" w:type="dxa"/>
            <w:vAlign w:val="bottom"/>
            <w:gridSpan w:val="3"/>
          </w:tcPr>
          <w:p>
            <w:pPr>
              <w:ind w:left="180"/>
              <w:spacing w:after="0"/>
              <w:rPr>
                <w:sz w:val="20"/>
                <w:szCs w:val="20"/>
                <w:color w:val="auto"/>
              </w:rPr>
            </w:pPr>
            <w:r>
              <w:rPr>
                <w:rFonts w:ascii="Arial" w:cs="Arial" w:eastAsia="Arial" w:hAnsi="Arial"/>
                <w:sz w:val="3"/>
                <w:szCs w:val="3"/>
                <w:color w:val="FFFFFF"/>
              </w:rPr>
              <w:t>ENCLOSED ENVELOPE. PROXY CARD VIASAT, INC. ANNUAL MEETING OF STOCKHOLDERS SEPTEMBER 16, 2015 THIS PROXY IS</w:t>
            </w:r>
          </w:p>
        </w:tc>
        <w:tc>
          <w:tcPr>
            <w:tcW w:w="26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and</w:t>
            </w:r>
          </w:p>
        </w:tc>
        <w:tc>
          <w:tcPr>
            <w:tcW w:w="0" w:type="dxa"/>
            <w:vAlign w:val="bottom"/>
          </w:tcPr>
          <w:p>
            <w:pPr>
              <w:spacing w:after="0"/>
              <w:rPr>
                <w:sz w:val="1"/>
                <w:szCs w:val="1"/>
                <w:color w:val="auto"/>
              </w:rPr>
            </w:pPr>
          </w:p>
        </w:tc>
      </w:tr>
      <w:tr>
        <w:trPr>
          <w:trHeight w:val="41"/>
        </w:trPr>
        <w:tc>
          <w:tcPr>
            <w:tcW w:w="6820" w:type="dxa"/>
            <w:vAlign w:val="bottom"/>
            <w:gridSpan w:val="5"/>
          </w:tcPr>
          <w:p>
            <w:pPr>
              <w:spacing w:after="0"/>
              <w:rPr>
                <w:sz w:val="20"/>
                <w:szCs w:val="20"/>
                <w:color w:val="auto"/>
              </w:rPr>
            </w:pPr>
            <w:r>
              <w:rPr>
                <w:rFonts w:ascii="Arial" w:cs="Arial" w:eastAsia="Arial" w:hAnsi="Arial"/>
                <w:sz w:val="3"/>
                <w:szCs w:val="3"/>
                <w:color w:val="FFFFFF"/>
              </w:rPr>
              <w:t>SOLICITED ON BEHALF OF THE VIASATHEBOARD OF DIRECTORS The undersigned revokes all previous</w:t>
            </w:r>
          </w:p>
        </w:tc>
        <w:tc>
          <w:tcPr>
            <w:tcW w:w="4300" w:type="dxa"/>
            <w:vAlign w:val="bottom"/>
            <w:gridSpan w:val="2"/>
          </w:tcPr>
          <w:p>
            <w:pPr>
              <w:ind w:left="140"/>
              <w:spacing w:after="0"/>
              <w:rPr>
                <w:sz w:val="20"/>
                <w:szCs w:val="20"/>
                <w:color w:val="auto"/>
              </w:rPr>
            </w:pPr>
            <w:r>
              <w:rPr>
                <w:rFonts w:ascii="Arial" w:cs="Arial" w:eastAsia="Arial" w:hAnsi="Arial"/>
                <w:sz w:val="3"/>
                <w:szCs w:val="3"/>
                <w:color w:val="FFFFFF"/>
              </w:rPr>
              <w:t>acknowledges receipt of the notice of annual meeting of</w:t>
            </w: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7"/>
          </w:tcPr>
          <w:p>
            <w:pPr>
              <w:spacing w:after="0"/>
              <w:rPr>
                <w:sz w:val="20"/>
                <w:szCs w:val="20"/>
                <w:color w:val="auto"/>
              </w:rPr>
            </w:pPr>
            <w:r>
              <w:rPr>
                <w:rFonts w:ascii="Arial" w:cs="Arial" w:eastAsia="Arial" w:hAnsi="Arial"/>
                <w:sz w:val="3"/>
                <w:szCs w:val="3"/>
                <w:color w:val="FFFFFF"/>
              </w:rPr>
              <w:t>the accompanying proxy statement, and hereby appoints Mark Dankberg and Keven Lippert, jointly and severallyproxies,with full power of substitution to each, as proxies of the undersigned,stockholders</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2"/>
          </w:tcPr>
          <w:p>
            <w:pPr>
              <w:spacing w:after="0"/>
              <w:rPr>
                <w:sz w:val="20"/>
                <w:szCs w:val="20"/>
                <w:color w:val="auto"/>
              </w:rPr>
            </w:pPr>
            <w:r>
              <w:rPr>
                <w:rFonts w:ascii="Arial" w:cs="Arial" w:eastAsia="Arial" w:hAnsi="Arial"/>
                <w:sz w:val="3"/>
                <w:szCs w:val="3"/>
                <w:color w:val="FFFFFF"/>
              </w:rPr>
              <w:t>represent the undersigned and</w:t>
            </w:r>
          </w:p>
        </w:tc>
        <w:tc>
          <w:tcPr>
            <w:tcW w:w="9500" w:type="dxa"/>
            <w:vAlign w:val="bottom"/>
            <w:gridSpan w:val="6"/>
          </w:tcPr>
          <w:p>
            <w:pPr>
              <w:jc w:val="right"/>
              <w:ind w:right="15"/>
              <w:spacing w:after="0"/>
              <w:rPr>
                <w:sz w:val="20"/>
                <w:szCs w:val="20"/>
                <w:color w:val="auto"/>
              </w:rPr>
            </w:pPr>
            <w:r>
              <w:rPr>
                <w:rFonts w:ascii="Arial" w:cs="Arial" w:eastAsia="Arial" w:hAnsi="Arial"/>
                <w:sz w:val="3"/>
                <w:szCs w:val="3"/>
                <w:color w:val="FFFFFF"/>
              </w:rPr>
              <w:t>vote all shares of common stock of ViaSat, Inc. that the undersigned is entitled to vote, either on his or her own behalf or on behalf of an entity or entities, at</w:t>
            </w:r>
          </w:p>
        </w:tc>
        <w:tc>
          <w:tcPr>
            <w:tcW w:w="0" w:type="dxa"/>
            <w:vAlign w:val="bottom"/>
          </w:tcPr>
          <w:p>
            <w:pPr>
              <w:spacing w:after="0"/>
              <w:rPr>
                <w:sz w:val="1"/>
                <w:szCs w:val="1"/>
                <w:color w:val="auto"/>
              </w:rPr>
            </w:pPr>
          </w:p>
        </w:tc>
      </w:tr>
      <w:tr>
        <w:trPr>
          <w:trHeight w:val="41"/>
        </w:trPr>
        <w:tc>
          <w:tcPr>
            <w:tcW w:w="2200" w:type="dxa"/>
            <w:vAlign w:val="bottom"/>
            <w:gridSpan w:val="3"/>
          </w:tcPr>
          <w:p>
            <w:pPr>
              <w:spacing w:after="0"/>
              <w:rPr>
                <w:sz w:val="20"/>
                <w:szCs w:val="20"/>
                <w:color w:val="auto"/>
              </w:rPr>
            </w:pPr>
            <w:r>
              <w:rPr>
                <w:rFonts w:ascii="Arial" w:cs="Arial" w:eastAsia="Arial" w:hAnsi="Arial"/>
                <w:sz w:val="3"/>
                <w:szCs w:val="3"/>
                <w:color w:val="FFFFFF"/>
              </w:rPr>
              <w:t>the an ual meeting of stockholders</w:t>
            </w:r>
          </w:p>
        </w:tc>
        <w:tc>
          <w:tcPr>
            <w:tcW w:w="9180" w:type="dxa"/>
            <w:vAlign w:val="bottom"/>
            <w:gridSpan w:val="5"/>
          </w:tcPr>
          <w:p>
            <w:pPr>
              <w:jc w:val="right"/>
              <w:spacing w:after="0"/>
              <w:rPr>
                <w:sz w:val="20"/>
                <w:szCs w:val="20"/>
                <w:color w:val="auto"/>
              </w:rPr>
            </w:pPr>
            <w:r>
              <w:rPr>
                <w:rFonts w:ascii="Arial" w:cs="Arial" w:eastAsia="Arial" w:hAnsi="Arial"/>
                <w:sz w:val="3"/>
                <w:szCs w:val="3"/>
                <w:color w:val="FFFFFF"/>
              </w:rPr>
              <w:t>ViaSat, Inc. to be held on September 16, 2015, at 8:30 a.  . Pacific Time at 6155 El Camino Real, Founders Hall, Carlsbad, California 92009, and at any</w:t>
            </w: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adjournments and postponements thereof, with the same force and effect as the undersigned might or could do if personally present. THE SHARES REPRESENTED BY THIS PROXY CARD</w:t>
            </w:r>
          </w:p>
        </w:tc>
        <w:tc>
          <w:tcPr>
            <w:tcW w:w="0" w:type="dxa"/>
            <w:vAlign w:val="bottom"/>
          </w:tcPr>
          <w:p>
            <w:pPr>
              <w:spacing w:after="0"/>
              <w:rPr>
                <w:sz w:val="1"/>
                <w:szCs w:val="1"/>
                <w:color w:val="auto"/>
              </w:rPr>
            </w:pPr>
          </w:p>
        </w:tc>
      </w:tr>
      <w:tr>
        <w:trPr>
          <w:trHeight w:val="41"/>
        </w:trPr>
        <w:tc>
          <w:tcPr>
            <w:tcW w:w="6820" w:type="dxa"/>
            <w:vAlign w:val="bottom"/>
            <w:gridSpan w:val="5"/>
          </w:tcPr>
          <w:p>
            <w:pPr>
              <w:spacing w:after="0"/>
              <w:rPr>
                <w:sz w:val="20"/>
                <w:szCs w:val="20"/>
                <w:color w:val="auto"/>
              </w:rPr>
            </w:pPr>
            <w:r>
              <w:rPr>
                <w:rFonts w:ascii="Arial" w:cs="Arial" w:eastAsia="Arial" w:hAnsi="Arial"/>
                <w:sz w:val="3"/>
                <w:szCs w:val="3"/>
                <w:color w:val="FFFFFF"/>
              </w:rPr>
              <w:t>WILL BE VOTED AS INSTRUCTED BY THE STOCKHOLDER. IF NO INSTRUCTIONS ARE SPECIFIED, THE</w:t>
            </w:r>
          </w:p>
        </w:tc>
        <w:tc>
          <w:tcPr>
            <w:tcW w:w="4560" w:type="dxa"/>
            <w:vAlign w:val="bottom"/>
            <w:gridSpan w:val="3"/>
          </w:tcPr>
          <w:p>
            <w:pPr>
              <w:jc w:val="right"/>
              <w:ind w:right="15"/>
              <w:spacing w:after="0"/>
              <w:rPr>
                <w:sz w:val="20"/>
                <w:szCs w:val="20"/>
                <w:color w:val="auto"/>
              </w:rPr>
            </w:pPr>
            <w:r>
              <w:rPr>
                <w:rFonts w:ascii="Arial" w:cs="Arial" w:eastAsia="Arial" w:hAnsi="Arial"/>
                <w:sz w:val="3"/>
                <w:szCs w:val="3"/>
                <w:color w:val="FFFFFF"/>
              </w:rPr>
              <w:t>WILL BE VOTED “FOR” ALL THE DIRECTOR NOMINEES LISTED</w:t>
            </w:r>
          </w:p>
        </w:tc>
        <w:tc>
          <w:tcPr>
            <w:tcW w:w="0" w:type="dxa"/>
            <w:vAlign w:val="bottom"/>
          </w:tcPr>
          <w:p>
            <w:pPr>
              <w:spacing w:after="0"/>
              <w:rPr>
                <w:sz w:val="1"/>
                <w:szCs w:val="1"/>
                <w:color w:val="auto"/>
              </w:rPr>
            </w:pPr>
          </w:p>
        </w:tc>
      </w:tr>
      <w:tr>
        <w:trPr>
          <w:trHeight w:val="41"/>
        </w:trPr>
        <w:tc>
          <w:tcPr>
            <w:tcW w:w="11120" w:type="dxa"/>
            <w:vAlign w:val="bottom"/>
            <w:gridSpan w:val="7"/>
          </w:tcPr>
          <w:p>
            <w:pPr>
              <w:spacing w:after="0"/>
              <w:rPr>
                <w:sz w:val="20"/>
                <w:szCs w:val="20"/>
                <w:color w:val="auto"/>
              </w:rPr>
            </w:pPr>
            <w:r>
              <w:rPr>
                <w:rFonts w:ascii="Arial" w:cs="Arial" w:eastAsia="Arial" w:hAnsi="Arial"/>
                <w:sz w:val="3"/>
                <w:szCs w:val="3"/>
                <w:color w:val="FFFFFF"/>
              </w:rPr>
              <w:t>IN PROPOSAL 1 AND “FOR” PROPOSALS 2, 3, 4 AND 5. IF ANY OTHER BUSINESS IS PROPERLY PRESENTEDSHAREST THE ANNUAL MEETING, OR ANY ADJOURNMENTS OR</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2"/>
          </w:tcPr>
          <w:p>
            <w:pPr>
              <w:spacing w:after="0"/>
              <w:rPr>
                <w:sz w:val="20"/>
                <w:szCs w:val="20"/>
                <w:color w:val="auto"/>
              </w:rPr>
            </w:pPr>
            <w:r>
              <w:rPr>
                <w:rFonts w:ascii="Arial" w:cs="Arial" w:eastAsia="Arial" w:hAnsi="Arial"/>
                <w:sz w:val="3"/>
                <w:szCs w:val="3"/>
                <w:color w:val="FFFFFF"/>
              </w:rPr>
              <w:t>POSTPONEMENTS</w:t>
            </w:r>
          </w:p>
        </w:tc>
        <w:tc>
          <w:tcPr>
            <w:tcW w:w="9240" w:type="dxa"/>
            <w:vAlign w:val="bottom"/>
            <w:gridSpan w:val="5"/>
          </w:tcPr>
          <w:p>
            <w:pPr>
              <w:ind w:left="20"/>
              <w:spacing w:after="0"/>
              <w:rPr>
                <w:sz w:val="20"/>
                <w:szCs w:val="20"/>
                <w:color w:val="auto"/>
              </w:rPr>
            </w:pPr>
            <w:r>
              <w:rPr>
                <w:rFonts w:ascii="Arial" w:cs="Arial" w:eastAsia="Arial" w:hAnsi="Arial"/>
                <w:sz w:val="3"/>
                <w:szCs w:val="3"/>
                <w:color w:val="FFFFFF"/>
              </w:rPr>
              <w:t>, THIS PROXY CARD WILL CONFER DISCRETIONARY AUTHORITY ON THE INDIVIDUALS NAMED AS PROXIES TO VOTE THE SHARES</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760" w:type="dxa"/>
            <w:vAlign w:val="bottom"/>
          </w:tcPr>
          <w:p>
            <w:pPr>
              <w:spacing w:after="0" w:line="82" w:lineRule="exact"/>
              <w:rPr>
                <w:sz w:val="20"/>
                <w:szCs w:val="20"/>
                <w:color w:val="auto"/>
              </w:rPr>
            </w:pPr>
            <w:r>
              <w:rPr>
                <w:rFonts w:ascii="Arial" w:cs="Arial" w:eastAsia="Arial" w:hAnsi="Arial"/>
                <w:sz w:val="9"/>
                <w:szCs w:val="9"/>
                <w:color w:val="FFFFFF"/>
              </w:rPr>
              <w:t>REPRE</w:t>
            </w:r>
          </w:p>
        </w:tc>
        <w:tc>
          <w:tcPr>
            <w:tcW w:w="10620" w:type="dxa"/>
            <w:vAlign w:val="bottom"/>
            <w:gridSpan w:val="7"/>
          </w:tcPr>
          <w:p>
            <w:pPr>
              <w:jc w:val="right"/>
              <w:spacing w:after="0" w:line="82" w:lineRule="exact"/>
              <w:rPr>
                <w:sz w:val="20"/>
                <w:szCs w:val="20"/>
                <w:color w:val="auto"/>
              </w:rPr>
            </w:pPr>
            <w:r>
              <w:rPr>
                <w:rFonts w:ascii="Arial" w:cs="Arial" w:eastAsia="Arial" w:hAnsi="Arial"/>
                <w:sz w:val="9"/>
                <w:szCs w:val="9"/>
                <w:color w:val="FFFFFF"/>
              </w:rPr>
              <w:t>BY THEREOFPROXIES IN ACCORDANCE WITH THEIR BEST JUDGMENT. C Non-Voting Items Change of Address — Please print new address below. Consent ELECTRONIC</w:t>
            </w:r>
          </w:p>
        </w:tc>
        <w:tc>
          <w:tcPr>
            <w:tcW w:w="0" w:type="dxa"/>
            <w:vAlign w:val="bottom"/>
          </w:tcPr>
          <w:p>
            <w:pPr>
              <w:spacing w:after="0" w:line="20" w:lineRule="exact"/>
              <w:rPr>
                <w:sz w:val="1"/>
                <w:szCs w:val="1"/>
                <w:color w:val="auto"/>
              </w:rPr>
            </w:pPr>
          </w:p>
        </w:tc>
      </w:tr>
    </w:tbl>
    <w:p>
      <w:pPr>
        <w:ind w:right="40"/>
        <w:spacing w:after="0" w:line="191" w:lineRule="auto"/>
        <w:rPr>
          <w:sz w:val="20"/>
          <w:szCs w:val="20"/>
          <w:color w:val="auto"/>
        </w:rPr>
      </w:pPr>
      <w:r>
        <w:rPr>
          <w:rFonts w:ascii="Arial" w:cs="Arial" w:eastAsia="Arial" w:hAnsi="Arial"/>
          <w:sz w:val="11"/>
          <w:szCs w:val="11"/>
          <w:color w:val="FFFFFF"/>
        </w:rPr>
        <w:t>ACCESSENTEDOFUTURE DOCUMENTS If you consent to use the internet to access all future notices of stockholder meetings, proxy statements and annual reports issued by ViaSat (electronic access), please mark this box. See above for details. IF VOTING BY MAIL, YOU MUST COMPLETE SECTIONS A—C ON BOTH SIDES OF THIS CARD. SEE REVERSE SIDE TO BE SIGNED AND DATED ON REVERSE SIDE SEE REVERSE SIDE</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lvl w:ilvl="1">
      <w:lvlJc w:val="left"/>
      <w:lvlText w:val="(%2)"/>
      <w:numFmt w:val="decimal"/>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start w:val="2"/>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3"/>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decimal"/>
      <w:start w:val="2"/>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4"/>
    </w:lvl>
  </w:abstractNum>
  <w:abstractNum w:abstractNumId="21">
    <w:nsid w:val="15B5AF5C"/>
    <w:multiLevelType w:val="hybridMultilevel"/>
    <w:lvl w:ilvl="0">
      <w:lvlJc w:val="left"/>
      <w:lvlText w:val="(%1)"/>
      <w:numFmt w:val="decimal"/>
      <w:start w:val="20"/>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2"/>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3"/>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2"/>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1)"/>
      <w:numFmt w:val="lowerLetter"/>
      <w:start w:val="6"/>
    </w:lvl>
    <w:lvl w:ilvl="1">
      <w:lvlJc w:val="left"/>
      <w:lvlText w:val="(%2)"/>
      <w:numFmt w:val="lowerRoman"/>
      <w:start w:val="1"/>
    </w:lvl>
  </w:abstractNum>
  <w:abstractNum w:abstractNumId="50">
    <w:nsid w:val="5DC79EA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1">
    <w:nsid w:val="540A471C"/>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52">
    <w:nsid w:val="7BD3EE7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53">
    <w:nsid w:val="51D9C564"/>
    <w:multiLevelType w:val="hybridMultilevel"/>
    <w:lvl w:ilvl="0">
      <w:lvlJc w:val="left"/>
      <w:lvlText w:val="(%1)"/>
      <w:numFmt w:val="lowerLetter"/>
      <w:start w:val="9"/>
    </w:lvl>
  </w:abstractNum>
  <w:abstractNum w:abstractNumId="54">
    <w:nsid w:val="613EFDC5"/>
    <w:multiLevelType w:val="hybridMultilevel"/>
    <w:lvl w:ilvl="0">
      <w:lvlJc w:val="left"/>
      <w:lvlText w:val="(%1)"/>
      <w:numFmt w:val="lowerLetter"/>
      <w:start w:val="12"/>
    </w:lvl>
  </w:abstractNum>
  <w:abstractNum w:abstractNumId="55">
    <w:nsid w:val="BF72B14"/>
    <w:multiLevelType w:val="hybridMultilevel"/>
    <w:lvl w:ilvl="0">
      <w:lvlJc w:val="left"/>
      <w:lvlText w:val="(%1)"/>
      <w:numFmt w:val="lowerLetter"/>
      <w:start w:val="24"/>
    </w:lvl>
  </w:abstractNum>
  <w:abstractNum w:abstractNumId="56">
    <w:nsid w:val="11447B73"/>
    <w:multiLevelType w:val="hybridMultilevel"/>
    <w:lvl w:ilvl="0">
      <w:lvlJc w:val="left"/>
      <w:lvlText w:val="(%1)"/>
      <w:numFmt w:val="lowerLetter"/>
      <w:start w:val="27"/>
    </w:lvl>
  </w:abstractNum>
  <w:abstractNum w:abstractNumId="57">
    <w:nsid w:val="42963E5A"/>
    <w:multiLevelType w:val="hybridMultilevel"/>
    <w:lvl w:ilvl="0">
      <w:lvlJc w:val="left"/>
      <w:lvlText w:val="%1."/>
      <w:numFmt w:val="decimal"/>
      <w:start w:val="3"/>
    </w:lvl>
    <w:lvl w:ilvl="1">
      <w:lvlJc w:val="left"/>
      <w:lvlText w:val="(%2)"/>
      <w:numFmt w:val="lowerLetter"/>
      <w:start w:val="1"/>
    </w:lvl>
  </w:abstractNum>
  <w:abstractNum w:abstractNumId="58">
    <w:nsid w:val="A0382C5"/>
    <w:multiLevelType w:val="hybridMultilevel"/>
    <w:lvl w:ilvl="0">
      <w:lvlJc w:val="left"/>
      <w:lvlText w:val="(%1)"/>
      <w:numFmt w:val="lowerLetter"/>
      <w:start w:val="2"/>
    </w:lvl>
  </w:abstractNum>
  <w:abstractNum w:abstractNumId="59">
    <w:nsid w:val="8F2B15E"/>
    <w:multiLevelType w:val="hybridMultilevel"/>
    <w:lvl w:ilvl="0">
      <w:lvlJc w:val="left"/>
      <w:lvlText w:val="(%1)"/>
      <w:numFmt w:val="lowerRoman"/>
      <w:start w:val="1"/>
    </w:lvl>
  </w:abstractNum>
  <w:abstractNum w:abstractNumId="60">
    <w:nsid w:val="1A32234B"/>
    <w:multiLevelType w:val="hybridMultilevel"/>
    <w:lvl w:ilvl="0">
      <w:lvlJc w:val="left"/>
      <w:lvlText w:val="(%1)"/>
      <w:numFmt w:val="lowerLetter"/>
      <w:start w:val="3"/>
    </w:lvl>
  </w:abstractNum>
  <w:abstractNum w:abstractNumId="61">
    <w:nsid w:val="3B0FD379"/>
    <w:multiLevelType w:val="hybridMultilevel"/>
    <w:lvl w:ilvl="0">
      <w:lvlJc w:val="left"/>
      <w:lvlText w:val="%1"/>
      <w:numFmt w:val="decimal"/>
      <w:start w:val="1"/>
    </w:lvl>
    <w:lvl w:ilvl="1">
      <w:lvlJc w:val="left"/>
      <w:lvlText w:val="(%2)"/>
      <w:numFmt w:val="lowerLetter"/>
      <w:start w:val="5"/>
    </w:lvl>
  </w:abstractNum>
  <w:abstractNum w:abstractNumId="62">
    <w:nsid w:val="68EB2F63"/>
    <w:multiLevelType w:val="hybridMultilevel"/>
    <w:lvl w:ilvl="0">
      <w:lvlJc w:val="left"/>
      <w:lvlText w:val="%1."/>
      <w:numFmt w:val="decimal"/>
      <w:start w:val="4"/>
    </w:lvl>
    <w:lvl w:ilvl="1">
      <w:lvlJc w:val="left"/>
      <w:lvlText w:val="(%2)"/>
      <w:numFmt w:val="lowerLetter"/>
      <w:start w:val="1"/>
    </w:lvl>
  </w:abstractNum>
  <w:abstractNum w:abstractNumId="63">
    <w:nsid w:val="4962813B"/>
    <w:multiLevelType w:val="hybridMultilevel"/>
    <w:lvl w:ilvl="0">
      <w:lvlJc w:val="left"/>
      <w:lvlText w:val="%1"/>
      <w:numFmt w:val="decimal"/>
      <w:start w:val="1"/>
    </w:lvl>
    <w:lvl w:ilvl="1">
      <w:lvlJc w:val="left"/>
      <w:lvlText w:val="(%2)"/>
      <w:numFmt w:val="lowerLetter"/>
      <w:start w:val="2"/>
    </w:lvl>
  </w:abstractNum>
  <w:abstractNum w:abstractNumId="64">
    <w:nsid w:val="60B6DF70"/>
    <w:multiLevelType w:val="hybridMultilevel"/>
    <w:lvl w:ilvl="0">
      <w:lvlJc w:val="left"/>
      <w:lvlText w:val="%1."/>
      <w:numFmt w:val="decimal"/>
      <w:start w:val="6"/>
    </w:lvl>
    <w:lvl w:ilvl="1">
      <w:lvlJc w:val="left"/>
      <w:lvlText w:val="(%2)"/>
      <w:numFmt w:val="lowerLetter"/>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decimal"/>
      <w:start w:val="12"/>
    </w:lvl>
    <w:lvl w:ilvl="1">
      <w:lvlJc w:val="left"/>
      <w:lvlText w:val="(%2)"/>
      <w:numFmt w:val="lowerLetter"/>
      <w:start w:val="1"/>
    </w:lvl>
  </w:abstractNum>
  <w:abstractNum w:abstractNumId="67">
    <w:nsid w:val="7FFFCA11"/>
    <w:multiLevelType w:val="hybridMultilevel"/>
    <w:lvl w:ilvl="0">
      <w:lvlJc w:val="left"/>
      <w:lvlText w:val="%1"/>
      <w:numFmt w:val="decimal"/>
      <w:start w:val="1"/>
    </w:lvl>
    <w:lvl w:ilvl="1">
      <w:lvlJc w:val="left"/>
      <w:lvlText w:val="(%2)"/>
      <w:numFmt w:val="lowerLetter"/>
      <w:start w:val="1"/>
    </w:lvl>
  </w:abstractNum>
  <w:abstractNum w:abstractNumId="68">
    <w:nsid w:val="1A27709E"/>
    <w:multiLevelType w:val="hybridMultilevel"/>
    <w:lvl w:ilvl="0">
      <w:lvlJc w:val="left"/>
      <w:lvlText w:val="%1."/>
      <w:numFmt w:val="decimal"/>
      <w:start w:val="18"/>
    </w:lvl>
    <w:lvl w:ilvl="1">
      <w:lvlJc w:val="left"/>
      <w:lvlText w:val="%2"/>
      <w:numFmt w:val="lowerLetter"/>
      <w:start w:val="1"/>
    </w:lvl>
  </w:abstractNum>
  <w:abstractNum w:abstractNumId="69">
    <w:nsid w:val="71EA1109"/>
    <w:multiLevelType w:val="hybridMultilevel"/>
    <w:lvl w:ilvl="0">
      <w:lvlJc w:val="left"/>
      <w:lvlText w:val="(%1)"/>
      <w:numFmt w:val="lowerLetter"/>
      <w:start w:val="2"/>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2"/>
    </w:lvl>
  </w:abstractNum>
  <w:abstractNum w:abstractNumId="75">
    <w:nsid w:val="885E1B"/>
    <w:multiLevelType w:val="hybridMultilevel"/>
    <w:lvl w:ilvl="0">
      <w:lvlJc w:val="left"/>
      <w:lvlText w:val="(%1)"/>
      <w:numFmt w:val="lowerLetter"/>
      <w:start w:val="1"/>
    </w:lvl>
    <w:lvl w:ilvl="1">
      <w:lvlJc w:val="left"/>
      <w:lvlText w:val="(%2)"/>
      <w:numFmt w:val="lowerRoman"/>
      <w:start w:val="1"/>
    </w:lvl>
  </w:abstractNum>
  <w:abstractNum w:abstractNumId="76">
    <w:nsid w:val="76272110"/>
    <w:multiLevelType w:val="hybridMultilevel"/>
    <w:lvl w:ilvl="0">
      <w:lvlJc w:val="left"/>
      <w:lvlText w:val="(%1)"/>
      <w:numFmt w:val="lowerLetter"/>
      <w:start w:val="4"/>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Letter"/>
      <w:start w:val="1"/>
    </w:lvl>
  </w:abstractNum>
  <w:abstractNum w:abstractNumId="79">
    <w:nsid w:val="14E17E33"/>
    <w:multiLevelType w:val="hybridMultilevel"/>
    <w:lvl w:ilvl="0">
      <w:lvlJc w:val="left"/>
      <w:lvlText w:val="%1"/>
      <w:numFmt w:val="lowerRoman"/>
      <w:start w:val="1"/>
    </w:lvl>
    <w:lvl w:ilvl="1">
      <w:lvlJc w:val="left"/>
      <w:lvlText w:val="(%2)"/>
      <w:numFmt w:val="lowerLetter"/>
      <w:start w:val="2"/>
    </w:lvl>
  </w:abstractNum>
  <w:abstractNum w:abstractNumId="80">
    <w:nsid w:val="3222E7CD"/>
    <w:multiLevelType w:val="hybridMultilevel"/>
    <w:lvl w:ilvl="0">
      <w:lvlJc w:val="left"/>
      <w:lvlText w:val="(%1)"/>
      <w:numFmt w:val="lowerRoman"/>
      <w:start w:val="4"/>
    </w:lvl>
    <w:lvl w:ilvl="1">
      <w:lvlJc w:val="left"/>
      <w:lvlText w:val="%2"/>
      <w:numFmt w:val="lowerLetter"/>
      <w:start w:val="1"/>
    </w:lvl>
  </w:abstractNum>
  <w:abstractNum w:abstractNumId="81">
    <w:nsid w:val="74DE0EE3"/>
    <w:multiLevelType w:val="hybridMultilevel"/>
    <w:lvl w:ilvl="0">
      <w:lvlJc w:val="left"/>
      <w:lvlText w:val="(%1)."/>
      <w:numFmt w:val="lowerRoman"/>
      <w:start w:val="6"/>
    </w:lvl>
    <w:lvl w:ilvl="1">
      <w:lvlJc w:val="left"/>
      <w:lvlText w:val="%2"/>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1"/>
    </w:lvl>
    <w:lvl w:ilvl="1">
      <w:lvlJc w:val="left"/>
      <w:lvlText w:val="(%2)"/>
      <w:numFmt w:val="lowerRoman"/>
      <w:start w:val="1"/>
    </w:lvl>
  </w:abstractNum>
  <w:abstractNum w:abstractNumId="85">
    <w:nsid w:val="4A2AC315"/>
    <w:multiLevelType w:val="hybridMultilevel"/>
    <w:lvl w:ilvl="0">
      <w:lvlJc w:val="left"/>
      <w:lvlText w:val="(%1)"/>
      <w:numFmt w:val="lowerLetter"/>
      <w:start w:val="3"/>
    </w:lvl>
  </w:abstractNum>
  <w:abstractNum w:abstractNumId="86">
    <w:nsid w:val="39EE015C"/>
    <w:multiLevelType w:val="hybridMultilevel"/>
    <w:lvl w:ilvl="0">
      <w:lvlJc w:val="left"/>
      <w:lvlText w:val="(%1)"/>
      <w:numFmt w:val="lowerLetter"/>
      <w:start w:val="13"/>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1"/>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lowerLetter"/>
      <w:start w:val="1"/>
    </w:lvl>
    <w:lvl w:ilvl="1">
      <w:lvlJc w:val="left"/>
      <w:lvlText w:val="(%2)"/>
      <w:numFmt w:val="lowerRoman"/>
      <w:start w:val="1"/>
    </w:lvl>
  </w:abstractNum>
  <w:abstractNum w:abstractNumId="92">
    <w:nsid w:val="7F01579B"/>
    <w:multiLevelType w:val="hybridMultilevel"/>
    <w:lvl w:ilvl="0">
      <w:lvlJc w:val="left"/>
      <w:lvlText w:val="(%1)"/>
      <w:numFmt w:val="lowerRoman"/>
      <w:start w:val="1"/>
    </w:lvl>
  </w:abstractNum>
  <w:abstractNum w:abstractNumId="93">
    <w:nsid w:val="49DA307D"/>
    <w:multiLevelType w:val="hybridMultilevel"/>
    <w:lvl w:ilvl="0">
      <w:lvlJc w:val="left"/>
      <w:lvlText w:val="%1"/>
      <w:numFmt w:val="lowerLetter"/>
      <w:start w:val="1"/>
    </w:lvl>
    <w:lvl w:ilvl="1">
      <w:lvlJc w:val="left"/>
      <w:lvlText w:val="(%2)"/>
      <w:numFmt w:val="lowerRoman"/>
      <w:start w:val="6"/>
    </w:lvl>
  </w:abstractNum>
  <w:abstractNum w:abstractNumId="94">
    <w:nsid w:val="7055A5F5"/>
    <w:multiLevelType w:val="hybridMultilevel"/>
    <w:lvl w:ilvl="0">
      <w:lvlJc w:val="left"/>
      <w:lvlText w:val="(%1)"/>
      <w:numFmt w:val="lowerLetter"/>
      <w:start w:val="3"/>
    </w:lvl>
    <w:lvl w:ilvl="1">
      <w:lvlJc w:val="left"/>
      <w:lvlText w:val="(%2)"/>
      <w:numFmt w:val="lowerRoman"/>
      <w:start w:val="1"/>
    </w:lvl>
  </w:abstractNum>
  <w:abstractNum w:abstractNumId="95">
    <w:nsid w:val="5FB8370B"/>
    <w:multiLevelType w:val="hybridMultilevel"/>
    <w:lvl w:ilvl="0">
      <w:lvlJc w:val="left"/>
      <w:lvlText w:val="(%1)"/>
      <w:numFmt w:val="lowerRoman"/>
      <w:start w:val="1"/>
    </w:lvl>
  </w:abstractNum>
  <w:abstractNum w:abstractNumId="96">
    <w:nsid w:val="50801EE1"/>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2019-12-06T00:38:11Z</dcterms:created>
  <dcterms:modified xsi:type="dcterms:W3CDTF">2019-12-06T00:38:11Z</dcterms:modified>
</cp:coreProperties>
</file>