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Chase Garrett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VIASAT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VSAT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SVP, 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073"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CARLSBAD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06/22/2026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2,000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61.8027</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36,239</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06/22/2026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1,000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62.4195</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35,239</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06/22/2026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1,000</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63.6215</w:t>
            </w:r>
            <w:r>
              <w:rPr>
                <w:rFonts w:ascii="Times New Roman" w:cs="Times New Roman" w:eastAsia="Times New Roman" w:hAnsi="Times New Roman"/>
                <w:sz w:val="22"/>
                <w:szCs w:val="22"/>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7"/>
              <w:spacing w:after="0"/>
              <w:rPr>
                <w:sz w:val="20"/>
                <w:szCs w:val="20"/>
                <w:color w:val="auto"/>
              </w:rPr>
            </w:pPr>
            <w:r>
              <w:rPr>
                <w:rFonts w:ascii="Times New Roman" w:cs="Times New Roman" w:eastAsia="Times New Roman" w:hAnsi="Times New Roman"/>
                <w:sz w:val="17"/>
                <w:szCs w:val="17"/>
                <w:color w:val="0000FF"/>
              </w:rPr>
              <w:t>34,239</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rPr>
              <w:t>657</w:t>
            </w:r>
          </w:p>
        </w:tc>
        <w:tc>
          <w:tcPr>
            <w:tcW w:w="92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pursuant to Rule 10b5-1 Plan adopted on February 25,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$61.22 to $62.21.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$62.23 to $62.885.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$63.355 to $63.67.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Stacy Nguyen, Attorney-in- </w:t>
      </w:r>
      <w:r>
        <w:rPr>
          <w:rFonts w:ascii="Times New Roman" w:cs="Times New Roman" w:eastAsia="Times New Roman" w:hAnsi="Times New Roman"/>
          <w:sz w:val="33"/>
          <w:szCs w:val="33"/>
          <w:color w:val="0000FF"/>
          <w:vertAlign w:val="subscript"/>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2377"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2026-06-24T15:50:07Z</dcterms:created>
  <dcterms:modified xsi:type="dcterms:W3CDTF">2026-06-24T15:50:07Z</dcterms:modified>
</cp:coreProperties>
</file>