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141605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3"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21" w:lineRule="exact"/>
        <w:rPr>
          <w:sz w:val="24"/>
          <w:szCs w:val="24"/>
          <w:color w:val="auto"/>
        </w:rPr>
      </w:pPr>
    </w:p>
    <w:p>
      <w:pPr>
        <w:ind w:left="460" w:right="460" w:hanging="452"/>
        <w:spacing w:after="0" w:line="254"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spacing w:after="0" w:line="172" w:lineRule="exact"/>
        <w:rPr>
          <w:sz w:val="24"/>
          <w:szCs w:val="24"/>
          <w:color w:val="auto"/>
        </w:rPr>
      </w:pPr>
    </w:p>
    <w:p>
      <w:pPr>
        <w:ind w:left="384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22" w:lineRule="exact"/>
        <w:rPr>
          <w:sz w:val="24"/>
          <w:szCs w:val="24"/>
          <w:color w:val="auto"/>
        </w:rPr>
      </w:pPr>
    </w:p>
    <w:p>
      <w:pPr>
        <w:sectPr>
          <w:pgSz w:w="11900" w:h="16838" w:orient="portrait"/>
          <w:cols w:equalWidth="0" w:num="3">
            <w:col w:w="6180" w:space="620"/>
            <w:col w:w="160" w:space="580"/>
            <w:col w:w="3880"/>
          </w:cols>
          <w:pgMar w:left="240" w:top="230" w:right="239" w:bottom="1440" w:gutter="0" w:footer="0" w:header="0"/>
          <w:type w:val="continuous"/>
        </w:sectPr>
      </w:pP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(000-21767)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177800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31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ViaSat,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159385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4" w:lineRule="exact"/>
        <w:rPr>
          <w:sz w:val="24"/>
          <w:szCs w:val="24"/>
          <w:color w:val="auto"/>
        </w:rPr>
      </w:pPr>
    </w:p>
    <w:tbl>
      <w:tblPr>
        <w:tblLayout w:type="fixed"/>
        <w:tblInd w:w="1960" w:type="dxa"/>
        <w:tblCellMar>
          <w:top w:w="0" w:type="dxa"/>
          <w:left w:w="0" w:type="dxa"/>
          <w:bottom w:w="0" w:type="dxa"/>
          <w:right w:w="0" w:type="dxa"/>
        </w:tblCellMar>
      </w:tblPr>
      <w:tr>
        <w:trPr>
          <w:trHeight w:val="212"/>
        </w:trPr>
        <w:tc>
          <w:tcPr>
            <w:tcW w:w="4000" w:type="dxa"/>
            <w:vAlign w:val="bottom"/>
          </w:tcPr>
          <w:p>
            <w:pPr>
              <w:jc w:val="center"/>
              <w:ind w:right="2062"/>
              <w:spacing w:after="0"/>
              <w:rPr>
                <w:sz w:val="20"/>
                <w:szCs w:val="20"/>
                <w:color w:val="auto"/>
              </w:rPr>
            </w:pPr>
            <w:r>
              <w:rPr>
                <w:rFonts w:ascii="Arial" w:cs="Arial" w:eastAsia="Arial" w:hAnsi="Arial"/>
                <w:sz w:val="18"/>
                <w:szCs w:val="18"/>
                <w:b w:val="1"/>
                <w:bCs w:val="1"/>
                <w:color w:val="auto"/>
                <w:w w:val="93"/>
              </w:rPr>
              <w:t>Delaware</w:t>
            </w:r>
          </w:p>
        </w:tc>
        <w:tc>
          <w:tcPr>
            <w:tcW w:w="3260" w:type="dxa"/>
            <w:vAlign w:val="bottom"/>
          </w:tcPr>
          <w:p>
            <w:pPr>
              <w:jc w:val="center"/>
              <w:ind w:left="2042"/>
              <w:spacing w:after="0"/>
              <w:rPr>
                <w:sz w:val="20"/>
                <w:szCs w:val="20"/>
                <w:color w:val="auto"/>
              </w:rPr>
            </w:pPr>
            <w:r>
              <w:rPr>
                <w:rFonts w:ascii="Arial" w:cs="Arial" w:eastAsia="Arial" w:hAnsi="Arial"/>
                <w:sz w:val="18"/>
                <w:szCs w:val="18"/>
                <w:b w:val="1"/>
                <w:bCs w:val="1"/>
                <w:color w:val="auto"/>
                <w:w w:val="89"/>
              </w:rPr>
              <w:t>33-0174996</w:t>
            </w:r>
          </w:p>
        </w:tc>
      </w:tr>
      <w:tr>
        <w:trPr>
          <w:trHeight w:val="149"/>
        </w:trPr>
        <w:tc>
          <w:tcPr>
            <w:tcW w:w="4000" w:type="dxa"/>
            <w:vAlign w:val="bottom"/>
          </w:tcPr>
          <w:p>
            <w:pPr>
              <w:jc w:val="center"/>
              <w:ind w:right="20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60" w:type="dxa"/>
            <w:vAlign w:val="bottom"/>
          </w:tcPr>
          <w:p>
            <w:pPr>
              <w:jc w:val="center"/>
              <w:ind w:left="20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00" w:type="dxa"/>
            <w:vAlign w:val="bottom"/>
          </w:tcPr>
          <w:p>
            <w:pPr>
              <w:jc w:val="center"/>
              <w:ind w:right="2042"/>
              <w:spacing w:after="0"/>
              <w:rPr>
                <w:sz w:val="20"/>
                <w:szCs w:val="20"/>
                <w:color w:val="auto"/>
              </w:rPr>
            </w:pPr>
            <w:r>
              <w:rPr>
                <w:rFonts w:ascii="Arial" w:cs="Arial" w:eastAsia="Arial" w:hAnsi="Arial"/>
                <w:sz w:val="14"/>
                <w:szCs w:val="14"/>
                <w:b w:val="1"/>
                <w:bCs w:val="1"/>
                <w:color w:val="auto"/>
                <w:w w:val="94"/>
              </w:rPr>
              <w:t>incorporation or organization)</w:t>
            </w:r>
          </w:p>
        </w:tc>
        <w:tc>
          <w:tcPr>
            <w:tcW w:w="3260" w:type="dxa"/>
            <w:vAlign w:val="bottom"/>
          </w:tcPr>
          <w:p>
            <w:pPr>
              <w:jc w:val="center"/>
              <w:ind w:left="20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6155 El Camino Real</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Carlsbad, California 92009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(760) 476-2200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and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5" w:lineRule="exact"/>
        <w:rPr>
          <w:sz w:val="24"/>
          <w:szCs w:val="24"/>
          <w:color w:val="auto"/>
        </w:rPr>
      </w:pPr>
    </w:p>
    <w:p>
      <w:pPr>
        <w:ind w:right="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6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type w:val="continuous"/>
        </w:sectPr>
      </w:pPr>
    </w:p>
    <w:p>
      <w:pPr>
        <w:spacing w:after="0" w:line="238"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00"/>
            <w:col w:w="6220" w:space="720"/>
            <w:col w:w="16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1540" w:space="380"/>
            <w:col w:w="6220" w:space="720"/>
            <w:col w:w="1980" w:space="420"/>
            <w:col w:w="160"/>
          </w:cols>
          <w:pgMar w:left="240" w:top="230" w:right="239" w:bottom="1440" w:gutter="0" w:footer="0" w:header="0"/>
          <w:type w:val="continuous"/>
        </w:sectPr>
      </w:pPr>
    </w:p>
    <w:p>
      <w:pPr>
        <w:spacing w:after="0" w:line="4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3"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09" w:lineRule="exact"/>
        <w:rPr>
          <w:sz w:val="24"/>
          <w:szCs w:val="24"/>
          <w:color w:val="auto"/>
        </w:rPr>
      </w:pPr>
    </w:p>
    <w:p>
      <w:pPr>
        <w:sectPr>
          <w:pgSz w:w="11900" w:h="16838" w:orient="portrait"/>
          <w:cols w:equalWidth="0" w:num="4">
            <w:col w:w="8640" w:space="160"/>
            <w:col w:w="260" w:space="100"/>
            <w:col w:w="160" w:space="180"/>
            <w:col w:w="1920"/>
          </w:cols>
          <w:pgMar w:left="240" w:top="230" w:right="239" w:bottom="1440" w:gutter="0" w:footer="0" w:header="0"/>
          <w:type w:val="continuous"/>
        </w:sectPr>
      </w:pPr>
    </w:p>
    <w:p>
      <w:pPr>
        <w:spacing w:after="0" w:line="4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The number of shares outstanding of the registrant’s common stock, $0.0001 par value, as of July 31, 2015 was 48,032,227.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80" w:type="dxa"/>
            <w:vAlign w:val="bottom"/>
            <w:gridSpan w:val="10"/>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940" w:type="dxa"/>
            <w:vAlign w:val="bottom"/>
            <w:gridSpan w:val="8"/>
            <w:vMerge w:val="restart"/>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3080" w:type="dxa"/>
            <w:vAlign w:val="bottom"/>
            <w:tcBorders>
              <w:bottom w:val="single" w:sz="8" w:color="0000EE"/>
            </w:tcBorders>
            <w:gridSpan w:val="10"/>
            <w:vMerge w:val="continue"/>
          </w:tcPr>
          <w:p>
            <w:pPr>
              <w:spacing w:after="0"/>
              <w:rPr>
                <w:sz w:val="13"/>
                <w:szCs w:val="13"/>
                <w:color w:val="auto"/>
              </w:rPr>
            </w:pPr>
          </w:p>
        </w:tc>
        <w:tc>
          <w:tcPr>
            <w:tcW w:w="7940" w:type="dxa"/>
            <w:vAlign w:val="bottom"/>
            <w:gridSpan w:val="8"/>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020" w:type="dxa"/>
            <w:vAlign w:val="bottom"/>
            <w:gridSpan w:val="1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640" w:type="dxa"/>
            <w:vAlign w:val="bottom"/>
            <w:gridSpan w:val="17"/>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622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and Comprehensive Income (Loss)</w:t>
              </w:r>
            </w:hyperlink>
          </w:p>
        </w:tc>
        <w:tc>
          <w:tcPr>
            <w:tcW w:w="442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64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37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 of Equity</w:t>
              </w:r>
            </w:hyperlink>
          </w:p>
        </w:tc>
        <w:tc>
          <w:tcPr>
            <w:tcW w:w="694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640" w:type="dxa"/>
            <w:vAlign w:val="bottom"/>
            <w:gridSpan w:val="1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the Condensed Consolidated Financial Statements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40" w:type="dxa"/>
            <w:vAlign w:val="bottom"/>
            <w:gridSpan w:val="6"/>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18"/>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2. Management’s Discussion and Analysis of Financial Condition and Results of Operations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tcBorders>
            <w:gridSpan w:val="2"/>
          </w:tcPr>
          <w:p>
            <w:pPr>
              <w:spacing w:after="0" w:line="196" w:lineRule="exact"/>
              <w:rPr>
                <w:rFonts w:ascii="Arial" w:cs="Arial" w:eastAsia="Arial" w:hAnsi="Arial"/>
                <w:sz w:val="18"/>
                <w:szCs w:val="18"/>
                <w:color w:val="0000EE"/>
                <w:w w:val="94"/>
              </w:rPr>
            </w:pPr>
            <w:hyperlink w:anchor="page41">
              <w:r>
                <w:rPr>
                  <w:rFonts w:ascii="Arial" w:cs="Arial" w:eastAsia="Arial" w:hAnsi="Arial"/>
                  <w:sz w:val="18"/>
                  <w:szCs w:val="18"/>
                  <w:color w:val="0000EE"/>
                  <w:w w:val="94"/>
                </w:rPr>
                <w:t>Item 3.</w:t>
              </w:r>
            </w:hyperlink>
          </w:p>
        </w:tc>
        <w:tc>
          <w:tcPr>
            <w:tcW w:w="6480" w:type="dxa"/>
            <w:vAlign w:val="bottom"/>
            <w:tcBorders>
              <w:top w:val="single" w:sz="8" w:color="0000EE"/>
            </w:tcBorders>
            <w:gridSpan w:val="15"/>
          </w:tcPr>
          <w:p>
            <w:pPr>
              <w:ind w:left="20"/>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Quantitative and Qualitative Disclosures About Market Risk</w:t>
              </w:r>
            </w:hyperlink>
          </w:p>
        </w:tc>
        <w:tc>
          <w:tcPr>
            <w:tcW w:w="400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41">
              <w:r>
                <w:rPr>
                  <w:rFonts w:ascii="Arial" w:cs="Arial" w:eastAsia="Arial" w:hAnsi="Arial"/>
                  <w:sz w:val="18"/>
                  <w:szCs w:val="18"/>
                  <w:color w:val="0000EE"/>
                  <w:w w:val="94"/>
                </w:rPr>
                <w:t>Item 4.</w:t>
              </w:r>
            </w:hyperlink>
          </w:p>
        </w:tc>
        <w:tc>
          <w:tcPr>
            <w:tcW w:w="1800" w:type="dxa"/>
            <w:vAlign w:val="bottom"/>
            <w:tcBorders>
              <w:top w:val="single" w:sz="8" w:color="0000EE"/>
              <w:bottom w:val="single" w:sz="8" w:color="0000EE"/>
            </w:tcBorders>
            <w:gridSpan w:val="5"/>
          </w:tcPr>
          <w:p>
            <w:pPr>
              <w:ind w:left="20"/>
              <w:spacing w:after="0" w:line="196" w:lineRule="exact"/>
              <w:rPr>
                <w:rFonts w:ascii="Arial" w:cs="Arial" w:eastAsia="Arial" w:hAnsi="Arial"/>
                <w:sz w:val="18"/>
                <w:szCs w:val="18"/>
                <w:color w:val="0000EE"/>
                <w:w w:val="88"/>
              </w:rPr>
            </w:pPr>
            <w:hyperlink w:anchor="page41">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8"/>
          </w:tcPr>
          <w:p>
            <w:pPr>
              <w:spacing w:after="0"/>
              <w:rPr>
                <w:sz w:val="17"/>
                <w:szCs w:val="17"/>
                <w:color w:val="auto"/>
              </w:rPr>
            </w:pPr>
          </w:p>
        </w:tc>
        <w:tc>
          <w:tcPr>
            <w:tcW w:w="610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278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PART II. OTHER INFORMATION</w:t>
              </w:r>
            </w:hyperlink>
          </w:p>
        </w:tc>
        <w:tc>
          <w:tcPr>
            <w:tcW w:w="8240" w:type="dxa"/>
            <w:vAlign w:val="bottom"/>
            <w:gridSpan w:val="10"/>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42">
              <w:r>
                <w:rPr>
                  <w:rFonts w:ascii="Arial" w:cs="Arial" w:eastAsia="Arial" w:hAnsi="Arial"/>
                  <w:sz w:val="18"/>
                  <w:szCs w:val="18"/>
                  <w:color w:val="0000EE"/>
                  <w:w w:val="94"/>
                </w:rPr>
                <w:t>Item 1.</w:t>
              </w:r>
            </w:hyperlink>
          </w:p>
        </w:tc>
        <w:tc>
          <w:tcPr>
            <w:tcW w:w="1360" w:type="dxa"/>
            <w:vAlign w:val="bottom"/>
            <w:tcBorders>
              <w:bottom w:val="single" w:sz="8" w:color="0000EE"/>
            </w:tcBorders>
            <w:gridSpan w:val="4"/>
          </w:tcPr>
          <w:p>
            <w:pPr>
              <w:ind w:left="20"/>
              <w:spacing w:after="0" w:line="196" w:lineRule="exact"/>
              <w:rPr>
                <w:rFonts w:ascii="Arial" w:cs="Arial" w:eastAsia="Arial" w:hAnsi="Arial"/>
                <w:sz w:val="18"/>
                <w:szCs w:val="18"/>
                <w:color w:val="0000EE"/>
                <w:w w:val="88"/>
              </w:rPr>
            </w:pPr>
            <w:hyperlink w:anchor="page42">
              <w:r>
                <w:rPr>
                  <w:rFonts w:ascii="Arial" w:cs="Arial" w:eastAsia="Arial" w:hAnsi="Arial"/>
                  <w:sz w:val="18"/>
                  <w:szCs w:val="18"/>
                  <w:color w:val="0000EE"/>
                  <w:w w:val="88"/>
                </w:rPr>
                <w:t>Legal Proceedings</w:t>
              </w:r>
            </w:hyperlink>
          </w:p>
        </w:tc>
        <w:tc>
          <w:tcPr>
            <w:tcW w:w="9120" w:type="dxa"/>
            <w:vAlign w:val="bottom"/>
            <w:gridSpan w:val="1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42">
              <w:r>
                <w:rPr>
                  <w:rFonts w:ascii="Arial" w:cs="Arial" w:eastAsia="Arial" w:hAnsi="Arial"/>
                  <w:sz w:val="18"/>
                  <w:szCs w:val="18"/>
                  <w:color w:val="0000EE"/>
                  <w:w w:val="91"/>
                </w:rPr>
                <w:t>Item 1A. Risk Factors</w:t>
              </w:r>
            </w:hyperlink>
          </w:p>
        </w:tc>
        <w:tc>
          <w:tcPr>
            <w:tcW w:w="9420" w:type="dxa"/>
            <w:vAlign w:val="bottom"/>
            <w:gridSpan w:val="1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42">
              <w:r>
                <w:rPr>
                  <w:rFonts w:ascii="Arial" w:cs="Arial" w:eastAsia="Arial" w:hAnsi="Arial"/>
                  <w:sz w:val="18"/>
                  <w:szCs w:val="18"/>
                  <w:color w:val="0000EE"/>
                  <w:w w:val="94"/>
                </w:rPr>
                <w:t>Item 6.</w:t>
              </w:r>
            </w:hyperlink>
          </w:p>
        </w:tc>
        <w:tc>
          <w:tcPr>
            <w:tcW w:w="10480" w:type="dxa"/>
            <w:vAlign w:val="bottom"/>
            <w:gridSpan w:val="16"/>
          </w:tcPr>
          <w:p>
            <w:pPr>
              <w:ind w:left="20"/>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Exhibits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Signatures</w:t>
              </w:r>
            </w:hyperlink>
          </w:p>
        </w:tc>
        <w:tc>
          <w:tcPr>
            <w:tcW w:w="9860" w:type="dxa"/>
            <w:vAlign w:val="bottom"/>
            <w:gridSpan w:val="1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June 30, 2015</w:t>
            </w:r>
          </w:p>
        </w:tc>
        <w:tc>
          <w:tcPr>
            <w:tcW w:w="16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April 3, 2015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gridSpan w:val="5"/>
          </w:tcPr>
          <w:p>
            <w:pPr>
              <w:jc w:val="right"/>
              <w:ind w:right="451"/>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220"/>
              <w:spacing w:after="0"/>
              <w:rPr>
                <w:sz w:val="20"/>
                <w:szCs w:val="20"/>
                <w:color w:val="auto"/>
              </w:rPr>
            </w:pPr>
            <w:r>
              <w:rPr>
                <w:rFonts w:ascii="Arial" w:cs="Arial" w:eastAsia="Arial" w:hAnsi="Arial"/>
                <w:sz w:val="18"/>
                <w:szCs w:val="18"/>
                <w:b w:val="1"/>
                <w:bCs w:val="1"/>
                <w:color w:val="auto"/>
              </w:rPr>
              <w:t>ASSETS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Current assets: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92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42,494</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294,522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266,339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127,278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58,126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57,075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47,186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44,702</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8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569,606</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548,746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5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Satellites, net</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778,976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762,221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415,462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418,022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Other acquired intangible assets, net</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45,231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Goodwill</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117,700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117,241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276,021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269,808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920" w:type="dxa"/>
            <w:vAlign w:val="bottom"/>
            <w:gridSpan w:val="2"/>
          </w:tcPr>
          <w:p>
            <w:pPr>
              <w:ind w:left="182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2,202,996</w:t>
            </w:r>
          </w:p>
        </w:tc>
        <w:tc>
          <w:tcPr>
            <w:tcW w:w="260" w:type="dxa"/>
            <w:vAlign w:val="bottom"/>
            <w:gridSpan w:val="2"/>
          </w:tcPr>
          <w:p>
            <w:pPr>
              <w:ind w:left="16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2,158,378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tcPr>
          <w:p>
            <w:pPr>
              <w:spacing w:after="0"/>
              <w:rPr>
                <w:sz w:val="5"/>
                <w:szCs w:val="5"/>
                <w:color w:val="auto"/>
              </w:rPr>
            </w:pPr>
          </w:p>
        </w:tc>
        <w:tc>
          <w:tcPr>
            <w:tcW w:w="7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0"/>
              <w:spacing w:after="0"/>
              <w:rPr>
                <w:sz w:val="20"/>
                <w:szCs w:val="20"/>
                <w:color w:val="auto"/>
              </w:rPr>
            </w:pPr>
            <w:r>
              <w:rPr>
                <w:rFonts w:ascii="Arial" w:cs="Arial" w:eastAsia="Arial" w:hAnsi="Arial"/>
                <w:sz w:val="18"/>
                <w:szCs w:val="18"/>
                <w:b w:val="1"/>
                <w:bCs w:val="1"/>
                <w:color w:val="auto"/>
              </w:rPr>
              <w:t>LIABILITIES AND EQUITY</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Current liabilities: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92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73,412</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153,932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191,326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227,344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540" w:type="dxa"/>
            <w:vAlign w:val="bottom"/>
            <w:gridSpan w:val="2"/>
          </w:tcPr>
          <w:p>
            <w:pPr>
              <w:spacing w:after="0"/>
              <w:rPr>
                <w:sz w:val="20"/>
                <w:szCs w:val="20"/>
                <w:color w:val="auto"/>
              </w:rPr>
            </w:pPr>
            <w:r>
              <w:rPr>
                <w:rFonts w:ascii="Arial" w:cs="Arial" w:eastAsia="Arial" w:hAnsi="Arial"/>
                <w:sz w:val="18"/>
                <w:szCs w:val="18"/>
                <w:color w:val="auto"/>
              </w:rPr>
              <w:t>Senior notes, net</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582,343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582,657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279,140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Other liabilities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39,214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39,995</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1,128,041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1,114,645</w:t>
            </w:r>
          </w:p>
        </w:tc>
        <w:tc>
          <w:tcPr>
            <w:tcW w:w="0" w:type="dxa"/>
            <w:vAlign w:val="bottom"/>
          </w:tcPr>
          <w:p>
            <w:pPr>
              <w:spacing w:after="0"/>
              <w:rPr>
                <w:sz w:val="1"/>
                <w:szCs w:val="1"/>
                <w:color w:val="auto"/>
              </w:rPr>
            </w:pPr>
          </w:p>
        </w:tc>
      </w:tr>
      <w:tr>
        <w:trPr>
          <w:trHeight w:val="291"/>
        </w:trPr>
        <w:tc>
          <w:tcPr>
            <w:tcW w:w="7540" w:type="dxa"/>
            <w:vAlign w:val="bottom"/>
            <w:gridSpan w:val="2"/>
          </w:tcPr>
          <w:p>
            <w:pPr>
              <w:spacing w:after="0"/>
              <w:rPr>
                <w:sz w:val="20"/>
                <w:szCs w:val="20"/>
                <w:color w:val="auto"/>
              </w:rPr>
            </w:pPr>
            <w:r>
              <w:rPr>
                <w:rFonts w:ascii="Arial" w:cs="Arial" w:eastAsia="Arial" w:hAnsi="Arial"/>
                <w:sz w:val="18"/>
                <w:szCs w:val="18"/>
                <w:color w:val="auto"/>
              </w:rPr>
              <w:t>Commitments and contingencies (Note 8)</w:t>
            </w:r>
          </w:p>
        </w:tc>
        <w:tc>
          <w:tcPr>
            <w:tcW w:w="18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ViaSat, Inc. stockholders’ equity</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Paid-in capital</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814,189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786,467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254,571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Common stock held in treasury</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Total ViaSat, Inc. stockholders’ equity</w:t>
            </w:r>
          </w:p>
        </w:tc>
        <w:tc>
          <w:tcPr>
            <w:tcW w:w="18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1,069,893</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1,038,582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 in subsidiary</w:t>
            </w:r>
          </w:p>
        </w:tc>
        <w:tc>
          <w:tcPr>
            <w:tcW w:w="1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7520" w:type="dxa"/>
            <w:vAlign w:val="bottom"/>
          </w:tcPr>
          <w:p>
            <w:pPr>
              <w:ind w:left="700"/>
              <w:spacing w:after="0"/>
              <w:rPr>
                <w:sz w:val="20"/>
                <w:szCs w:val="20"/>
                <w:color w:val="auto"/>
              </w:rPr>
            </w:pPr>
            <w:r>
              <w:rPr>
                <w:rFonts w:ascii="Arial" w:cs="Arial" w:eastAsia="Arial" w:hAnsi="Arial"/>
                <w:sz w:val="18"/>
                <w:szCs w:val="18"/>
                <w:color w:val="auto"/>
              </w:rPr>
              <w:t>Total equity</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1,074,955</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1,043,733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 and equity</w:t>
            </w:r>
          </w:p>
        </w:tc>
        <w:tc>
          <w:tcPr>
            <w:tcW w:w="192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2,202,996</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2,158,378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June 30, 2015</w:t>
            </w: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4"/>
              </w:rPr>
              <w:t>July 4, 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w w:val="95"/>
              </w:rPr>
              <w:t>(In thousands, except per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Product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168,348</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168,129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Service revenues</w:t>
            </w: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176,030</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878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344,378</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319,471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Cost of product revenues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125,830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128,994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service revenues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117,609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71,107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69,096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Independent research and development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Amortization of acquired intangible assets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4,810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4,029</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7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96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(6,584)</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(8,629)</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7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96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(3,451)</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7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96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Less: Net loss attributable to the noncontrolling interest, net of tax</w:t>
            </w:r>
          </w:p>
        </w:tc>
        <w:tc>
          <w:tcPr>
            <w:tcW w:w="12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7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96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ViaSat, Inc.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(5,944)</w:t>
            </w:r>
          </w:p>
        </w:tc>
        <w:tc>
          <w:tcPr>
            <w:tcW w:w="0" w:type="dxa"/>
            <w:vAlign w:val="bottom"/>
          </w:tcPr>
          <w:p>
            <w:pPr>
              <w:spacing w:after="0"/>
              <w:rPr>
                <w:sz w:val="1"/>
                <w:szCs w:val="1"/>
                <w:color w:val="auto"/>
              </w:rPr>
            </w:pPr>
          </w:p>
        </w:tc>
      </w:tr>
      <w:tr>
        <w:trPr>
          <w:trHeight w:val="20"/>
        </w:trPr>
        <w:tc>
          <w:tcPr>
            <w:tcW w:w="87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780" w:type="dxa"/>
            <w:vAlign w:val="bottom"/>
            <w:gridSpan w:val="2"/>
          </w:tcPr>
          <w:p>
            <w:pPr>
              <w:spacing w:after="0"/>
              <w:rPr>
                <w:sz w:val="20"/>
                <w:szCs w:val="20"/>
                <w:color w:val="auto"/>
              </w:rPr>
            </w:pPr>
            <w:r>
              <w:rPr>
                <w:rFonts w:ascii="Arial" w:cs="Arial" w:eastAsia="Arial" w:hAnsi="Arial"/>
                <w:sz w:val="18"/>
                <w:szCs w:val="18"/>
                <w:color w:val="auto"/>
              </w:rPr>
              <w:t>Basic net income (loss) per share attributable to ViaSat, Inc. common stockholders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0.05</w:t>
            </w:r>
          </w:p>
        </w:tc>
        <w:tc>
          <w:tcPr>
            <w:tcW w:w="4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(loss) per share attributable to ViaSat, Inc. common stockholders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Shares used in computing basic net income (loss) per share</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47,918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diluted net income (loss) per share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48,840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46,528</w:t>
            </w:r>
          </w:p>
        </w:tc>
        <w:tc>
          <w:tcPr>
            <w:tcW w:w="0" w:type="dxa"/>
            <w:vAlign w:val="bottom"/>
          </w:tcPr>
          <w:p>
            <w:pPr>
              <w:spacing w:after="0"/>
              <w:rPr>
                <w:sz w:val="1"/>
                <w:szCs w:val="1"/>
                <w:color w:val="auto"/>
              </w:rPr>
            </w:pPr>
          </w:p>
        </w:tc>
      </w:tr>
      <w:tr>
        <w:trPr>
          <w:trHeight w:val="392"/>
        </w:trPr>
        <w:tc>
          <w:tcPr>
            <w:tcW w:w="878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gain on hedging, net of tax</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adjustments, net of tax</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7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96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net of tax</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3,500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(5,722)</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7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96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Less: comprehensive loss attributable to the noncontrolling interest, net of tax</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0"/>
        </w:trPr>
        <w:tc>
          <w:tcPr>
            <w:tcW w:w="878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780" w:type="dxa"/>
            <w:vAlign w:val="bottom"/>
            <w:gridSpan w:val="2"/>
          </w:tcPr>
          <w:p>
            <w:pPr>
              <w:spacing w:after="0"/>
              <w:rPr>
                <w:sz w:val="20"/>
                <w:szCs w:val="20"/>
                <w:color w:val="auto"/>
              </w:rPr>
            </w:pPr>
            <w:r>
              <w:rPr>
                <w:rFonts w:ascii="Arial" w:cs="Arial" w:eastAsia="Arial" w:hAnsi="Arial"/>
                <w:sz w:val="18"/>
                <w:szCs w:val="18"/>
                <w:color w:val="auto"/>
              </w:rPr>
              <w:t>Comprehensive income (loss) attributable to ViaSat, Inc.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3,589</w:t>
            </w:r>
          </w:p>
        </w:tc>
        <w:tc>
          <w:tcPr>
            <w:tcW w:w="4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(5,345)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136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June 30, 2015</w:t>
            </w:r>
          </w:p>
        </w:tc>
        <w:tc>
          <w:tcPr>
            <w:tcW w:w="76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July 4, 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20" w:type="dxa"/>
            <w:vAlign w:val="bottom"/>
            <w:gridSpan w:val="4"/>
          </w:tcPr>
          <w:p>
            <w:pPr>
              <w:jc w:val="right"/>
              <w:ind w:right="53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2,519</w:t>
            </w:r>
          </w:p>
        </w:tc>
        <w:tc>
          <w:tcPr>
            <w:tcW w:w="5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(loss) to net cash provided by operating activities: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70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46,205</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43,126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70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1,100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Stock-based compensation expense</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10,709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700"/>
              <w:spacing w:after="0"/>
              <w:rPr>
                <w:sz w:val="20"/>
                <w:szCs w:val="20"/>
                <w:color w:val="auto"/>
              </w:rPr>
            </w:pPr>
            <w:r>
              <w:rPr>
                <w:rFonts w:ascii="Arial" w:cs="Arial" w:eastAsia="Arial" w:hAnsi="Arial"/>
                <w:sz w:val="18"/>
                <w:szCs w:val="18"/>
                <w:color w:val="auto"/>
              </w:rPr>
              <w:t>Loss on disposition of fixed assets</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9,599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non-cash adjustments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w w:val="96"/>
              </w:rPr>
              <w:t>Increase (decrease) in cash resulting from changes in operating assets and liabilities, net of effects of acquisitions:</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(30,165)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70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(3,117)</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(4,643)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(3,391)</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Accrued liabilities</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(23,042)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70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(1,347)</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18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17,986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property, equipment and satellites</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(65,954)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Cash paid for patents, licenses and other assets</w:t>
            </w:r>
          </w:p>
        </w:tc>
        <w:tc>
          <w:tcPr>
            <w:tcW w:w="2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(17,145)</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related to acquisition of businesses, net of cash acquired</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(3,613)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(56,545)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9180" w:type="dxa"/>
            <w:vAlign w:val="bottom"/>
          </w:tcPr>
          <w:p>
            <w:pPr>
              <w:ind w:left="106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Pr>
          <w:p>
            <w:pPr>
              <w:spacing w:after="0"/>
              <w:rPr>
                <w:sz w:val="24"/>
                <w:szCs w:val="2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(86,712)</w:t>
            </w:r>
          </w:p>
        </w:tc>
        <w:tc>
          <w:tcPr>
            <w:tcW w:w="10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(154,296)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Proceeds from revolving credit facility borrowings</w:t>
            </w:r>
          </w:p>
        </w:tc>
        <w:tc>
          <w:tcPr>
            <w:tcW w:w="2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85,000</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of revolving credit facility borrowings</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(70,000)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Proceeds from Ex-Im credit facility borrowings, net of discount</w:t>
            </w:r>
          </w:p>
        </w:tc>
        <w:tc>
          <w:tcPr>
            <w:tcW w:w="2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40,295</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debt issuance costs</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(803)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Proceeds from issuance of common stock under equity plans</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5,170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related to tax withholdings on restricted stock unit releases</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18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58,759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107,031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18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(9,769)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52,263</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58,347</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18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42,494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58,140</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92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common stock in satisfaction of certain accrued employee compensation liabilities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Capital expenditures not paid for</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8,566</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ViaSat, Inc. Stockholders</w:t>
            </w: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320" w:type="dxa"/>
            <w:vAlign w:val="bottom"/>
            <w:tcBorders>
              <w:bottom w:val="single" w:sz="8" w:color="auto"/>
            </w:tcBorders>
            <w:gridSpan w:val="4"/>
          </w:tcPr>
          <w:p>
            <w:pPr>
              <w:ind w:left="340"/>
              <w:spacing w:after="0" w:line="129" w:lineRule="exact"/>
              <w:rPr>
                <w:sz w:val="20"/>
                <w:szCs w:val="20"/>
                <w:color w:val="auto"/>
              </w:rPr>
            </w:pPr>
            <w:r>
              <w:rPr>
                <w:rFonts w:ascii="Arial" w:cs="Arial" w:eastAsia="Arial" w:hAnsi="Arial"/>
                <w:sz w:val="14"/>
                <w:szCs w:val="14"/>
                <w:b w:val="1"/>
                <w:bCs w:val="1"/>
                <w:color w:val="auto"/>
                <w:w w:val="93"/>
              </w:rPr>
              <w:t>Common Stock</w:t>
            </w:r>
          </w:p>
        </w:tc>
        <w:tc>
          <w:tcPr>
            <w:tcW w:w="3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gridSpan w:val="5"/>
          </w:tcPr>
          <w:p>
            <w:pPr>
              <w:ind w:left="60"/>
              <w:spacing w:after="0" w:line="129" w:lineRule="exact"/>
              <w:rPr>
                <w:sz w:val="20"/>
                <w:szCs w:val="20"/>
                <w:color w:val="auto"/>
              </w:rPr>
            </w:pPr>
            <w:r>
              <w:rPr>
                <w:rFonts w:ascii="Arial" w:cs="Arial" w:eastAsia="Arial" w:hAnsi="Arial"/>
                <w:sz w:val="14"/>
                <w:szCs w:val="14"/>
                <w:b w:val="1"/>
                <w:bCs w:val="1"/>
                <w:color w:val="auto"/>
              </w:rPr>
              <w:t>Common Stock Held</w:t>
            </w:r>
          </w:p>
        </w:tc>
        <w:tc>
          <w:tcPr>
            <w:tcW w:w="110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0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Borders>
              <w:bottom w:val="single" w:sz="8" w:color="auto"/>
            </w:tcBorders>
            <w:gridSpan w:val="3"/>
          </w:tcPr>
          <w:p>
            <w:pPr>
              <w:ind w:left="360"/>
              <w:spacing w:after="0" w:line="142" w:lineRule="exact"/>
              <w:rPr>
                <w:sz w:val="20"/>
                <w:szCs w:val="20"/>
                <w:color w:val="auto"/>
              </w:rPr>
            </w:pPr>
            <w:r>
              <w:rPr>
                <w:rFonts w:ascii="Arial" w:cs="Arial" w:eastAsia="Arial" w:hAnsi="Arial"/>
                <w:sz w:val="14"/>
                <w:szCs w:val="14"/>
                <w:b w:val="1"/>
                <w:bCs w:val="1"/>
                <w:color w:val="auto"/>
                <w:w w:val="95"/>
              </w:rPr>
              <w:t>in Treasury</w:t>
            </w:r>
          </w:p>
        </w:tc>
        <w:tc>
          <w:tcPr>
            <w:tcW w:w="3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0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Noncontrolling</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00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6"/>
              </w:rPr>
              <w:t>Shares</w:t>
            </w:r>
          </w:p>
        </w:tc>
        <w:tc>
          <w:tcPr>
            <w:tcW w:w="120" w:type="dxa"/>
            <w:vAlign w:val="bottom"/>
          </w:tcPr>
          <w:p>
            <w:pPr>
              <w:spacing w:after="0"/>
              <w:rPr>
                <w:sz w:val="10"/>
                <w:szCs w:val="10"/>
                <w:color w:val="auto"/>
              </w:rPr>
            </w:pPr>
          </w:p>
        </w:tc>
        <w:tc>
          <w:tcPr>
            <w:tcW w:w="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0"/>
                <w:szCs w:val="10"/>
                <w:color w:val="auto"/>
              </w:rPr>
            </w:pPr>
          </w:p>
        </w:tc>
        <w:tc>
          <w:tcPr>
            <w:tcW w:w="94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Paid-in</w:t>
            </w:r>
          </w:p>
        </w:tc>
        <w:tc>
          <w:tcPr>
            <w:tcW w:w="94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Retained</w:t>
            </w:r>
          </w:p>
        </w:tc>
        <w:tc>
          <w:tcPr>
            <w:tcW w:w="680" w:type="dxa"/>
            <w:vAlign w:val="bottom"/>
          </w:tcPr>
          <w:p>
            <w:pPr>
              <w:spacing w:after="0" w:line="119" w:lineRule="exact"/>
              <w:rPr>
                <w:sz w:val="20"/>
                <w:szCs w:val="20"/>
                <w:color w:val="auto"/>
              </w:rPr>
            </w:pPr>
            <w:r>
              <w:rPr>
                <w:rFonts w:ascii="Arial" w:cs="Arial" w:eastAsia="Arial" w:hAnsi="Arial"/>
                <w:sz w:val="13"/>
                <w:szCs w:val="13"/>
                <w:b w:val="1"/>
                <w:bCs w:val="1"/>
                <w:color w:val="auto"/>
              </w:rPr>
              <w:t>Number of</w:t>
            </w:r>
          </w:p>
        </w:tc>
        <w:tc>
          <w:tcPr>
            <w:tcW w:w="220" w:type="dxa"/>
            <w:vAlign w:val="bottom"/>
          </w:tcPr>
          <w:p>
            <w:pPr>
              <w:spacing w:after="0"/>
              <w:rPr>
                <w:sz w:val="10"/>
                <w:szCs w:val="10"/>
                <w:color w:val="auto"/>
              </w:rPr>
            </w:pP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Interest in</w:t>
            </w:r>
          </w:p>
        </w:tc>
        <w:tc>
          <w:tcPr>
            <w:tcW w:w="100" w:type="dxa"/>
            <w:vAlign w:val="bottom"/>
          </w:tcPr>
          <w:p>
            <w:pPr>
              <w:spacing w:after="0"/>
              <w:rPr>
                <w:sz w:val="10"/>
                <w:szCs w:val="10"/>
                <w:color w:val="auto"/>
              </w:rPr>
            </w:pP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Issued</w:t>
            </w:r>
          </w:p>
        </w:tc>
        <w:tc>
          <w:tcPr>
            <w:tcW w:w="12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Capital</w:t>
            </w:r>
          </w:p>
        </w:tc>
        <w:tc>
          <w:tcPr>
            <w:tcW w:w="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Earnings</w:t>
            </w:r>
          </w:p>
        </w:tc>
        <w:tc>
          <w:tcPr>
            <w:tcW w:w="680" w:type="dxa"/>
            <w:vAlign w:val="bottom"/>
          </w:tcPr>
          <w:p>
            <w:pPr>
              <w:ind w:left="14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Income (Loss)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Subsidiary</w:t>
            </w: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560" w:type="dxa"/>
            <w:vAlign w:val="bottom"/>
            <w:tcBorders>
              <w:top w:val="single" w:sz="8" w:color="auto"/>
            </w:tcBorders>
            <w:gridSpan w:val="7"/>
          </w:tcPr>
          <w:p>
            <w:pPr>
              <w:ind w:left="460"/>
              <w:spacing w:after="0" w:line="142" w:lineRule="exact"/>
              <w:rPr>
                <w:sz w:val="20"/>
                <w:szCs w:val="20"/>
                <w:color w:val="auto"/>
              </w:rPr>
            </w:pPr>
            <w:r>
              <w:rPr>
                <w:rFonts w:ascii="Arial" w:cs="Arial" w:eastAsia="Arial" w:hAnsi="Arial"/>
                <w:sz w:val="14"/>
                <w:szCs w:val="14"/>
                <w:b w:val="1"/>
                <w:bCs w:val="1"/>
                <w:color w:val="auto"/>
                <w:w w:val="93"/>
              </w:rPr>
              <w:t>(In thousands, except share data)</w:t>
            </w: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3, 2015</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47,697,413</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$786,467</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$251,963</w:t>
            </w: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147</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5,151</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$1,043,733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39,318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1,067</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Issuance of stock under Employee</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Purchase Plan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80,110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4,103</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11,474</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11,474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issued in settlement of</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certain accrued employee</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 liabilities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185,424</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11,609</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11,609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60" w:type="dxa"/>
            <w:vAlign w:val="bottom"/>
          </w:tcPr>
          <w:p>
            <w:pPr>
              <w:spacing w:after="0" w:line="201" w:lineRule="exact"/>
              <w:rPr>
                <w:sz w:val="20"/>
                <w:szCs w:val="20"/>
                <w:color w:val="auto"/>
              </w:rPr>
            </w:pPr>
            <w:r>
              <w:rPr>
                <w:rFonts w:ascii="Arial" w:cs="Arial" w:eastAsia="Arial" w:hAnsi="Arial"/>
                <w:sz w:val="18"/>
                <w:szCs w:val="18"/>
                <w:color w:val="auto"/>
                <w:w w:val="95"/>
              </w:rPr>
              <w:t>RSU awards vesting, net of shares</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ind w:left="160"/>
              <w:spacing w:after="0"/>
              <w:rPr>
                <w:sz w:val="20"/>
                <w:szCs w:val="20"/>
                <w:color w:val="auto"/>
              </w:rPr>
            </w:pPr>
            <w:r>
              <w:rPr>
                <w:rFonts w:ascii="Arial" w:cs="Arial" w:eastAsia="Arial" w:hAnsi="Arial"/>
                <w:sz w:val="18"/>
                <w:szCs w:val="18"/>
                <w:color w:val="auto"/>
              </w:rPr>
              <w:t>withheld for taxes which have</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tcPr>
          <w:p>
            <w:pPr>
              <w:ind w:left="160"/>
              <w:spacing w:after="0"/>
              <w:rPr>
                <w:sz w:val="20"/>
                <w:szCs w:val="20"/>
                <w:color w:val="auto"/>
              </w:rPr>
            </w:pPr>
            <w:r>
              <w:rPr>
                <w:rFonts w:ascii="Arial" w:cs="Arial" w:eastAsia="Arial" w:hAnsi="Arial"/>
                <w:sz w:val="18"/>
                <w:szCs w:val="18"/>
                <w:color w:val="auto"/>
              </w:rPr>
              <w:t>been retired</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14,900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(531)</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2,608</w:t>
            </w: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60" w:type="dxa"/>
            <w:vAlign w:val="bottom"/>
          </w:tcPr>
          <w:p>
            <w:pPr>
              <w:spacing w:after="0" w:line="201" w:lineRule="exact"/>
              <w:rPr>
                <w:sz w:val="20"/>
                <w:szCs w:val="20"/>
                <w:color w:val="auto"/>
              </w:rPr>
            </w:pPr>
            <w:r>
              <w:rPr>
                <w:rFonts w:ascii="Arial" w:cs="Arial" w:eastAsia="Arial" w:hAnsi="Arial"/>
                <w:sz w:val="18"/>
                <w:szCs w:val="18"/>
                <w:color w:val="auto"/>
                <w:w w:val="97"/>
              </w:rPr>
              <w:t>Other comprehensive income, net</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tcPr>
          <w:p>
            <w:pPr>
              <w:ind w:left="160"/>
              <w:spacing w:after="0"/>
              <w:rPr>
                <w:sz w:val="20"/>
                <w:szCs w:val="20"/>
                <w:color w:val="auto"/>
              </w:rPr>
            </w:pPr>
            <w:r>
              <w:rPr>
                <w:rFonts w:ascii="Arial" w:cs="Arial" w:eastAsia="Arial" w:hAnsi="Arial"/>
                <w:sz w:val="18"/>
                <w:szCs w:val="18"/>
                <w:color w:val="auto"/>
              </w:rPr>
              <w:t>of tax</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981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2660" w:type="dxa"/>
            <w:vAlign w:val="bottom"/>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76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2015</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48,017,165</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814,189</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254,571</w:t>
            </w: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1,128</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5,062</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1,074,955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21" w:lineRule="exact"/>
        <w:rPr>
          <w:sz w:val="20"/>
          <w:szCs w:val="20"/>
          <w:color w:val="auto"/>
        </w:rPr>
      </w:pPr>
    </w:p>
    <w:p>
      <w:pPr>
        <w:ind w:right="140" w:firstLine="456"/>
        <w:spacing w:after="0" w:line="270" w:lineRule="auto"/>
        <w:rPr>
          <w:sz w:val="20"/>
          <w:szCs w:val="20"/>
          <w:color w:val="auto"/>
        </w:rPr>
      </w:pPr>
      <w:r>
        <w:rPr>
          <w:rFonts w:ascii="Arial" w:cs="Arial" w:eastAsia="Arial" w:hAnsi="Arial"/>
          <w:sz w:val="17"/>
          <w:szCs w:val="17"/>
          <w:color w:val="auto"/>
        </w:rPr>
        <w:t>The accompanying condensed consolidated balance sheet at June 30, 2015, the condensed consolidated statements of operations and comprehensive income (loss) for the three months ended June 30, 2015 and July 4, 2014, the condensed consolidated statements of cash flows for the three months ended June 30, 2015 and July 4, 2014 and the condensed consolidated statement of equity for the three months ended June 30, 2015 have been prepared by the management of ViaSat, Inc. (also referred to hereafter as the Company or ViaSat), and have not been audited. These financial statements have been prepared on the same basis as the audited consolidated financial statements for the fiscal year ended April 3, 2015 and, in the opinion of management, include all adjustments (consisting only of normal recurring adjustments) necessary for a fair statement of the Company’s results for the periods presented. These financial statements should be read in conjunction with the financial statements and notes thereto for the fiscal year ended April 3, 2015 included in the Company’s Annual Report on Form 10-K. Interim operating results are not necessarily indicative of operating results for the full year. The year-end condensed consolidated balance sheet data was derived from audited financial statements, but does not include all disclosures required by accounting principles generally accepted in the United States of America (GAAP).</w:t>
      </w:r>
    </w:p>
    <w:p>
      <w:pPr>
        <w:spacing w:after="0" w:line="178" w:lineRule="exact"/>
        <w:rPr>
          <w:sz w:val="20"/>
          <w:szCs w:val="20"/>
          <w:color w:val="auto"/>
        </w:rPr>
      </w:pPr>
    </w:p>
    <w:p>
      <w:pPr>
        <w:ind w:right="440" w:firstLine="456"/>
        <w:spacing w:after="0" w:line="342" w:lineRule="auto"/>
        <w:rPr>
          <w:sz w:val="20"/>
          <w:szCs w:val="20"/>
          <w:color w:val="auto"/>
        </w:rPr>
      </w:pPr>
      <w:r>
        <w:rPr>
          <w:rFonts w:ascii="Arial" w:cs="Arial" w:eastAsia="Arial" w:hAnsi="Arial"/>
          <w:sz w:val="16"/>
          <w:szCs w:val="16"/>
          <w:color w:val="auto"/>
        </w:rPr>
        <w:t>The Company’s condensed consolidated financial statements include the assets, liabilities and results of operations of ViaSat, its wholly owned subsidiaries and TrellisWare Technologies, Inc. (TrellisWare), a majority-owned subsidiary. All significant intercompany amounts have been eliminated.</w:t>
      </w:r>
    </w:p>
    <w:p>
      <w:pPr>
        <w:spacing w:after="0" w:line="124"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On May 4, 2015, the Company’s Board of Directors approved a change in the Company’s fiscal year from a 52 or 53 week fiscal year ending on the Friday closest to March 31 to a fiscal year ending on March 31 of each year, effective with the fiscal year commencing April 4, 2015. Beginning April 4, 2015, the Company’s fiscal quarters will end on June 30, September 30, December 31, and March 31 of each year. The Company’s fiscal quarters for fiscal year 2015 ended on July 4, 2014, October 3, 2014, January 2, 2015 and April 3, 2015.</w:t>
      </w:r>
    </w:p>
    <w:p>
      <w:pPr>
        <w:spacing w:after="0" w:line="187"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color w:val="auto"/>
        </w:rPr>
        <w:t>During the first quarter of fiscal year 2016, the Company completed the acquisition of Engreen Inc. (Engreen), a privately held company focused on network function virtualization. The Engreen purchase price of approximately $5.0 million (of which $1.0 million has been withheld as security for any indemnifiable damages) was primarily allocated to acquired technology intangible assets and the assumption of certain liabilities. During the first quarter of fiscal year 2015, the Company completed the acquisition of NetNearU Corp. (NetNearU), a privately held company that has developed a comprehensive network management system for Wi-Fi and other internet access networks (see Note 10). These acquisitions were accounted for as purchases and, accordingly, the condensed consolidated financial statements include the operating results of Engreen and NetNearU from the dates of acquisition.</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self-insurance reserves, allowance for doubtful accounts, warranty accruals, valuation of goodwill and other intangible assets, patents, orbital slots and other licenses, software development, property, equipment and satellites, long-lived assets, derivatives, contingencies and income taxes including the valuation allowance on deferred tax assets.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 substantial portion of the Company’s revenues is derived from long-term contracts requiring development and delivery of complex equipment built to customer specifications. Sales related to long-term contracts are accounted for under the authoritative guidance for the percentage-of-completion method of accounting (Accounting Standards Codification (ASC) 605-35). Sales and earnings under these contracts are recorded either based on the ratio of actual costs incurred to date to total estimated costs expected to be incurred related to the contract, or as products are shipped under the units-of-delivery method. Anticipated losses on contracts are recognized in full in the period in which losses become probable and estimable. Changes in estimates of profit or loss on contracts are included in earnings on a cumulative basis in the period the estimate is changed. During the three months ended June 30, 2015 and July 4, 2014, the Company recorded losses of approximately $1.4 million and $0.1 million, respectively, related to loss contracts.</w:t>
      </w:r>
    </w:p>
    <w:p>
      <w:pPr>
        <w:spacing w:after="0" w:line="16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Company also derives a substantial portion of its revenues from contracts and purchase orders where revenue is recorded on delivery of products or performance of services in accordance with the authoritative guidance for revenue recognition (ASC 605).</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Under this standard, the Company recognizes revenue when an arrangement exists, prices are determinable, collectability is reasonably assured and the goods or services have been delivered.</w:t>
      </w:r>
    </w:p>
    <w:p>
      <w:pPr>
        <w:spacing w:after="0" w:line="170"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color w:val="auto"/>
        </w:rPr>
        <w:t>The Company also enters into certain leasing arrangements with customers and evaluates the contracts in accordance with the authoritative guidance for leases (ASC 840). The Company’s accounting for equipment leases involves specific determinations under the authoritative guidance for leases, which often involve complex provisions and significant judgments. In accordance with the authoritative guidance for leases, the Company classifies the transactions as sales type or operating leases based on: (1) review for transfers of ownership of the equipment to the lessee by the end of the lease term, (2) review of the lease terms to determine if it contains an option to purchase the leased equipment for a price which is sufficiently lower than the expected fair value of the equipment at the date of the option, (3) review of the lease term to determine if it is equal to or greater than 75% of the economic life of the equipment, and</w:t>
      </w:r>
    </w:p>
    <w:p>
      <w:pPr>
        <w:spacing w:after="0" w:line="5" w:lineRule="exact"/>
        <w:rPr>
          <w:sz w:val="20"/>
          <w:szCs w:val="20"/>
          <w:color w:val="auto"/>
        </w:rPr>
      </w:pPr>
    </w:p>
    <w:p>
      <w:pPr>
        <w:ind w:right="60" w:firstLine="8"/>
        <w:spacing w:after="0" w:line="253"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review of the present value of the minimum lease payments to determine if they are equal to or greater than 90% of the fair market value of the equipment at the inception of the lease. Additionally, the Company considers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191"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In accordance with the authoritative guidance for revenue recognition for multiple element arrangements, the Accounting Standards Update (ASU) 2009-13 (ASU 2009-13), Revenue Recognition (ASC 605) Multiple-Deliverable Revenue Arrangements, which updates ASC 605-25, Revenue Recognition-Multiple element arrangements, of the Financial Accounting Standards Board (FASB) codification, for substantially all of the arrangements with multiple deliverables, the Company allocates revenue to each element based on a selling price hierarchy at the arrangement inception. The selling price for each element is based upon the following selling price hierarchy: vendor specific objective evidence (VSOE) if available, third party evidence (TPE) if VSOE is not available, or estimated selling price (ESP) if neither VSOE nor TPE are available (a description as to how the Company determines VSOE, TPE and ESP is provided below). If a tangible hardware systems product includes software, the Company determines whether the tangible hardware systems product and the software work together to deliver the product’s essential functionality and, if so, the entire product is treated as a nonsoftware deliverable. The total arrangement consideration is allocated to each separate unit of accounting for each of the nonsoftware deliverables using the relative selling prices of each unit based on the aforementioned selling price hierarchy. Revenue for each separate unit of accounting is recognized when the applicable revenue recognition criteria for each element have been met.</w:t>
      </w:r>
    </w:p>
    <w:p>
      <w:pPr>
        <w:spacing w:after="0" w:line="183"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To determine the selling price in multiple-element arrangements, the Company establishes VSOE of the selling price using the price charged for a deliverable when sold separately. The Company also considers specific renewal rates offered to customers for software license updates, product support and hardware systems support, and other services. For nonsoftware multiple-element arrangements, TPE is established by evaluating similar and/or interchangeable competitor products or services in standalone arrangements with similarly situated customers and/or agreements. If the Company is unable to determine the selling price because VSOE or TPE doesn’t exist, the Company determines ESP for the purposes of allocating the arrangement by reviewing historical transactions, including transactions whereby the deliverable was sold on a standalone basis and considers several other external and internal factors including, but not limited to, pricing practices including discounting, margin objectives, competition, the geographies in which the Company offers its products and services, the type of customer (i.e., distributor, value added reseller, government agency or direct end user, among others), volume commitments and the stage of the product lifecycle. The determination of ESP considers the Company’s pricing model and go-to-market strategy. As the Company, or its competitors’, pricing and go-to-market strategies evolve, the Company may modify its pricing practices in the future, which could result in changes to its determination of VSOE, TPE and ESP. As a result, the Company’s future revenue recognition for multiple-element arrangements could differ materially from those in the current period.</w:t>
      </w:r>
    </w:p>
    <w:p>
      <w:pPr>
        <w:spacing w:after="0" w:line="180"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In accordance with the authoritative guidance for shipping and handling fees and costs (ASC 605-45), the Company records shipping and handling costs billed to customers as a component of revenues, and shipping and handling costs incurred by the Company for inbound and outbound freight as a component of cost of revenues.</w:t>
      </w:r>
    </w:p>
    <w:p>
      <w:pPr>
        <w:spacing w:after="0" w:line="18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Collections in excess of revenues and deferred revenues represent cash collected from customers in advance of revenue recognition and are recorded in accrued liabilities for obligations within the next twelve months. Amounts for obligations extending beyond twelve months are recorded within other liabilities in the condensed consolidated financial statements.</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Contract costs on U.S. government contracts are subject to audit and review by the Defense Contracting Management Agency (DCMA), the Defense Contract Audit Agency (DCAA), and other U.S. government agencies, as well as negotiations with U.S. government representatives. The Company’s incurred cost audits by the DCAA have not been concluded for fiscal year 2013 and subsequent fiscal years. As of June 30, 2015, the DCAA had completed its incurred cost audit for fiscal year 2004 and approved the Company’s incurred cost claims for fiscal years 2005 through 2012 without further audit. Although the Company has recorded</w:t>
      </w:r>
    </w:p>
    <w:p>
      <w:pPr>
        <w:sectPr>
          <w:pgSz w:w="11900" w:h="16838" w:orient="portrait"/>
          <w:cols w:equalWidth="0" w:num="1">
            <w:col w:w="11420"/>
          </w:cols>
          <w:pgMar w:left="240" w:top="459" w:right="239"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459"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contract revenues subsequent to fiscal year 2012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June 30, 2015 and April 3, 2015, the Company had $4.0 million and $4.3 million, respectively, in contract-related reserves for its estimate of potential refunds to customers for potential cost adjustments on several multi-year U.S. government cost reimbursable contracts (see Note 8).</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17"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In accordance with the authoritative guidance for advertising costs (ASC 720-35), advertising costs are expensed as incurred and included in selling, general and administrative (SG&amp;A) expenses. Advertising expenses for the three months ended June 30, 2015 and July 4, 2014 were $3.7 million and $2.3 million,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Commissions</w:t>
      </w:r>
    </w:p>
    <w:p>
      <w:pPr>
        <w:spacing w:after="0" w:line="117"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The Company compensates third parties based on specific commission programs directly related to certain product and service sales, and these commissions costs are expensed as incurred.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satellite manufacturers (dependent on the continued satisfactory performance of the satellites), costs directly associated with the monitoring and support of satellite construction, and interest costs incurred during the period of satellite construction. The Company also constructs gateway facilities, network operations systems and other assets to support its satellites, and those construction costs, including interest, are capitalized as incurred. At the time satellites are placed in service, the Company estimates the useful life of its satellites for depreciation purposes based upon an analysis of each satellite’s performance against the original manufacturer’s orbital design life, estimated fuel levels and related consumption rates, as well as historical satellite operating trends. The Company computes depreciation using the straight-line method over the estimated useful lives of the assets ranging from two to twenty-four years. Leasehold improvements are capitalized and amortized using the straight-line method over the shorter of the lease term or the life of the improvement. Costs incurred for additions to property, equipment and satellites, together with major renewals and betterments, are capitalized and depreciated over the remaining life of the underlying asset. Costs incurred for maintenance, repairs and minor renewals and betterments are charged to expense as incurred. When assets are sold or otherwise disposed of, the cost and related accumulated depreciation or amortization are removed from the accounts and any resulting gain or loss is recognized in operations, which for the periods presented, primarily related to losses incurred for unreturned customer premise equipment (CPE).</w:t>
      </w:r>
    </w:p>
    <w:p>
      <w:pPr>
        <w:spacing w:after="0" w:line="17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Interest expense is capitalized on the carrying value of assets under construction, in accordance with the authoritative guidance for the capitalization of interest (ASC 835-20). With respect to assets under construction, including the ViaSat-2 satellite which commenced construction during the first quarter of fiscal year 2014, the Company capitalized $6.1 million and $3.1 million of interest expense for the three months ended June 30, 2015 and July 4, 2014, respectively.</w:t>
      </w:r>
    </w:p>
    <w:p>
      <w:pPr>
        <w:spacing w:after="0" w:line="187"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The Company owns two satellites: ViaSat-1 (its first high-capacity Ka-band spot-beam satellite, which was placed into service in January 2012) and WildBlue-1 (which was placed into service in March 2007). In May 2013, the Company entered into a satellite construction contract for ViaSat-2, its second high-capacity Ka-band satellite. In addition, the Company has an exclusive prepaid lifetime capital lease of Ka-band capacity over the contiguous United States on Telesat Canada’s Anik F2 satellite (which was placed into service in April 2005) and owns related gateway and networking equipment for all of its satellites. The Company periodically reviews the remaining estimated useful life of its satellites to determine if revisions to estimated lives are necessary. The Company procures indoor and outdoor CPE units leased to subscribers under a retail leasing program as part of the Company’s satellite services segment, which are reflected in investing activities and property and equipment in the accompanying condensed consolidated financial statements. The Company depreciates the satellites, gateway and networking equipment, CPE units and related installation costs over their estimated useful lives. The total cost and accumulated depreciation of CPE units included in property and equipment, net, as of June 30, 2015 were $252.6 million and $115.2 million, respectively. The total cost and accumulated depreciation of CPE units included in property and equipment, net, as of April 3, 2015 were $250.3 million and $107.8 million, respectively.</w:t>
      </w:r>
    </w:p>
    <w:p>
      <w:pPr>
        <w:spacing w:after="0" w:line="183" w:lineRule="exact"/>
        <w:rPr>
          <w:sz w:val="20"/>
          <w:szCs w:val="20"/>
          <w:color w:val="auto"/>
        </w:rPr>
      </w:pPr>
    </w:p>
    <w:p>
      <w:pPr>
        <w:ind w:right="600" w:firstLine="456"/>
        <w:spacing w:after="0" w:line="342" w:lineRule="auto"/>
        <w:rPr>
          <w:sz w:val="20"/>
          <w:szCs w:val="20"/>
          <w:color w:val="auto"/>
        </w:rPr>
      </w:pPr>
      <w:r>
        <w:rPr>
          <w:rFonts w:ascii="Arial" w:cs="Arial" w:eastAsia="Arial" w:hAnsi="Arial"/>
          <w:sz w:val="16"/>
          <w:szCs w:val="16"/>
          <w:color w:val="auto"/>
        </w:rPr>
        <w:t>Occasionally, the Company may enter into capital lease arrangements for various machinery, equipment, computer-related equipment, software, furniture or fixtures. The Company records amortization of assets leased under capital lease arrangements within depreciation expense.</w:t>
      </w:r>
    </w:p>
    <w:p>
      <w:pPr>
        <w:sectPr>
          <w:pgSz w:w="11900" w:h="16838" w:orient="portrait"/>
          <w:cols w:equalWidth="0" w:num="1">
            <w:col w:w="11420"/>
          </w:cols>
          <w:pgMar w:left="240" w:top="459"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orbital slots and other licenses</w:t>
      </w:r>
    </w:p>
    <w:p>
      <w:pPr>
        <w:spacing w:after="0" w:line="11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The Company capitalizes the costs of obtaining or acquiring patents, orbital slots and other licenses. Amortization of intangible assets that have finite lives is provided for by the straight-line method over the shorter of the legal or estimated economic life. Total capitalized costs of $3.2 million related to patents were included in other assets as of June 30, 2015 and April 3, 2015. The Company capitalized costs of $15.2 million and $15.1 million related to acquiring and obtaining orbital slots and other licenses included in other assets as of June 30, 2015 and April 3, 2015, respectively. Accumulated amortization related to these assets was $1.5 million and $1.4 million as of June 30, 2015 and April 3, 2015, respectively. Amortization expense related to these assets was an insignificant amount for the three months ended June 30, 2015 and July 4, 2014. If a patent, orbital slot or orbital license is rejected, abandoned or otherwise invalidated, the unamortized cost is expensed in that period. During the three months ended June 30, 2015 and July 4, 2014, the Company did not write off any significant costs due to abandonment or impairment.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Debt issuance costs are amortized and recognized as interest expense using the effective interest rate method, or, when the results are not materially different, on a straight-line basis over the expected term of the related debt. During the three months ended June 30, 2015 and July 4, 2014, an insignificant amount and no amounts of debt issuance costs were capitalized, respectively. Unamortized debt issuance costs related to extinguished debt are expensed at the time the debt is extinguished and recorded in loss on extinguishment of debt in the consolidated statements of operations and comprehensive income (loss). Other unamortized debt issuance costs are recorded in prepaid expenses and other current assets and in other long-term assets in the consolidated balance sheets, depending on the amounts expected to be amortized to interest expense within the next twelve months.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w:t>
      </w:r>
    </w:p>
    <w:p>
      <w:pPr>
        <w:spacing w:after="0" w:line="11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Costs of developing software for sale are charged to research and development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 software development costs are amortized based on the ratio of current to future revenue for each product with an annual minimum equal to straight-line amortization over the remaining estimated economic life of the product, generally within five years. Capitalized costs, net, of $130.2 million and $119.9 million related to software developed for resale were included in other assets as of June 30, 2015 and April 3, 2015, respectively. The Company capitalized $16.5 million and $10.7 million of costs related to software developed for resale for the three months ended June 30, 2015 and July 4, 2014, respectively. Amortization expense for software development costs was $6.2 million and $4.4 million for the three months ended June 30, 2015 and July 4, 2014,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liabilities</w:t>
      </w:r>
    </w:p>
    <w:p>
      <w:pPr>
        <w:spacing w:after="0" w:line="117"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The Company has self-insurance plans to retain a portion of the exposure for losses related to employee medical benefits and workers’ compensation. The self-insurance plans include policies which provide for both specific and aggregate stop-loss limits. The Company utilizes internal actuarial methods as well as other historical information for the purpose of estimating ultimate costs for a particular plan year. Based on these actuarial methods, along with currently available information and insurance industry statistics, the Company has recorded self-insurance liability for its plans of $3.7 million and $3.9 million as of June 30, 2015 and April 3, 2015, respectively.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a current liability in accrued liabilities in accordance with the estimated timing of the projected payments.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11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material costs incurred in connection with such indemnification clauses. The Company’s insurance policies do not necessarily cover the cost of defending indemnification claims or providing indemnification, so if a claim was filed against the Company by any party that the Company has agreed to indemnify, the Company could incur substantial legal costs and damages. A claim would be accrued when a loss is considered probable and the amount can be reasonably estimated. At June 30, 2015 and April 3, 2015, no such amounts were accrued related to the aforementioned provisions.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117" w:lineRule="exact"/>
        <w:rPr>
          <w:sz w:val="20"/>
          <w:szCs w:val="20"/>
          <w:color w:val="auto"/>
        </w:rPr>
      </w:pPr>
    </w:p>
    <w:p>
      <w:pPr>
        <w:jc w:val="both"/>
        <w:ind w:right="580" w:firstLine="456"/>
        <w:spacing w:after="0" w:line="259" w:lineRule="auto"/>
        <w:rPr>
          <w:sz w:val="20"/>
          <w:szCs w:val="20"/>
          <w:color w:val="auto"/>
        </w:rPr>
      </w:pPr>
      <w:r>
        <w:rPr>
          <w:rFonts w:ascii="Arial" w:cs="Arial" w:eastAsia="Arial" w:hAnsi="Arial"/>
          <w:sz w:val="18"/>
          <w:szCs w:val="18"/>
          <w:color w:val="auto"/>
        </w:rPr>
        <w:t>A noncontrolling interest represents the equity interest in a subsidiary that is not attributable, either directly or indirectly, to the Company and is reported as equity of the Company, separately from the Company’s controlling interest. Revenues, expenses, gains, losses, net income (loss) and other comprehensive income (loss) are reported in the condensed consolidated financial statements at the consolidated amounts, which include the amounts attributable to both the controlling and noncontrolling interest.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held in treasury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2015 and April 3, 2015, the Company had no shares of common stock held in treasury.</w:t>
      </w:r>
    </w:p>
    <w:p>
      <w:pPr>
        <w:spacing w:after="0" w:line="22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During the first three months of fiscal years 2016 and 2015, the Company issued 23,392 and 20,438 shares of common stock, respectively, based on the vesting terms of certain restricted stock unit agreements. In order for employees to satisfy minimum statutory employee tax withholding requirements related to the issuance of common stock underlying these restricted stock unit agreements, the Company repurchased and immediately retired 8,492 shares of common stock with a total value of $0.5 million during the first three months of fiscal years 2016. During the first three months of fiscal year 2015, the Company repurchased 6,791 shares of common stock with a total value of $0.4 million, and retired 1,197,363 shares of treasury stock with a total value of $49.7 million. These retired shares remain as authorized stock; however they are now considered to be unissued. This treasury stock retirement resulted in a decrease in common stock held in treasury and in paid-in capital of $49.7 million in the Company’s condensed consolidated balance sheet during the first three months of fiscal year 2015. The retirement of treasury stock had no impact on the Company’s total consolidated stockholders’ equity.</w:t>
      </w:r>
    </w:p>
    <w:p>
      <w:pPr>
        <w:spacing w:after="0" w:line="166" w:lineRule="exact"/>
        <w:rPr>
          <w:sz w:val="20"/>
          <w:szCs w:val="20"/>
          <w:color w:val="auto"/>
        </w:rPr>
      </w:pPr>
    </w:p>
    <w:p>
      <w:pPr>
        <w:ind w:right="280" w:firstLine="456"/>
        <w:spacing w:after="0" w:line="302" w:lineRule="auto"/>
        <w:rPr>
          <w:sz w:val="20"/>
          <w:szCs w:val="20"/>
          <w:color w:val="auto"/>
        </w:rPr>
      </w:pPr>
      <w:r>
        <w:rPr>
          <w:rFonts w:ascii="Arial" w:cs="Arial" w:eastAsia="Arial" w:hAnsi="Arial"/>
          <w:sz w:val="16"/>
          <w:szCs w:val="16"/>
          <w:color w:val="auto"/>
        </w:rPr>
        <w:t>During the third quarter of fiscal year 2015, the Board of Directors of the Company approved the retirement of all shares of treasury stock and, with respect to the future issuance of shares of common stock upon vesting of restricted stock units, approved the immediate retirement of shares withheld for employee withholding taxes. Although shares withheld for employee withholding taxes are technically not issued, they are treated as common stock repurchases for accounting purposes, as they reduce the number of shares that otherwise would have been issued upon vesting of the restricted stock units.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enters into foreign currency forward and option contracts from time to time to hedge certain forecasted foreign currency transactions. Gains and losses arising from foreign currency forward and option contracts not designated as hedging instruments are recorded in other income (expense) as gains (losses) on derivative instruments. Gains and losses arising from the effective portion of foreign currency forward and option contracts which are designated as cash-flow hedging instruments are recorded in accumulated other comprehensive income (loss) as unrealized gains (losses) on derivative instruments until the underlying transaction affects the Company’s earnings, at which time they are then recorded in the same income statement line as the underlying transaction.</w:t>
      </w:r>
    </w:p>
    <w:p>
      <w:pPr>
        <w:spacing w:after="0" w:line="193"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During the three months ended June 30, 2015 and July 4, 2014, the Company settled certain foreign exchange contracts and in connection therewith recognized an insignificant gain, recorded in cost of revenues based on the nature of the underlying transactions. The fair value of the Company’s foreign currency forward contracts was an insignificant amount recorded as an other current asset as of June 30, 2015. The notional value of foreign currency forward contracts outstanding as of June 30, 2015 was $7.5 million. The Company had no foreign currency forward contracts outstanding as of April 3, 2015.</w:t>
      </w:r>
    </w:p>
    <w:p>
      <w:pPr>
        <w:spacing w:after="0" w:line="15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At June 30, 2015, the estimated net amount of unrealized gains or losses related to foreign currency forward contracts that was expected to be reclassified to earnings within the next twelve months was insignificant. The Company’s foreign currency forward contracts outstanding as of June 30, 2015 will mature within approximately three to thirty-six months from their inception. There were no gains or losses from ineffectiveness of these derivative instruments recorded for the three months ended June 30, 2015 and July 4, 2014.</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accordance with the authoritative guidance for share-based payments (ASC 718), the Company measures stock-based compensation cost at the grant date, based on the estimated fair value of the award, and recognizes expense on a straight-line basis over the employee’s requisite service period. Stock-based compensation expense is recognized in the condensed consolidated statements of operations and comprehensive income (loss) for the three months ended June 30, 2015 and July 4, 2014 only for those awards ultimately expected to vest, with forfeitures estimated at the date of grant. The authoritative guidance for share-based payments requires forfeitures to be estimated at the time of grant and revised, if necessary, in subsequent periods if actual forfeitures differ from those estimates. The Company recognized $10.7 and $8.9 million of stock-based compensation expense for the three months ended June 30, 2015 and July 4, 2014, respectively.</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For the three months ended June 30, 2015 and July 4, 2014, the Company recorded no incremental tax benefits from stock options exercised and restricted stock unit awards vesting as the excess tax benefit from stock options exercised and restricted stock unit awards vesting increased the Company’s net operating loss carryforward.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Accruals for uncertain tax positions are provided for in accordance with the authoritative guidance for accounting for uncertainty in income taxes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for accounting for uncertainty in income taxes also provides guidance on derecognition of income tax assets and liabilities, classification of current and deferred income tax assets and liabilities, accounting for interest and penalties associated with tax positions, and income tax disclosures. The Company’s policy is to recognize interest expense and penalties related to income tax matters as a component of income tax expense.</w:t>
      </w:r>
    </w:p>
    <w:p>
      <w:pPr>
        <w:spacing w:after="0" w:line="167"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w:t>
      </w:r>
    </w:p>
    <w:p>
      <w:pPr>
        <w:spacing w:after="0" w:line="14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The Company’s analysis of the need for a valuation allowance on deferred tax assets considered the losses incurred during the fiscal years ended April 4, 2014 and March 29, 2013 and the income generated during the fiscal year ended April 3, 2015 and three months ended June 30, 2015. In fiscal year 2013, the Company recorded a significant loss, a substantial portion of which resulted from an extinguishment of debt charge that was recorded upon the refinancing of the Company’s former 8.875% Senior Notes due 2016 (2016 Notes) with the proceeds from the issuance of additional 6.875% Senior Notes due 2020 (2020 Notes), which provides a benefit to net income due to the lower interest rate of the 2020 Notes. The loss from fiscal year 2014 was less significant and a substantial portion of that loss related to legal expense focused on protecting and extending the Company’s technology advantages in the litigation against Space Systems/Loral, Inc. (SS/L) and its former parent company Loral Space &amp; Communications, Inc. (Loral), which was settled during the second quarter of fiscal year 2015 (see Note 8). In addition to these events, the Company’s evaluation considered other factors, including the Company’s contractual backlog, the Company’s history of positive earnings, current earnings trends assuming the Company’s satellite subscriber base continues to grow, taxable income adjusted for certain items, and forecasted income by jurisdiction. The Company also considered the lengthy period over which these net deferred tax assets can be realized and the Company’s history of not having federal tax loss carryforwards expire unused.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authoritative guidance</w:t>
      </w:r>
    </w:p>
    <w:p>
      <w:pPr>
        <w:spacing w:after="0" w:line="117"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In April 2014, the FASB issued ASU 2014-08, Presentation of Financial Statements and Property, Plant, and Equipment: Reporting Discontinued Operations and Disclosures of Disposals of Components of an Entity. ASU 2014-08 limits the requirement to report discontinued operations to disposals of components of an entity that represent strategic shifts that have (or will have) a major effect on an entity’s operations and financial results. The amendments also require expanded disclosures concerning discontinued operations and disclosures of certain financial results attributable to a disposal of a significant component of an entity that does not qualify for discontinued operations reporting. This guidance became effective for the Company beginning in the first quarter of fiscal year 2016 and the authoritative guidance did not have a material impact on the Company’s consolidated financial statements and disclosures.</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May 2014, the FASB issued ASU 2014-09, Revenue from Contracts with Customers. ASU 2014-09 requires an entity to recognize the amount of revenue to which it expects to be entitled for the transfer of promised goods or services to a customer. This guidance will replace most existing revenue recognition guidance and will be effective for the Company beginning in fiscal year 2019, including interim periods within that reporting period, based on the FASB decision in July 2015 to delay the effective date of the new revenue recognition standard by one year, but providing entities a choice to adopt the standard as of the original effective date. The standard permits the use of either the retrospective or cumulative effect transition method. The Company has not selected a transition method and the Company is currently evaluating the impact this standard will have on its consolidated financial statements and disclosures.</w:t>
      </w:r>
    </w:p>
    <w:p>
      <w:pPr>
        <w:spacing w:after="0" w:line="18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February 2015, the FASB issued ASU 2015-02, Consolidation (ASC 810): Amendments to the Consolidation Analysis. ASU 2015-02 amended the process that a reporting entity must perform to determine whether it should consolidate certain types of legal entities. This guidance will become effective for the Company in fiscal year 2017, with early adoption permitted. The adoption of this standard is not expected to have a material impact on the Company’s consolidated financial statements and disclosures.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April 2015, the FASB issued ASU 2015-03, Interest — Imputation of Interest (ASC 835-30): Simplifying the Presentation of Debt Issuance Costs. ASU 2015-03 require that debt issuance costs related to a recognized debt liability be presented in the balance sheet as a direct deduction from the carrying amount of that debt liability, consistent with debt discounts. This new guidance will be effective for the Company in fiscal year 2017, with early adoption permitted. The new guidance shall be applied on a retrospective basis, wherein the balance sheet of each individual period presented should be adjusted to reflect the period-specific effects of applying the new guidance. The Company is currently evaluating the impact of this standard on its consolidated financial statements.</w:t>
      </w:r>
    </w:p>
    <w:p>
      <w:pPr>
        <w:spacing w:after="0" w:line="19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April 2015, the FASB issued ASU 2015-05, Intangibles—Goodwill and Other—Internal-Use Software (Subtopic 350-40): Customer’s Accounting for Fees Paid in a Cloud Computing Arrangement (ASU 2015-05). ASU 2015-05 provides guidance to customers about whether a cloud computing arrangement includes a software license. If a cloud computing arrangement includes a software license, the customer should account for the software license element of the arrangement consistent with the acquisition of other software licenses. If a cloud computing arrangement does not include a software license, the customer should account for the arrangement as a service contract. The new guidance does not change the accounting for a customer’s accounting for service contracts. ASU 2015-05 is effective for the Company in fiscal year 2017 with early adoption permitted using either of two methods: (i) prospectively to all arrangements entered into or materially modified after the effective date and represent a change in accounting principle; or (ii) retrospectively. The Company is currently evaluating the impact of this standard on its consolidated financial statements.</w:t>
      </w:r>
    </w:p>
    <w:p>
      <w:pPr>
        <w:spacing w:after="0" w:line="166"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In July 2015, the FASB issued ASU 2015-11, Inventory (Topic 330): Simplifying the Measurement of Inventory (ASU 2015-11). ASU 2015-11 simplifies the guidance on the subsequent measurement of inventory, excluding inventory measured using last-in, first out or the retail inventory method. Under the new standard, in scope inventory should be measured at the lower of cost and net realizable value. The new standard will become effective for the Company in fiscal year 2018, with early adoption permitted. The Company is currently evaluating the impact of this standard on its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Composition of Certain Balance Sheet Captions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As of</w:t>
            </w:r>
          </w:p>
        </w:tc>
        <w:tc>
          <w:tcPr>
            <w:tcW w:w="14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June 30, 2015</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April 3, 2015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3"/>
          </w:tcPr>
          <w:p>
            <w:pPr>
              <w:ind w:left="58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Billed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142,386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120,345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Unbilled</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153,906</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147,049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Allowance for doubtful accounts</w:t>
            </w: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(1,770)</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1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294,522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266,339</w:t>
            </w: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spacing w:after="0"/>
              <w:rPr>
                <w:sz w:val="20"/>
                <w:szCs w:val="20"/>
                <w:color w:val="auto"/>
              </w:rPr>
            </w:pPr>
            <w:r>
              <w:rPr>
                <w:rFonts w:ascii="Arial" w:cs="Arial" w:eastAsia="Arial" w:hAnsi="Arial"/>
                <w:sz w:val="18"/>
                <w:szCs w:val="18"/>
                <w:color w:val="auto"/>
              </w:rPr>
              <w:t>Inventories: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1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Raw materials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44,500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Work in process</w:t>
            </w:r>
          </w:p>
        </w:tc>
        <w:tc>
          <w:tcPr>
            <w:tcW w:w="10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21,645</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Finished goods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61,133</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127,278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128,367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8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44,546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40,106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2,640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47,186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44,702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8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Satellites, net: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Satellite — WildBlue-1 (estimated useful life of 10 years)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195,890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195,890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lease of satellite capacity — Anik F2 (estimated useful life of 10 years)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99,090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Satellite — ViaSat-1 (estimated useful life of 17 years)</w:t>
            </w:r>
          </w:p>
        </w:tc>
        <w:tc>
          <w:tcPr>
            <w:tcW w:w="10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363,204</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363,204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Satellite — ViaSat-2 (under construction)</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357,943</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328,857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1,016,127</w:t>
            </w:r>
          </w:p>
        </w:tc>
        <w:tc>
          <w:tcPr>
            <w:tcW w:w="14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987,041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(237,151)</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(224,820)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778,976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762,221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8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Equipment and software (estimated useful life of 2-7 years)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521,833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511,717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CPE leased equipment (estimated useful life of 4-5 years)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252,602</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250,281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Furniture and fixtures (estimated useful life of 7 years)</w:t>
            </w:r>
          </w:p>
        </w:tc>
        <w:tc>
          <w:tcPr>
            <w:tcW w:w="100" w:type="dxa"/>
            <w:vAlign w:val="bottom"/>
          </w:tcPr>
          <w:p>
            <w:pPr>
              <w:spacing w:after="0"/>
              <w:rPr>
                <w:sz w:val="20"/>
                <w:szCs w:val="20"/>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22,853</w:t>
            </w:r>
          </w:p>
        </w:tc>
        <w:tc>
          <w:tcPr>
            <w:tcW w:w="14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20,395</w:t>
            </w:r>
          </w:p>
        </w:tc>
        <w:tc>
          <w:tcPr>
            <w:tcW w:w="0" w:type="dxa"/>
            <w:vAlign w:val="bottom"/>
          </w:tcPr>
          <w:p>
            <w:pPr>
              <w:spacing w:after="0"/>
              <w:rPr>
                <w:sz w:val="1"/>
                <w:szCs w:val="1"/>
                <w:color w:val="auto"/>
              </w:rPr>
            </w:pPr>
          </w:p>
        </w:tc>
      </w:tr>
    </w:tbl>
    <w:p>
      <w:pPr>
        <w:spacing w:after="0" w:line="120" w:lineRule="exact"/>
        <w:rPr>
          <w:sz w:val="20"/>
          <w:szCs w:val="20"/>
          <w:color w:val="auto"/>
        </w:rPr>
      </w:pPr>
    </w:p>
    <w:p>
      <w:pPr>
        <w:sectPr>
          <w:pgSz w:w="11900" w:h="16838" w:orient="portrait"/>
          <w:cols w:equalWidth="0" w:num="1">
            <w:col w:w="11340"/>
          </w:cols>
          <w:pgMar w:left="240" w:top="459" w:right="319" w:bottom="1440" w:gutter="0" w:footer="0" w:header="0"/>
        </w:sectPr>
      </w:pPr>
    </w:p>
    <w:p>
      <w:pPr>
        <w:jc w:val="center"/>
        <w:ind w:right="-7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340"/>
          </w:cols>
          <w:pgMar w:left="240" w:top="459" w:right="31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2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As of</w:t>
            </w:r>
          </w:p>
        </w:tc>
        <w:tc>
          <w:tcPr>
            <w:tcW w:w="14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June 30, 2015</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April 3, 2015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3"/>
          </w:tcPr>
          <w:p>
            <w:pPr>
              <w:ind w:left="54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Leasehold improvements (estimated useful life of 2-17 years)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67,910</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Building (estimated useful life of 24 years)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8,923</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Land</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Construction in progress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24,699</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17,890</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14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901,463</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878,550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Less accumulated depreciation</w:t>
            </w:r>
          </w:p>
        </w:tc>
        <w:tc>
          <w:tcPr>
            <w:tcW w:w="14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(486,001)</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(460,528)</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14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415,462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418,022</w:t>
            </w: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spacing w:after="0"/>
              <w:rPr>
                <w:sz w:val="20"/>
                <w:szCs w:val="20"/>
                <w:color w:val="auto"/>
              </w:rPr>
            </w:pPr>
            <w:r>
              <w:rPr>
                <w:rFonts w:ascii="Arial" w:cs="Arial" w:eastAsia="Arial" w:hAnsi="Arial"/>
                <w:sz w:val="18"/>
                <w:szCs w:val="18"/>
                <w:color w:val="auto"/>
              </w:rPr>
              <w:t>Other acquired intangible assets, net: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1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Technology (weighted average useful life of 6 years)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75,601</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Contracts and customer relationships (weighted average useful life of 8 years)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99,678</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99,556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Satellite co-location rights (weighted average useful life of 9 years)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Trade name (weighted average useful life of 3 years)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5,940</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(weighted average useful life of 7 years)</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8,741</w:t>
            </w:r>
          </w:p>
        </w:tc>
        <w:tc>
          <w:tcPr>
            <w:tcW w:w="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198,560</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190,221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accumulated amortization</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(153,329)</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(147,881)</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45,231</w:t>
            </w:r>
          </w:p>
        </w:tc>
        <w:tc>
          <w:tcPr>
            <w:tcW w:w="60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42,340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8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Capitalized software costs, net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130,195</w:t>
            </w:r>
          </w:p>
        </w:tc>
        <w:tc>
          <w:tcPr>
            <w:tcW w:w="6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119,936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Patents, orbital slots and other licenses, net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16,900</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70,495</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75,789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58,431</w:t>
            </w:r>
          </w:p>
        </w:tc>
        <w:tc>
          <w:tcPr>
            <w:tcW w:w="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276,021</w:t>
            </w:r>
          </w:p>
        </w:tc>
        <w:tc>
          <w:tcPr>
            <w:tcW w:w="60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269,808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8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Collections in excess of revenues and deferred revenues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72,910</w:t>
            </w:r>
          </w:p>
        </w:tc>
        <w:tc>
          <w:tcPr>
            <w:tcW w:w="6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83,528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employee compensation</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11,805</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Accrued vacation</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27,030</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Warranty reserve, current portion</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9,397</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Current portion of other long-term debt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264</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32,526</w:t>
            </w:r>
          </w:p>
        </w:tc>
        <w:tc>
          <w:tcPr>
            <w:tcW w:w="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153,932</w:t>
            </w:r>
          </w:p>
        </w:tc>
        <w:tc>
          <w:tcPr>
            <w:tcW w:w="60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191,326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8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Deferred revenue, long-term portion</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4,512</w:t>
            </w:r>
          </w:p>
        </w:tc>
        <w:tc>
          <w:tcPr>
            <w:tcW w:w="6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rent, long-term portion</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8,341</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Warranty reserve, long-term portion</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5,026</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 long-term portion</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Satellite performance incentives obligation, long-term portion</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19,985</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39,214</w:t>
            </w:r>
          </w:p>
        </w:tc>
        <w:tc>
          <w:tcPr>
            <w:tcW w:w="60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39,995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 accordance with the authoritative guidance for financial assets and liabilities measured at fair value on a recurring basis (ASC 820), the Company prioritizes the inputs used to measure fair value from market-based assumptions to entity specific assumptions:</w:t>
      </w:r>
    </w:p>
    <w:p>
      <w:pPr>
        <w:spacing w:after="0" w:line="76" w:lineRule="exact"/>
        <w:rPr>
          <w:sz w:val="20"/>
          <w:szCs w:val="20"/>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Inputs based on quoted market prices for identical assets or liabilities in active markets at the measurement date.</w:t>
      </w:r>
    </w:p>
    <w:p>
      <w:pPr>
        <w:spacing w:after="0" w:line="130" w:lineRule="exact"/>
        <w:rPr>
          <w:rFonts w:ascii="Arial" w:cs="Arial" w:eastAsia="Arial" w:hAnsi="Arial"/>
          <w:sz w:val="18"/>
          <w:szCs w:val="18"/>
          <w:color w:val="auto"/>
        </w:rPr>
      </w:pPr>
    </w:p>
    <w:p>
      <w:pPr>
        <w:jc w:val="both"/>
        <w:ind w:left="440" w:right="180" w:hanging="324"/>
        <w:spacing w:after="0" w:line="264"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86" w:lineRule="exact"/>
        <w:rPr>
          <w:rFonts w:ascii="Arial" w:cs="Arial" w:eastAsia="Arial" w:hAnsi="Arial"/>
          <w:sz w:val="18"/>
          <w:szCs w:val="18"/>
          <w:color w:val="auto"/>
        </w:rPr>
      </w:pPr>
    </w:p>
    <w:p>
      <w:pPr>
        <w:ind w:left="440" w:hanging="324"/>
        <w:spacing w:after="0" w:line="277"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Inputs which reflect management’s best estimate of what market participants would use in pricing the asset or liability at the measurement date. The inputs are unobservable in the market and significant to the instruments valuation.</w:t>
      </w:r>
    </w:p>
    <w:p>
      <w:pPr>
        <w:sectPr>
          <w:pgSz w:w="11900" w:h="16838" w:orient="portrait"/>
          <w:cols w:equalWidth="0" w:num="1">
            <w:col w:w="11300"/>
          </w:cols>
          <w:pgMar w:left="240" w:top="459" w:right="359" w:bottom="1440" w:gutter="0" w:footer="0" w:header="0"/>
        </w:sectPr>
      </w:pP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300"/>
          </w:cols>
          <w:pgMar w:left="240" w:top="459" w:right="35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the Company’s hierarchy for its assets measured at fair value on a recurring basis as of June 30, 2015 and April 3, 2015:</w:t>
      </w:r>
    </w:p>
    <w:p>
      <w:pPr>
        <w:spacing w:after="0" w:line="25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20" w:type="dxa"/>
            <w:vAlign w:val="bottom"/>
            <w:gridSpan w:val="5"/>
          </w:tcPr>
          <w:p>
            <w:pPr>
              <w:spacing w:after="0"/>
              <w:rPr>
                <w:sz w:val="20"/>
                <w:szCs w:val="20"/>
                <w:color w:val="auto"/>
              </w:rPr>
            </w:pPr>
            <w:r>
              <w:rPr>
                <w:rFonts w:ascii="Arial" w:cs="Arial" w:eastAsia="Arial" w:hAnsi="Arial"/>
                <w:sz w:val="14"/>
                <w:szCs w:val="14"/>
                <w:b w:val="1"/>
                <w:bCs w:val="1"/>
                <w:color w:val="auto"/>
              </w:rPr>
              <w:t>Fair Value as of</w:t>
            </w:r>
          </w:p>
        </w:tc>
        <w:tc>
          <w:tcPr>
            <w:tcW w:w="96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88"/>
              </w:rPr>
              <w:t>Level 1</w:t>
            </w:r>
          </w:p>
        </w:tc>
        <w:tc>
          <w:tcPr>
            <w:tcW w:w="100" w:type="dxa"/>
            <w:vAlign w:val="bottom"/>
          </w:tcPr>
          <w:p>
            <w:pPr>
              <w:spacing w:after="0"/>
              <w:rPr>
                <w:sz w:val="14"/>
                <w:szCs w:val="14"/>
                <w:color w:val="auto"/>
              </w:rPr>
            </w:pP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Level 2</w:t>
            </w:r>
          </w:p>
        </w:tc>
        <w:tc>
          <w:tcPr>
            <w:tcW w:w="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20" w:type="dxa"/>
            <w:vAlign w:val="bottom"/>
            <w:gridSpan w:val="5"/>
          </w:tcPr>
          <w:p>
            <w:pPr>
              <w:ind w:left="40"/>
              <w:spacing w:after="0"/>
              <w:rPr>
                <w:sz w:val="20"/>
                <w:szCs w:val="20"/>
                <w:color w:val="auto"/>
              </w:rPr>
            </w:pPr>
            <w:r>
              <w:rPr>
                <w:rFonts w:ascii="Arial" w:cs="Arial" w:eastAsia="Arial" w:hAnsi="Arial"/>
                <w:sz w:val="14"/>
                <w:szCs w:val="14"/>
                <w:b w:val="1"/>
                <w:bCs w:val="1"/>
                <w:color w:val="auto"/>
              </w:rPr>
              <w:t>June 30, 2015</w:t>
            </w:r>
          </w:p>
        </w:tc>
        <w:tc>
          <w:tcPr>
            <w:tcW w:w="9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5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Cash equivalents</w:t>
            </w:r>
          </w:p>
        </w:tc>
        <w:tc>
          <w:tcPr>
            <w:tcW w:w="138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2,033</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gridSpan w:val="2"/>
          </w:tcPr>
          <w:p>
            <w:pPr>
              <w:jc w:val="center"/>
              <w:ind w:right="40"/>
              <w:spacing w:after="0"/>
              <w:rPr>
                <w:sz w:val="20"/>
                <w:szCs w:val="20"/>
                <w:color w:val="auto"/>
              </w:rPr>
            </w:pPr>
            <w:r>
              <w:rPr>
                <w:rFonts w:ascii="Arial" w:cs="Arial" w:eastAsia="Arial" w:hAnsi="Arial"/>
                <w:sz w:val="18"/>
                <w:szCs w:val="18"/>
                <w:color w:val="auto"/>
                <w:w w:val="83"/>
              </w:rPr>
              <w:t>$2,033</w:t>
            </w:r>
          </w:p>
        </w:tc>
        <w:tc>
          <w:tcPr>
            <w:tcW w:w="46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auto"/>
              </w:rPr>
              <w:t>$ —</w:t>
            </w:r>
          </w:p>
        </w:tc>
        <w:tc>
          <w:tcPr>
            <w:tcW w:w="500" w:type="dxa"/>
            <w:vAlign w:val="bottom"/>
            <w:gridSpan w:val="3"/>
          </w:tcPr>
          <w:p>
            <w:pPr>
              <w:jc w:val="right"/>
              <w:ind w:right="180"/>
              <w:spacing w:after="0"/>
              <w:rPr>
                <w:sz w:val="20"/>
                <w:szCs w:val="20"/>
                <w:color w:val="auto"/>
              </w:rPr>
            </w:pPr>
            <w:r>
              <w:rPr>
                <w:rFonts w:ascii="Arial" w:cs="Arial" w:eastAsia="Arial" w:hAnsi="Arial"/>
                <w:sz w:val="18"/>
                <w:szCs w:val="18"/>
                <w:color w:val="auto"/>
                <w:w w:val="90"/>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forward contracts</w:t>
            </w:r>
          </w:p>
        </w:tc>
        <w:tc>
          <w:tcPr>
            <w:tcW w:w="1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w:t>
            </w:r>
          </w:p>
        </w:tc>
        <w:tc>
          <w:tcPr>
            <w:tcW w:w="52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80" w:type="dxa"/>
            <w:vAlign w:val="bottom"/>
            <w:gridSpan w:val="2"/>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180" w:type="dxa"/>
            <w:vAlign w:val="bottom"/>
            <w:gridSpan w:val="2"/>
          </w:tcPr>
          <w:p>
            <w:pPr>
              <w:spacing w:after="0"/>
              <w:rPr>
                <w:sz w:val="20"/>
                <w:szCs w:val="20"/>
                <w:color w:val="auto"/>
              </w:rPr>
            </w:pPr>
            <w:r>
              <w:rPr>
                <w:rFonts w:ascii="Arial" w:cs="Arial" w:eastAsia="Arial" w:hAnsi="Arial"/>
                <w:sz w:val="18"/>
                <w:szCs w:val="18"/>
                <w:color w:val="auto"/>
              </w:rPr>
              <w:t>Total assets measured at fair value on a recurring basis</w:t>
            </w:r>
          </w:p>
        </w:tc>
        <w:tc>
          <w:tcPr>
            <w:tcW w:w="12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2,216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 xml:space="preserve"> 2,033</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$ 183</w:t>
            </w:r>
          </w:p>
        </w:tc>
        <w:tc>
          <w:tcPr>
            <w:tcW w:w="520" w:type="dxa"/>
            <w:vAlign w:val="bottom"/>
          </w:tcPr>
          <w:p>
            <w:pPr>
              <w:spacing w:after="0"/>
              <w:rPr>
                <w:sz w:val="24"/>
                <w:szCs w:val="24"/>
                <w:color w:val="auto"/>
              </w:rPr>
            </w:pPr>
          </w:p>
        </w:tc>
        <w:tc>
          <w:tcPr>
            <w:tcW w:w="500" w:type="dxa"/>
            <w:vAlign w:val="bottom"/>
            <w:gridSpan w:val="3"/>
          </w:tcPr>
          <w:p>
            <w:pPr>
              <w:jc w:val="right"/>
              <w:ind w:right="180"/>
              <w:spacing w:after="0"/>
              <w:rPr>
                <w:sz w:val="20"/>
                <w:szCs w:val="20"/>
                <w:color w:val="auto"/>
              </w:rPr>
            </w:pPr>
            <w:r>
              <w:rPr>
                <w:rFonts w:ascii="Arial" w:cs="Arial" w:eastAsia="Arial" w:hAnsi="Arial"/>
                <w:sz w:val="18"/>
                <w:szCs w:val="18"/>
                <w:color w:val="auto"/>
                <w:w w:val="90"/>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20" w:type="dxa"/>
            <w:vAlign w:val="bottom"/>
            <w:gridSpan w:val="5"/>
          </w:tcPr>
          <w:p>
            <w:pPr>
              <w:spacing w:after="0"/>
              <w:rPr>
                <w:sz w:val="20"/>
                <w:szCs w:val="20"/>
                <w:color w:val="auto"/>
              </w:rPr>
            </w:pPr>
            <w:r>
              <w:rPr>
                <w:rFonts w:ascii="Arial" w:cs="Arial" w:eastAsia="Arial" w:hAnsi="Arial"/>
                <w:sz w:val="14"/>
                <w:szCs w:val="14"/>
                <w:b w:val="1"/>
                <w:bCs w:val="1"/>
                <w:color w:val="auto"/>
              </w:rPr>
              <w:t>Fair Value as of</w:t>
            </w:r>
          </w:p>
        </w:tc>
        <w:tc>
          <w:tcPr>
            <w:tcW w:w="96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2"/>
              </w:rPr>
              <w:t>Level 1</w:t>
            </w:r>
          </w:p>
        </w:tc>
        <w:tc>
          <w:tcPr>
            <w:tcW w:w="100" w:type="dxa"/>
            <w:vAlign w:val="bottom"/>
          </w:tcPr>
          <w:p>
            <w:pPr>
              <w:spacing w:after="0"/>
              <w:rPr>
                <w:sz w:val="24"/>
                <w:szCs w:val="24"/>
                <w:color w:val="auto"/>
              </w:rPr>
            </w:pP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Level 2</w:t>
            </w:r>
          </w:p>
        </w:tc>
        <w:tc>
          <w:tcPr>
            <w:tcW w:w="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4"/>
          </w:tcPr>
          <w:p>
            <w:pPr>
              <w:spacing w:after="0"/>
              <w:rPr>
                <w:sz w:val="20"/>
                <w:szCs w:val="20"/>
                <w:color w:val="auto"/>
              </w:rPr>
            </w:pPr>
            <w:r>
              <w:rPr>
                <w:rFonts w:ascii="Arial" w:cs="Arial" w:eastAsia="Arial" w:hAnsi="Arial"/>
                <w:sz w:val="14"/>
                <w:szCs w:val="14"/>
                <w:b w:val="1"/>
                <w:bCs w:val="1"/>
                <w:color w:val="auto"/>
              </w:rPr>
              <w:t>April 3, 2015</w:t>
            </w:r>
          </w:p>
        </w:tc>
        <w:tc>
          <w:tcPr>
            <w:tcW w:w="9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5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Cash equivalents</w:t>
            </w:r>
          </w:p>
        </w:tc>
        <w:tc>
          <w:tcPr>
            <w:tcW w:w="1380" w:type="dxa"/>
            <w:vAlign w:val="bottom"/>
            <w:gridSpan w:val="2"/>
          </w:tcPr>
          <w:p>
            <w:pPr>
              <w:ind w:left="1280"/>
              <w:spacing w:after="0"/>
              <w:rPr>
                <w:sz w:val="20"/>
                <w:szCs w:val="20"/>
                <w:color w:val="auto"/>
              </w:rPr>
            </w:pPr>
            <w:r>
              <w:rPr>
                <w:rFonts w:ascii="Arial" w:cs="Arial" w:eastAsia="Arial" w:hAnsi="Arial"/>
                <w:sz w:val="18"/>
                <w:szCs w:val="18"/>
                <w:color w:val="auto"/>
                <w:w w:val="79"/>
              </w:rPr>
              <w:t>$</w:t>
            </w:r>
          </w:p>
        </w:tc>
        <w:tc>
          <w:tcPr>
            <w:tcW w:w="1420" w:type="dxa"/>
            <w:vAlign w:val="bottom"/>
            <w:gridSpan w:val="4"/>
          </w:tcPr>
          <w:p>
            <w:pPr>
              <w:jc w:val="right"/>
              <w:ind w:right="540"/>
              <w:spacing w:after="0"/>
              <w:rPr>
                <w:sz w:val="20"/>
                <w:szCs w:val="20"/>
                <w:color w:val="auto"/>
              </w:rPr>
            </w:pPr>
            <w:r>
              <w:rPr>
                <w:rFonts w:ascii="Arial" w:cs="Arial" w:eastAsia="Arial" w:hAnsi="Arial"/>
                <w:sz w:val="18"/>
                <w:szCs w:val="18"/>
                <w:color w:val="auto"/>
              </w:rPr>
              <w:t>2,033</w:t>
            </w:r>
          </w:p>
        </w:tc>
        <w:tc>
          <w:tcPr>
            <w:tcW w:w="960" w:type="dxa"/>
            <w:vAlign w:val="bottom"/>
            <w:gridSpan w:val="3"/>
          </w:tcPr>
          <w:p>
            <w:pPr>
              <w:jc w:val="center"/>
              <w:ind w:right="4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2,033</w:t>
            </w:r>
          </w:p>
        </w:tc>
        <w:tc>
          <w:tcPr>
            <w:tcW w:w="100" w:type="dxa"/>
            <w:vAlign w:val="bottom"/>
          </w:tcPr>
          <w:p>
            <w:pPr>
              <w:spacing w:after="0"/>
              <w:rPr>
                <w:sz w:val="18"/>
                <w:szCs w:val="18"/>
                <w:color w:val="auto"/>
              </w:rPr>
            </w:pPr>
          </w:p>
        </w:tc>
        <w:tc>
          <w:tcPr>
            <w:tcW w:w="960" w:type="dxa"/>
            <w:vAlign w:val="bottom"/>
            <w:gridSpan w:val="3"/>
          </w:tcPr>
          <w:p>
            <w:pPr>
              <w:spacing w:after="0"/>
              <w:rPr>
                <w:sz w:val="20"/>
                <w:szCs w:val="20"/>
                <w:color w:val="auto"/>
              </w:rPr>
            </w:pPr>
            <w:r>
              <w:rPr>
                <w:rFonts w:ascii="Arial" w:cs="Arial" w:eastAsia="Arial" w:hAnsi="Arial"/>
                <w:sz w:val="18"/>
                <w:szCs w:val="18"/>
                <w:color w:val="auto"/>
              </w:rPr>
              <w:t>$ —</w:t>
            </w:r>
          </w:p>
        </w:tc>
        <w:tc>
          <w:tcPr>
            <w:tcW w:w="500" w:type="dxa"/>
            <w:vAlign w:val="bottom"/>
            <w:gridSpan w:val="3"/>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1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54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assets measured at fair value on a recurring basis</w:t>
            </w:r>
          </w:p>
        </w:tc>
        <w:tc>
          <w:tcPr>
            <w:tcW w:w="13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w w:val="79"/>
              </w:rPr>
              <w:t>$</w:t>
            </w:r>
          </w:p>
        </w:tc>
        <w:tc>
          <w:tcPr>
            <w:tcW w:w="1420" w:type="dxa"/>
            <w:vAlign w:val="bottom"/>
            <w:tcBorders>
              <w:right w:val="single" w:sz="8" w:color="CCEEFF"/>
            </w:tcBorders>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2,033</w:t>
            </w:r>
          </w:p>
        </w:tc>
        <w:tc>
          <w:tcPr>
            <w:tcW w:w="960" w:type="dxa"/>
            <w:vAlign w:val="bottom"/>
            <w:gridSpan w:val="3"/>
            <w:shd w:val="clear" w:color="auto" w:fill="CCEEFF"/>
          </w:tcPr>
          <w:p>
            <w:pPr>
              <w:jc w:val="center"/>
              <w:ind w:right="4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2,033</w:t>
            </w:r>
          </w:p>
        </w:tc>
        <w:tc>
          <w:tcPr>
            <w:tcW w:w="100" w:type="dxa"/>
            <w:vAlign w:val="bottom"/>
            <w:tcBorders>
              <w:right w:val="single" w:sz="8" w:color="CCEEFF"/>
            </w:tcBorders>
            <w:shd w:val="clear" w:color="auto" w:fill="CCEEFF"/>
          </w:tcPr>
          <w:p>
            <w:pPr>
              <w:spacing w:after="0"/>
              <w:rPr>
                <w:sz w:val="18"/>
                <w:szCs w:val="18"/>
                <w:color w:val="auto"/>
              </w:rPr>
            </w:pPr>
          </w:p>
        </w:tc>
        <w:tc>
          <w:tcPr>
            <w:tcW w:w="96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 —</w:t>
            </w:r>
          </w:p>
        </w:tc>
        <w:tc>
          <w:tcPr>
            <w:tcW w:w="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section describes the valuation methodologies the Company uses to measure financial instruments at fair value:</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Company’s cash equivalents consist of money market funds. Money market funds are valued using quoted prices for identical</w:t>
      </w:r>
      <w:r>
        <w:rPr>
          <w:rFonts w:ascii="Arial" w:cs="Arial" w:eastAsia="Arial" w:hAnsi="Arial"/>
          <w:sz w:val="18"/>
          <w:szCs w:val="18"/>
          <w:i w:val="1"/>
          <w:iCs w:val="1"/>
          <w:color w:val="auto"/>
        </w:rPr>
        <w:t xml:space="preserve"> </w:t>
      </w:r>
      <w:r>
        <w:rPr>
          <w:rFonts w:ascii="Arial" w:cs="Arial" w:eastAsia="Arial" w:hAnsi="Arial"/>
          <w:sz w:val="18"/>
          <w:szCs w:val="18"/>
          <w:color w:val="auto"/>
        </w:rPr>
        <w:t>assets in an active market with sufficient volume and frequency of transactions (Level 1).</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Foreign currency forward contracts </w:t>
      </w:r>
      <w:r>
        <w:rPr>
          <w:rFonts w:ascii="Arial" w:cs="Arial" w:eastAsia="Arial" w:hAnsi="Arial"/>
          <w:sz w:val="16"/>
          <w:szCs w:val="16"/>
          <w:color w:val="auto"/>
        </w:rPr>
        <w:t>— The Company uses derivative financial instruments to manage foreign currency risk relating to foreign</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rates. The Company does not use these instruments for speculative or trading purposes. The Company’s objective is to reduce the risk to earnings and cash flows associated with changes in foreign currency exchange rates. Derivative instruments are recognized as either assets or liabilities in the accompanying condensed consolidated financial statements and are measured at fair value. Gains and losses resulting from changes in the fair values of those derivative instruments are recorded to earnings or other comprehensive income (loss) depending on the use of the derivative instrument and whether it qualifies for hedge accounting. The Company’s foreign currency forward contracts are valued using standard calculations/models that are primarily based on observable inputs, such as foreign currency exchange rates, or can be corroborated by observable market data (Level 2).</w:t>
      </w:r>
    </w:p>
    <w:p>
      <w:pPr>
        <w:spacing w:after="0" w:line="16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i w:val="1"/>
          <w:iCs w:val="1"/>
          <w:color w:val="auto"/>
        </w:rPr>
        <w:t xml:space="preserve">Long-term debt </w:t>
      </w:r>
      <w:r>
        <w:rPr>
          <w:rFonts w:ascii="Arial" w:cs="Arial" w:eastAsia="Arial" w:hAnsi="Arial"/>
          <w:sz w:val="17"/>
          <w:szCs w:val="17"/>
          <w:color w:val="auto"/>
        </w:rPr>
        <w:t>— The Company’s long-term debt consists of borrowings under its revolving credit facility (the Revolving Credit Facility) and its</w:t>
      </w:r>
      <w:r>
        <w:rPr>
          <w:rFonts w:ascii="Arial" w:cs="Arial" w:eastAsia="Arial" w:hAnsi="Arial"/>
          <w:sz w:val="17"/>
          <w:szCs w:val="17"/>
          <w:i w:val="1"/>
          <w:iCs w:val="1"/>
          <w:color w:val="auto"/>
        </w:rPr>
        <w:t xml:space="preserve"> </w:t>
      </w:r>
      <w:r>
        <w:rPr>
          <w:rFonts w:ascii="Arial" w:cs="Arial" w:eastAsia="Arial" w:hAnsi="Arial"/>
          <w:sz w:val="17"/>
          <w:szCs w:val="17"/>
          <w:color w:val="auto"/>
        </w:rPr>
        <w:t>direct loan facility with the Export-Import Bank of the United States for ViaSat-2 (the Ex-Im Credit Facility and, together with the Revolving Credit Facility, the Credit Facilities), as well as $575.0 million in aggregate principal amount of 2020 Notes. The Revolving Credit Facility is reported at the outstanding principal amount of borrowings, while the Ex-Im Credit Facility and 2020 Notes are reported at amortized cost. However, for disclosure purposes, the Company is required to measure the fair value of outstanding debt on a recurring basis. As of June 30, 2015 and April 3, 2015, the fair value of the Company’s outstanding long-term debt related to the 2020 Notes was determined using quoted prices in active markets (Level 1) and was $606.6 million and $610.9 million, respectively. The fair value of the Company’s long-term debt related to the Revolving Credit Facility approximates its carrying amount due to its variable interest rate, which approximates a market interest rate. As of June 30, 2015, the fair value of the Company’s long-term debt related to the Ex-Im Credit Facility was approximately $61.0 million and was determined based on discounted cash flow analysis using observable market interest rates for instruments with similar terms (Level 2).</w:t>
      </w:r>
    </w:p>
    <w:p>
      <w:pPr>
        <w:spacing w:after="0" w:line="178"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i w:val="1"/>
          <w:iCs w:val="1"/>
          <w:color w:val="auto"/>
        </w:rPr>
        <w:t xml:space="preserve">Satellite performance incentives obligation </w:t>
      </w:r>
      <w:r>
        <w:rPr>
          <w:rFonts w:ascii="Arial" w:cs="Arial" w:eastAsia="Arial" w:hAnsi="Arial"/>
          <w:sz w:val="17"/>
          <w:szCs w:val="17"/>
          <w:color w:val="auto"/>
        </w:rPr>
        <w:t>— The Company’s contract with the manufacturer of ViaSat-1 requires the Company to make monthly in-orbit satellite performance incentive payments, including interest at 7.0%, over a fifteen-year period from December 2011 to December 2026, subject to the continued satisfactory performance of the satellite. The Company recorded the net present value of these expected future payments as a liability and as a component of the cost of the satellite. However, for disclosure purposes, the Company is required to measure the fair value of outstanding satellite performance incentives on a recurring basis. The fair value of the Company’s outstanding satellite performance incentives is estimated to approximate their carrying value based on current rates (Level 2). As of each of June 30, 2015 and April 3, 2015, the Company’s estimated satellite performance incentives obligation and accrued interest was $22.3 million and $22.4 million, respectively.</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Shares Used In Computing Diluted Net Income (Loss) Per Share</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ind w:left="460"/>
              <w:spacing w:after="0"/>
              <w:rPr>
                <w:sz w:val="20"/>
                <w:szCs w:val="20"/>
                <w:color w:val="auto"/>
              </w:rPr>
            </w:pPr>
            <w:r>
              <w:rPr>
                <w:rFonts w:ascii="Arial" w:cs="Arial" w:eastAsia="Arial" w:hAnsi="Arial"/>
                <w:sz w:val="14"/>
                <w:szCs w:val="14"/>
                <w:b w:val="1"/>
                <w:bCs w:val="1"/>
                <w:color w:val="auto"/>
              </w:rPr>
              <w:t>Three Months Ended</w:t>
            </w:r>
          </w:p>
        </w:tc>
      </w:tr>
      <w:tr>
        <w:trPr>
          <w:trHeight w:val="142"/>
        </w:trPr>
        <w:tc>
          <w:tcPr>
            <w:tcW w:w="6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June 30, 2015</w:t>
            </w:r>
          </w:p>
        </w:tc>
        <w:tc>
          <w:tcPr>
            <w:tcW w:w="13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July 4, 2014</w:t>
            </w:r>
          </w:p>
        </w:tc>
        <w:tc>
          <w:tcPr>
            <w:tcW w:w="100" w:type="dxa"/>
            <w:vAlign w:val="bottom"/>
          </w:tcPr>
          <w:p>
            <w:pPr>
              <w:spacing w:after="0"/>
              <w:rPr>
                <w:sz w:val="12"/>
                <w:szCs w:val="12"/>
                <w:color w:val="auto"/>
              </w:rPr>
            </w:pPr>
          </w:p>
        </w:tc>
      </w:tr>
      <w:tr>
        <w:trPr>
          <w:trHeight w:val="142"/>
        </w:trPr>
        <w:tc>
          <w:tcPr>
            <w:tcW w:w="6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20" w:type="dxa"/>
            <w:vAlign w:val="bottom"/>
            <w:gridSpan w:val="3"/>
          </w:tcPr>
          <w:p>
            <w:pPr>
              <w:jc w:val="right"/>
              <w:ind w:right="57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6060" w:type="dxa"/>
            <w:vAlign w:val="bottom"/>
          </w:tcPr>
          <w:p>
            <w:pPr>
              <w:spacing w:after="0" w:line="201" w:lineRule="exact"/>
              <w:rPr>
                <w:sz w:val="20"/>
                <w:szCs w:val="20"/>
                <w:color w:val="auto"/>
              </w:rPr>
            </w:pPr>
            <w:r>
              <w:rPr>
                <w:rFonts w:ascii="Arial" w:cs="Arial" w:eastAsia="Arial" w:hAnsi="Arial"/>
                <w:sz w:val="18"/>
                <w:szCs w:val="18"/>
                <w:color w:val="auto"/>
              </w:rPr>
              <w:t>Common shares outstanding used in calculating basic net income (loss) per</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060" w:type="dxa"/>
            <w:vAlign w:val="bottom"/>
          </w:tcPr>
          <w:p>
            <w:pPr>
              <w:ind w:left="180"/>
              <w:spacing w:after="0"/>
              <w:rPr>
                <w:sz w:val="20"/>
                <w:szCs w:val="20"/>
                <w:color w:val="auto"/>
              </w:rPr>
            </w:pPr>
            <w:r>
              <w:rPr>
                <w:rFonts w:ascii="Arial" w:cs="Arial" w:eastAsia="Arial" w:hAnsi="Arial"/>
                <w:sz w:val="18"/>
                <w:szCs w:val="18"/>
                <w:color w:val="auto"/>
              </w:rPr>
              <w:t>share attributable to ViaSat, Inc. common stockholders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47,918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46,528</w:t>
            </w:r>
          </w:p>
        </w:tc>
        <w:tc>
          <w:tcPr>
            <w:tcW w:w="100" w:type="dxa"/>
            <w:vAlign w:val="bottom"/>
          </w:tcPr>
          <w:p>
            <w:pPr>
              <w:spacing w:after="0"/>
              <w:rPr>
                <w:sz w:val="20"/>
                <w:szCs w:val="20"/>
                <w:color w:val="auto"/>
              </w:rPr>
            </w:pPr>
          </w:p>
        </w:tc>
      </w:tr>
      <w:tr>
        <w:trPr>
          <w:trHeight w:val="202"/>
        </w:trPr>
        <w:tc>
          <w:tcPr>
            <w:tcW w:w="6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Options to purchase common stock as determined by application of the treasury</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method</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6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02"/>
        </w:trPr>
        <w:tc>
          <w:tcPr>
            <w:tcW w:w="6060" w:type="dxa"/>
            <w:vAlign w:val="bottom"/>
          </w:tcPr>
          <w:p>
            <w:pPr>
              <w:spacing w:after="0" w:line="201" w:lineRule="exact"/>
              <w:rPr>
                <w:sz w:val="20"/>
                <w:szCs w:val="20"/>
                <w:color w:val="auto"/>
              </w:rPr>
            </w:pPr>
            <w:r>
              <w:rPr>
                <w:rFonts w:ascii="Arial" w:cs="Arial" w:eastAsia="Arial" w:hAnsi="Arial"/>
                <w:sz w:val="18"/>
                <w:szCs w:val="18"/>
                <w:color w:val="auto"/>
                <w:w w:val="95"/>
              </w:rPr>
              <w:t>Restricted stock units to acquire common stock as determined by application of</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060" w:type="dxa"/>
            <w:vAlign w:val="bottom"/>
          </w:tcPr>
          <w:p>
            <w:pPr>
              <w:ind w:left="180"/>
              <w:spacing w:after="0"/>
              <w:rPr>
                <w:sz w:val="20"/>
                <w:szCs w:val="20"/>
                <w:color w:val="auto"/>
              </w:rPr>
            </w:pPr>
            <w:r>
              <w:rPr>
                <w:rFonts w:ascii="Arial" w:cs="Arial" w:eastAsia="Arial" w:hAnsi="Arial"/>
                <w:sz w:val="18"/>
                <w:szCs w:val="18"/>
                <w:color w:val="auto"/>
              </w:rPr>
              <w:t>the treasury stock method</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402</w:t>
            </w:r>
          </w:p>
        </w:tc>
        <w:tc>
          <w:tcPr>
            <w:tcW w:w="640" w:type="dxa"/>
            <w:vAlign w:val="bottom"/>
          </w:tcPr>
          <w:p>
            <w:pPr>
              <w:spacing w:after="0"/>
              <w:rPr>
                <w:sz w:val="20"/>
                <w:szCs w:val="20"/>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r>
      <w:tr>
        <w:trPr>
          <w:trHeight w:val="202"/>
        </w:trPr>
        <w:tc>
          <w:tcPr>
            <w:tcW w:w="6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Potentially issuable shares in connection with certain terms of the ViaSat 401(k)</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Profit Sharing Plan and Employee Stock Purchase Plan</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6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76"/>
        </w:trPr>
        <w:tc>
          <w:tcPr>
            <w:tcW w:w="6060" w:type="dxa"/>
            <w:vAlign w:val="bottom"/>
          </w:tcPr>
          <w:p>
            <w:pPr>
              <w:spacing w:after="0"/>
              <w:rPr>
                <w:sz w:val="20"/>
                <w:szCs w:val="20"/>
                <w:color w:val="auto"/>
              </w:rPr>
            </w:pPr>
            <w:r>
              <w:rPr>
                <w:rFonts w:ascii="Arial" w:cs="Arial" w:eastAsia="Arial" w:hAnsi="Arial"/>
                <w:sz w:val="18"/>
                <w:szCs w:val="18"/>
                <w:color w:val="auto"/>
              </w:rPr>
              <w:t>Shares used in computing diluted net income (loss) per share attributable to</w:t>
            </w:r>
          </w:p>
        </w:tc>
        <w:tc>
          <w:tcPr>
            <w:tcW w:w="3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6060" w:type="dxa"/>
            <w:vAlign w:val="bottom"/>
          </w:tcPr>
          <w:p>
            <w:pPr>
              <w:ind w:left="180"/>
              <w:spacing w:after="0"/>
              <w:rPr>
                <w:sz w:val="20"/>
                <w:szCs w:val="20"/>
                <w:color w:val="auto"/>
              </w:rPr>
            </w:pPr>
            <w:r>
              <w:rPr>
                <w:rFonts w:ascii="Arial" w:cs="Arial" w:eastAsia="Arial" w:hAnsi="Arial"/>
                <w:sz w:val="18"/>
                <w:szCs w:val="18"/>
                <w:color w:val="auto"/>
              </w:rPr>
              <w:t>ViaSat, Inc. common stockholders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48,840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46,528</w:t>
            </w:r>
          </w:p>
        </w:tc>
        <w:tc>
          <w:tcPr>
            <w:tcW w:w="100" w:type="dxa"/>
            <w:vAlign w:val="bottom"/>
          </w:tcPr>
          <w:p>
            <w:pPr>
              <w:spacing w:after="0"/>
              <w:rPr>
                <w:sz w:val="20"/>
                <w:szCs w:val="20"/>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Antidilutive shares relating to stock options excluded from the calculation comprised 642,841 shares for the three months ended June 30, 2015.</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Antidilutive shares relating to restricted stock units excluded from the calculation comprised 15 shares for the three months ended June 30, 2015.</w:t>
      </w:r>
    </w:p>
    <w:p>
      <w:pPr>
        <w:spacing w:after="0" w:line="222"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weighted average number of shares used to calculate basic and diluted net loss per share attributable to ViaSat, Inc. common stockholders is the same for the three months ended July 4, 2014, as the Company incurred a net loss attributable to ViaSat, Inc. common stockholders for such period and inclusion of potentially dilutive shares of common stock would be antidilutive. Potentially dilutive shares of common stock excluded from the calculation for the three months ended July 4, 2014 were 910,338 shares relating to stock options, 458,801 shares relating to restricted stock units and 165,341 shares relating to certain terms of the ViaSat 401(k) Profit Sharing Plan and Employee Stock Purchase Plan.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Acquired Intangible Assets</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During the first three months of fiscal year 2016, the Company’s goodwill increased by $0.5 million, which related to the effects of foreign currency translation recorded within the Company’s government systems and commercial networks segments.</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During the first three months of fiscal year 2016, $7.6 million of the increase in the Company’s other acquired intangible assets related to the acquisition of Engreen recorded within the Company’s commercial networks segment. All other amounts recorded related to the acquisition of Engreen were not significant. Other acquired intangible assets are amortized using the straight-line method over their estimated useful lives of two to ten years. Amortization expense related to other acquired intangible assets was $4.8 million and $4.0 million for the three months ended June 30, 2015 and July 4, 2014, respectively.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The expected amortization expense of amortizable acquired intangible assets may change due to the effects of foreign currency fluctuations as a result of international businesses acquired. Current and expected amortization expense for acquired intangible assets for each of the following periods is as follows:</w:t>
      </w:r>
    </w:p>
    <w:p>
      <w:pPr>
        <w:spacing w:after="0" w:line="143"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r>
      <w:tr>
        <w:trPr>
          <w:trHeight w:val="142"/>
        </w:trPr>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2"/>
                <w:szCs w:val="12"/>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For the three months ended June 30, 2015</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4,810</w:t>
            </w:r>
          </w:p>
        </w:tc>
        <w:tc>
          <w:tcPr>
            <w:tcW w:w="100" w:type="dxa"/>
            <w:vAlign w:val="bottom"/>
            <w:shd w:val="clear" w:color="auto" w:fill="CCEEFF"/>
          </w:tcPr>
          <w:p>
            <w:pPr>
              <w:spacing w:after="0"/>
              <w:rPr>
                <w:sz w:val="18"/>
                <w:szCs w:val="18"/>
                <w:color w:val="auto"/>
              </w:rPr>
            </w:pPr>
          </w:p>
        </w:tc>
      </w:tr>
      <w:tr>
        <w:trPr>
          <w:trHeight w:val="324"/>
        </w:trPr>
        <w:tc>
          <w:tcPr>
            <w:tcW w:w="6760" w:type="dxa"/>
            <w:vAlign w:val="bottom"/>
          </w:tcPr>
          <w:p>
            <w:pPr>
              <w:spacing w:after="0"/>
              <w:rPr>
                <w:sz w:val="20"/>
                <w:szCs w:val="20"/>
                <w:color w:val="auto"/>
              </w:rPr>
            </w:pPr>
            <w:r>
              <w:rPr>
                <w:rFonts w:ascii="Arial" w:cs="Arial" w:eastAsia="Arial" w:hAnsi="Arial"/>
                <w:sz w:val="18"/>
                <w:szCs w:val="18"/>
                <w:color w:val="auto"/>
              </w:rPr>
              <w:t>Expected for the remainder of fiscal year 2016</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11,621</w:t>
            </w:r>
          </w:p>
        </w:tc>
        <w:tc>
          <w:tcPr>
            <w:tcW w:w="100" w:type="dxa"/>
            <w:vAlign w:val="bottom"/>
          </w:tcPr>
          <w:p>
            <w:pPr>
              <w:spacing w:after="0"/>
              <w:rPr>
                <w:sz w:val="24"/>
                <w:szCs w:val="24"/>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9,358</w:t>
            </w: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Expected for fiscal year 2018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8,024</w:t>
            </w: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5,511</w:t>
            </w: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Expected for fiscal year 2020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4,479</w:t>
            </w: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6,238</w:t>
            </w:r>
          </w:p>
        </w:tc>
        <w:tc>
          <w:tcPr>
            <w:tcW w:w="100" w:type="dxa"/>
            <w:vAlign w:val="bottom"/>
            <w:shd w:val="clear" w:color="auto" w:fill="CCEEFF"/>
          </w:tcPr>
          <w:p>
            <w:pPr>
              <w:spacing w:after="0"/>
              <w:rPr>
                <w:sz w:val="18"/>
                <w:szCs w:val="18"/>
                <w:color w:val="auto"/>
              </w:rPr>
            </w:pPr>
          </w:p>
        </w:tc>
      </w:tr>
      <w:tr>
        <w:trPr>
          <w:trHeight w:val="291"/>
        </w:trPr>
        <w:tc>
          <w:tcPr>
            <w:tcW w:w="6760" w:type="dxa"/>
            <w:vAlign w:val="bottom"/>
          </w:tcPr>
          <w:p>
            <w:pPr>
              <w:spacing w:after="0"/>
              <w:rPr>
                <w:sz w:val="24"/>
                <w:szCs w:val="24"/>
                <w:color w:val="auto"/>
              </w:rPr>
            </w:pPr>
          </w:p>
        </w:tc>
        <w:tc>
          <w:tcPr>
            <w:tcW w:w="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45,231</w:t>
            </w:r>
          </w:p>
        </w:tc>
        <w:tc>
          <w:tcPr>
            <w:tcW w:w="100" w:type="dxa"/>
            <w:vAlign w:val="bottom"/>
          </w:tcPr>
          <w:p>
            <w:pPr>
              <w:spacing w:after="0"/>
              <w:rPr>
                <w:sz w:val="24"/>
                <w:szCs w:val="24"/>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Senior Notes and Other Long-Term Debt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long-term debt consisted of the following as of June 30, 2015 and April 3, 2015:</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As of</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480" w:type="dxa"/>
            <w:vAlign w:val="bottom"/>
            <w:gridSpan w:val="4"/>
          </w:tcPr>
          <w:p>
            <w:pPr>
              <w:ind w:left="1320"/>
              <w:spacing w:after="0"/>
              <w:rPr>
                <w:sz w:val="20"/>
                <w:szCs w:val="20"/>
                <w:color w:val="auto"/>
              </w:rPr>
            </w:pPr>
            <w:r>
              <w:rPr>
                <w:rFonts w:ascii="Arial" w:cs="Arial" w:eastAsia="Arial" w:hAnsi="Arial"/>
                <w:sz w:val="14"/>
                <w:szCs w:val="14"/>
                <w:b w:val="1"/>
                <w:bCs w:val="1"/>
                <w:color w:val="auto"/>
              </w:rPr>
              <w:t>June 30, 2015</w:t>
            </w:r>
          </w:p>
        </w:tc>
        <w:tc>
          <w:tcPr>
            <w:tcW w:w="1180" w:type="dxa"/>
            <w:vAlign w:val="bottom"/>
            <w:gridSpan w:val="4"/>
          </w:tcPr>
          <w:p>
            <w:pPr>
              <w:ind w:left="260"/>
              <w:spacing w:after="0"/>
              <w:rPr>
                <w:sz w:val="20"/>
                <w:szCs w:val="20"/>
                <w:color w:val="auto"/>
              </w:rPr>
            </w:pPr>
            <w:r>
              <w:rPr>
                <w:rFonts w:ascii="Arial" w:cs="Arial" w:eastAsia="Arial" w:hAnsi="Arial"/>
                <w:sz w:val="14"/>
                <w:szCs w:val="14"/>
                <w:b w:val="1"/>
                <w:bCs w:val="1"/>
                <w:color w:val="auto"/>
              </w:rPr>
              <w:t>April 3, 2015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4"/>
          </w:tcPr>
          <w:p>
            <w:pPr>
              <w:ind w:left="48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Senior Notes</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2020 Notes</w:t>
            </w:r>
          </w:p>
        </w:tc>
        <w:tc>
          <w:tcPr>
            <w:tcW w:w="150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575,000</w:t>
            </w:r>
          </w:p>
        </w:tc>
        <w:tc>
          <w:tcPr>
            <w:tcW w:w="300" w:type="dxa"/>
            <w:vAlign w:val="bottom"/>
          </w:tcPr>
          <w:p>
            <w:pPr>
              <w:spacing w:after="0"/>
              <w:rPr>
                <w:sz w:val="18"/>
                <w:szCs w:val="18"/>
                <w:color w:val="auto"/>
              </w:rPr>
            </w:pP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575,000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Unamortized premium on the 2020 Notes</w:t>
            </w:r>
          </w:p>
        </w:tc>
        <w:tc>
          <w:tcPr>
            <w:tcW w:w="1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020" w:type="dxa"/>
            <w:vAlign w:val="bottom"/>
            <w:gridSpan w:val="2"/>
          </w:tcPr>
          <w:p>
            <w:pPr>
              <w:spacing w:after="0"/>
              <w:rPr>
                <w:sz w:val="20"/>
                <w:szCs w:val="20"/>
                <w:color w:val="auto"/>
              </w:rPr>
            </w:pPr>
            <w:r>
              <w:rPr>
                <w:rFonts w:ascii="Arial" w:cs="Arial" w:eastAsia="Arial" w:hAnsi="Arial"/>
                <w:sz w:val="18"/>
                <w:szCs w:val="18"/>
                <w:color w:val="auto"/>
              </w:rPr>
              <w:t>Total senior notes, net of premium</w:t>
            </w: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582,343</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582,657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the senior notes</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1"/>
        </w:trPr>
        <w:tc>
          <w:tcPr>
            <w:tcW w:w="5020" w:type="dxa"/>
            <w:vAlign w:val="bottom"/>
            <w:gridSpan w:val="2"/>
          </w:tcPr>
          <w:p>
            <w:pPr>
              <w:spacing w:after="0"/>
              <w:rPr>
                <w:sz w:val="20"/>
                <w:szCs w:val="20"/>
                <w:color w:val="auto"/>
              </w:rPr>
            </w:pPr>
            <w:r>
              <w:rPr>
                <w:rFonts w:ascii="Arial" w:cs="Arial" w:eastAsia="Arial" w:hAnsi="Arial"/>
                <w:sz w:val="18"/>
                <w:szCs w:val="18"/>
                <w:color w:val="auto"/>
              </w:rPr>
              <w:t>Total senior notes long-term, net</w:t>
            </w:r>
          </w:p>
        </w:tc>
        <w:tc>
          <w:tcPr>
            <w:tcW w:w="13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582,343</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582,657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0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Other Long-Term Debt</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225,000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210,000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Ex-Im Credit Facility</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61,580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Unamortized discount on the Ex-Im Credit Facility</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(8,009)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020" w:type="dxa"/>
            <w:vAlign w:val="bottom"/>
            <w:gridSpan w:val="2"/>
          </w:tcPr>
          <w:p>
            <w:pPr>
              <w:spacing w:after="0"/>
              <w:rPr>
                <w:sz w:val="20"/>
                <w:szCs w:val="20"/>
                <w:color w:val="auto"/>
              </w:rPr>
            </w:pPr>
            <w:r>
              <w:rPr>
                <w:rFonts w:ascii="Arial" w:cs="Arial" w:eastAsia="Arial" w:hAnsi="Arial"/>
                <w:sz w:val="18"/>
                <w:szCs w:val="18"/>
                <w:color w:val="auto"/>
              </w:rPr>
              <w:t>Total other long-term debt</w:t>
            </w: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279,404</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223,996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other long-term debt</w:t>
            </w:r>
          </w:p>
        </w:tc>
        <w:tc>
          <w:tcPr>
            <w:tcW w:w="1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020" w:type="dxa"/>
            <w:vAlign w:val="bottom"/>
            <w:gridSpan w:val="2"/>
          </w:tcPr>
          <w:p>
            <w:pPr>
              <w:spacing w:after="0"/>
              <w:rPr>
                <w:sz w:val="20"/>
                <w:szCs w:val="20"/>
                <w:color w:val="auto"/>
              </w:rPr>
            </w:pPr>
            <w:r>
              <w:rPr>
                <w:rFonts w:ascii="Arial" w:cs="Arial" w:eastAsia="Arial" w:hAnsi="Arial"/>
                <w:sz w:val="18"/>
                <w:szCs w:val="18"/>
                <w:color w:val="auto"/>
              </w:rPr>
              <w:t>Other long-term debt, net</w:t>
            </w: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279,140</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223,736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0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861,747</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806,653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Less: current portion</w:t>
            </w:r>
          </w:p>
        </w:tc>
        <w:tc>
          <w:tcPr>
            <w:tcW w:w="1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0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150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861,483</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806,393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17"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As of June 30, 2015, the Revolving Credit Facility provided a $500.0 million revolving line of credit (including up to $150.0 million of letters of credit), with a maturity date of November 26, 2018. Borrowings under the Revolving Credit Facility bear interest, at the Company’s option, at either (1) the highest of the Federal Funds rate plus 0.50%, the Eurodollar rate plus 1.00%, or the administrative agent’s prime rate as announced from time to time, or</w:t>
      </w:r>
    </w:p>
    <w:p>
      <w:pPr>
        <w:ind w:firstLine="8"/>
        <w:spacing w:after="0" w:line="252"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Eurodollar rate, plus, in the case of each of (1) and (2), an applicable margin that is based on the Company’s total leverage ratio. At June 30, 2015, the weighted average effective interest rate on the Company’s outstanding borrowings under the Revolving Credit Facility was 2.19%. The Company has capitalized certain amounts of interest expense on the Revolving Credit Facility in connection with the construction of various assets during the construction period. The Revolving Credit Facility is required to be guaranteed by certain significant domestic subsidiaries of the Company (as defined in the Revolving Credit Facility) and secured by substantially all of the Company’s and any such subsidiaries’ assets. As of June 30, 2015, none of the Company’s subsidiaries guaranteed the Revolving Credit Facility.</w:t>
      </w:r>
    </w:p>
    <w:p>
      <w:pPr>
        <w:sectPr>
          <w:pgSz w:w="11900" w:h="16838" w:orient="portrait"/>
          <w:cols w:equalWidth="0" w:num="1">
            <w:col w:w="11340"/>
          </w:cols>
          <w:pgMar w:left="240" w:top="459" w:right="319" w:bottom="1440" w:gutter="0" w:footer="0" w:header="0"/>
        </w:sectPr>
      </w:pP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340"/>
          </w:cols>
          <w:pgMar w:left="240" w:top="459" w:right="31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jc w:val="both"/>
        <w:ind w:right="560" w:firstLine="456"/>
        <w:spacing w:after="0" w:line="286" w:lineRule="auto"/>
        <w:rPr>
          <w:sz w:val="20"/>
          <w:szCs w:val="20"/>
          <w:color w:val="auto"/>
        </w:rPr>
      </w:pPr>
      <w:r>
        <w:rPr>
          <w:rFonts w:ascii="Arial" w:cs="Arial" w:eastAsia="Arial" w:hAnsi="Arial"/>
          <w:sz w:val="17"/>
          <w:szCs w:val="17"/>
          <w:color w:val="auto"/>
        </w:rPr>
        <w:t>The Revolving Credit Facility contains financial covenants regarding a maximum total leverage ratio and a minimum interest coverage ratio. In addition, the Revolving Credit Facility contains covenants that restrict, among other things, the Company’s ability to sell assets, make investments and acquisitions, make capital expenditures, grant liens, pay dividends and make certain other restricted payments.</w:t>
      </w:r>
    </w:p>
    <w:p>
      <w:pPr>
        <w:spacing w:after="0" w:line="166"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color w:val="auto"/>
        </w:rPr>
        <w:t>The Company was in compliance with its financial covenants under the Revolving Credit Facility as of June 30, 2015. At June 30, 2015, the Company had $225.0 million in principal amount of outstanding borrowings under the Revolving Credit Facility and $46.2 million outstanding under standby letters of credit, leaving borrowing availability under the Revolving Credit Facility as of June 30, 2015 of $228.8 million.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Ex-Im Credit Facility</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March 12, 2015, a foreign subsidiary of the Company entered into the Ex-Im Credit Facility with the Export-Import Bank of the United States. As of June 30, 2015, the Ex-Im Credit Facility provided a $524.9 million senior secured direct loan facility, $467.0 million of which can be used to finance up to 85% of the costs of construction, launch and insurance of the ViaSat-2 satellite and related goods and services (including costs incurred on or after September 18, 2012), with the remainder used to finance the total exposure fees incurred under the Ex-Im Credit Facility of up to $57.9 million (depending on the total amount of financing borrowed under the Ex-Im Credit Facility). Borrowings under the Ex-Im Credit Facility bear interest at a fixed rate of 2.38% and are required to be repaid in 17 approximately equal semi-annual installments, commencing approximately six months after the in-orbit acceptance date of the ViaSat-2 satellite (or, if earlier, on October 15, 2017), with a maturity date of October 15, 2025. Exposure fees of $6.0 million were incurred in connection with the initial borrowing under the Ex-Im Credit Facility, with the remaining exposure fees payable by the in-orbit acceptance date for ViaSat-2. Exposure fees under the Ex-Im Credit Facility are amortized using the effective interest rate method. The effective interest rate on the Company’s outstanding borrowings under the Ex-Im Credit Facility, which takes into account estimated timing and amount of borrowings, exposure fees, debt issuance costs and other fees, was approximately 5.0% as of June 30, 2015. The Ex-Im Credit Facility is guaranteed by ViaSat and is secured by first-priority liens on the ViaSat-2 satellite and related assets, as well as a pledge of the capital stock of the borrower under the facility.</w:t>
      </w:r>
    </w:p>
    <w:p>
      <w:pPr>
        <w:spacing w:after="0" w:line="169"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The Ex-Im Credit Facility contains financial covenants regarding ViaSat’s maximum total leverage ratio and minimum interest coverage ratio. In addition, the Ex-Im Credit Facility contains covenants that restrict, among other things, our ability to sell assets, make investments and acquisitions, make capital expenditures, grant liens, pay dividends and make certain other restricted payments.</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was in compliance with its financial covenants under the Ex-Im Credit Facility as of June 30, 2015. At June 30, 2015, the Company had $61.6 million in principal amount of outstanding borrowings under the Ex-Im Credit Facility, leaving $411.4 million available to finance ViaSat-2 related costs once incurred. The borrowings under the Ex-Im Credit Facility were issued with a discount of $8.2 million (comprising the initial $6.0 million exposure fee, an accrual for a portion of the remaining exposure fees and other customary fees). The borrowings under the Ex-Im Credit Facility are recorded as long-term debt, net of discount, in the Company’s consolidated financial statements. The discount and deferred financing cost associated with the issuance of the borrowings under the Ex-Im Credit Facility is amortized to interest expense on an effective interest rate basis over the term of the borrowings under the Ex-Im Credit Facility.</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2020</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February 2012, the Company issued $275.0 million in principal amount of 2020 Notes in a private placement to institutional buyers, which were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exchanged in August 2012 for substantially identical 2020 Notes that had been registered with the Securities and Exchange Commission (the SEC). These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initial 2020 Notes were issued at face value and are recorded as long-term debt in the Company’s condensed consolidated financial statements.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October 2012, the Company issued an additional $300.0 million in principal amount of 2020 Notes in a private placement to institutional buyers at an issue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price of 103.50% of the principal amount, which were exchanged in January 2013 for substantially identical 2020 Notes that had been registered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 The 2020 Notes are all treated as a single class. The 2020 Notes bear interest at the rate of 6.875% per year, payable semi-annually in cash in arrears,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interest payments commenced in June 2012. Debt issuance costs associated with the issuance of the 2020 Notes are amortized to interest expense on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straight-line basis over the term of the 2020 Notes, the results of which are not materially different from the effective interest rate basis. The $10.5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premium the Company received in connection with the issuance of the additional 2020 Notes is recorded as long-term debt in the Company’s condensed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consolidated financial statements and is being amortized as a reduction to interest expense on an effective interest rate basis over the term of those 2020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21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2020 Notes are required to be guaranteed on an unsecured senior basis by each of the Company’s existing and future subsidiaries that guarantees the Credit Facility. As of June 30, 2015, none of the Company’s subsidiaries guaranteed the 2020 Notes. The 2020 Notes are the Company’s general senior unsecured obligations and rank equally in right of payment with all of the Company’s existing and future unsecured unsubordinated debt. The 2020 Notes are effectively junior in right of payment to the Company’s existing and future secured debt, including under the Credit Facilities (to the extent of the value of the assets securing such debt), are structurally subordinated to all existing and future liabilities (including trade payables) of the Company’s subsidiaries that do not guarantee the 2020 Notes, and are senior in right of payment to all of their existing and future subordinated indebtedness.</w:t>
      </w:r>
    </w:p>
    <w:p>
      <w:pPr>
        <w:spacing w:after="0" w:line="16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indenture governing the 2020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8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Company may redeem the 2020 Notes prior to June 15, 2016,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2020 Notes and (ii) the excess, if any, of (a) the present value at such date of redemption of (1) the redemption price of such 2020 Notes on June 15, 2016 plus (2) all required interest payments due on such 2020 Notes through June 15, 2016 (excluding accrued but unpaid interest to the date of redemption), computed using a discount rate equal to the treasury rate (as defined under the indenture) plus 50 basis points, over (b) the then-outstanding principal amount of such 2020 Notes. The 2020 Notes may be redeemed, in whole or in part, at any time during the twelve months beginning on June 15, 2016 at a redemption price of 103.438%, during the twelve months beginning on June 15, 2017 at a redemption price of 101.719%, and at any time on or after June 15, 2018 at a redemption price of 100%, in each case plus accrued and unpaid interest, if any, thereon to the redemption date.</w:t>
      </w:r>
    </w:p>
    <w:p>
      <w:pPr>
        <w:spacing w:after="0" w:line="19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the event a change of control occurs (as defined in the indenture), each holder will have the right to require the Company to repurchase all or any part of such holder’s 2020 Notes at a purchase price in cash equal to 101% of the aggregate principal amount of the 2020 Notes repurchased plus accrued and unpaid interest, if any, to the date of purchase (subject to the right of holders of record on the relevant record date to receive interest due on the relevant interest payment date).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Product Warranty</w:t>
      </w:r>
    </w:p>
    <w:p>
      <w:pPr>
        <w:spacing w:after="0" w:line="121"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The Company provides limited warranties on its products for periods of up to five years. The Company records a liability for its warranty obligations when products are shipped or they are included in long-term construction contracts based upon an estimate of expected warranty costs. Amounts expected to be incurred within twelve months are classified as accrued liabilities and amounts expected to be incurred beyond twelve months are classified as other liabilities in the condensed consolidated financial statements. For mature products, the warranty cost estimates are based on historical experience with the particular product. For newer products that do not have a history of warranty costs, the Company bases its estimates on its experience with the technology involved and the types of failures that may occur. It is possible that the Company’s underlying assumptions will not reflect the actual experience and in that case, future adjustments will be made to the recorded warranty obligation. The following table reflects the change in the Company’s warranty accrual during the three months ended June 30, 2015 and July 4, 2014:</w:t>
      </w:r>
    </w:p>
    <w:p>
      <w:pPr>
        <w:spacing w:after="0" w:line="19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r>
      <w:tr>
        <w:trPr>
          <w:trHeight w:val="142"/>
        </w:trPr>
        <w:tc>
          <w:tcPr>
            <w:tcW w:w="6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June 30, 2015</w:t>
            </w:r>
          </w:p>
        </w:tc>
        <w:tc>
          <w:tcPr>
            <w:tcW w:w="1040" w:type="dxa"/>
            <w:vAlign w:val="bottom"/>
            <w:tcBorders>
              <w:top w:val="single" w:sz="8" w:color="auto"/>
              <w:bottom w:val="single" w:sz="8" w:color="auto"/>
            </w:tcBorders>
            <w:gridSpan w:val="3"/>
          </w:tcPr>
          <w:p>
            <w:pPr>
              <w:ind w:left="300"/>
              <w:spacing w:after="0" w:line="142" w:lineRule="exact"/>
              <w:rPr>
                <w:sz w:val="20"/>
                <w:szCs w:val="20"/>
                <w:color w:val="auto"/>
              </w:rPr>
            </w:pPr>
            <w:r>
              <w:rPr>
                <w:rFonts w:ascii="Arial" w:cs="Arial" w:eastAsia="Arial" w:hAnsi="Arial"/>
                <w:sz w:val="14"/>
                <w:szCs w:val="14"/>
                <w:b w:val="1"/>
                <w:bCs w:val="1"/>
                <w:color w:val="auto"/>
                <w:w w:val="91"/>
              </w:rPr>
              <w:t>July 4, 2014</w:t>
            </w:r>
          </w:p>
        </w:tc>
        <w:tc>
          <w:tcPr>
            <w:tcW w:w="120" w:type="dxa"/>
            <w:vAlign w:val="bottom"/>
          </w:tcPr>
          <w:p>
            <w:pPr>
              <w:spacing w:after="0"/>
              <w:rPr>
                <w:sz w:val="12"/>
                <w:szCs w:val="12"/>
                <w:color w:val="auto"/>
              </w:rPr>
            </w:pPr>
          </w:p>
        </w:tc>
      </w:tr>
      <w:tr>
        <w:trPr>
          <w:trHeight w:val="142"/>
        </w:trPr>
        <w:tc>
          <w:tcPr>
            <w:tcW w:w="6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4"/>
          </w:tcPr>
          <w:p>
            <w:pPr>
              <w:jc w:val="center"/>
              <w:ind w:left="296"/>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15,545</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17,023</w:t>
            </w:r>
          </w:p>
        </w:tc>
        <w:tc>
          <w:tcPr>
            <w:tcW w:w="120" w:type="dxa"/>
            <w:vAlign w:val="bottom"/>
            <w:shd w:val="clear" w:color="auto" w:fill="CCEEFF"/>
          </w:tcPr>
          <w:p>
            <w:pPr>
              <w:spacing w:after="0"/>
              <w:rPr>
                <w:sz w:val="18"/>
                <w:szCs w:val="18"/>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Change in liability for warranties issued in period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1,716</w:t>
            </w:r>
          </w:p>
        </w:tc>
        <w:tc>
          <w:tcPr>
            <w:tcW w:w="120" w:type="dxa"/>
            <w:vAlign w:val="bottom"/>
          </w:tcPr>
          <w:p>
            <w:pPr>
              <w:spacing w:after="0"/>
              <w:rPr>
                <w:sz w:val="18"/>
                <w:szCs w:val="18"/>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Settlements made (in cash or in kind) during the period</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(1,915)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(1,844)</w:t>
            </w:r>
          </w:p>
        </w:tc>
      </w:tr>
      <w:tr>
        <w:trPr>
          <w:trHeight w:val="20"/>
        </w:trPr>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91"/>
        </w:trPr>
        <w:tc>
          <w:tcPr>
            <w:tcW w:w="6340" w:type="dxa"/>
            <w:vAlign w:val="bottom"/>
          </w:tcPr>
          <w:p>
            <w:pPr>
              <w:spacing w:after="0"/>
              <w:rPr>
                <w:sz w:val="20"/>
                <w:szCs w:val="20"/>
                <w:color w:val="auto"/>
              </w:rPr>
            </w:pPr>
            <w:r>
              <w:rPr>
                <w:rFonts w:ascii="Arial" w:cs="Arial" w:eastAsia="Arial" w:hAnsi="Arial"/>
                <w:sz w:val="18"/>
                <w:szCs w:val="18"/>
                <w:color w:val="auto"/>
              </w:rPr>
              <w:t>Balance, end of period</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14,423</w:t>
            </w:r>
          </w:p>
        </w:tc>
        <w:tc>
          <w:tcPr>
            <w:tcW w:w="340" w:type="dxa"/>
            <w:vAlign w:val="bottom"/>
          </w:tcPr>
          <w:p>
            <w:pPr>
              <w:spacing w:after="0"/>
              <w:rPr>
                <w:sz w:val="24"/>
                <w:szCs w:val="24"/>
                <w:color w:val="auto"/>
              </w:rPr>
            </w:pP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16,895</w:t>
            </w:r>
          </w:p>
        </w:tc>
        <w:tc>
          <w:tcPr>
            <w:tcW w:w="120" w:type="dxa"/>
            <w:vAlign w:val="bottom"/>
          </w:tcPr>
          <w:p>
            <w:pPr>
              <w:spacing w:after="0"/>
              <w:rPr>
                <w:sz w:val="24"/>
                <w:szCs w:val="24"/>
                <w:color w:val="auto"/>
              </w:rPr>
            </w:pPr>
          </w:p>
        </w:tc>
      </w:tr>
      <w:tr>
        <w:trPr>
          <w:trHeight w:val="20"/>
        </w:trPr>
        <w:tc>
          <w:tcPr>
            <w:tcW w:w="6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459" w:right="279" w:bottom="1440" w:gutter="0" w:footer="0" w:header="0"/>
        </w:sectPr>
      </w:pP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380"/>
          </w:cols>
          <w:pgMar w:left="240" w:top="459" w:right="27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121"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In May 2013, the Company entered into an agreement to purchase ViaSat-2, the Company’s second high-capacity Ka-band satellite, from The Boeing Company (Boeing) at a price of approximately $358.0 million, plus an additional amount for launch support services to be performed by Boeing.</w:t>
      </w:r>
    </w:p>
    <w:p>
      <w:pPr>
        <w:spacing w:after="0" w:line="124" w:lineRule="exact"/>
        <w:rPr>
          <w:sz w:val="20"/>
          <w:szCs w:val="20"/>
          <w:color w:val="auto"/>
        </w:rPr>
      </w:pPr>
    </w:p>
    <w:p>
      <w:pPr>
        <w:ind w:right="400" w:firstLine="456"/>
        <w:spacing w:after="0" w:line="302" w:lineRule="auto"/>
        <w:rPr>
          <w:sz w:val="20"/>
          <w:szCs w:val="20"/>
          <w:color w:val="auto"/>
        </w:rPr>
      </w:pPr>
      <w:r>
        <w:rPr>
          <w:rFonts w:ascii="Arial" w:cs="Arial" w:eastAsia="Arial" w:hAnsi="Arial"/>
          <w:sz w:val="16"/>
          <w:szCs w:val="16"/>
          <w:color w:val="auto"/>
        </w:rPr>
        <w:t>From time to time, the Company is involved in a variety of claims, suits, investigations and proceedings arising in the ordinary course of business, including actions with respect to intellectual property claims, breach of contract claims, labor and employment claims, tax and other matters. Although claims, suits, 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p>
    <w:p>
      <w:pPr>
        <w:spacing w:after="0" w:line="15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Company has contracts with various U.S. government agencies. Accordingly, the Company is routinely subject to audit and review by the DCMA, the DCAA and other U.S. government agencies of its performance on government contracts, indirect rates and pricing practices, accounting and management internal control business systems, and compliance with applicable contracting and procurement laws, regulations and standards. An adverse outcome to a review or audit or other failure to comply with applicable contracting and procurement laws, regulations and standards could result in material civil and criminal penalties and administrative sanctions being imposed on the Company, which may include termination of contracts, forfeiture of profits, triggering of price reduction clauses, suspension of payments, significant customer refunds, fines and suspension, or a prohibition on doing business with U.S. government agencies. In addition, if the Company fails to obtain an “adequate” determination of its various accounting and management internal control business systems from applicable U.S. government agencies or if allegations of impropriety are made against it, the Company could suffer serious harm to its business or its reputation, including its ability to bid on new contracts or receive contract renewals and its competitive position in the bidding process. The Company’s incurred cost audits by the DCAA have not been concluded for fiscal year 2013 and subsequent fiscal years. As of June 30, 2015, the DCAA had completed its incurred cost audit for fiscal year 2004 and approved the Company’s incurred cost claims for fiscal years 2005 through 2012 without further audit. Although the Company has recorded contract revenues subsequent to fiscal year 2012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June 30, 2015 and April 3, 2015, the Company had $4.0 million and $4.3 million, respectively, in contract-related reserves for its estimate of potential refunds to customers for potential cost adjustments on several multi-year U.S. government cost reimbursable contracts. This reserve is classified as either an element of accrued liabilities or as a reduction of unbilled accounts receivable based on status of the related contracts.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Matters Resolved During Fiscal Year 2015</w:t>
      </w:r>
    </w:p>
    <w:p>
      <w:pPr>
        <w:spacing w:after="0" w:line="117"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color w:val="auto"/>
        </w:rPr>
        <w:t>In September 2014, the Company entered into a settlement agreement with SS/L and Loral (the Settlement Agreement), pursuant to which SS/L and Loral are required to pay the Company a total of $108.7 million, inclusive of interest, over a two and a half year period from the date of settlement. In exchange, the Company dismissed both lawsuits against SS/L and Loral. The parties further agreed not to sue each other with respect to the patents and intellectual property that were the subject of the lawsuits and, for a period of two years, not to sue each other or each other’s customers for any intellectual property claims.</w:t>
      </w:r>
    </w:p>
    <w:p>
      <w:pPr>
        <w:spacing w:after="0" w:line="188"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The Company accounted for the amounts payable by SS/L and Loral under the Settlement Agreement as a multiple-element arrangement and allocated the total consideration to the identifiable elements based upon their fair value. The consideration assigned to each element was as follows:</w:t>
      </w:r>
    </w:p>
    <w:p>
      <w:pPr>
        <w:spacing w:after="0" w:line="165"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2440" w:type="dxa"/>
            <w:vAlign w:val="bottom"/>
          </w:tcPr>
          <w:p>
            <w:pPr>
              <w:spacing w:after="0"/>
              <w:rPr>
                <w:sz w:val="14"/>
                <w:szCs w:val="14"/>
                <w:color w:val="auto"/>
              </w:rPr>
            </w:pPr>
          </w:p>
        </w:tc>
        <w:tc>
          <w:tcPr>
            <w:tcW w:w="5320" w:type="dxa"/>
            <w:vAlign w:val="bottom"/>
            <w:gridSpan w:val="4"/>
          </w:tcPr>
          <w:p>
            <w:pPr>
              <w:ind w:left="43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2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Implied license</w:t>
            </w:r>
          </w:p>
        </w:tc>
        <w:tc>
          <w:tcPr>
            <w:tcW w:w="4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Other damages</w:t>
            </w:r>
          </w:p>
        </w:tc>
        <w:tc>
          <w:tcPr>
            <w:tcW w:w="4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18,714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4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440" w:type="dxa"/>
            <w:vAlign w:val="bottom"/>
          </w:tcPr>
          <w:p>
            <w:pPr>
              <w:spacing w:after="0"/>
              <w:rPr>
                <w:sz w:val="24"/>
                <w:szCs w:val="24"/>
                <w:color w:val="auto"/>
              </w:rPr>
            </w:pPr>
          </w:p>
        </w:tc>
        <w:tc>
          <w:tcPr>
            <w:tcW w:w="45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108,712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4320" w:type="dxa"/>
            <w:vAlign w:val="bottom"/>
            <w:vMerge w:val="restart"/>
          </w:tcPr>
          <w:p>
            <w:pPr>
              <w:jc w:val="right"/>
              <w:ind w:right="2716"/>
              <w:spacing w:after="0"/>
              <w:rPr>
                <w:sz w:val="20"/>
                <w:szCs w:val="20"/>
                <w:color w:val="auto"/>
              </w:rPr>
            </w:pPr>
            <w:r>
              <w:rPr>
                <w:rFonts w:ascii="Arial" w:cs="Arial" w:eastAsia="Arial" w:hAnsi="Arial"/>
                <w:sz w:val="18"/>
                <w:szCs w:val="18"/>
                <w:color w:val="auto"/>
              </w:rPr>
              <w:t>20</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440" w:type="dxa"/>
            <w:vAlign w:val="bottom"/>
          </w:tcPr>
          <w:p>
            <w:pPr>
              <w:spacing w:after="0"/>
              <w:rPr>
                <w:sz w:val="24"/>
                <w:szCs w:val="24"/>
                <w:color w:val="auto"/>
              </w:rPr>
            </w:pPr>
          </w:p>
        </w:tc>
        <w:tc>
          <w:tcPr>
            <w:tcW w:w="43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During the first quarter of fiscal year 2016, the Company recorded $6.9 million with respect to amounts realized under the Settlement Agreement during the quarter, of which $6.2 million was recognized as product revenues in the Company’s satellite services segment and $0.7 million was recognized as interest income in the condensed consolidated financial statements. The remaining payments under the Settlement Agreement will be recognized in future periods when realized, and will be recorded as product revenues in the satellite services segment and interest income.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121"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The Company currently estimates its annual effective income tax rate to be approximately 34.8% for fiscal year 2016. The estimated effective tax rate is different from the expected statutory rate primarily due to state research and development tax credits. The federal research and development tax credit expired on December 31, 2014. If the federal research and development tax credit is reinstated, the Company may have a lower annual effective income tax rate for fiscal year 2016, and the amount of any such decrease will depend on the effective date of any such reinstatement, the terms of the reinstatement, as well as the amount of eligible research and development expenses in the reinstated period.</w:t>
      </w:r>
    </w:p>
    <w:p>
      <w:pPr>
        <w:spacing w:after="0" w:line="17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Future realization of the existing deferred tax asset ultimately depends on future profitability and the existence of sufficient taxable income of appropriate character (for example, ordinary income versus capital gains) within the carryforward period available under tax law. In the event that the Company’s estimate of taxable income is less than that required to utilize the full amount of any deferred tax asset, a valuation allowance is established which would cause a decrease to income in the period such determination is made. The Company’s analysis of the need for a valuation allowance on deferred tax assets considered the losses incurred during the fiscal years ended April 4, 2014 and March 29, 2013 and the income generated during the fiscal year ended April 3, 2015 and three months ended June 30, 2015. In fiscal year 2013, the Company recorded a significant loss, a substantial portion of which resulted from an extinguishment of debt charge that was recorded upon the refinancing of the Company’s former 2016 Notes with the proceeds from the issuance of additional 2020 Notes, which provides a benefit to net income due to the lower interest rate of the 2020 Notes. The loss from fiscal year 2014 was less significant and a substantial portion of that loss related to legal expense focused on protecting and extending our technology advantages in the litigation against SS/L and its former parent company Loral, which was settled during the second quarter of fiscal year 2015 (see Note 8). In addition to these events, the Company’s evaluation considered other factors, including the Company’s contractual backlog, the Company’s history of positive earnings, current earnings trends assuming the Company’s satellite subscriber base continues to grow, taxable income adjusted for certain items, and forecasted income by jurisdiction. The Company also considered the lengthy period over which these net deferred tax assets can be realized and the Company’s history of not having federal tax loss carryforwards expire unused. The Company will continue to evaluate the ability to realize its deferred tax assets on a quarterly basis to determine if the weight of available evidence suggests that an additional valuation allowance is needed.</w:t>
      </w:r>
    </w:p>
    <w:p>
      <w:pPr>
        <w:spacing w:after="0" w:line="169"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For the three months ended June 30, 2015, the Company’s gross unrecognized tax benefits increased by $0.3 million. In the next twelve months it is reasonably possible that the amount of unrecognized tax benefits will not change significantly.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Acquisition</w:t>
      </w:r>
    </w:p>
    <w:p>
      <w:pPr>
        <w:spacing w:after="0" w:line="121"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On June 6, 2014, the Company completed the acquisition of all outstanding shares of NetNearU. The purchase price for NetNearU was $60.2 million in cash consideration. The net cash outlay for the acquisition, after taking into account cash acquired of $4.1 million, was $56.1 million.</w:t>
      </w:r>
    </w:p>
    <w:p>
      <w:pPr>
        <w:spacing w:after="0" w:line="14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Company accounts for business combinations pursuant to the authoritative guidance for business combinations (ASC 805). Accordingly, the Company allocated the purchase price of the acquired company to the net tangible assets and intangible assets acquired based upon their estimated fair values. Under the authoritative guidance for business combinations, acquisition-related transaction costs and acquisition-related restructuring charges are not included as components of consideration transferred but are accounted for as expenses in the period in which the costs are incurred. Merger-related transaction costs incurred by the Company during the first quarter of fiscal year 2015 were approximately $0.4 million, which were recorded in SG&amp;A expenses.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purchase price allocation of the acquired assets and assumed liabilities based on the estimated fair values as of June 6, 2014 is as follows:</w:t>
      </w:r>
    </w:p>
    <w:p>
      <w:pPr>
        <w:sectPr>
          <w:pgSz w:w="11900" w:h="16838" w:orient="portrait"/>
          <w:cols w:equalWidth="0" w:num="1">
            <w:col w:w="11300"/>
          </w:cols>
          <w:pgMar w:left="240" w:top="459" w:right="35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22520" cy="146050"/>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Property and equipment</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Identifiable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-116205</wp:posOffset>
            </wp:positionV>
            <wp:extent cx="49225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Goodwill</w:t>
      </w:r>
    </w:p>
    <w:p>
      <w:pPr>
        <w:spacing w:after="0" w:line="8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Total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Current liabilities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69" w:lineRule="exact"/>
        <w:rPr>
          <w:sz w:val="20"/>
          <w:szCs w:val="20"/>
          <w:color w:val="auto"/>
        </w:rPr>
      </w:pPr>
    </w:p>
    <w:p>
      <w:pPr>
        <w:ind w:left="2200"/>
        <w:spacing w:after="0"/>
        <w:rPr>
          <w:sz w:val="20"/>
          <w:szCs w:val="20"/>
          <w:color w:val="auto"/>
        </w:rPr>
      </w:pPr>
      <w:r>
        <w:rPr>
          <w:rFonts w:ascii="Arial" w:cs="Arial" w:eastAsia="Arial" w:hAnsi="Arial"/>
          <w:sz w:val="16"/>
          <w:szCs w:val="16"/>
          <w:color w:val="auto"/>
        </w:rPr>
        <w:t>Total liabilities assumed</w:t>
      </w:r>
    </w:p>
    <w:p>
      <w:pPr>
        <w:spacing w:after="0" w:line="127"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Total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ind w:left="3"/>
        <w:spacing w:after="0"/>
        <w:rPr>
          <w:sz w:val="20"/>
          <w:szCs w:val="20"/>
          <w:color w:val="auto"/>
        </w:rPr>
      </w:pPr>
      <w:r>
        <w:rPr>
          <w:rFonts w:ascii="Arial" w:cs="Arial" w:eastAsia="Arial" w:hAnsi="Arial"/>
          <w:sz w:val="13"/>
          <w:szCs w:val="13"/>
          <w:b w:val="1"/>
          <w:bCs w:val="1"/>
          <w:u w:val="single" w:color="auto"/>
          <w:color w:val="auto"/>
        </w:rPr>
        <w:t>(In thousands)</w:t>
      </w:r>
    </w:p>
    <w:p>
      <w:pPr>
        <w:spacing w:after="0" w:line="37" w:lineRule="exact"/>
        <w:rPr>
          <w:sz w:val="20"/>
          <w:szCs w:val="20"/>
          <w:color w:val="auto"/>
        </w:rPr>
      </w:pPr>
    </w:p>
    <w:p>
      <w:pPr>
        <w:ind w:left="503" w:hanging="503"/>
        <w:spacing w:after="0"/>
        <w:tabs>
          <w:tab w:leader="none" w:pos="503" w:val="left"/>
        </w:tabs>
        <w:numPr>
          <w:ilvl w:val="0"/>
          <w:numId w:val="6"/>
        </w:numPr>
        <w:rPr>
          <w:rFonts w:ascii="Arial" w:cs="Arial" w:eastAsia="Arial" w:hAnsi="Arial"/>
          <w:sz w:val="18"/>
          <w:szCs w:val="18"/>
          <w:color w:val="auto"/>
        </w:rPr>
      </w:pPr>
      <w:r>
        <w:rPr>
          <w:rFonts w:ascii="Arial" w:cs="Arial" w:eastAsia="Arial" w:hAnsi="Arial"/>
          <w:sz w:val="18"/>
          <w:szCs w:val="18"/>
          <w:color w:val="auto"/>
        </w:rPr>
        <w:t>8,482</w:t>
      </w:r>
    </w:p>
    <w:p>
      <w:pPr>
        <w:spacing w:after="0" w:line="7" w:lineRule="exact"/>
        <w:rPr>
          <w:rFonts w:ascii="Arial" w:cs="Arial" w:eastAsia="Arial" w:hAnsi="Arial"/>
          <w:sz w:val="18"/>
          <w:szCs w:val="18"/>
          <w:color w:val="auto"/>
        </w:rPr>
      </w:pPr>
    </w:p>
    <w:p>
      <w:pPr>
        <w:ind w:left="503"/>
        <w:spacing w:after="0"/>
        <w:rPr>
          <w:rFonts w:ascii="Arial" w:cs="Arial" w:eastAsia="Arial" w:hAnsi="Arial"/>
          <w:sz w:val="18"/>
          <w:szCs w:val="18"/>
          <w:color w:val="auto"/>
        </w:rPr>
      </w:pPr>
      <w:r>
        <w:rPr>
          <w:rFonts w:ascii="Arial" w:cs="Arial" w:eastAsia="Arial" w:hAnsi="Arial"/>
          <w:sz w:val="18"/>
          <w:szCs w:val="18"/>
          <w:color w:val="auto"/>
        </w:rPr>
        <w:t>1,087</w:t>
      </w:r>
    </w:p>
    <w:p>
      <w:pPr>
        <w:spacing w:after="0" w:line="9" w:lineRule="exact"/>
        <w:rPr>
          <w:sz w:val="20"/>
          <w:szCs w:val="20"/>
          <w:color w:val="auto"/>
        </w:rPr>
      </w:pPr>
    </w:p>
    <w:p>
      <w:pPr>
        <w:ind w:left="403"/>
        <w:spacing w:after="0"/>
        <w:rPr>
          <w:sz w:val="20"/>
          <w:szCs w:val="20"/>
          <w:color w:val="auto"/>
        </w:rPr>
      </w:pPr>
      <w:r>
        <w:rPr>
          <w:rFonts w:ascii="Arial" w:cs="Arial" w:eastAsia="Arial" w:hAnsi="Arial"/>
          <w:sz w:val="18"/>
          <w:szCs w:val="18"/>
          <w:color w:val="auto"/>
        </w:rPr>
        <w:t>24,310</w:t>
      </w:r>
    </w:p>
    <w:p>
      <w:pPr>
        <w:spacing w:after="0" w:line="9" w:lineRule="exact"/>
        <w:rPr>
          <w:sz w:val="20"/>
          <w:szCs w:val="20"/>
          <w:color w:val="auto"/>
        </w:rPr>
      </w:pPr>
    </w:p>
    <w:p>
      <w:pPr>
        <w:ind w:left="403"/>
        <w:spacing w:after="0"/>
        <w:rPr>
          <w:sz w:val="20"/>
          <w:szCs w:val="20"/>
          <w:color w:val="auto"/>
        </w:rPr>
      </w:pPr>
      <w:r>
        <w:rPr>
          <w:rFonts w:ascii="Arial" w:cs="Arial" w:eastAsia="Arial" w:hAnsi="Arial"/>
          <w:sz w:val="18"/>
          <w:szCs w:val="18"/>
          <w:color w:val="auto"/>
        </w:rPr>
        <w:t>34,576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5746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69" w:lineRule="exact"/>
        <w:rPr>
          <w:sz w:val="20"/>
          <w:szCs w:val="20"/>
          <w:color w:val="auto"/>
        </w:rPr>
      </w:pPr>
    </w:p>
    <w:p>
      <w:pPr>
        <w:ind w:left="403"/>
        <w:spacing w:after="0"/>
        <w:rPr>
          <w:sz w:val="20"/>
          <w:szCs w:val="20"/>
          <w:color w:val="auto"/>
        </w:rPr>
      </w:pPr>
      <w:r>
        <w:rPr>
          <w:rFonts w:ascii="Arial" w:cs="Arial" w:eastAsia="Arial" w:hAnsi="Arial"/>
          <w:sz w:val="18"/>
          <w:szCs w:val="18"/>
          <w:color w:val="auto"/>
        </w:rPr>
        <w:t>68,455</w:t>
      </w:r>
    </w:p>
    <w:p>
      <w:pPr>
        <w:spacing w:after="0" w:line="23" w:lineRule="exact"/>
        <w:rPr>
          <w:sz w:val="20"/>
          <w:szCs w:val="20"/>
          <w:color w:val="auto"/>
        </w:rPr>
      </w:pPr>
    </w:p>
    <w:p>
      <w:pPr>
        <w:jc w:val="right"/>
        <w:ind w:right="1760"/>
        <w:spacing w:after="0"/>
        <w:rPr>
          <w:sz w:val="20"/>
          <w:szCs w:val="20"/>
          <w:color w:val="auto"/>
        </w:rPr>
      </w:pPr>
      <w:r>
        <w:rPr>
          <w:rFonts w:ascii="Arial" w:cs="Arial" w:eastAsia="Arial" w:hAnsi="Arial"/>
          <w:sz w:val="18"/>
          <w:szCs w:val="18"/>
          <w:color w:val="auto"/>
        </w:rPr>
        <w:t>(5,305)</w:t>
      </w:r>
    </w:p>
    <w:p>
      <w:pPr>
        <w:spacing w:after="0" w:line="9" w:lineRule="exact"/>
        <w:rPr>
          <w:sz w:val="20"/>
          <w:szCs w:val="20"/>
          <w:color w:val="auto"/>
        </w:rPr>
      </w:pPr>
    </w:p>
    <w:p>
      <w:pPr>
        <w:jc w:val="right"/>
        <w:ind w:right="1760"/>
        <w:spacing w:after="0"/>
        <w:rPr>
          <w:sz w:val="20"/>
          <w:szCs w:val="20"/>
          <w:color w:val="auto"/>
        </w:rPr>
      </w:pPr>
      <w:r>
        <w:rPr>
          <w:rFonts w:ascii="Arial" w:cs="Arial" w:eastAsia="Arial" w:hAnsi="Arial"/>
          <w:sz w:val="18"/>
          <w:szCs w:val="18"/>
          <w:color w:val="auto"/>
        </w:rPr>
        <w:t>(2,981)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5746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69" w:lineRule="exact"/>
        <w:rPr>
          <w:sz w:val="20"/>
          <w:szCs w:val="20"/>
          <w:color w:val="auto"/>
        </w:rPr>
      </w:pPr>
    </w:p>
    <w:p>
      <w:pPr>
        <w:jc w:val="right"/>
        <w:ind w:right="1760"/>
        <w:spacing w:after="0"/>
        <w:rPr>
          <w:sz w:val="20"/>
          <w:szCs w:val="20"/>
          <w:color w:val="auto"/>
        </w:rPr>
      </w:pPr>
      <w:r>
        <w:rPr>
          <w:rFonts w:ascii="Arial" w:cs="Arial" w:eastAsia="Arial" w:hAnsi="Arial"/>
          <w:sz w:val="18"/>
          <w:szCs w:val="18"/>
          <w:color w:val="auto"/>
        </w:rPr>
        <w:t>(8,286)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5746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84" w:lineRule="exact"/>
        <w:rPr>
          <w:sz w:val="20"/>
          <w:szCs w:val="20"/>
          <w:color w:val="auto"/>
        </w:rPr>
      </w:pPr>
    </w:p>
    <w:p>
      <w:pPr>
        <w:ind w:left="403" w:hanging="403"/>
        <w:spacing w:after="0"/>
        <w:tabs>
          <w:tab w:leader="none" w:pos="403" w:val="left"/>
        </w:tabs>
        <w:numPr>
          <w:ilvl w:val="0"/>
          <w:numId w:val="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60,169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5746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57" w:space="720"/>
            <w:col w:w="2723"/>
          </w:cols>
          <w:pgMar w:left="240" w:top="459" w:right="359" w:bottom="1440" w:gutter="0" w:footer="0" w:header="0"/>
          <w:type w:val="continuous"/>
        </w:sectPr>
      </w:pP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Amounts assigned to identifiable intangible assets are being amortized on a straight-line basis over their estimated useful lives and are as follows:</w:t>
      </w:r>
    </w:p>
    <w:p>
      <w:pPr>
        <w:spacing w:after="0" w:line="25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4"/>
              </w:rPr>
              <w:t>Fair value</w:t>
            </w:r>
          </w:p>
        </w:tc>
        <w:tc>
          <w:tcPr>
            <w:tcW w:w="74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life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840" w:type="dxa"/>
            <w:vAlign w:val="bottom"/>
            <w:gridSpan w:val="3"/>
          </w:tcPr>
          <w:p>
            <w:pPr>
              <w:ind w:left="1920"/>
              <w:spacing w:after="0"/>
              <w:rPr>
                <w:sz w:val="20"/>
                <w:szCs w:val="20"/>
                <w:color w:val="auto"/>
              </w:rPr>
            </w:pPr>
            <w:r>
              <w:rPr>
                <w:rFonts w:ascii="Arial" w:cs="Arial" w:eastAsia="Arial" w:hAnsi="Arial"/>
                <w:sz w:val="14"/>
                <w:szCs w:val="14"/>
                <w:b w:val="1"/>
                <w:bCs w:val="1"/>
                <w:color w:val="auto"/>
                <w:w w:val="93"/>
              </w:rPr>
              <w:t>(In thousands)</w:t>
            </w:r>
          </w:p>
        </w:tc>
        <w:tc>
          <w:tcPr>
            <w:tcW w:w="74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6"/>
              </w:rPr>
              <w:t>(In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Technology</w:t>
            </w:r>
          </w:p>
        </w:tc>
        <w:tc>
          <w:tcPr>
            <w:tcW w:w="19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10,970</w:t>
            </w:r>
          </w:p>
        </w:tc>
        <w:tc>
          <w:tcPr>
            <w:tcW w:w="7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10,950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Trade name</w:t>
            </w:r>
          </w:p>
        </w:tc>
        <w:tc>
          <w:tcPr>
            <w:tcW w:w="19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34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Total identifiable intangible assets</w:t>
            </w:r>
          </w:p>
        </w:tc>
        <w:tc>
          <w:tcPr>
            <w:tcW w:w="204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intangible assets acquired in the NetNearU business combination were determined, in accordance with the authoritative guidance for business combinations, based on the estimated fair values using valuation techniques consistent with the market approach and/or income approach to measure fair value. The remaining useful lives were estimated based on the underlying agreements and/or the future economic benefit expected to be received from the assets.</w:t>
      </w:r>
    </w:p>
    <w:p>
      <w:pPr>
        <w:spacing w:after="0" w:line="18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NetNearU has developed a comprehensive network management system for Wi-Fi and other internet access networks that the Company expects to use to extend the Company’s Exede</w:t>
      </w:r>
      <w:r>
        <w:rPr>
          <w:rFonts w:ascii="Arial" w:cs="Arial" w:eastAsia="Arial" w:hAnsi="Arial"/>
          <w:sz w:val="13"/>
          <w:szCs w:val="13"/>
          <w:color w:val="auto"/>
        </w:rPr>
        <w:t>®</w:t>
      </w:r>
      <w:r>
        <w:rPr>
          <w:rFonts w:ascii="Arial" w:cs="Arial" w:eastAsia="Arial" w:hAnsi="Arial"/>
          <w:sz w:val="16"/>
          <w:szCs w:val="16"/>
          <w:color w:val="auto"/>
        </w:rPr>
        <w:t xml:space="preserve"> broadband services to a wider subscriber base in multiple markets, including commercial airlines, live events, hospitality, enterprise networking and government broadband projects. NetNearU’s primary operations currently support government applications with the potential for future expansion into commercial applications. These current benefits and additional opportunities were among the factors that were taken into account in setting the purchase price and contributed to the recognition of preliminary estimated goodwill, which was recorded within the Company’s government systems segment. The intangible assets and goodwill recognized are not deductible for federal income tax purposes.</w:t>
      </w:r>
    </w:p>
    <w:p>
      <w:pPr>
        <w:spacing w:after="0" w:line="165"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The consolidated financial statements include the operating results of NetNearU from the date of acquisition. Pro forma results of operations have not been presented because the effect of the acquisition was insignificant to the financial statements for all periods presented.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Segment Information</w:t>
      </w:r>
    </w:p>
    <w:p>
      <w:pPr>
        <w:spacing w:after="0" w:line="12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Company’s reporting segments, comprised of the satellite services, commercial networks and government systems segments, are primarily distinguished by the type of customer and the related contractual requirements. The Company’s satellite services segment provides retail and wholesale satellite-based broadband services for its consumer, enterprise and mobile broadband customers primarily in the United States. The Company’s commercial networks segment develops and produces a variety of advanced end-to-end satellite and other wireless communication systems and ground networking equipment and products, some of which are ultimately used by the Company’s satellite services segment. The Company’s government systems segment develops and produces network-centric, internet protocol (IP)-based fixed and mobile secure government communications systems, network management systems, products, services and solutions and provides global mobile broadband service and product offerings. The more regulated government environment is subject to unique contractual requirements and possesses economic characteristics which differ from the satellite services and commercial networks segments. The Company’s segments are determined consistent with the way management currently organizes and evaluates financial information internally for making operating decisions and assessing performance.</w:t>
      </w:r>
    </w:p>
    <w:p>
      <w:pPr>
        <w:sectPr>
          <w:pgSz w:w="11900" w:h="16838" w:orient="portrait"/>
          <w:cols w:equalWidth="0" w:num="1">
            <w:col w:w="11300"/>
          </w:cols>
          <w:pgMar w:left="240" w:top="459" w:right="359" w:bottom="1440" w:gutter="0" w:footer="0" w:header="0"/>
          <w:type w:val="continuous"/>
        </w:sectPr>
      </w:pP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300"/>
          </w:cols>
          <w:pgMar w:left="240" w:top="459" w:right="35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Segment revenues and operating profits (losses) for the three months ended June 30, 2015 and July 4, 2014 were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June 30, 2015</w:t>
            </w:r>
          </w:p>
        </w:tc>
        <w:tc>
          <w:tcPr>
            <w:tcW w:w="1000" w:type="dxa"/>
            <w:vAlign w:val="bottom"/>
            <w:tcBorders>
              <w:top w:val="single" w:sz="8" w:color="auto"/>
              <w:bottom w:val="single" w:sz="8" w:color="auto"/>
            </w:tcBorders>
            <w:gridSpan w:val="3"/>
          </w:tcPr>
          <w:p>
            <w:pPr>
              <w:ind w:left="260"/>
              <w:spacing w:after="0" w:line="142" w:lineRule="exact"/>
              <w:rPr>
                <w:sz w:val="20"/>
                <w:szCs w:val="20"/>
                <w:color w:val="auto"/>
              </w:rPr>
            </w:pPr>
            <w:r>
              <w:rPr>
                <w:rFonts w:ascii="Arial" w:cs="Arial" w:eastAsia="Arial" w:hAnsi="Arial"/>
                <w:sz w:val="14"/>
                <w:szCs w:val="14"/>
                <w:b w:val="1"/>
                <w:bCs w:val="1"/>
                <w:color w:val="auto"/>
                <w:w w:val="91"/>
              </w:rPr>
              <w:t>July 4, 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4"/>
          </w:tcPr>
          <w:p>
            <w:pPr>
              <w:jc w:val="center"/>
              <w:ind w:left="332"/>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Satellite Services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Product (1)</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700"/>
              <w:spacing w:after="0"/>
              <w:rPr>
                <w:sz w:val="20"/>
                <w:szCs w:val="20"/>
                <w:color w:val="auto"/>
              </w:rPr>
            </w:pPr>
            <w:r>
              <w:rPr>
                <w:rFonts w:ascii="Arial" w:cs="Arial" w:eastAsia="Arial" w:hAnsi="Arial"/>
                <w:sz w:val="18"/>
                <w:szCs w:val="18"/>
                <w:color w:val="auto"/>
              </w:rPr>
              <w:t>Service</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126,140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109,685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3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132,416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109,715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Commercial Networks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Product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61,511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700"/>
              <w:spacing w:after="0"/>
              <w:rPr>
                <w:sz w:val="20"/>
                <w:szCs w:val="20"/>
                <w:color w:val="auto"/>
              </w:rPr>
            </w:pPr>
            <w:r>
              <w:rPr>
                <w:rFonts w:ascii="Arial" w:cs="Arial" w:eastAsia="Arial" w:hAnsi="Arial"/>
                <w:sz w:val="18"/>
                <w:szCs w:val="18"/>
                <w:color w:val="auto"/>
              </w:rPr>
              <w:t>Service</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3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66,755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Government Systems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Product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100,561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700"/>
              <w:spacing w:after="0"/>
              <w:rPr>
                <w:sz w:val="20"/>
                <w:szCs w:val="20"/>
                <w:color w:val="auto"/>
              </w:rPr>
            </w:pPr>
            <w:r>
              <w:rPr>
                <w:rFonts w:ascii="Arial" w:cs="Arial" w:eastAsia="Arial" w:hAnsi="Arial"/>
                <w:sz w:val="18"/>
                <w:szCs w:val="18"/>
                <w:color w:val="auto"/>
              </w:rPr>
              <w:t>Service</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44,646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3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145,207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117,528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Elimination of intersegment revenues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3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344,378</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319,471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rPr>
              <w:t>Operating profits (losses):</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4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Satellite Services (2)</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17,041</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Commercial Networks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(18,733)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Government Systems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Elimination of intersegment operating profits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3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Segment operating profit before corporate and amortization of acquired intangible</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14,224</w:t>
            </w: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Corporate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acquired intangible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(4,810)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(4,029)</w:t>
            </w:r>
          </w:p>
        </w:tc>
        <w:tc>
          <w:tcPr>
            <w:tcW w:w="0" w:type="dxa"/>
            <w:vAlign w:val="bottom"/>
          </w:tcPr>
          <w:p>
            <w:pPr>
              <w:spacing w:after="0"/>
              <w:rPr>
                <w:sz w:val="1"/>
                <w:szCs w:val="1"/>
                <w:color w:val="auto"/>
              </w:rPr>
            </w:pPr>
          </w:p>
        </w:tc>
      </w:tr>
      <w:tr>
        <w:trPr>
          <w:trHeight w:val="20"/>
        </w:trPr>
        <w:tc>
          <w:tcPr>
            <w:tcW w:w="6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40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9,414</w:t>
            </w:r>
          </w:p>
        </w:tc>
        <w:tc>
          <w:tcPr>
            <w:tcW w:w="320" w:type="dxa"/>
            <w:vAlign w:val="bottom"/>
          </w:tcPr>
          <w:p>
            <w:pPr>
              <w:spacing w:after="0"/>
              <w:rPr>
                <w:sz w:val="24"/>
                <w:szCs w:val="24"/>
                <w:color w:val="auto"/>
              </w:rPr>
            </w:pP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60" w:hanging="452"/>
        <w:spacing w:after="0" w:line="25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revenues in the satellite services segment for the three months ended June 30, 2015 included $6.2 million relating to amounts realized under the Settlement Agreement. See Note 8.</w:t>
      </w:r>
    </w:p>
    <w:p>
      <w:pPr>
        <w:spacing w:after="0" w:line="1" w:lineRule="exact"/>
        <w:rPr>
          <w:rFonts w:ascii="Arial" w:cs="Arial" w:eastAsia="Arial" w:hAnsi="Arial"/>
          <w:sz w:val="18"/>
          <w:szCs w:val="18"/>
          <w:color w:val="auto"/>
        </w:rPr>
      </w:pPr>
    </w:p>
    <w:p>
      <w:pPr>
        <w:ind w:left="460" w:right="200" w:hanging="452"/>
        <w:spacing w:after="0" w:line="261"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profits for the satellite services segment for the three months ended June 30, 2015 included $6.2 million relating to amounts realized under the Settlement Agreement. See Note 8.</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Assets identifiable to segments include: accounts receivable, unbilled accounts receivable, inventory, acquired intangible assets and goodwill. The Company’s property and equipment, including its satellites, gateways and other networking equipment, are assigned to corporate assets as they are available for use by the various segments throughout their estimated useful lives. Segment assets as of June 30, 2015 and April 3, 2015 were as follows:</w:t>
      </w:r>
    </w:p>
    <w:p>
      <w:pPr>
        <w:spacing w:after="0" w:line="15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37"/>
              <w:spacing w:after="0"/>
              <w:rPr>
                <w:sz w:val="20"/>
                <w:szCs w:val="20"/>
                <w:color w:val="auto"/>
              </w:rPr>
            </w:pPr>
            <w:r>
              <w:rPr>
                <w:rFonts w:ascii="Arial" w:cs="Arial" w:eastAsia="Arial" w:hAnsi="Arial"/>
                <w:sz w:val="14"/>
                <w:szCs w:val="14"/>
                <w:b w:val="1"/>
                <w:bCs w:val="1"/>
                <w:color w:val="auto"/>
                <w:w w:val="91"/>
              </w:rPr>
              <w:t>As of</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9"/>
              </w:rPr>
              <w:t>June 30,</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April 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6"/>
              </w:rPr>
              <w:t>2015</w:t>
            </w: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4"/>
          </w:tcPr>
          <w:p>
            <w:pPr>
              <w:jc w:val="right"/>
              <w:ind w:right="516"/>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Satellite Services</w:t>
            </w:r>
          </w:p>
        </w:tc>
        <w:tc>
          <w:tcPr>
            <w:tcW w:w="2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65,695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63,790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Networks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230,659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Government Systems</w:t>
            </w:r>
          </w:p>
        </w:tc>
        <w:tc>
          <w:tcPr>
            <w:tcW w:w="2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288,239</w:t>
            </w:r>
          </w:p>
        </w:tc>
        <w:tc>
          <w:tcPr>
            <w:tcW w:w="4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273,313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22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segment assets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584,593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554,371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Corporate assets</w:t>
            </w:r>
          </w:p>
        </w:tc>
        <w:tc>
          <w:tcPr>
            <w:tcW w:w="2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1,618,403</w:t>
            </w:r>
          </w:p>
        </w:tc>
        <w:tc>
          <w:tcPr>
            <w:tcW w:w="4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1,604,007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22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2,202,996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2,158,378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acquired intangible assets, net and goodwill included in segment assets as of June 30, 2015 and April 3, 2015 were as follows: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5"/>
              </w:rPr>
              <w:t>Other Acquired Intangible</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3"/>
            <w:vMerge w:val="restart"/>
          </w:tcPr>
          <w:p>
            <w:pPr>
              <w:ind w:left="560"/>
              <w:spacing w:after="0"/>
              <w:rPr>
                <w:sz w:val="20"/>
                <w:szCs w:val="20"/>
                <w:color w:val="auto"/>
              </w:rPr>
            </w:pPr>
            <w:r>
              <w:rPr>
                <w:rFonts w:ascii="Arial" w:cs="Arial" w:eastAsia="Arial" w:hAnsi="Arial"/>
                <w:sz w:val="14"/>
                <w:szCs w:val="14"/>
                <w:b w:val="1"/>
                <w:bCs w:val="1"/>
                <w:color w:val="auto"/>
              </w:rPr>
              <w:t>Goodwill</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left="378"/>
              <w:spacing w:after="0"/>
              <w:rPr>
                <w:sz w:val="20"/>
                <w:szCs w:val="20"/>
                <w:color w:val="auto"/>
              </w:rPr>
            </w:pPr>
            <w:r>
              <w:rPr>
                <w:rFonts w:ascii="Arial" w:cs="Arial" w:eastAsia="Arial" w:hAnsi="Arial"/>
                <w:sz w:val="14"/>
                <w:szCs w:val="14"/>
                <w:b w:val="1"/>
                <w:bCs w:val="1"/>
                <w:color w:val="auto"/>
                <w:w w:val="89"/>
              </w:rPr>
              <w:t>Assets, Net</w:t>
            </w:r>
          </w:p>
        </w:tc>
        <w:tc>
          <w:tcPr>
            <w:tcW w:w="6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vMerge w:val="continue"/>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jc w:val="right"/>
              <w:ind w:right="178"/>
              <w:spacing w:after="0" w:line="119" w:lineRule="exact"/>
              <w:rPr>
                <w:sz w:val="20"/>
                <w:szCs w:val="20"/>
                <w:color w:val="auto"/>
              </w:rPr>
            </w:pPr>
            <w:r>
              <w:rPr>
                <w:rFonts w:ascii="Arial" w:cs="Arial" w:eastAsia="Arial" w:hAnsi="Arial"/>
                <w:sz w:val="13"/>
                <w:szCs w:val="13"/>
                <w:b w:val="1"/>
                <w:bCs w:val="1"/>
                <w:color w:val="auto"/>
              </w:rPr>
              <w:t>As of</w:t>
            </w: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ind w:left="60"/>
              <w:spacing w:after="0" w:line="119" w:lineRule="exact"/>
              <w:rPr>
                <w:sz w:val="20"/>
                <w:szCs w:val="20"/>
                <w:color w:val="auto"/>
              </w:rPr>
            </w:pPr>
            <w:r>
              <w:rPr>
                <w:rFonts w:ascii="Arial" w:cs="Arial" w:eastAsia="Arial" w:hAnsi="Arial"/>
                <w:sz w:val="13"/>
                <w:szCs w:val="13"/>
                <w:b w:val="1"/>
                <w:bCs w:val="1"/>
                <w:color w:val="auto"/>
              </w:rPr>
              <w:t>As of</w:t>
            </w: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tcPr>
          <w:p>
            <w:pPr>
              <w:jc w:val="right"/>
              <w:ind w:right="640"/>
              <w:spacing w:after="0" w:line="119" w:lineRule="exact"/>
              <w:rPr>
                <w:sz w:val="20"/>
                <w:szCs w:val="20"/>
                <w:color w:val="auto"/>
              </w:rPr>
            </w:pPr>
            <w:r>
              <w:rPr>
                <w:rFonts w:ascii="Arial" w:cs="Arial" w:eastAsia="Arial" w:hAnsi="Arial"/>
                <w:sz w:val="13"/>
                <w:szCs w:val="13"/>
                <w:b w:val="1"/>
                <w:bCs w:val="1"/>
                <w:color w:val="auto"/>
              </w:rPr>
              <w:t>As of</w:t>
            </w:r>
          </w:p>
        </w:tc>
        <w:tc>
          <w:tcPr>
            <w:tcW w:w="160" w:type="dxa"/>
            <w:vAlign w:val="bottom"/>
          </w:tcPr>
          <w:p>
            <w:pPr>
              <w:spacing w:after="0"/>
              <w:rPr>
                <w:sz w:val="10"/>
                <w:szCs w:val="10"/>
                <w:color w:val="auto"/>
              </w:rPr>
            </w:pPr>
          </w:p>
        </w:tc>
        <w:tc>
          <w:tcPr>
            <w:tcW w:w="640" w:type="dxa"/>
            <w:vAlign w:val="bottom"/>
          </w:tcPr>
          <w:p>
            <w:pPr>
              <w:jc w:val="right"/>
              <w:ind w:right="155"/>
              <w:spacing w:after="0" w:line="119" w:lineRule="exact"/>
              <w:rPr>
                <w:sz w:val="20"/>
                <w:szCs w:val="20"/>
                <w:color w:val="auto"/>
              </w:rPr>
            </w:pPr>
            <w:r>
              <w:rPr>
                <w:rFonts w:ascii="Arial" w:cs="Arial" w:eastAsia="Arial" w:hAnsi="Arial"/>
                <w:sz w:val="13"/>
                <w:szCs w:val="13"/>
                <w:b w:val="1"/>
                <w:bCs w:val="1"/>
                <w:color w:val="auto"/>
              </w:rPr>
              <w:t>As of</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90"/>
              </w:rPr>
              <w:t>June 30, 2015</w:t>
            </w:r>
          </w:p>
        </w:tc>
        <w:tc>
          <w:tcPr>
            <w:tcW w:w="6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April 3, 2015</w:t>
            </w:r>
          </w:p>
        </w:tc>
        <w:tc>
          <w:tcPr>
            <w:tcW w:w="30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June 30, 2015</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April 3, 2015</w:t>
            </w: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4"/>
          </w:tcPr>
          <w:p>
            <w:pPr>
              <w:ind w:left="360"/>
              <w:spacing w:after="0" w:line="142" w:lineRule="exact"/>
              <w:rPr>
                <w:sz w:val="20"/>
                <w:szCs w:val="20"/>
                <w:color w:val="auto"/>
              </w:rPr>
            </w:pPr>
            <w:r>
              <w:rPr>
                <w:rFonts w:ascii="Arial" w:cs="Arial" w:eastAsia="Arial" w:hAnsi="Arial"/>
                <w:sz w:val="14"/>
                <w:szCs w:val="14"/>
                <w:b w:val="1"/>
                <w:bCs w:val="1"/>
                <w:color w:val="auto"/>
              </w:rPr>
              <w:t>(In thousands)</w:t>
            </w:r>
          </w:p>
        </w:tc>
        <w:tc>
          <w:tcPr>
            <w:tcW w:w="6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15,108</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17,873</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9,805</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9,809</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Commercial Networks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8,573</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1,443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44,050</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43,994</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21,550</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23,024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63,845</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63,438</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32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45,231</w:t>
            </w:r>
          </w:p>
        </w:tc>
        <w:tc>
          <w:tcPr>
            <w:tcW w:w="62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42,340</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117,700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117,241</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acquired intangible assets by segment for the three months ended June 30, 2015 and July 4, 2014 was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ind w:left="96"/>
              <w:spacing w:after="0"/>
              <w:rPr>
                <w:sz w:val="20"/>
                <w:szCs w:val="20"/>
                <w:color w:val="auto"/>
              </w:rPr>
            </w:pPr>
            <w:r>
              <w:rPr>
                <w:rFonts w:ascii="Arial" w:cs="Arial" w:eastAsia="Arial" w:hAnsi="Arial"/>
                <w:sz w:val="14"/>
                <w:szCs w:val="14"/>
                <w:b w:val="1"/>
                <w:bCs w:val="1"/>
                <w:color w:val="auto"/>
                <w:w w:val="93"/>
              </w:rPr>
              <w:t>Three Months Ended</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June 30, 2015</w:t>
            </w:r>
          </w:p>
        </w:tc>
        <w:tc>
          <w:tcPr>
            <w:tcW w:w="1440" w:type="dxa"/>
            <w:vAlign w:val="bottom"/>
            <w:tcBorders>
              <w:bottom w:val="single" w:sz="8" w:color="auto"/>
            </w:tcBorders>
            <w:gridSpan w:val="3"/>
          </w:tcPr>
          <w:p>
            <w:pPr>
              <w:ind w:left="700"/>
              <w:spacing w:after="0" w:line="142" w:lineRule="exact"/>
              <w:rPr>
                <w:sz w:val="20"/>
                <w:szCs w:val="20"/>
                <w:color w:val="auto"/>
              </w:rPr>
            </w:pPr>
            <w:r>
              <w:rPr>
                <w:rFonts w:ascii="Arial" w:cs="Arial" w:eastAsia="Arial" w:hAnsi="Arial"/>
                <w:sz w:val="14"/>
                <w:szCs w:val="14"/>
                <w:b w:val="1"/>
                <w:bCs w:val="1"/>
                <w:color w:val="auto"/>
                <w:w w:val="91"/>
              </w:rPr>
              <w:t>July 4, 2014</w:t>
            </w:r>
          </w:p>
        </w:tc>
        <w:tc>
          <w:tcPr>
            <w:tcW w:w="100" w:type="dxa"/>
            <w:vAlign w:val="bottom"/>
          </w:tcPr>
          <w:p>
            <w:pPr>
              <w:spacing w:after="0"/>
              <w:rPr>
                <w:sz w:val="12"/>
                <w:szCs w:val="12"/>
                <w:color w:val="auto"/>
              </w:rPr>
            </w:pPr>
          </w:p>
        </w:tc>
      </w:tr>
      <w:tr>
        <w:trPr>
          <w:trHeight w:val="142"/>
        </w:trPr>
        <w:tc>
          <w:tcPr>
            <w:tcW w:w="6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gridSpan w:val="3"/>
          </w:tcPr>
          <w:p>
            <w:pPr>
              <w:jc w:val="center"/>
              <w:ind w:left="96"/>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w:t>
            </w: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2,765</w:t>
            </w: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Commercial Networks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496</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7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00" w:type="dxa"/>
            <w:vAlign w:val="bottom"/>
            <w:shd w:val="clear" w:color="auto" w:fill="CCEEFF"/>
          </w:tcPr>
          <w:p>
            <w:pPr>
              <w:spacing w:after="0"/>
              <w:rPr>
                <w:sz w:val="18"/>
                <w:szCs w:val="18"/>
                <w:color w:val="auto"/>
              </w:rPr>
            </w:pPr>
          </w:p>
        </w:tc>
      </w:tr>
      <w:tr>
        <w:trPr>
          <w:trHeight w:val="291"/>
        </w:trPr>
        <w:tc>
          <w:tcPr>
            <w:tcW w:w="6300" w:type="dxa"/>
            <w:vAlign w:val="bottom"/>
          </w:tcPr>
          <w:p>
            <w:pPr>
              <w:spacing w:after="0"/>
              <w:rPr>
                <w:sz w:val="20"/>
                <w:szCs w:val="20"/>
                <w:color w:val="auto"/>
              </w:rPr>
            </w:pPr>
            <w:r>
              <w:rPr>
                <w:rFonts w:ascii="Arial" w:cs="Arial" w:eastAsia="Arial" w:hAnsi="Arial"/>
                <w:sz w:val="18"/>
                <w:szCs w:val="18"/>
                <w:color w:val="auto"/>
              </w:rPr>
              <w:t>Total amortization of acquired intangible assets</w:t>
            </w: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4,810</w:t>
            </w: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4,029</w:t>
            </w:r>
          </w:p>
        </w:tc>
        <w:tc>
          <w:tcPr>
            <w:tcW w:w="100" w:type="dxa"/>
            <w:vAlign w:val="bottom"/>
          </w:tcPr>
          <w:p>
            <w:pPr>
              <w:spacing w:after="0"/>
              <w:rPr>
                <w:sz w:val="24"/>
                <w:szCs w:val="24"/>
                <w:color w:val="auto"/>
              </w:rPr>
            </w:pPr>
          </w:p>
        </w:tc>
      </w:tr>
      <w:tr>
        <w:trPr>
          <w:trHeight w:val="20"/>
        </w:trPr>
        <w:tc>
          <w:tcPr>
            <w:tcW w:w="6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Certain Relationships and Related-Party Transactions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John Stenbit, a director of the Company since August 2004, also serves on the board of directors of Loral. From time to time, the Company enters into various contracts in the ordinary course of business with Telesat Canada, which is owned by Telesat Holdings, Inc., which is a joint venture between Loral and the Public Sector Pension Investment Board. The obligations under these contracts have not materially changed since the disclosure in the Company’s Annual Report on Form 10-K for the fiscal year ended April 3, 2015.</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00"/>
          </w:cols>
          <w:pgMar w:left="240" w:top="459"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3980"/>
        <w:spacing w:after="0" w:line="3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ind w:firstLine="456"/>
        <w:spacing w:after="0" w:line="284" w:lineRule="auto"/>
        <w:rPr>
          <w:sz w:val="20"/>
          <w:szCs w:val="20"/>
          <w:color w:val="auto"/>
        </w:rPr>
      </w:pPr>
      <w:r>
        <w:rPr>
          <w:rFonts w:ascii="Arial" w:cs="Arial" w:eastAsia="Arial" w:hAnsi="Arial"/>
          <w:sz w:val="16"/>
          <w:szCs w:val="16"/>
          <w:color w:val="auto"/>
        </w:rPr>
        <w:t>This Quarterly Report on Form 10-Q,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that refer to projections of earnings, revenue, costs or other financial items; anticipated growth and trends in our business or key markets; future economic conditions and performance; the development, customer acceptance and anticipated performance of technologies, products or services; satellite construction and launch activities; the performance and anticipated benefits of the ViaSat-2 satellite; the expected capacity, service, coverage, service speeds and other features of ViaSat-2, and the timing, cost, economics and other benefits associated therewith; anticipated subscriber growth; plans, objectives and strategies for future operations; and other characterizations of future events or circumstances, are forward-looking statements. Readers are cautioned that these forward-looking statements are only predictions and are subject to risks, uncertainties and assumptions that are difficult to predict. Factors that could cause actual results to differ include: our ability to realize the anticipated benefits of the ViaSat-2 satellite; unexpected expenses related to the satellite project; our ability to successfully implement our business plan for our broadband satellite services on our anticipated timeline or at all, including with respect to the ViaSat-2 satellite system; risks associated with the construction, launch and operation of ViaSat-2 and our other satellites, including the effect of any anomaly, operational failure or degradation in satellite performance; our ability to successfully develop, introduce and sell new technologies, products and services; negative audits by the U.S. government; changes in the global business environment and economic conditions; delays in approving U.S. government budgets and cuts in government defense expenditures; our reliance on U.S. government contracts, and on a small number of contracts which account for a significant percentage of our revenues; reduced demand for products and services as a result of continued constraints on capital spending by customers; changes in relationships with, or the financial condition of, key customers or suppliers; our reliance on a limited number of third parties to manufacture and supply our products; increased competition and other factors affecting the communications and defense industries generally; the effect of adverse regulatory changes on our ability to sell products and services; our level of indebtedness and ability to comply with applicable debt covenants; our involvement in litigation, including intellectual property claims and litigation to protect our proprietary technology; our dependence on a limited number of key employees; and other factors identified under the heading “Risk Factors” in Part I, Item 1A of our Annual Report on Form 10-K for the fiscal year ended April 3, 2015, under the heading “Risk Factors” in Part II, Item 1A of this report, elsewhere in this report and our other filings with the Securities and Exchange Commission (the SEC). Therefore, actual results may differ materially and adversely from those expressed in any forward-looking statements. We undertake no obligation to revise or update any forward-looking statements for any reason.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an innovator in broadband technologies and services, including satellite and wireless networking applications and secure networking systems, products and services. We have leveraged our success developing complex satellite communication systems and equipment for the U.S. government and select commercial customers to develop next-generation satellite broadband technologies and services for both fixed and mobile users. Our product, systems and service offerings are often linked through common underlying technologies, customer applications and market relationships. We believe that our portfolio of products and services, combined with our ability to effectively cross-deploy technologies between government and commercial segments and across different geographic markets, provides us with a strong foundation to sustain and enhance our leadership in advanced communications and networking technologies. ViaSat, Inc. was incorporated in California in 1986, and reincorporated as a Delaware corporation in 1996.</w:t>
      </w:r>
    </w:p>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May 4, 2015, our Board of Directors approved a change in our fiscal year from a 52 or 53 week fiscal year ending on the Friday closest to March 31 to a fiscal year ending on March 31 of each year, effective with the fiscal year commencing April 4, 2015. Beginning April 4, 2015, our fiscal quarters end on June 30, September 30, December 31, and March 31 of each year. Our fiscal quarters for fiscal year 2015 ended on July 4, 2014, October 3, 2014, January 2, 2015 and April 3, 2015.</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During the first quarter of fiscal year 2016, we completed the acquisition of Engreen Inc. (Engreen), a privately held company focused on network function virtualization, for approximately $5.0 million (of which $1.0 million has been withheld as security for any indemnifiable damages), recorded within our commercial networks segment. During the first quarter of fiscal year 2015, we completed the acquisition of NetNearU Corp. (NetNearU), a privately held company that has developed a comprehensive network management system for Wi-Fi and other internet access networks, for approximately $60.2 million, recorded within our government systems segment.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conduct our business through three segments: satellite services, commercial networks and government systems.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 Services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satellite services segment provides retail and wholesale satellite-based broadband services for our consumer, enterprise and mobile broadband customers primarily in the United States. Our Exede broadband services are designed to offer a high-quality broadband service choice to the millions of unserved and under-served consumers in the United States and to significantly expand the quality, capability and availability of high-speed broadband satellite services for U.S. consumers and enterprises. Our satellite services business also provides a platform for the provision of network management services to domestic and international satellite service providers. In May 2013, we entered into a satellite construction contract for ViaSat-2, our second high-capacity Ka-band satellite.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services offered by our satellite services segment are comprised of:</w:t>
      </w:r>
    </w:p>
    <w:p>
      <w:pPr>
        <w:spacing w:after="0" w:line="131" w:lineRule="exact"/>
        <w:rPr>
          <w:sz w:val="20"/>
          <w:szCs w:val="20"/>
          <w:color w:val="auto"/>
        </w:rPr>
      </w:pPr>
    </w:p>
    <w:p>
      <w:pPr>
        <w:ind w:left="900" w:right="80" w:hanging="325"/>
        <w:spacing w:after="0" w:line="26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Retail and wholesale broadband satellite services offered to consumers and businesses under the Exede and WildBlue</w:t>
      </w:r>
      <w:r>
        <w:rPr>
          <w:rFonts w:ascii="Arial" w:cs="Arial" w:eastAsia="Arial" w:hAnsi="Arial"/>
          <w:sz w:val="15"/>
          <w:szCs w:val="15"/>
          <w:color w:val="auto"/>
        </w:rPr>
        <w:t>®</w:t>
      </w:r>
      <w:r>
        <w:rPr>
          <w:rFonts w:ascii="Arial" w:cs="Arial" w:eastAsia="Arial" w:hAnsi="Arial"/>
          <w:sz w:val="18"/>
          <w:szCs w:val="18"/>
          <w:color w:val="auto"/>
        </w:rPr>
        <w:t xml:space="preserve"> brands, which provide two-way satellite-based broadband internet access and Voice over Internet Protocol (VoIP). As of June 30, 2015, we provided broadband satellite services to approximately 685,000 subscribers.</w:t>
      </w:r>
    </w:p>
    <w:p>
      <w:pPr>
        <w:spacing w:after="0" w:line="86"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Mobile broadband services, which provide global network management and high-speed internet connectivity services for customers using airborne, maritime and ground-mobile satellite systems.</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Enterprise broadband services, which include in-flight Wi-Fi (including our flagship Exede In The Air service), live on-line event streaming, oil and natural gas data gathering services and high definition satellite news gathering.</w:t>
      </w:r>
    </w:p>
    <w:p>
      <w:pPr>
        <w:spacing w:after="0" w:line="17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September 2014, we entered into a settlement agreement (the Settlement Agreement) with Space Systems/Loral, Inc. (SS/L) and its former parent company Loral Space &amp; Communications, Inc. (Loral), pursuant to which SS/L and Loral are required to pay us a total of $108.7 million, inclusive of interest, over a two and a half year period from the date of settlement. In exchange, we dismissed both lawsuits against SS/L and Loral. The parties further agreed not to sue each other with respect to the patents and intellectual property that were the subject of the lawsuits and, for a period of two years, not to sue each other or each other’s customers for any intellectual property claims. We record payments under the Settlement Agreement as product revenues and as a reduction of selling, general and administrative (SG&amp;A) expenses in our satellite services segment, and as interest income. For further information, see Note 8 to the condensed consolidated financial statements.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Networks</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Our commercial networks segment develops and produces a variety of advanced end-to-end satellite and other wireless communication systems and ground networking equipment and products that address five key market segments: consumer, enterprise, in-flight, maritime and ground mobile applications. These communication systems, networking equipment and products are generally developed through a combination of customer and discretionary internal research and development funding, and are either sold to our commercial networks customers or utilized to provide services through our satellite services segment.</w:t>
      </w:r>
    </w:p>
    <w:p>
      <w:pPr>
        <w:spacing w:after="0" w:line="188"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Our satellite communication systems, ground networking equipment and products cater to a wide range of domestic and international commercial customers and include:</w:t>
      </w:r>
    </w:p>
    <w:p>
      <w:pPr>
        <w:spacing w:after="0" w:line="76" w:lineRule="exact"/>
        <w:rPr>
          <w:sz w:val="20"/>
          <w:szCs w:val="20"/>
          <w:color w:val="auto"/>
        </w:rPr>
      </w:pPr>
    </w:p>
    <w:p>
      <w:pPr>
        <w:ind w:left="900" w:right="2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Fixed satellite networks, including next-generation satellite network infrastructure and ground terminals to access Ka-band broadband services on high-capacity satellites.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Mobile broadband satellite communication systems, designed for use in aircraft, high-speed trains and seagoing vessels.</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Antenna systems for terrestrial and satellite applications, specializing in geospatial imagery, mobile satellite communication, Ka-band gateways and other multi-band antennas.</w:t>
      </w:r>
    </w:p>
    <w:p>
      <w:pPr>
        <w:spacing w:after="0" w:line="75"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Satellite networking development programs, including specialized design and technology services covering all aspects of satellite communication system architecture and technology.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Systems</w:t>
      </w:r>
    </w:p>
    <w:p>
      <w:pPr>
        <w:spacing w:after="0" w:line="121" w:lineRule="exact"/>
        <w:rPr>
          <w:sz w:val="20"/>
          <w:szCs w:val="20"/>
          <w:color w:val="auto"/>
        </w:rPr>
      </w:pPr>
    </w:p>
    <w:p>
      <w:pPr>
        <w:ind w:right="400" w:firstLine="456"/>
        <w:spacing w:after="0" w:line="279" w:lineRule="auto"/>
        <w:rPr>
          <w:sz w:val="20"/>
          <w:szCs w:val="20"/>
          <w:color w:val="auto"/>
        </w:rPr>
      </w:pPr>
      <w:r>
        <w:rPr>
          <w:rFonts w:ascii="Arial" w:cs="Arial" w:eastAsia="Arial" w:hAnsi="Arial"/>
          <w:sz w:val="17"/>
          <w:szCs w:val="17"/>
          <w:color w:val="auto"/>
        </w:rPr>
        <w:t>Our government systems segment develops and produces network-centric internet protocol (IP)-based fixed and mobile secure government communications systems, products, services and solutions, which are designed to enable the collection and dissemination of secure real-time digital information between command centers, communications nodes and air defense systems. Customers of our government systems segment include the U.S. Department of Defense (DoD), armed forces, public safety first-responders and remote government employees.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products and services of our government systems segment include:</w:t>
      </w:r>
    </w:p>
    <w:p>
      <w:pPr>
        <w:spacing w:after="0" w:line="131" w:lineRule="exact"/>
        <w:rPr>
          <w:sz w:val="20"/>
          <w:szCs w:val="20"/>
          <w:color w:val="auto"/>
        </w:rPr>
      </w:pPr>
    </w:p>
    <w:p>
      <w:pPr>
        <w:ind w:left="900" w:right="38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Government mobile broadband service and product offerings, which provide military and government users with two-way mobile broadband connectivity via satellite in key regions of the world.</w:t>
      </w:r>
    </w:p>
    <w:p>
      <w:pPr>
        <w:sectPr>
          <w:pgSz w:w="11900" w:h="16838" w:orient="portrait"/>
          <w:cols w:equalWidth="0" w:num="1">
            <w:col w:w="11420"/>
          </w:cols>
          <w:pgMar w:left="240" w:top="459" w:right="239" w:bottom="1440" w:gutter="0" w:footer="0" w:header="0"/>
        </w:sectPr>
      </w:pP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459" w:right="2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20" w:hanging="325"/>
        <w:spacing w:after="0" w:line="276" w:lineRule="auto"/>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Government satellite communication systems, which comprise an array of portable, mobile and fixed broadband modems, terminals, network access control systems and antenna systems using a range of satellite frequency bands for line-of-sight and beyond-line-of-sight Intelligence, Surveillance and Reconnaissance (ISR) and Command and Control (C2) missions, satellite networking services, network management systems for Wi-Fi and other internet access networks, and global mobile broadband capability, and include products designed for manpacks, aircraft, unmanned aerial vehicles (UAVs), seagoing vessels, ground mobile vehicles and fixed applications.</w:t>
      </w:r>
    </w:p>
    <w:p>
      <w:pPr>
        <w:spacing w:after="0" w:line="77" w:lineRule="exact"/>
        <w:rPr>
          <w:rFonts w:ascii="Arial" w:cs="Arial" w:eastAsia="Arial" w:hAnsi="Arial"/>
          <w:sz w:val="17"/>
          <w:szCs w:val="17"/>
          <w:color w:val="auto"/>
        </w:rPr>
      </w:pPr>
    </w:p>
    <w:p>
      <w:pPr>
        <w:ind w:left="900" w:right="160" w:hanging="325"/>
        <w:spacing w:after="0" w:line="286" w:lineRule="auto"/>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Information security and assurance products and secure networking solutions, which provide advanced, high-speed IP-based “Type 1” and High Assurance Internet Protocol Encryption (HAIPE</w:t>
      </w:r>
      <w:r>
        <w:rPr>
          <w:rFonts w:ascii="Arial" w:cs="Arial" w:eastAsia="Arial" w:hAnsi="Arial"/>
          <w:sz w:val="14"/>
          <w:szCs w:val="14"/>
          <w:color w:val="auto"/>
        </w:rPr>
        <w:t>®</w:t>
      </w:r>
      <w:r>
        <w:rPr>
          <w:rFonts w:ascii="Arial" w:cs="Arial" w:eastAsia="Arial" w:hAnsi="Arial"/>
          <w:sz w:val="17"/>
          <w:szCs w:val="17"/>
          <w:color w:val="auto"/>
        </w:rPr>
        <w:t>)-compliant encryption solutions that enable military and government users to communicate information securely over networks, and that secure data stored on computers and storage devices.</w:t>
      </w:r>
    </w:p>
    <w:p>
      <w:pPr>
        <w:spacing w:after="0" w:line="70" w:lineRule="exact"/>
        <w:rPr>
          <w:rFonts w:ascii="Arial" w:cs="Arial" w:eastAsia="Arial" w:hAnsi="Arial"/>
          <w:sz w:val="17"/>
          <w:szCs w:val="17"/>
          <w:color w:val="auto"/>
        </w:rPr>
      </w:pPr>
    </w:p>
    <w:p>
      <w:pPr>
        <w:ind w:left="900" w:right="400" w:hanging="325"/>
        <w:spacing w:after="0" w:line="34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Tactical data links, including Multifunctional Information Distribution System (MIDS) terminals for military fighter jets and their successor, MIDS Joint Tactical Radio System (MIDS-JTRS) terminals, “disposable” weapon data links and portable small tactical terminals.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121"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Our satellite services segment revenues are primarily derived from our domestic satellite broadband services business and from our worldwide managed network services.</w:t>
      </w:r>
    </w:p>
    <w:p>
      <w:pPr>
        <w:spacing w:after="0" w:line="17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products in our commercial networks and government systems segments are provided primarily through three types of contracts: fixed-price, time-and-materials and cost-reimbursement contracts. Fixed-price contracts (which require us to provide products and services under a contract at a specified price) comprised approximately 89% of our total revenues for these segments for the three months ended June 30, 2015 and July 4, 2014. The remainder of our revenue in these segments for such periods was derived from cost-reimbursement contracts (under which we are reimbursed for all actual costs incurred in performing the contract to the extent such costs are within the contract ceiling and allowable under the terms of the contract, plus a fee or profit) and from time-and-materials contracts (which reimburse us for the number of labor hours expended at an established hourly rate negotiated in the contract, plus the cost of materials utilized in providing such products or services).</w:t>
      </w:r>
    </w:p>
    <w:p>
      <w:pPr>
        <w:spacing w:after="0" w:line="178"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Our ability to grow and maintain our revenues in our commercial networks and government systems segments has to date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p>
    <w:p>
      <w:pPr>
        <w:spacing w:after="0" w:line="166"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Historically, a significant portion of our revenues has been derived from customer contracts that include the research and development of products. The research and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our funded research and development from our customer contracts were approximately 19% and 27% of our total revenues in the three months ended June 30, 2015 and July 4, 2014, respectively.</w:t>
      </w:r>
    </w:p>
    <w:p>
      <w:pPr>
        <w:spacing w:after="0" w:line="188"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We also incur independent research and development (IR&amp;D) expenses, which are not directly funded by a third party. IR&amp;D expenses consist primarily of salaries and other personnel-related expenses, supplies, prototype materials, testing and certification related to research and development projects. IR&amp;D expenses were approximately 5% and 3% of total revenues during the three months ended June 30, 2015 and July 4, 2014, respectively. As a government contractor, we are able to recover a portion of our IR&amp;D expenses pursuant to our government contracts.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Management’s Discussion and Analysis of Financial Condition and Results of Operations discusses our condensed consolidated financial statements, which have been prepared in accordance with accounting principles generally accepted in the United States of America (GAAP).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A substantial portion of our revenues is derived from long-term contracts requiring development and delivery of complex equipment built to customer specifications. Sales related to these contracts are accounted for under the authoritative guidance for the percentage-of-completion method of accounting (Accounting Standards Codification (ASC) 605-35). Sales and earnings under these contracts are recorded either based on the ratio of actual costs incurred to date to total estimated costs expected to be incurred related to the contract, or as products are shipped under the units-of-delivery method.</w:t>
      </w:r>
    </w:p>
    <w:p>
      <w:pPr>
        <w:spacing w:after="0" w:line="15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percentage-of-completion method of accounting requires management to estimate the profit margin for each individual contract and to apply that profit margin on a uniform basis as sales are recorded under the contract. The estimation of profit margins requires management to make projections of the total sales to be generated and the total costs that will be incurred under a contract. These projections require management to make numerous assumptions and estimates relating to items such as the complexity of design and related development costs, performance of subcontractors, availability and cost of materials, labor productivity and cost, overhead and capital costs and manufacturing efficiency. These contracts often include purchase options for additional quantities and customer change orders for additional or revised product functionality. Purchase options and change orders are accounted for either as an integral part of the original contract or separately depending upon the nature and value of the item. For contract claims or similar items, we apply judgment in estimating the amounts and assessing the potential for realization. These amounts are only included in contract value when they can be reliably estimated and realization is considered probable. Anticipated losses on contracts are recognized in full in the period in which losses become probable and estimable. During the three months ended June 30, 2015 and July 4, 2014, we recorded losses of approximately $1.4 million and $0.1 million, respectively, related to loss contracts.</w:t>
      </w:r>
    </w:p>
    <w:p>
      <w:pPr>
        <w:spacing w:after="0" w:line="16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Assuming the initial estimates of sales and costs under a contract are accurate, the percentage-of-completion method results in the profit margin being recorded evenly as revenue is recognized under the contract. Changes in these underlying estimates due to revisions in sales and future cost estimates or the exercise of contract options may result in profit margins being recognized unevenly over a contract as such changes are accounted for on a cumulative basis in the period estimates are revised. We believe we have established appropriate systems and processes to enable us to reasonably estimate future costs on our programs through regular evaluations of contract costs, scheduling and technical matters by business unit personnel and management. Historically, in the aggregate, we have not experienced significant deviations in actual costs from estimated program costs, and when deviations that result in significant adjustments arise, we disclose the related impact in Management’s Discussion and Analysis of Financial Condition and Results of Operations. However, these estimates require significant management judgment, and a significant change in future cost estimates on one or more programs could have a material effect on our results of operations. A one percent variance in our future cost estimates on open fixed-price contracts as of June 30, 2015 would change our income before income taxes by approximately $0.5 million.</w:t>
      </w:r>
    </w:p>
    <w:p>
      <w:pPr>
        <w:spacing w:after="0" w:line="178"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We also derive a substantial portion of our revenues from contracts and purchase orders where revenue is recorded on delivery of products or performance of services in accordance with the authoritative guidance for revenue recognition (ASC 605). Under this standard, we recognize revenue when an arrangement exists, prices are determinable, collectability is reasonably assured and the goods or services have been delivered.</w:t>
      </w:r>
    </w:p>
    <w:p>
      <w:pPr>
        <w:spacing w:after="0" w:line="166"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We also enter into certain leasing arrangements with customers and evaluate the contracts in accordance with the authoritative guidance for leases (ASC 840). Our accounting for equipment leases involves specific determinations under the authoritative guidance for leases, which often involve complex provisions and significant judgments. In accordance with the authoritative guidance for leases, we classify the transactions as sales type or operating leases based on: (1) review for transfers of ownership of the equipment to the lessee by the end of the lease term, (2) review of the lease terms to determine if it contains an option to purchase the leased equipment for a price which is sufficiently lower than the expected fair value of the equipment at the date of the option, (3) review of the lease term to determine if it is equal to or greater than 75% of the economic life of the equipment, and (4) review of the present value of the minimum lease payments to determine if they are equal to or greater than 90% of the fair market value of the equipment at the inception of the lease. Additionally, we consider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183"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In accordance with the authoritative guidance for revenue recognition for multiple element arrangements, the Accounting Standards Update (ASU) 2009-13 (ASU 2009-13), Revenue Recognition (ASC 605) Multiple-Deliverable Revenue Arrangements, which updates ASC 605-25, Revenue Recognition-Multiple element arrangements, of the Financial Accounting Standards Board (FASB) codification, for substantially all of the arrangements with multiple deliverables, we allocate revenue to each element based on a selling price hierarchy at the arrangement inception. The selling price for each element is based upon the following selling price hierarchy: vendor specific objective evidence (VSOE) if available, third party evidence (TPE) if VSOE is not available, or estimated selling price (ESP) if neither VSOE nor TPE are available (a description as to how we determine VSOE, TPE and ESP is provided below). If a tangible hardware systems product includes software, we determine whether the tangible hardware systems product and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software work together to deliver the product’s essential functionality and, if so, the entire product is treated as a nonsoftware deliverable. The total arrangement consideration is allocated to each separate unit of accounting for each of the nonsoftware deliverables using the relative selling prices of each unit based on the aforementioned selling price hierarchy. Revenue for each separate unit of accounting is recognized when the applicable revenue recognition criteria for each element have been met.</w:t>
      </w:r>
    </w:p>
    <w:p>
      <w:pPr>
        <w:spacing w:after="0" w:line="187"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To determine the selling price in multiple-element arrangements, we establish VSOE of the selling price using the price charged for a deliverable when sold separately. We also consider specific renewal rates offered to customers for software license updates, product support and hardware systems support, and other services. For nonsoftware multiple-element arrangements, TPE is established by evaluating similar and/or interchangeable competitor products or services in standalone arrangements with similarly situated customers and/or agreements. If we are unable to determine the selling price because VSOE or TPE doesn’t exist, we determine ESP for the purposes of allocating the arrangement by reviewing historical transactions, including transactions whereby the deliverable was sold on a standalone basis, and considering several other external and internal factors including, but not limited to, pricing practices including discounting, margin objectives, competition, the geographies in which we offer our products and services, the type of customer (i.e. distributor, value added reseller, government agency or direct end user, among others), volume commitments and the stage of the product lifecycle. The determination of ESP considers our pricing model and go-to-market strategy. As our, or our competitors’, pricing and go-to-market strategies evolve, we may modify our pricing practices in the future, which could result in changes to our determination of VSOE, TPE and ESP. As a result, our future revenue recognition for multiple-element arrangements could differ materially from those in the current period.</w:t>
      </w:r>
    </w:p>
    <w:p>
      <w:pPr>
        <w:spacing w:after="0" w:line="183"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Collections in excess of revenues and deferred revenues represent cash collected from customers in advance of revenue recognition and are recorded in accrued liabilities for obligations within the next twelve months. Amounts for obligations extending beyond the twelve months are recorded within other liabilities in the condensed consolidated financial statements.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reserves</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provide limited warranties on our products for periods of up to five years. We record a liability for our warranty obligations when we ship the products or they are included in long-term construction contracts based upon an estimate of expected warranty costs. Amounts expected to be incurred within twelve months are classified as accrued liabilities and amounts expected to be incurred beyond twelve months are classified as other liabilities in the consolidated financial statements. For mature products, we estimate the warranty costs based on historical experience with the particular product. For newer products that do not have a history of warranty costs, we base our estimates on our experience with the technology involved and the types of failures that may occur. It is possible that our underlying assumptions will not reflect the actual experience, and in that case, we will make future adjustments to the recorded warranty obligation.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11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the satellite manufacturers (dependent on the continued satisfactory performance of the satellites), costs directly associated with the monitoring and support of satellite construction, and interest costs incurred during the period of satellite construction. We also construct gateway facilities, network operations systems and other assets to support our satellites, and those construction costs, including interest, are capitalized as incurred. At the time satellites are placed in service, we estimate the useful life of our satellites for depreciation purposes based upon an analysis of each satellite’s performance against the original manufacturer’s orbital design life, estimated fuel levels and related consumption rates, as well as historical satellite operating trends.</w:t>
      </w:r>
    </w:p>
    <w:p>
      <w:pPr>
        <w:spacing w:after="0" w:line="16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own two satellites: ViaSat-1 (our first high-capacity Ka-band spot-beam satellite, which was placed into service in January 2012) and WildBlue-1 (which was placed into service in March 2007). In May 2013, we entered into a satellite construction contract for ViaSat-2, our second high-capacity Ka-band satellite. In addition, we have an exclusive prepaid lifetime capital lease of Ka-band capacity over the contiguous United States on Telesat Canada’s Anik F2 satellite (which was placed into service in April 2005) and own related gateway and networking equipment on all of our satellites. Property and equipment also includes the indoor and outdoor customer premise equipment (CPE) units leased to subscribers under a retail leasing program as part of our satellite services segment.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and other long-term assets (property, equipment and satellites, and other assets, including goodwill)</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accordance with the authoritative guidance for impairment or disposal of long-lived assets (ASC 360), we assess potential impairments to our long-lived assets, including property, equipment and satellites and other assets, when there is evidence that events or changes in circumstances indicate that the carrying value may not be recoverable. We periodically review the remaining estimated useful life of the satellite to determine if revisions to the estimated life are necessary. We recognize an impairment loss when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No material impairments were recorded by us for the three months ended June 30, 2015 and July 4, 2014.</w:t>
      </w:r>
    </w:p>
    <w:p>
      <w:pPr>
        <w:spacing w:after="0" w:line="147"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We account for our goodwill under the authoritative guidance for goodwill and other intangible assets (ASC 350) and the provisions of ASU 2011-08, Testing Goodwill for Impairment, which simplifies how we test goodwill for impairment. Current authoritative guidance allows us to first assess qualitative factors to determine whether it is necessary to perform the two-step quantitative goodwill impairment test. If, after completing the qualitative assessment, we determine that it is more likely than not that the estimated fair value is greater than the carrying value, we conclude that no impairment exists. If it is more likely than not that the carrying value of the reporting unit exceeds its estimated fair value, we compare the fair value of the reporting unit to its carrying value. If the estimated fair value of the reporting unit is less than the carrying value, a second step is performed in which the implied fair value of goodwill is compared to its carrying value. If the implied fair value of goodwill is less than its carrying value, goodwill must be written down to its implied fair value, resulting in goodwill impairment. We test goodwill for impairment during the fourth quarter every fiscal year and when an event occurs or circumstances change such that it is reasonably possible that an impairment may exist.</w:t>
      </w:r>
    </w:p>
    <w:p>
      <w:pPr>
        <w:spacing w:after="0" w:line="18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qualitative analysis includes assessing the impact of changes in certain factors including: (1) changes in forecasted operating results and comparing actual results to projections, (2) changes in the industry or our competitive environment since the acquisition date, (3) changes in the overall economy, our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spacing w:after="0" w:line="188"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Based on our qualitative assessment performed during the fourth quarter of fiscal year 2015, we concluded that it was more likely than not that the estimated fair value of our reporting units exceeded their carrying value as of April 3, 2015 and, therefore, determined it was not necessary to perform the two-step goodwill impairment test.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and valuation allowance on deferred tax assets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Management evaluates the realizability of our deferred tax assets and assesses the need for a valuation allowance on a quarterly basis to determine if the weight of available evidence suggests that an additional valuation allowance is needed. In accordance with the authoritative guidance for income taxes (ASC 740), net deferred tax assets are reduced by a valuation allowance if, based on all the available evidence, it is more likely than not that some or all of the deferred tax assets will not be realized. In the event that our estimate of taxable income is less than that required to utilize the full amount of any deferred tax asset, a valuation allowance is established which would cause a decrease to income in the period such determination is made. Our valuation allowance against deferred tax assets remains unchanged from $15.6 million at April 3, 2015. The valuation allowance primarily relates to state net operating loss carryforwards and research and development tax credit carryforwards available to reduce state income taxes.</w:t>
      </w:r>
    </w:p>
    <w:p>
      <w:pPr>
        <w:spacing w:after="0" w:line="178"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Our analysis of the need for a valuation allowance on deferred tax assets considered the losses incurred during the fiscal years ended April 4, 2014 and March 29, 2013 and the income generated during the fiscal year ended April 3, 2015 and three months ended June 30, 2015. In fiscal year 2013, we recorded a significant loss, a substantial portion of which resulted from an extinguishment of debt charge that was recorded upon the refinancing of our former 8.875% Senior Notes due 2016 (2016 Notes) with the proceeds from the issuance of additional 6.875% Senior Notes due 2020 (2020 Notes), which provides a benefit to net income due to the lower interest rate of the 2020 Notes. The loss from fiscal year 2014 was less significant and a substantial portion of that loss related to legal expense focused on protecting and extending our technology advantages in the litigation against SS/L and Loral, which was settled during the second quarter of fiscal year 2015 (see Note 8 to the condensed consolidated financial statements). In addition to these events, our evaluation considered other factors, including our contractual backlog, our history of positive earnings, current earnings trends assuming our satellite subscriber base continues to grow, taxable income adjusted for certain items, and forecasted income by jurisdiction. We also considered the lengthy period over which these net deferred tax assets can be realized and our history of not having federal tax loss carryforwards expire unused.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Accruals for uncertain tax positions are provided for in accordance with the authoritative guidance for accounting for uncertainty in income taxes (ASC 740). Under the authoritative guidance,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addresses the derecognition of income tax assets and liabilities, classification of current and deferred income tax assets and liabilities, accounting for interest and penalties associated with tax positions, and income tax disclosures.</w:t>
      </w:r>
    </w:p>
    <w:p>
      <w:pPr>
        <w:spacing w:after="0" w:line="17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as a percentage of total revenues, income statement data for the periods indicated:</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18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6820" w:type="dxa"/>
            <w:vAlign w:val="bottom"/>
          </w:tcPr>
          <w:p>
            <w:pPr>
              <w:spacing w:after="0"/>
              <w:rPr>
                <w:sz w:val="10"/>
                <w:szCs w:val="10"/>
                <w:color w:val="auto"/>
              </w:rPr>
            </w:pPr>
          </w:p>
        </w:tc>
        <w:tc>
          <w:tcPr>
            <w:tcW w:w="1160" w:type="dxa"/>
            <w:vAlign w:val="bottom"/>
            <w:tcBorders>
              <w:top w:val="single" w:sz="8" w:color="auto"/>
            </w:tcBorders>
            <w:gridSpan w:val="2"/>
          </w:tcPr>
          <w:p>
            <w:pPr>
              <w:jc w:val="right"/>
              <w:ind w:right="640"/>
              <w:spacing w:after="0" w:line="119" w:lineRule="exact"/>
              <w:rPr>
                <w:sz w:val="20"/>
                <w:szCs w:val="20"/>
                <w:color w:val="auto"/>
              </w:rPr>
            </w:pPr>
            <w:r>
              <w:rPr>
                <w:rFonts w:ascii="Arial" w:cs="Arial" w:eastAsia="Arial" w:hAnsi="Arial"/>
                <w:sz w:val="13"/>
                <w:szCs w:val="13"/>
                <w:b w:val="1"/>
                <w:bCs w:val="1"/>
                <w:color w:val="auto"/>
                <w:w w:val="96"/>
              </w:rPr>
              <w:t>June 30,</w:t>
            </w:r>
          </w:p>
        </w:tc>
        <w:tc>
          <w:tcPr>
            <w:tcW w:w="5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July 4,</w:t>
            </w:r>
          </w:p>
        </w:tc>
        <w:tc>
          <w:tcPr>
            <w:tcW w:w="200" w:type="dxa"/>
            <w:vAlign w:val="bottom"/>
          </w:tcPr>
          <w:p>
            <w:pPr>
              <w:spacing w:after="0"/>
              <w:rPr>
                <w:sz w:val="10"/>
                <w:szCs w:val="10"/>
                <w:color w:val="auto"/>
              </w:rPr>
            </w:pPr>
          </w:p>
        </w:tc>
      </w:tr>
      <w:tr>
        <w:trPr>
          <w:trHeight w:val="171"/>
        </w:trPr>
        <w:tc>
          <w:tcPr>
            <w:tcW w:w="68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4"/>
                <w:szCs w:val="14"/>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Product revenues</w:t>
            </w:r>
          </w:p>
        </w:tc>
        <w:tc>
          <w:tcPr>
            <w:tcW w:w="540" w:type="dxa"/>
            <w:vAlign w:val="bottom"/>
          </w:tcPr>
          <w:p>
            <w:pPr>
              <w:jc w:val="right"/>
              <w:spacing w:after="0"/>
              <w:rPr>
                <w:sz w:val="20"/>
                <w:szCs w:val="20"/>
                <w:color w:val="auto"/>
              </w:rPr>
            </w:pPr>
            <w:r>
              <w:rPr>
                <w:rFonts w:ascii="Arial" w:cs="Arial" w:eastAsia="Arial" w:hAnsi="Arial"/>
                <w:sz w:val="18"/>
                <w:szCs w:val="18"/>
                <w:color w:val="auto"/>
              </w:rPr>
              <w:t>48.9</w:t>
            </w:r>
          </w:p>
        </w:tc>
        <w:tc>
          <w:tcPr>
            <w:tcW w:w="6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52.6</w:t>
            </w:r>
          </w:p>
        </w:tc>
        <w:tc>
          <w:tcPr>
            <w:tcW w:w="200" w:type="dxa"/>
            <w:vAlign w:val="bottom"/>
          </w:tcPr>
          <w:p>
            <w:pPr>
              <w:spacing w:after="0"/>
              <w:rPr>
                <w:sz w:val="18"/>
                <w:szCs w:val="18"/>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 revenues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2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Operating expenses:</w:t>
            </w: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product revenues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200" w:type="dxa"/>
            <w:vAlign w:val="bottom"/>
            <w:shd w:val="clear" w:color="auto" w:fill="CCEEFF"/>
          </w:tcPr>
          <w:p>
            <w:pPr>
              <w:spacing w:after="0"/>
              <w:rPr>
                <w:sz w:val="18"/>
                <w:szCs w:val="18"/>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Cost of service revenues</w:t>
            </w:r>
          </w:p>
        </w:tc>
        <w:tc>
          <w:tcPr>
            <w:tcW w:w="540" w:type="dxa"/>
            <w:vAlign w:val="bottom"/>
          </w:tcPr>
          <w:p>
            <w:pPr>
              <w:jc w:val="right"/>
              <w:spacing w:after="0"/>
              <w:rPr>
                <w:sz w:val="20"/>
                <w:szCs w:val="20"/>
                <w:color w:val="auto"/>
              </w:rPr>
            </w:pPr>
            <w:r>
              <w:rPr>
                <w:rFonts w:ascii="Arial" w:cs="Arial" w:eastAsia="Arial" w:hAnsi="Arial"/>
                <w:sz w:val="18"/>
                <w:szCs w:val="18"/>
                <w:color w:val="auto"/>
              </w:rPr>
              <w:t>34.2</w:t>
            </w:r>
          </w:p>
        </w:tc>
        <w:tc>
          <w:tcPr>
            <w:tcW w:w="6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34.0</w:t>
            </w:r>
          </w:p>
        </w:tc>
        <w:tc>
          <w:tcPr>
            <w:tcW w:w="200" w:type="dxa"/>
            <w:vAlign w:val="bottom"/>
          </w:tcPr>
          <w:p>
            <w:pPr>
              <w:spacing w:after="0"/>
              <w:rPr>
                <w:sz w:val="18"/>
                <w:szCs w:val="18"/>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00" w:type="dxa"/>
            <w:vAlign w:val="bottom"/>
            <w:shd w:val="clear" w:color="auto" w:fill="CCEEFF"/>
          </w:tcPr>
          <w:p>
            <w:pPr>
              <w:spacing w:after="0"/>
              <w:rPr>
                <w:sz w:val="18"/>
                <w:szCs w:val="18"/>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Independent research and development</w:t>
            </w:r>
          </w:p>
        </w:tc>
        <w:tc>
          <w:tcPr>
            <w:tcW w:w="540" w:type="dxa"/>
            <w:vAlign w:val="bottom"/>
          </w:tcPr>
          <w:p>
            <w:pPr>
              <w:jc w:val="right"/>
              <w:spacing w:after="0"/>
              <w:rPr>
                <w:sz w:val="20"/>
                <w:szCs w:val="20"/>
                <w:color w:val="auto"/>
              </w:rPr>
            </w:pPr>
            <w:r>
              <w:rPr>
                <w:rFonts w:ascii="Arial" w:cs="Arial" w:eastAsia="Arial" w:hAnsi="Arial"/>
                <w:sz w:val="18"/>
                <w:szCs w:val="18"/>
                <w:color w:val="auto"/>
              </w:rPr>
              <w:t>4.5</w:t>
            </w:r>
          </w:p>
        </w:tc>
        <w:tc>
          <w:tcPr>
            <w:tcW w:w="6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acquired intangible assets</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r>
      <w:tr>
        <w:trPr>
          <w:trHeight w:val="291"/>
        </w:trPr>
        <w:tc>
          <w:tcPr>
            <w:tcW w:w="682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c>
          <w:tcPr>
            <w:tcW w:w="62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r>
      <w:tr>
        <w:trPr>
          <w:trHeight w:val="20"/>
        </w:trPr>
        <w:tc>
          <w:tcPr>
            <w:tcW w:w="68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91"/>
        </w:trPr>
        <w:tc>
          <w:tcPr>
            <w:tcW w:w="682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62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r>
      <w:tr>
        <w:trPr>
          <w:trHeight w:val="20"/>
        </w:trPr>
        <w:tc>
          <w:tcPr>
            <w:tcW w:w="68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91"/>
        </w:trPr>
        <w:tc>
          <w:tcPr>
            <w:tcW w:w="6820" w:type="dxa"/>
            <w:vAlign w:val="bottom"/>
          </w:tcPr>
          <w:p>
            <w:pPr>
              <w:spacing w:after="0"/>
              <w:rPr>
                <w:sz w:val="20"/>
                <w:szCs w:val="20"/>
                <w:color w:val="auto"/>
              </w:rPr>
            </w:pPr>
            <w:r>
              <w:rPr>
                <w:rFonts w:ascii="Arial" w:cs="Arial" w:eastAsia="Arial" w:hAnsi="Arial"/>
                <w:sz w:val="18"/>
                <w:szCs w:val="18"/>
                <w:color w:val="auto"/>
              </w:rPr>
              <w:t>Net income (loss)</w:t>
            </w:r>
          </w:p>
        </w:tc>
        <w:tc>
          <w:tcPr>
            <w:tcW w:w="540" w:type="dxa"/>
            <w:vAlign w:val="bottom"/>
          </w:tcPr>
          <w:p>
            <w:pPr>
              <w:jc w:val="right"/>
              <w:spacing w:after="0"/>
              <w:rPr>
                <w:sz w:val="20"/>
                <w:szCs w:val="20"/>
                <w:color w:val="auto"/>
              </w:rPr>
            </w:pPr>
            <w:r>
              <w:rPr>
                <w:rFonts w:ascii="Arial" w:cs="Arial" w:eastAsia="Arial" w:hAnsi="Arial"/>
                <w:sz w:val="18"/>
                <w:szCs w:val="18"/>
                <w:color w:val="auto"/>
              </w:rPr>
              <w:t>0.7</w:t>
            </w:r>
          </w:p>
        </w:tc>
        <w:tc>
          <w:tcPr>
            <w:tcW w:w="62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ViaSat, Inc.</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2015 vs. Three Months Ended July 4, 2014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140" w:type="dxa"/>
            <w:vAlign w:val="bottom"/>
            <w:gridSpan w:val="4"/>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0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5"/>
              </w:rPr>
              <w:t>Dollar</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4300" w:type="dxa"/>
            <w:vAlign w:val="bottom"/>
          </w:tcPr>
          <w:p>
            <w:pPr>
              <w:spacing w:after="0"/>
              <w:rPr>
                <w:sz w:val="10"/>
                <w:szCs w:val="10"/>
                <w:color w:val="auto"/>
              </w:rPr>
            </w:pPr>
          </w:p>
        </w:tc>
        <w:tc>
          <w:tcPr>
            <w:tcW w:w="106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June 30,</w:t>
            </w:r>
          </w:p>
        </w:tc>
        <w:tc>
          <w:tcPr>
            <w:tcW w:w="5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July 4,</w:t>
            </w:r>
          </w:p>
        </w:tc>
        <w:tc>
          <w:tcPr>
            <w:tcW w:w="500" w:type="dxa"/>
            <w:vAlign w:val="bottom"/>
          </w:tcPr>
          <w:p>
            <w:pPr>
              <w:spacing w:after="0"/>
              <w:rPr>
                <w:sz w:val="10"/>
                <w:szCs w:val="10"/>
                <w:color w:val="auto"/>
              </w:rPr>
            </w:pPr>
          </w:p>
        </w:tc>
        <w:tc>
          <w:tcPr>
            <w:tcW w:w="1160" w:type="dxa"/>
            <w:vAlign w:val="bottom"/>
            <w:gridSpan w:val="3"/>
          </w:tcPr>
          <w:p>
            <w:pPr>
              <w:jc w:val="center"/>
              <w:ind w:right="480"/>
              <w:spacing w:after="0" w:line="119" w:lineRule="exact"/>
              <w:rPr>
                <w:sz w:val="20"/>
                <w:szCs w:val="20"/>
                <w:color w:val="auto"/>
              </w:rPr>
            </w:pPr>
            <w:r>
              <w:rPr>
                <w:rFonts w:ascii="Arial" w:cs="Arial" w:eastAsia="Arial" w:hAnsi="Arial"/>
                <w:sz w:val="13"/>
                <w:szCs w:val="13"/>
                <w:b w:val="1"/>
                <w:bCs w:val="1"/>
                <w:color w:val="auto"/>
                <w:w w:val="98"/>
              </w:rPr>
              <w:t>Increase</w:t>
            </w:r>
          </w:p>
        </w:tc>
        <w:tc>
          <w:tcPr>
            <w:tcW w:w="90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000" w:type="dxa"/>
            <w:vAlign w:val="bottom"/>
            <w:gridSpan w:val="2"/>
            <w:vMerge w:val="continue"/>
          </w:tcPr>
          <w:p>
            <w:pPr>
              <w:spacing w:after="0"/>
              <w:rPr>
                <w:sz w:val="14"/>
                <w:szCs w:val="14"/>
                <w:color w:val="auto"/>
              </w:rPr>
            </w:pPr>
          </w:p>
        </w:tc>
        <w:tc>
          <w:tcPr>
            <w:tcW w:w="4860" w:type="dxa"/>
            <w:vAlign w:val="bottom"/>
            <w:gridSpan w:val="2"/>
          </w:tcPr>
          <w:p>
            <w:pPr>
              <w:jc w:val="right"/>
              <w:ind w:right="64"/>
              <w:spacing w:after="0"/>
              <w:rPr>
                <w:sz w:val="20"/>
                <w:szCs w:val="20"/>
                <w:color w:val="auto"/>
              </w:rPr>
            </w:pPr>
            <w:r>
              <w:rPr>
                <w:rFonts w:ascii="Arial" w:cs="Arial" w:eastAsia="Arial" w:hAnsi="Arial"/>
                <w:sz w:val="14"/>
                <w:szCs w:val="14"/>
                <w:b w:val="1"/>
                <w:bCs w:val="1"/>
                <w:color w:val="auto"/>
              </w:rPr>
              <w:t>2015</w:t>
            </w:r>
          </w:p>
        </w:tc>
        <w:tc>
          <w:tcPr>
            <w:tcW w:w="500" w:type="dxa"/>
            <w:vAlign w:val="bottom"/>
          </w:tcPr>
          <w:p>
            <w:pPr>
              <w:spacing w:after="0"/>
              <w:rPr>
                <w:sz w:val="14"/>
                <w:szCs w:val="14"/>
                <w:color w:val="auto"/>
              </w:rPr>
            </w:pPr>
          </w:p>
        </w:tc>
        <w:tc>
          <w:tcPr>
            <w:tcW w:w="580" w:type="dxa"/>
            <w:vAlign w:val="bottom"/>
          </w:tcPr>
          <w:p>
            <w:pPr>
              <w:jc w:val="right"/>
              <w:ind w:right="58"/>
              <w:spacing w:after="0"/>
              <w:rPr>
                <w:sz w:val="20"/>
                <w:szCs w:val="20"/>
                <w:color w:val="auto"/>
              </w:rPr>
            </w:pPr>
            <w:r>
              <w:rPr>
                <w:rFonts w:ascii="Arial" w:cs="Arial" w:eastAsia="Arial" w:hAnsi="Arial"/>
                <w:sz w:val="14"/>
                <w:szCs w:val="14"/>
                <w:b w:val="1"/>
                <w:bCs w:val="1"/>
                <w:color w:val="auto"/>
              </w:rPr>
              <w:t>2014</w:t>
            </w:r>
          </w:p>
        </w:tc>
        <w:tc>
          <w:tcPr>
            <w:tcW w:w="50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430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revenues</w:t>
            </w:r>
          </w:p>
        </w:tc>
        <w:tc>
          <w:tcPr>
            <w:tcW w:w="4300" w:type="dxa"/>
            <w:vAlign w:val="bottom"/>
            <w:vMerge w:val="continue"/>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$ 168.3</w:t>
            </w:r>
          </w:p>
        </w:tc>
        <w:tc>
          <w:tcPr>
            <w:tcW w:w="50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$ 168.1</w:t>
            </w:r>
          </w:p>
        </w:tc>
        <w:tc>
          <w:tcPr>
            <w:tcW w:w="5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50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Service revenues</w:t>
            </w:r>
          </w:p>
        </w:tc>
        <w:tc>
          <w:tcPr>
            <w:tcW w:w="5360" w:type="dxa"/>
            <w:vAlign w:val="bottom"/>
            <w:gridSpan w:val="3"/>
          </w:tcPr>
          <w:p>
            <w:pPr>
              <w:jc w:val="right"/>
              <w:ind w:right="500"/>
              <w:spacing w:after="0"/>
              <w:rPr>
                <w:sz w:val="20"/>
                <w:szCs w:val="20"/>
                <w:color w:val="auto"/>
              </w:rPr>
            </w:pPr>
            <w:r>
              <w:rPr>
                <w:rFonts w:ascii="Arial" w:cs="Arial" w:eastAsia="Arial" w:hAnsi="Arial"/>
                <w:sz w:val="18"/>
                <w:szCs w:val="18"/>
                <w:color w:val="auto"/>
              </w:rPr>
              <w:t>176.0</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151.3</w:t>
            </w:r>
          </w:p>
        </w:tc>
        <w:tc>
          <w:tcPr>
            <w:tcW w:w="12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24.7</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980" w:type="dxa"/>
            <w:vAlign w:val="bottom"/>
          </w:tcPr>
          <w:p>
            <w:pPr>
              <w:spacing w:after="0"/>
              <w:rPr>
                <w:sz w:val="6"/>
                <w:szCs w:val="6"/>
                <w:color w:val="auto"/>
              </w:rPr>
            </w:pPr>
          </w:p>
        </w:tc>
        <w:tc>
          <w:tcPr>
            <w:tcW w:w="430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3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$ 344.4</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3"/>
              </w:rPr>
              <w:t>$ 319.5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Our total revenues grew by $24.9 million as a result of a $24.7 million increase in service revenues and $0.2 million increase in product revenues. The service revenue increase was driven by an increase of $16.5 million in our satellite services segment and $6.6 million in our government systems segment. The product revenue increase was comprised of increases of $21.1 million in our government systems segment and $6.2 million in our satellite services segment (related to the Settlement Agreement), offset by a decrease of $27.1 million in our commercial networks segment.</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8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Dollar</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4240" w:type="dxa"/>
            <w:vAlign w:val="bottom"/>
          </w:tcPr>
          <w:p>
            <w:pPr>
              <w:spacing w:after="0"/>
              <w:rPr>
                <w:sz w:val="10"/>
                <w:szCs w:val="10"/>
                <w:color w:val="auto"/>
              </w:rPr>
            </w:pPr>
          </w:p>
        </w:tc>
        <w:tc>
          <w:tcPr>
            <w:tcW w:w="80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June 30,</w:t>
            </w:r>
          </w:p>
        </w:tc>
        <w:tc>
          <w:tcPr>
            <w:tcW w:w="2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July 4,</w:t>
            </w: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gridSpan w:val="3"/>
          </w:tcPr>
          <w:p>
            <w:pPr>
              <w:jc w:val="right"/>
              <w:ind w:right="600"/>
              <w:spacing w:after="0" w:line="119" w:lineRule="exact"/>
              <w:rPr>
                <w:sz w:val="20"/>
                <w:szCs w:val="20"/>
                <w:color w:val="auto"/>
              </w:rPr>
            </w:pPr>
            <w:r>
              <w:rPr>
                <w:rFonts w:ascii="Arial" w:cs="Arial" w:eastAsia="Arial" w:hAnsi="Arial"/>
                <w:sz w:val="13"/>
                <w:szCs w:val="13"/>
                <w:b w:val="1"/>
                <w:bCs w:val="1"/>
                <w:color w:val="auto"/>
              </w:rPr>
              <w:t>Increase</w:t>
            </w:r>
          </w:p>
        </w:tc>
        <w:tc>
          <w:tcPr>
            <w:tcW w:w="9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000" w:type="dxa"/>
            <w:vAlign w:val="bottom"/>
            <w:gridSpan w:val="2"/>
            <w:vMerge w:val="continue"/>
          </w:tcPr>
          <w:p>
            <w:pPr>
              <w:spacing w:after="0"/>
              <w:rPr>
                <w:sz w:val="14"/>
                <w:szCs w:val="14"/>
                <w:color w:val="auto"/>
              </w:rPr>
            </w:pPr>
          </w:p>
        </w:tc>
        <w:tc>
          <w:tcPr>
            <w:tcW w:w="4780" w:type="dxa"/>
            <w:vAlign w:val="bottom"/>
            <w:gridSpan w:val="2"/>
          </w:tcPr>
          <w:p>
            <w:pPr>
              <w:jc w:val="center"/>
              <w:ind w:left="4156"/>
              <w:spacing w:after="0"/>
              <w:rPr>
                <w:sz w:val="20"/>
                <w:szCs w:val="20"/>
                <w:color w:val="auto"/>
              </w:rPr>
            </w:pPr>
            <w:r>
              <w:rPr>
                <w:rFonts w:ascii="Arial" w:cs="Arial" w:eastAsia="Arial" w:hAnsi="Arial"/>
                <w:sz w:val="14"/>
                <w:szCs w:val="14"/>
                <w:b w:val="1"/>
                <w:bCs w:val="1"/>
                <w:color w:val="auto"/>
                <w:w w:val="96"/>
              </w:rPr>
              <w:t>2015</w:t>
            </w:r>
          </w:p>
        </w:tc>
        <w:tc>
          <w:tcPr>
            <w:tcW w:w="260" w:type="dxa"/>
            <w:vAlign w:val="bottom"/>
          </w:tcPr>
          <w:p>
            <w:pPr>
              <w:spacing w:after="0"/>
              <w:rPr>
                <w:sz w:val="14"/>
                <w:szCs w:val="14"/>
                <w:color w:val="auto"/>
              </w:rPr>
            </w:pPr>
          </w:p>
        </w:tc>
        <w:tc>
          <w:tcPr>
            <w:tcW w:w="820" w:type="dxa"/>
            <w:vAlign w:val="bottom"/>
            <w:gridSpan w:val="2"/>
          </w:tcPr>
          <w:p>
            <w:pPr>
              <w:jc w:val="center"/>
              <w:ind w:left="176"/>
              <w:spacing w:after="0"/>
              <w:rPr>
                <w:sz w:val="20"/>
                <w:szCs w:val="20"/>
                <w:color w:val="auto"/>
              </w:rPr>
            </w:pPr>
            <w:r>
              <w:rPr>
                <w:rFonts w:ascii="Arial" w:cs="Arial" w:eastAsia="Arial" w:hAnsi="Arial"/>
                <w:sz w:val="14"/>
                <w:szCs w:val="14"/>
                <w:b w:val="1"/>
                <w:bCs w:val="1"/>
                <w:color w:val="auto"/>
                <w:w w:val="89"/>
              </w:rPr>
              <w:t>2014</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424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w w:val="97"/>
              </w:rPr>
              <w:t>Cost of product revenues</w:t>
            </w:r>
          </w:p>
        </w:tc>
        <w:tc>
          <w:tcPr>
            <w:tcW w:w="424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$ 125.8</w:t>
            </w:r>
          </w:p>
        </w:tc>
        <w:tc>
          <w:tcPr>
            <w:tcW w:w="26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$ 129.0</w:t>
            </w:r>
          </w:p>
        </w:tc>
        <w:tc>
          <w:tcPr>
            <w:tcW w:w="26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(3.2)</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8"/>
              </w:rPr>
              <w:t>Cost of service revenues</w:t>
            </w:r>
          </w:p>
        </w:tc>
        <w:tc>
          <w:tcPr>
            <w:tcW w:w="5040" w:type="dxa"/>
            <w:vAlign w:val="bottom"/>
            <w:gridSpan w:val="3"/>
          </w:tcPr>
          <w:p>
            <w:pPr>
              <w:ind w:left="4380"/>
              <w:spacing w:after="0"/>
              <w:rPr>
                <w:sz w:val="20"/>
                <w:szCs w:val="20"/>
                <w:color w:val="auto"/>
              </w:rPr>
            </w:pPr>
            <w:r>
              <w:rPr>
                <w:rFonts w:ascii="Arial" w:cs="Arial" w:eastAsia="Arial" w:hAnsi="Arial"/>
                <w:sz w:val="18"/>
                <w:szCs w:val="18"/>
                <w:color w:val="auto"/>
              </w:rPr>
              <w:t>117.6</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108.7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8.9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980" w:type="dxa"/>
            <w:vAlign w:val="bottom"/>
          </w:tcPr>
          <w:p>
            <w:pPr>
              <w:spacing w:after="0"/>
              <w:rPr>
                <w:sz w:val="6"/>
                <w:szCs w:val="6"/>
                <w:color w:val="auto"/>
              </w:rPr>
            </w:pPr>
          </w:p>
        </w:tc>
        <w:tc>
          <w:tcPr>
            <w:tcW w:w="424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5040" w:type="dxa"/>
            <w:vAlign w:val="bottom"/>
            <w:gridSpan w:val="3"/>
            <w:shd w:val="clear" w:color="auto" w:fill="CCEEFF"/>
          </w:tcPr>
          <w:p>
            <w:pPr>
              <w:jc w:val="center"/>
              <w:ind w:left="3896"/>
              <w:spacing w:after="0"/>
              <w:rPr>
                <w:sz w:val="20"/>
                <w:szCs w:val="20"/>
                <w:color w:val="auto"/>
              </w:rPr>
            </w:pPr>
            <w:r>
              <w:rPr>
                <w:rFonts w:ascii="Arial" w:cs="Arial" w:eastAsia="Arial" w:hAnsi="Arial"/>
                <w:sz w:val="18"/>
                <w:szCs w:val="18"/>
                <w:color w:val="auto"/>
                <w:w w:val="89"/>
              </w:rPr>
              <w:t>$ 243.4</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$ 237.7</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Cost of revenues increased by $5.7 million due to an $8.9 million increase in cost of service revenues, offset by a decrease in cost of product revenues of $3.2 million. The cost of service revenues increase was primarily due to increased service revenues, which generated a $17.7 million increase in cost of service revenues on a constant margin basis. This increase mainly related to our Exede broadband services in our satellite services segment and the addition of our network management services for Wi-Fi and other internet access networks (relating to NetNearU) in June 2014 in our government systems segment, partially offset by improved margins from our Exede broadband services (resulting from the higher number of Exede subscribers compared to the prior year period and resultant scale in revenues). The cost of product revenues decrease was primarily due to decreased revenues, causing a $4.6 million decrease in cost of product revenues on a constant margin basis, prior to the effects of product revenues related to the implied license under the Settlement Agreement. This cost of product revenues decrease mainly related to our fixed satellite networks (driven by consumer broadband products) in our commercial networks segment.</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9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Dollar</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4120" w:type="dxa"/>
            <w:vAlign w:val="bottom"/>
            <w:vMerge w:val="restart"/>
          </w:tcPr>
          <w:p>
            <w:pPr>
              <w:spacing w:after="0"/>
              <w:rPr>
                <w:sz w:val="10"/>
                <w:szCs w:val="10"/>
                <w:color w:val="auto"/>
              </w:rPr>
            </w:pPr>
          </w:p>
        </w:tc>
        <w:tc>
          <w:tcPr>
            <w:tcW w:w="880" w:type="dxa"/>
            <w:vAlign w:val="bottom"/>
            <w:tcBorders>
              <w:top w:val="single" w:sz="8" w:color="auto"/>
            </w:tcBorders>
            <w:gridSpan w:val="2"/>
          </w:tcPr>
          <w:p>
            <w:pPr>
              <w:ind w:left="40"/>
              <w:spacing w:after="0" w:line="119" w:lineRule="exact"/>
              <w:rPr>
                <w:sz w:val="20"/>
                <w:szCs w:val="20"/>
                <w:color w:val="auto"/>
              </w:rPr>
            </w:pPr>
            <w:r>
              <w:rPr>
                <w:rFonts w:ascii="Arial" w:cs="Arial" w:eastAsia="Arial" w:hAnsi="Arial"/>
                <w:sz w:val="13"/>
                <w:szCs w:val="13"/>
                <w:b w:val="1"/>
                <w:bCs w:val="1"/>
                <w:color w:val="auto"/>
              </w:rPr>
              <w:t>June 30,</w:t>
            </w:r>
          </w:p>
        </w:tc>
        <w:tc>
          <w:tcPr>
            <w:tcW w:w="3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ind w:left="40"/>
              <w:spacing w:after="0" w:line="119" w:lineRule="exact"/>
              <w:rPr>
                <w:sz w:val="20"/>
                <w:szCs w:val="20"/>
                <w:color w:val="auto"/>
              </w:rPr>
            </w:pPr>
            <w:r>
              <w:rPr>
                <w:rFonts w:ascii="Arial" w:cs="Arial" w:eastAsia="Arial" w:hAnsi="Arial"/>
                <w:sz w:val="13"/>
                <w:szCs w:val="13"/>
                <w:b w:val="1"/>
                <w:bCs w:val="1"/>
                <w:color w:val="auto"/>
              </w:rPr>
              <w:t>July 4,</w:t>
            </w: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gridSpan w:val="3"/>
          </w:tcPr>
          <w:p>
            <w:pPr>
              <w:jc w:val="center"/>
              <w:ind w:right="580"/>
              <w:spacing w:after="0" w:line="119" w:lineRule="exact"/>
              <w:rPr>
                <w:sz w:val="20"/>
                <w:szCs w:val="20"/>
                <w:color w:val="auto"/>
              </w:rPr>
            </w:pPr>
            <w:r>
              <w:rPr>
                <w:rFonts w:ascii="Arial" w:cs="Arial" w:eastAsia="Arial" w:hAnsi="Arial"/>
                <w:sz w:val="13"/>
                <w:szCs w:val="13"/>
                <w:b w:val="1"/>
                <w:bCs w:val="1"/>
                <w:color w:val="auto"/>
                <w:w w:val="98"/>
              </w:rPr>
              <w:t>Increase</w:t>
            </w:r>
          </w:p>
        </w:tc>
        <w:tc>
          <w:tcPr>
            <w:tcW w:w="90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000" w:type="dxa"/>
            <w:vAlign w:val="bottom"/>
            <w:vMerge w:val="continue"/>
          </w:tcPr>
          <w:p>
            <w:pPr>
              <w:spacing w:after="0"/>
              <w:rPr>
                <w:sz w:val="14"/>
                <w:szCs w:val="14"/>
                <w:color w:val="auto"/>
              </w:rPr>
            </w:pPr>
          </w:p>
        </w:tc>
        <w:tc>
          <w:tcPr>
            <w:tcW w:w="4120" w:type="dxa"/>
            <w:vAlign w:val="bottom"/>
            <w:vMerge w:val="continue"/>
          </w:tcPr>
          <w:p>
            <w:pPr>
              <w:spacing w:after="0"/>
              <w:rPr>
                <w:sz w:val="14"/>
                <w:szCs w:val="14"/>
                <w:color w:val="auto"/>
              </w:rPr>
            </w:pPr>
          </w:p>
        </w:tc>
        <w:tc>
          <w:tcPr>
            <w:tcW w:w="580" w:type="dxa"/>
            <w:vAlign w:val="bottom"/>
          </w:tcPr>
          <w:p>
            <w:pPr>
              <w:jc w:val="right"/>
              <w:ind w:right="65"/>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jc w:val="right"/>
              <w:ind w:right="24"/>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9"/>
              </w:rPr>
              <w:t>(Decrease)</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0"/>
        </w:trPr>
        <w:tc>
          <w:tcPr>
            <w:tcW w:w="2000" w:type="dxa"/>
            <w:vAlign w:val="bottom"/>
            <w:shd w:val="clear" w:color="auto" w:fill="000000"/>
          </w:tcPr>
          <w:p>
            <w:pPr>
              <w:spacing w:after="0" w:line="20" w:lineRule="exact"/>
              <w:rPr>
                <w:sz w:val="1"/>
                <w:szCs w:val="1"/>
                <w:color w:val="auto"/>
              </w:rPr>
            </w:pPr>
          </w:p>
        </w:tc>
        <w:tc>
          <w:tcPr>
            <w:tcW w:w="41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71.1</w:t>
            </w:r>
          </w:p>
        </w:tc>
        <w:tc>
          <w:tcPr>
            <w:tcW w:w="30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$ 69.1</w:t>
            </w:r>
          </w:p>
        </w:tc>
        <w:tc>
          <w:tcPr>
            <w:tcW w:w="30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8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$2.0 million increase in SG&amp;A expenses was primarily attributable to higher selling costs of $3.6 million (driven by increased sales activity in our satellite services segment), offset by lower support costs of $0.9 million as well as lower new business proposal costs in our government systems segment. The lower support costs were primarily due to lower legal expense in our satellite services segment as a result of the settlement of the litigation with SS/L and its former parent company Loral during the second quarter of fiscal year 2015, offset by higher support costs in our commercial networks segment. SG&amp;A expenses consisted primarily of personnel costs and expenses for business development, marketing and sales, bid and proposal, facilities, finance, contract administration and general management.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9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Dollar</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4120" w:type="dxa"/>
            <w:vAlign w:val="bottom"/>
            <w:vMerge w:val="restart"/>
          </w:tcPr>
          <w:p>
            <w:pPr>
              <w:spacing w:after="0"/>
              <w:rPr>
                <w:sz w:val="10"/>
                <w:szCs w:val="10"/>
                <w:color w:val="auto"/>
              </w:rPr>
            </w:pPr>
          </w:p>
        </w:tc>
        <w:tc>
          <w:tcPr>
            <w:tcW w:w="880" w:type="dxa"/>
            <w:vAlign w:val="bottom"/>
            <w:tcBorders>
              <w:top w:val="single" w:sz="8" w:color="auto"/>
            </w:tcBorders>
            <w:gridSpan w:val="2"/>
          </w:tcPr>
          <w:p>
            <w:pPr>
              <w:ind w:left="40"/>
              <w:spacing w:after="0" w:line="119" w:lineRule="exact"/>
              <w:rPr>
                <w:sz w:val="20"/>
                <w:szCs w:val="20"/>
                <w:color w:val="auto"/>
              </w:rPr>
            </w:pPr>
            <w:r>
              <w:rPr>
                <w:rFonts w:ascii="Arial" w:cs="Arial" w:eastAsia="Arial" w:hAnsi="Arial"/>
                <w:sz w:val="13"/>
                <w:szCs w:val="13"/>
                <w:b w:val="1"/>
                <w:bCs w:val="1"/>
                <w:color w:val="auto"/>
              </w:rPr>
              <w:t>June 30,</w:t>
            </w:r>
          </w:p>
        </w:tc>
        <w:tc>
          <w:tcPr>
            <w:tcW w:w="3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ind w:left="40"/>
              <w:spacing w:after="0" w:line="119" w:lineRule="exact"/>
              <w:rPr>
                <w:sz w:val="20"/>
                <w:szCs w:val="20"/>
                <w:color w:val="auto"/>
              </w:rPr>
            </w:pPr>
            <w:r>
              <w:rPr>
                <w:rFonts w:ascii="Arial" w:cs="Arial" w:eastAsia="Arial" w:hAnsi="Arial"/>
                <w:sz w:val="13"/>
                <w:szCs w:val="13"/>
                <w:b w:val="1"/>
                <w:bCs w:val="1"/>
                <w:color w:val="auto"/>
              </w:rPr>
              <w:t>July 4,</w:t>
            </w: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gridSpan w:val="3"/>
          </w:tcPr>
          <w:p>
            <w:pPr>
              <w:jc w:val="center"/>
              <w:ind w:right="580"/>
              <w:spacing w:after="0" w:line="119" w:lineRule="exact"/>
              <w:rPr>
                <w:sz w:val="20"/>
                <w:szCs w:val="20"/>
                <w:color w:val="auto"/>
              </w:rPr>
            </w:pPr>
            <w:r>
              <w:rPr>
                <w:rFonts w:ascii="Arial" w:cs="Arial" w:eastAsia="Arial" w:hAnsi="Arial"/>
                <w:sz w:val="13"/>
                <w:szCs w:val="13"/>
                <w:b w:val="1"/>
                <w:bCs w:val="1"/>
                <w:color w:val="auto"/>
                <w:w w:val="98"/>
              </w:rPr>
              <w:t>Increase</w:t>
            </w:r>
          </w:p>
        </w:tc>
        <w:tc>
          <w:tcPr>
            <w:tcW w:w="90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000" w:type="dxa"/>
            <w:vAlign w:val="bottom"/>
            <w:vMerge w:val="continue"/>
          </w:tcPr>
          <w:p>
            <w:pPr>
              <w:spacing w:after="0"/>
              <w:rPr>
                <w:sz w:val="14"/>
                <w:szCs w:val="14"/>
                <w:color w:val="auto"/>
              </w:rPr>
            </w:pPr>
          </w:p>
        </w:tc>
        <w:tc>
          <w:tcPr>
            <w:tcW w:w="4120" w:type="dxa"/>
            <w:vAlign w:val="bottom"/>
            <w:vMerge w:val="continue"/>
          </w:tcPr>
          <w:p>
            <w:pPr>
              <w:spacing w:after="0"/>
              <w:rPr>
                <w:sz w:val="14"/>
                <w:szCs w:val="14"/>
                <w:color w:val="auto"/>
              </w:rPr>
            </w:pPr>
          </w:p>
        </w:tc>
        <w:tc>
          <w:tcPr>
            <w:tcW w:w="580" w:type="dxa"/>
            <w:vAlign w:val="bottom"/>
          </w:tcPr>
          <w:p>
            <w:pPr>
              <w:jc w:val="right"/>
              <w:ind w:right="65"/>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jc w:val="right"/>
              <w:ind w:right="24"/>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9"/>
              </w:rPr>
              <w:t>(Decrease)</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0"/>
        </w:trPr>
        <w:tc>
          <w:tcPr>
            <w:tcW w:w="2000" w:type="dxa"/>
            <w:vAlign w:val="bottom"/>
            <w:shd w:val="clear" w:color="auto" w:fill="000000"/>
          </w:tcPr>
          <w:p>
            <w:pPr>
              <w:spacing w:after="0" w:line="20" w:lineRule="exact"/>
              <w:rPr>
                <w:sz w:val="1"/>
                <w:szCs w:val="1"/>
                <w:color w:val="auto"/>
              </w:rPr>
            </w:pPr>
          </w:p>
        </w:tc>
        <w:tc>
          <w:tcPr>
            <w:tcW w:w="4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development</w:t>
            </w:r>
          </w:p>
        </w:tc>
        <w:tc>
          <w:tcPr>
            <w:tcW w:w="5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w w:val="94"/>
              </w:rPr>
              <w:t>Independent research and</w:t>
            </w:r>
          </w:p>
        </w:tc>
        <w:tc>
          <w:tcPr>
            <w:tcW w:w="412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15.6</w:t>
            </w:r>
          </w:p>
        </w:tc>
        <w:tc>
          <w:tcPr>
            <w:tcW w:w="30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9.8</w:t>
            </w:r>
          </w:p>
        </w:tc>
        <w:tc>
          <w:tcPr>
            <w:tcW w:w="30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58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$5.8 million increase in IR&amp;D expenses was primarily the result of increased IR&amp;D efforts in our commercial networks segment of $5.7 million (primarily related to research increases in mobile broadband satellite communication systems, next-generation consumer broadband and next-generation satellite payload technologies).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amortize our acquired intangible assets from prior acquisitions over their estimated useful lives, which range from two to ten years. The $0.8 million increase in amortization of acquired intangible assets in the first quarter of fiscal year 2016 compared to the prior year period was primarily the result of our acquisition of NetNearU in June 2014. Current and expected amortization expense for acquired intangible assets for each of the following periods is as follows:</w:t>
      </w:r>
    </w:p>
    <w:p>
      <w:pPr>
        <w:spacing w:after="0" w:line="206"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r>
      <w:tr>
        <w:trPr>
          <w:trHeight w:val="142"/>
        </w:trPr>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2"/>
                <w:szCs w:val="12"/>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For the three months ended June 30, 2015</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4,810</w:t>
            </w:r>
          </w:p>
        </w:tc>
        <w:tc>
          <w:tcPr>
            <w:tcW w:w="100" w:type="dxa"/>
            <w:vAlign w:val="bottom"/>
            <w:shd w:val="clear" w:color="auto" w:fill="CCEEFF"/>
          </w:tcPr>
          <w:p>
            <w:pPr>
              <w:spacing w:after="0"/>
              <w:rPr>
                <w:sz w:val="18"/>
                <w:szCs w:val="18"/>
                <w:color w:val="auto"/>
              </w:rPr>
            </w:pPr>
          </w:p>
        </w:tc>
      </w:tr>
      <w:tr>
        <w:trPr>
          <w:trHeight w:val="324"/>
        </w:trPr>
        <w:tc>
          <w:tcPr>
            <w:tcW w:w="6760" w:type="dxa"/>
            <w:vAlign w:val="bottom"/>
          </w:tcPr>
          <w:p>
            <w:pPr>
              <w:spacing w:after="0"/>
              <w:rPr>
                <w:sz w:val="20"/>
                <w:szCs w:val="20"/>
                <w:color w:val="auto"/>
              </w:rPr>
            </w:pPr>
            <w:r>
              <w:rPr>
                <w:rFonts w:ascii="Arial" w:cs="Arial" w:eastAsia="Arial" w:hAnsi="Arial"/>
                <w:sz w:val="18"/>
                <w:szCs w:val="18"/>
                <w:color w:val="auto"/>
              </w:rPr>
              <w:t>Expected for the remainder of fiscal year 2016</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11,621</w:t>
            </w:r>
          </w:p>
        </w:tc>
        <w:tc>
          <w:tcPr>
            <w:tcW w:w="100" w:type="dxa"/>
            <w:vAlign w:val="bottom"/>
          </w:tcPr>
          <w:p>
            <w:pPr>
              <w:spacing w:after="0"/>
              <w:rPr>
                <w:sz w:val="24"/>
                <w:szCs w:val="24"/>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9,358</w:t>
            </w: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Expected for fiscal year 2018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8,024</w:t>
            </w: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5,511</w:t>
            </w: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Expected for fiscal year 2020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4,479</w:t>
            </w: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6,238</w:t>
            </w:r>
          </w:p>
        </w:tc>
        <w:tc>
          <w:tcPr>
            <w:tcW w:w="100" w:type="dxa"/>
            <w:vAlign w:val="bottom"/>
            <w:shd w:val="clear" w:color="auto" w:fill="CCEEFF"/>
          </w:tcPr>
          <w:p>
            <w:pPr>
              <w:spacing w:after="0"/>
              <w:rPr>
                <w:sz w:val="18"/>
                <w:szCs w:val="18"/>
                <w:color w:val="auto"/>
              </w:rPr>
            </w:pPr>
          </w:p>
        </w:tc>
      </w:tr>
      <w:tr>
        <w:trPr>
          <w:trHeight w:val="291"/>
        </w:trPr>
        <w:tc>
          <w:tcPr>
            <w:tcW w:w="6760" w:type="dxa"/>
            <w:vAlign w:val="bottom"/>
          </w:tcPr>
          <w:p>
            <w:pPr>
              <w:spacing w:after="0"/>
              <w:rPr>
                <w:sz w:val="24"/>
                <w:szCs w:val="24"/>
                <w:color w:val="auto"/>
              </w:rPr>
            </w:pPr>
          </w:p>
        </w:tc>
        <w:tc>
          <w:tcPr>
            <w:tcW w:w="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45,231</w:t>
            </w:r>
          </w:p>
        </w:tc>
        <w:tc>
          <w:tcPr>
            <w:tcW w:w="100" w:type="dxa"/>
            <w:vAlign w:val="bottom"/>
          </w:tcPr>
          <w:p>
            <w:pPr>
              <w:spacing w:after="0"/>
              <w:rPr>
                <w:sz w:val="24"/>
                <w:szCs w:val="24"/>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$0.7 million increase in interest income in the three months ended June 30, 2015 compared to the prior year period was due to the recognition of $0.7 million of payments made under the Settlement Agreement as interest income.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240" w:firstLine="456"/>
        <w:spacing w:after="0" w:line="293" w:lineRule="auto"/>
        <w:rPr>
          <w:sz w:val="20"/>
          <w:szCs w:val="20"/>
          <w:color w:val="auto"/>
        </w:rPr>
      </w:pPr>
      <w:r>
        <w:rPr>
          <w:rFonts w:ascii="Arial" w:cs="Arial" w:eastAsia="Arial" w:hAnsi="Arial"/>
          <w:sz w:val="16"/>
          <w:szCs w:val="16"/>
          <w:color w:val="auto"/>
        </w:rPr>
        <w:t>The $2.0 million decrease in interest expense in the three months ended June 30, 2015 compared to the prior year period was due primarily to an increase of $3.0 million in the amount of interest capitalized during the first quarter of fiscal year 2016 compared to the same period last fiscal year. This decrease was partially offset by increased interest expense due to outstanding borrowings under our direct loan facility with the Export-Import Bank of the United States for ViaSat-2 (the Ex-Im Credit Facility) which was entered into in the fourth quarter of fiscal year 2015, and higher outstanding borrowings under our revolving credit facility (the Revolving Credit Facility) during the first quarter of fiscal year 2016 compared to the prior year period. Capitalized interest expense during the three months ended June 30, 2015 and July 4, 2014 related to the construction of ViaSat-2 and other assets.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(benefit from) income taxes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currently estimate our annual effective income tax rate to be approximately 34.8% for fiscal year 2016. For the three months ended June 30, 2015, we recorded an income tax provision of $1.0 million. For the three months ended July 4, 2014, we used the actual effective year-to-date tax rate in calculating the income tax benefit for that period since a reliable estimate of the annual effective tax rate could not be made. The federal research and development tax credit expired on December 31, 2014. If the federal research and development tax credit is reinstated, we may have a lower annual effective income tax rate for fiscal year 2016, and the amount of any such decrease will depend on the effective date of any such reinstatement, the terms of the reinstatement, as well as the amount of eligible research and development expenses in the reinstated period.</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the Three Months Ended June 30, 2015 vs. Three Months Ended July 4, 2014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6"/>
              </w:rPr>
              <w:t>Three Months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Dollar</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4260" w:type="dxa"/>
            <w:vAlign w:val="bottom"/>
          </w:tcPr>
          <w:p>
            <w:pPr>
              <w:spacing w:after="0"/>
              <w:rPr>
                <w:sz w:val="10"/>
                <w:szCs w:val="10"/>
                <w:color w:val="auto"/>
              </w:rPr>
            </w:pPr>
          </w:p>
        </w:tc>
        <w:tc>
          <w:tcPr>
            <w:tcW w:w="108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June 30,</w:t>
            </w:r>
          </w:p>
        </w:tc>
        <w:tc>
          <w:tcPr>
            <w:tcW w:w="56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July 4,</w:t>
            </w: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Increase</w:t>
            </w:r>
          </w:p>
        </w:tc>
        <w:tc>
          <w:tcPr>
            <w:tcW w:w="90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000" w:type="dxa"/>
            <w:vAlign w:val="bottom"/>
            <w:gridSpan w:val="2"/>
            <w:vMerge w:val="continue"/>
          </w:tcPr>
          <w:p>
            <w:pPr>
              <w:spacing w:after="0"/>
              <w:rPr>
                <w:sz w:val="14"/>
                <w:szCs w:val="14"/>
                <w:color w:val="auto"/>
              </w:rPr>
            </w:pPr>
          </w:p>
        </w:tc>
        <w:tc>
          <w:tcPr>
            <w:tcW w:w="4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57"/>
              <w:spacing w:after="0"/>
              <w:rPr>
                <w:sz w:val="20"/>
                <w:szCs w:val="20"/>
                <w:color w:val="auto"/>
              </w:rPr>
            </w:pPr>
            <w:r>
              <w:rPr>
                <w:rFonts w:ascii="Arial" w:cs="Arial" w:eastAsia="Arial" w:hAnsi="Arial"/>
                <w:sz w:val="14"/>
                <w:szCs w:val="14"/>
                <w:b w:val="1"/>
                <w:bCs w:val="1"/>
                <w:color w:val="auto"/>
                <w:w w:val="89"/>
              </w:rPr>
              <w:t>2015</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54"/>
              <w:spacing w:after="0"/>
              <w:rPr>
                <w:sz w:val="20"/>
                <w:szCs w:val="20"/>
                <w:color w:val="auto"/>
              </w:rPr>
            </w:pPr>
            <w:r>
              <w:rPr>
                <w:rFonts w:ascii="Arial" w:cs="Arial" w:eastAsia="Arial" w:hAnsi="Arial"/>
                <w:sz w:val="14"/>
                <w:szCs w:val="14"/>
                <w:b w:val="1"/>
                <w:bCs w:val="1"/>
                <w:color w:val="auto"/>
                <w:w w:val="89"/>
              </w:rPr>
              <w:t>2014</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42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4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5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52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4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126.1</w:t>
            </w:r>
          </w:p>
        </w:tc>
        <w:tc>
          <w:tcPr>
            <w:tcW w:w="12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109.7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16.5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980" w:type="dxa"/>
            <w:vAlign w:val="bottom"/>
          </w:tcPr>
          <w:p>
            <w:pPr>
              <w:spacing w:after="0"/>
              <w:rPr>
                <w:sz w:val="6"/>
                <w:szCs w:val="6"/>
                <w:color w:val="auto"/>
              </w:rPr>
            </w:pPr>
          </w:p>
        </w:tc>
        <w:tc>
          <w:tcPr>
            <w:tcW w:w="42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380" w:type="dxa"/>
            <w:vAlign w:val="bottom"/>
            <w:gridSpan w:val="2"/>
            <w:shd w:val="clear" w:color="auto" w:fill="CCEEFF"/>
          </w:tcPr>
          <w:p>
            <w:pPr>
              <w:ind w:left="426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132.4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109.7</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22.7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Our satellite services segment revenues grew by $22.7 million as a result of a $16.5 million increase in service revenues and a $6.2 million increase in product revenues. The increase in service revenues related primarily to retail and wholesale broadband services, and was primarily driven by an increase in the number of our Exede broadband subscribers compared to the prior year period, as well as higher average revenue per subscriber. Total subscribers grew 7% from approximately 641,000 at July 4, 2014 to approximately 685,000 at June 30, 2015. The service revenue increase also reflected the expansion of our in-flight Wi-Fi service with over 380 aircraft in service as of June 30, 2015. The increase in product revenues was primarily due to the recognition of $6.2 million of payments under the Settlement Agreement as product revenue in our satellite services segment.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 (loss)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44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Three Months Ended</w:t>
            </w:r>
          </w:p>
        </w:tc>
        <w:tc>
          <w:tcPr>
            <w:tcW w:w="12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Dollar</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2140" w:type="dxa"/>
            <w:vAlign w:val="bottom"/>
            <w:vMerge w:val="restart"/>
          </w:tcPr>
          <w:p>
            <w:pPr>
              <w:spacing w:after="0"/>
              <w:rPr>
                <w:sz w:val="10"/>
                <w:szCs w:val="10"/>
                <w:color w:val="auto"/>
              </w:rPr>
            </w:pPr>
          </w:p>
        </w:tc>
        <w:tc>
          <w:tcPr>
            <w:tcW w:w="1820" w:type="dxa"/>
            <w:vAlign w:val="bottom"/>
          </w:tcPr>
          <w:p>
            <w:pPr>
              <w:spacing w:after="0"/>
              <w:rPr>
                <w:sz w:val="10"/>
                <w:szCs w:val="10"/>
                <w:color w:val="auto"/>
              </w:rPr>
            </w:pPr>
          </w:p>
        </w:tc>
        <w:tc>
          <w:tcPr>
            <w:tcW w:w="1240" w:type="dxa"/>
            <w:vAlign w:val="bottom"/>
            <w:tcBorders>
              <w:top w:val="single" w:sz="8" w:color="auto"/>
            </w:tcBorders>
            <w:gridSpan w:val="2"/>
          </w:tcPr>
          <w:p>
            <w:pPr>
              <w:jc w:val="right"/>
              <w:ind w:right="700"/>
              <w:spacing w:after="0" w:line="119" w:lineRule="exact"/>
              <w:rPr>
                <w:sz w:val="20"/>
                <w:szCs w:val="20"/>
                <w:color w:val="auto"/>
              </w:rPr>
            </w:pPr>
            <w:r>
              <w:rPr>
                <w:rFonts w:ascii="Arial" w:cs="Arial" w:eastAsia="Arial" w:hAnsi="Arial"/>
                <w:sz w:val="13"/>
                <w:szCs w:val="13"/>
                <w:b w:val="1"/>
                <w:bCs w:val="1"/>
                <w:color w:val="auto"/>
                <w:w w:val="99"/>
              </w:rPr>
              <w:t>June 30,</w:t>
            </w:r>
          </w:p>
        </w:tc>
        <w:tc>
          <w:tcPr>
            <w:tcW w:w="4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July 4,</w:t>
            </w:r>
          </w:p>
        </w:tc>
        <w:tc>
          <w:tcPr>
            <w:tcW w:w="720" w:type="dxa"/>
            <w:vAlign w:val="bottom"/>
          </w:tcPr>
          <w:p>
            <w:pPr>
              <w:spacing w:after="0"/>
              <w:rPr>
                <w:sz w:val="10"/>
                <w:szCs w:val="10"/>
                <w:color w:val="auto"/>
              </w:rPr>
            </w:pPr>
          </w:p>
        </w:tc>
        <w:tc>
          <w:tcPr>
            <w:tcW w:w="1200" w:type="dxa"/>
            <w:vAlign w:val="bottom"/>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w w:val="98"/>
              </w:rPr>
              <w:t>Increase</w:t>
            </w:r>
          </w:p>
        </w:tc>
        <w:tc>
          <w:tcPr>
            <w:tcW w:w="90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000" w:type="dxa"/>
            <w:vAlign w:val="bottom"/>
            <w:vMerge w:val="continue"/>
          </w:tcPr>
          <w:p>
            <w:pPr>
              <w:spacing w:after="0"/>
              <w:rPr>
                <w:sz w:val="14"/>
                <w:szCs w:val="14"/>
                <w:color w:val="auto"/>
              </w:rPr>
            </w:pPr>
          </w:p>
        </w:tc>
        <w:tc>
          <w:tcPr>
            <w:tcW w:w="2140" w:type="dxa"/>
            <w:vAlign w:val="bottom"/>
            <w:vMerge w:val="continue"/>
          </w:tcPr>
          <w:p>
            <w:pPr>
              <w:spacing w:after="0"/>
              <w:rPr>
                <w:sz w:val="14"/>
                <w:szCs w:val="14"/>
                <w:color w:val="auto"/>
              </w:rPr>
            </w:pPr>
          </w:p>
        </w:tc>
        <w:tc>
          <w:tcPr>
            <w:tcW w:w="1820" w:type="dxa"/>
            <w:vAlign w:val="bottom"/>
          </w:tcPr>
          <w:p>
            <w:pPr>
              <w:spacing w:after="0"/>
              <w:rPr>
                <w:sz w:val="14"/>
                <w:szCs w:val="14"/>
                <w:color w:val="auto"/>
              </w:rPr>
            </w:pPr>
          </w:p>
        </w:tc>
        <w:tc>
          <w:tcPr>
            <w:tcW w:w="560" w:type="dxa"/>
            <w:vAlign w:val="bottom"/>
          </w:tcPr>
          <w:p>
            <w:pPr>
              <w:jc w:val="right"/>
              <w:ind w:right="65"/>
              <w:spacing w:after="0"/>
              <w:rPr>
                <w:sz w:val="20"/>
                <w:szCs w:val="20"/>
                <w:color w:val="auto"/>
              </w:rPr>
            </w:pPr>
            <w:r>
              <w:rPr>
                <w:rFonts w:ascii="Arial" w:cs="Arial" w:eastAsia="Arial" w:hAnsi="Arial"/>
                <w:sz w:val="14"/>
                <w:szCs w:val="14"/>
                <w:b w:val="1"/>
                <w:bCs w:val="1"/>
                <w:color w:val="auto"/>
              </w:rPr>
              <w:t>2015</w:t>
            </w:r>
          </w:p>
        </w:tc>
        <w:tc>
          <w:tcPr>
            <w:tcW w:w="680" w:type="dxa"/>
            <w:vAlign w:val="bottom"/>
          </w:tcPr>
          <w:p>
            <w:pPr>
              <w:spacing w:after="0"/>
              <w:rPr>
                <w:sz w:val="14"/>
                <w:szCs w:val="14"/>
                <w:color w:val="auto"/>
              </w:rPr>
            </w:pPr>
          </w:p>
        </w:tc>
        <w:tc>
          <w:tcPr>
            <w:tcW w:w="480" w:type="dxa"/>
            <w:vAlign w:val="bottom"/>
          </w:tcPr>
          <w:p>
            <w:pPr>
              <w:jc w:val="right"/>
              <w:ind w:right="20"/>
              <w:spacing w:after="0"/>
              <w:rPr>
                <w:sz w:val="20"/>
                <w:szCs w:val="20"/>
                <w:color w:val="auto"/>
              </w:rPr>
            </w:pPr>
            <w:r>
              <w:rPr>
                <w:rFonts w:ascii="Arial" w:cs="Arial" w:eastAsia="Arial" w:hAnsi="Arial"/>
                <w:sz w:val="14"/>
                <w:szCs w:val="14"/>
                <w:b w:val="1"/>
                <w:bCs w:val="1"/>
                <w:color w:val="auto"/>
              </w:rPr>
              <w:t>2014</w:t>
            </w:r>
          </w:p>
        </w:tc>
        <w:tc>
          <w:tcPr>
            <w:tcW w:w="720" w:type="dxa"/>
            <w:vAlign w:val="bottom"/>
          </w:tcPr>
          <w:p>
            <w:pPr>
              <w:spacing w:after="0"/>
              <w:rPr>
                <w:sz w:val="14"/>
                <w:szCs w:val="14"/>
                <w:color w:val="auto"/>
              </w:rPr>
            </w:pPr>
          </w:p>
        </w:tc>
        <w:tc>
          <w:tcPr>
            <w:tcW w:w="12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(Decrease)</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0"/>
        </w:trPr>
        <w:tc>
          <w:tcPr>
            <w:tcW w:w="2000" w:type="dxa"/>
            <w:vAlign w:val="bottom"/>
            <w:shd w:val="clear" w:color="auto" w:fill="000000"/>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c>
          <w:tcPr>
            <w:tcW w:w="182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operating profit (loss)</w:t>
            </w:r>
          </w:p>
        </w:tc>
        <w:tc>
          <w:tcPr>
            <w:tcW w:w="1820" w:type="dxa"/>
            <w:vAlign w:val="bottom"/>
            <w:vMerge w:val="continue"/>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17.0</w:t>
            </w:r>
          </w:p>
        </w:tc>
        <w:tc>
          <w:tcPr>
            <w:tcW w:w="68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(1.9)</w:t>
            </w:r>
          </w:p>
        </w:tc>
        <w:tc>
          <w:tcPr>
            <w:tcW w:w="720" w:type="dxa"/>
            <w:vAlign w:val="bottom"/>
            <w:vMerge w:val="continue"/>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19.0</w:t>
            </w:r>
          </w:p>
        </w:tc>
        <w:tc>
          <w:tcPr>
            <w:tcW w:w="56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974.3%</w:t>
            </w:r>
          </w:p>
        </w:tc>
        <w:tc>
          <w:tcPr>
            <w:tcW w:w="0" w:type="dxa"/>
            <w:vAlign w:val="bottom"/>
          </w:tcPr>
          <w:p>
            <w:pPr>
              <w:spacing w:after="0"/>
              <w:rPr>
                <w:sz w:val="1"/>
                <w:szCs w:val="1"/>
                <w:color w:val="auto"/>
              </w:rPr>
            </w:pPr>
          </w:p>
        </w:tc>
      </w:tr>
      <w:tr>
        <w:trPr>
          <w:trHeight w:val="230"/>
        </w:trPr>
        <w:tc>
          <w:tcPr>
            <w:tcW w:w="414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3060" w:type="dxa"/>
            <w:vAlign w:val="bottom"/>
            <w:gridSpan w:val="3"/>
          </w:tcPr>
          <w:p>
            <w:pPr>
              <w:jc w:val="right"/>
              <w:ind w:right="540"/>
              <w:spacing w:after="0"/>
              <w:rPr>
                <w:sz w:val="20"/>
                <w:szCs w:val="20"/>
                <w:color w:val="auto"/>
              </w:rPr>
            </w:pPr>
            <w:r>
              <w:rPr>
                <w:rFonts w:ascii="Arial" w:cs="Arial" w:eastAsia="Arial" w:hAnsi="Arial"/>
                <w:sz w:val="18"/>
                <w:szCs w:val="18"/>
                <w:color w:val="auto"/>
              </w:rPr>
              <w:t>12.9%</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(1.8)%</w:t>
            </w: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change from an operating loss to an operating profit for our satellite services segment was primarily due to higher earnings contributions of $17.9 million. Continued growth in the size of our Exede broadband services subscriber base compared to the prior year period resulted in increased service revenues and improved margins. We have also experienced positive contributions from our in-flight Wi-Fi service. In addition, product revenues for the three months ended June 30, 2015 included $6.2 million relating to amounts realized under the Settlement Agreement. Legal expense decreased as a result of the settlement of the litigation with SS/L and its former parent company Loral during the second quarter of fiscal year 2015. This decrease in SG&amp;A expenses was partially offset by an increase in selling costs and other support costs.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Dollar</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4240" w:type="dxa"/>
            <w:vAlign w:val="bottom"/>
          </w:tcPr>
          <w:p>
            <w:pPr>
              <w:spacing w:after="0"/>
              <w:rPr>
                <w:sz w:val="10"/>
                <w:szCs w:val="10"/>
                <w:color w:val="auto"/>
              </w:rPr>
            </w:pPr>
          </w:p>
        </w:tc>
        <w:tc>
          <w:tcPr>
            <w:tcW w:w="1120" w:type="dxa"/>
            <w:vAlign w:val="bottom"/>
            <w:tcBorders>
              <w:top w:val="single" w:sz="8" w:color="auto"/>
            </w:tcBorders>
            <w:gridSpan w:val="3"/>
          </w:tcPr>
          <w:p>
            <w:pPr>
              <w:jc w:val="right"/>
              <w:ind w:right="560"/>
              <w:spacing w:after="0" w:line="119" w:lineRule="exact"/>
              <w:rPr>
                <w:sz w:val="20"/>
                <w:szCs w:val="20"/>
                <w:color w:val="auto"/>
              </w:rPr>
            </w:pPr>
            <w:r>
              <w:rPr>
                <w:rFonts w:ascii="Arial" w:cs="Arial" w:eastAsia="Arial" w:hAnsi="Arial"/>
                <w:sz w:val="13"/>
                <w:szCs w:val="13"/>
                <w:b w:val="1"/>
                <w:bCs w:val="1"/>
                <w:color w:val="auto"/>
              </w:rPr>
              <w:t>June 30,</w:t>
            </w:r>
          </w:p>
        </w:tc>
        <w:tc>
          <w:tcPr>
            <w:tcW w:w="5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July 4,</w:t>
            </w: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Increase</w:t>
            </w:r>
          </w:p>
        </w:tc>
        <w:tc>
          <w:tcPr>
            <w:tcW w:w="9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000" w:type="dxa"/>
            <w:vAlign w:val="bottom"/>
            <w:gridSpan w:val="2"/>
            <w:vMerge w:val="continue"/>
          </w:tcPr>
          <w:p>
            <w:pPr>
              <w:spacing w:after="0"/>
              <w:rPr>
                <w:sz w:val="14"/>
                <w:szCs w:val="14"/>
                <w:color w:val="auto"/>
              </w:rPr>
            </w:pPr>
          </w:p>
        </w:tc>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2014</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42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4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5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26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540" w:type="dxa"/>
            <w:vAlign w:val="bottom"/>
            <w:vMerge w:val="continue"/>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1.6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980" w:type="dxa"/>
            <w:vAlign w:val="bottom"/>
          </w:tcPr>
          <w:p>
            <w:pPr>
              <w:spacing w:after="0"/>
              <w:rPr>
                <w:sz w:val="6"/>
                <w:szCs w:val="6"/>
                <w:color w:val="auto"/>
              </w:rPr>
            </w:pPr>
          </w:p>
        </w:tc>
        <w:tc>
          <w:tcPr>
            <w:tcW w:w="424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92.2</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(25.5)</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Our commercial networks segment revenues decreased by $25.5 million, primarily due to the $27.1 million decrease in product revenues. Of this product revenue decrease, $20.0 million related to fixed satellite networks (driven primarily by our large scale Australian Ka-band infrastructure project as it moves closer to completion as well as consumer broadband products due to reduced revenues from terminal sales, partially offset by our next-generation Ka-band system contract in Canada). In addition, our satellite payload technology development programs revenues decreased $4.5 million and our antenna systems products revenues decreased $2.6 million, as certain programs move closer to completion.</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40" w:top="459" w:right="3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30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11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Dollar</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2220" w:type="dxa"/>
            <w:vAlign w:val="bottom"/>
            <w:vMerge w:val="restart"/>
          </w:tcPr>
          <w:p>
            <w:pPr>
              <w:spacing w:after="0"/>
              <w:rPr>
                <w:sz w:val="10"/>
                <w:szCs w:val="10"/>
                <w:color w:val="auto"/>
              </w:rPr>
            </w:pPr>
          </w:p>
        </w:tc>
        <w:tc>
          <w:tcPr>
            <w:tcW w:w="1900" w:type="dxa"/>
            <w:vAlign w:val="bottom"/>
          </w:tcPr>
          <w:p>
            <w:pPr>
              <w:spacing w:after="0"/>
              <w:rPr>
                <w:sz w:val="10"/>
                <w:szCs w:val="10"/>
                <w:color w:val="auto"/>
              </w:rPr>
            </w:pPr>
          </w:p>
        </w:tc>
        <w:tc>
          <w:tcPr>
            <w:tcW w:w="1200" w:type="dxa"/>
            <w:vAlign w:val="bottom"/>
            <w:tcBorders>
              <w:top w:val="single" w:sz="8" w:color="auto"/>
            </w:tcBorders>
            <w:gridSpan w:val="2"/>
          </w:tcPr>
          <w:p>
            <w:pPr>
              <w:jc w:val="right"/>
              <w:ind w:right="680"/>
              <w:spacing w:after="0" w:line="119" w:lineRule="exact"/>
              <w:rPr>
                <w:sz w:val="20"/>
                <w:szCs w:val="20"/>
                <w:color w:val="auto"/>
              </w:rPr>
            </w:pPr>
            <w:r>
              <w:rPr>
                <w:rFonts w:ascii="Arial" w:cs="Arial" w:eastAsia="Arial" w:hAnsi="Arial"/>
                <w:sz w:val="13"/>
                <w:szCs w:val="13"/>
                <w:b w:val="1"/>
                <w:bCs w:val="1"/>
                <w:color w:val="auto"/>
                <w:w w:val="96"/>
              </w:rPr>
              <w:t>June 30,</w:t>
            </w:r>
          </w:p>
        </w:tc>
        <w:tc>
          <w:tcPr>
            <w:tcW w:w="4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8"/>
              </w:rPr>
              <w:t>July 4,</w:t>
            </w:r>
          </w:p>
        </w:tc>
        <w:tc>
          <w:tcPr>
            <w:tcW w:w="640" w:type="dxa"/>
            <w:vAlign w:val="bottom"/>
          </w:tcPr>
          <w:p>
            <w:pPr>
              <w:spacing w:after="0"/>
              <w:rPr>
                <w:sz w:val="10"/>
                <w:szCs w:val="10"/>
                <w:color w:val="auto"/>
              </w:rPr>
            </w:pPr>
          </w:p>
        </w:tc>
        <w:tc>
          <w:tcPr>
            <w:tcW w:w="114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rPr>
              <w:t>(Increase)</w:t>
            </w:r>
          </w:p>
        </w:tc>
        <w:tc>
          <w:tcPr>
            <w:tcW w:w="9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7"/>
              </w:rPr>
              <w:t>(Increase)</w:t>
            </w:r>
          </w:p>
        </w:tc>
        <w:tc>
          <w:tcPr>
            <w:tcW w:w="0" w:type="dxa"/>
            <w:vAlign w:val="bottom"/>
          </w:tcPr>
          <w:p>
            <w:pPr>
              <w:spacing w:after="0"/>
              <w:rPr>
                <w:sz w:val="1"/>
                <w:szCs w:val="1"/>
                <w:color w:val="auto"/>
              </w:rPr>
            </w:pPr>
          </w:p>
        </w:tc>
      </w:tr>
      <w:tr>
        <w:trPr>
          <w:trHeight w:val="171"/>
        </w:trPr>
        <w:tc>
          <w:tcPr>
            <w:tcW w:w="2000" w:type="dxa"/>
            <w:vAlign w:val="bottom"/>
            <w:tcBorders>
              <w:bottom w:val="single" w:sz="8" w:color="auto"/>
            </w:tcBorders>
            <w:vMerge w:val="continue"/>
          </w:tcPr>
          <w:p>
            <w:pPr>
              <w:spacing w:after="0"/>
              <w:rPr>
                <w:sz w:val="14"/>
                <w:szCs w:val="14"/>
                <w:color w:val="auto"/>
              </w:rPr>
            </w:pPr>
          </w:p>
        </w:tc>
        <w:tc>
          <w:tcPr>
            <w:tcW w:w="2220" w:type="dxa"/>
            <w:vAlign w:val="bottom"/>
            <w:tcBorders>
              <w:bottom w:val="single" w:sz="8" w:color="CCEEFF"/>
            </w:tcBorders>
            <w:vMerge w:val="continue"/>
          </w:tcPr>
          <w:p>
            <w:pPr>
              <w:spacing w:after="0"/>
              <w:rPr>
                <w:sz w:val="14"/>
                <w:szCs w:val="14"/>
                <w:color w:val="auto"/>
              </w:rPr>
            </w:pPr>
          </w:p>
        </w:tc>
        <w:tc>
          <w:tcPr>
            <w:tcW w:w="19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Decrease</w:t>
            </w:r>
          </w:p>
        </w:tc>
        <w:tc>
          <w:tcPr>
            <w:tcW w:w="5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loss</w:t>
            </w:r>
          </w:p>
        </w:tc>
        <w:tc>
          <w:tcPr>
            <w:tcW w:w="22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(18.7)</w:t>
            </w: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(6.0)</w:t>
            </w: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(12.7)</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(212.7)%</w:t>
            </w:r>
          </w:p>
        </w:tc>
        <w:tc>
          <w:tcPr>
            <w:tcW w:w="0" w:type="dxa"/>
            <w:vAlign w:val="bottom"/>
          </w:tcPr>
          <w:p>
            <w:pPr>
              <w:spacing w:after="0"/>
              <w:rPr>
                <w:sz w:val="1"/>
                <w:szCs w:val="1"/>
                <w:color w:val="auto"/>
              </w:rPr>
            </w:pPr>
          </w:p>
        </w:tc>
      </w:tr>
      <w:tr>
        <w:trPr>
          <w:trHeight w:val="230"/>
        </w:trPr>
        <w:tc>
          <w:tcPr>
            <w:tcW w:w="422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3100" w:type="dxa"/>
            <w:vAlign w:val="bottom"/>
            <w:gridSpan w:val="3"/>
          </w:tcPr>
          <w:p>
            <w:pPr>
              <w:jc w:val="right"/>
              <w:ind w:right="460"/>
              <w:spacing w:after="0"/>
              <w:rPr>
                <w:sz w:val="20"/>
                <w:szCs w:val="20"/>
                <w:color w:val="auto"/>
              </w:rPr>
            </w:pPr>
            <w:r>
              <w:rPr>
                <w:rFonts w:ascii="Arial" w:cs="Arial" w:eastAsia="Arial" w:hAnsi="Arial"/>
                <w:sz w:val="18"/>
                <w:szCs w:val="18"/>
                <w:color w:val="auto"/>
              </w:rPr>
              <w:t>(28.1)%</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(6.5)%</w:t>
            </w: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$12.7 million increase in our commercial networks segment operating loss was driven by a $5.7 million increase in IR&amp;D expenses (primarily due to an increase in mobile broadband satellite communication systems, next-generation consumer broadband and next-generation satellite payload technologies), lower earnings contributions of $4.3 million (primarily due to the decrease in product revenues) and an increase of $2.8 million in support, selling and new business proposal costs.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14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0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5"/>
              </w:rPr>
              <w:t>Dollar</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4300" w:type="dxa"/>
            <w:vAlign w:val="bottom"/>
          </w:tcPr>
          <w:p>
            <w:pPr>
              <w:spacing w:after="0"/>
              <w:rPr>
                <w:sz w:val="10"/>
                <w:szCs w:val="10"/>
                <w:color w:val="auto"/>
              </w:rPr>
            </w:pPr>
          </w:p>
        </w:tc>
        <w:tc>
          <w:tcPr>
            <w:tcW w:w="106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June 30,</w:t>
            </w:r>
          </w:p>
        </w:tc>
        <w:tc>
          <w:tcPr>
            <w:tcW w:w="5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July 4,</w:t>
            </w:r>
          </w:p>
        </w:tc>
        <w:tc>
          <w:tcPr>
            <w:tcW w:w="500" w:type="dxa"/>
            <w:vAlign w:val="bottom"/>
          </w:tcPr>
          <w:p>
            <w:pPr>
              <w:spacing w:after="0"/>
              <w:rPr>
                <w:sz w:val="10"/>
                <w:szCs w:val="10"/>
                <w:color w:val="auto"/>
              </w:rPr>
            </w:pPr>
          </w:p>
        </w:tc>
        <w:tc>
          <w:tcPr>
            <w:tcW w:w="1160" w:type="dxa"/>
            <w:vAlign w:val="bottom"/>
            <w:gridSpan w:val="3"/>
          </w:tcPr>
          <w:p>
            <w:pPr>
              <w:jc w:val="center"/>
              <w:ind w:right="480"/>
              <w:spacing w:after="0" w:line="119" w:lineRule="exact"/>
              <w:rPr>
                <w:sz w:val="20"/>
                <w:szCs w:val="20"/>
                <w:color w:val="auto"/>
              </w:rPr>
            </w:pPr>
            <w:r>
              <w:rPr>
                <w:rFonts w:ascii="Arial" w:cs="Arial" w:eastAsia="Arial" w:hAnsi="Arial"/>
                <w:sz w:val="13"/>
                <w:szCs w:val="13"/>
                <w:b w:val="1"/>
                <w:bCs w:val="1"/>
                <w:color w:val="auto"/>
                <w:w w:val="98"/>
              </w:rPr>
              <w:t>Increase</w:t>
            </w:r>
          </w:p>
        </w:tc>
        <w:tc>
          <w:tcPr>
            <w:tcW w:w="90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000" w:type="dxa"/>
            <w:vAlign w:val="bottom"/>
            <w:gridSpan w:val="2"/>
            <w:vMerge w:val="continue"/>
          </w:tcPr>
          <w:p>
            <w:pPr>
              <w:spacing w:after="0"/>
              <w:rPr>
                <w:sz w:val="14"/>
                <w:szCs w:val="14"/>
                <w:color w:val="auto"/>
              </w:rPr>
            </w:pPr>
          </w:p>
        </w:tc>
        <w:tc>
          <w:tcPr>
            <w:tcW w:w="4860" w:type="dxa"/>
            <w:vAlign w:val="bottom"/>
            <w:gridSpan w:val="2"/>
          </w:tcPr>
          <w:p>
            <w:pPr>
              <w:jc w:val="right"/>
              <w:ind w:right="64"/>
              <w:spacing w:after="0"/>
              <w:rPr>
                <w:sz w:val="20"/>
                <w:szCs w:val="20"/>
                <w:color w:val="auto"/>
              </w:rPr>
            </w:pPr>
            <w:r>
              <w:rPr>
                <w:rFonts w:ascii="Arial" w:cs="Arial" w:eastAsia="Arial" w:hAnsi="Arial"/>
                <w:sz w:val="14"/>
                <w:szCs w:val="14"/>
                <w:b w:val="1"/>
                <w:bCs w:val="1"/>
                <w:color w:val="auto"/>
              </w:rPr>
              <w:t>2015</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54"/>
              <w:spacing w:after="0"/>
              <w:rPr>
                <w:sz w:val="20"/>
                <w:szCs w:val="20"/>
                <w:color w:val="auto"/>
              </w:rPr>
            </w:pPr>
            <w:r>
              <w:rPr>
                <w:rFonts w:ascii="Arial" w:cs="Arial" w:eastAsia="Arial" w:hAnsi="Arial"/>
                <w:sz w:val="14"/>
                <w:szCs w:val="14"/>
                <w:b w:val="1"/>
                <w:bCs w:val="1"/>
                <w:color w:val="auto"/>
                <w:w w:val="96"/>
              </w:rPr>
              <w:t>2014</w:t>
            </w:r>
          </w:p>
        </w:tc>
        <w:tc>
          <w:tcPr>
            <w:tcW w:w="50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430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4300" w:type="dxa"/>
            <w:vAlign w:val="bottom"/>
            <w:vMerge w:val="continue"/>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$ 100.6</w:t>
            </w:r>
          </w:p>
        </w:tc>
        <w:tc>
          <w:tcPr>
            <w:tcW w:w="5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5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50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5360" w:type="dxa"/>
            <w:vAlign w:val="bottom"/>
            <w:gridSpan w:val="3"/>
          </w:tcPr>
          <w:p>
            <w:pPr>
              <w:jc w:val="right"/>
              <w:ind w:right="500"/>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6.6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980" w:type="dxa"/>
            <w:vAlign w:val="bottom"/>
          </w:tcPr>
          <w:p>
            <w:pPr>
              <w:spacing w:after="0"/>
              <w:rPr>
                <w:sz w:val="6"/>
                <w:szCs w:val="6"/>
                <w:color w:val="auto"/>
              </w:rPr>
            </w:pPr>
          </w:p>
        </w:tc>
        <w:tc>
          <w:tcPr>
            <w:tcW w:w="430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3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$ 145.2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7"/>
              </w:rPr>
              <w:t>117.5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government systems segment revenues increased by $27.7 million, due to a $21.1 million increase in product revenues and a $6.6 million increase in service revenues. The product revenue increase was primarily due to a $15.6 million revenue increase in government satellite communication systems (mainly attributable to tactical satcom networks and global mobile broadband) and an $8.3 million increase in tactical data link products. These product revenue increases were partially offset by a $4.7 million decrease in information assurance products revenues. Of the service revenue increase, $5.6 million related to NetNearU, our subsidiary acquired in June 2014, and $1.0 million related to government satellite communication systems services (mainly attributable to global mobile broadband services).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3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1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Dollar</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2160" w:type="dxa"/>
            <w:vAlign w:val="bottom"/>
            <w:vMerge w:val="restart"/>
          </w:tcPr>
          <w:p>
            <w:pPr>
              <w:spacing w:after="0"/>
              <w:rPr>
                <w:sz w:val="10"/>
                <w:szCs w:val="10"/>
                <w:color w:val="auto"/>
              </w:rPr>
            </w:pPr>
          </w:p>
        </w:tc>
        <w:tc>
          <w:tcPr>
            <w:tcW w:w="1860" w:type="dxa"/>
            <w:vAlign w:val="bottom"/>
          </w:tcPr>
          <w:p>
            <w:pPr>
              <w:spacing w:after="0"/>
              <w:rPr>
                <w:sz w:val="10"/>
                <w:szCs w:val="10"/>
                <w:color w:val="auto"/>
              </w:rPr>
            </w:pPr>
          </w:p>
        </w:tc>
        <w:tc>
          <w:tcPr>
            <w:tcW w:w="960" w:type="dxa"/>
            <w:vAlign w:val="bottom"/>
            <w:tcBorders>
              <w:top w:val="single" w:sz="8" w:color="auto"/>
            </w:tcBorders>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w w:val="96"/>
              </w:rPr>
              <w:t>June 30,</w:t>
            </w:r>
          </w:p>
        </w:tc>
        <w:tc>
          <w:tcPr>
            <w:tcW w:w="2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July 4,</w:t>
            </w:r>
          </w:p>
        </w:tc>
        <w:tc>
          <w:tcPr>
            <w:tcW w:w="660" w:type="dxa"/>
            <w:vAlign w:val="bottom"/>
          </w:tcPr>
          <w:p>
            <w:pPr>
              <w:spacing w:after="0"/>
              <w:rPr>
                <w:sz w:val="10"/>
                <w:szCs w:val="10"/>
                <w:color w:val="auto"/>
              </w:rPr>
            </w:pPr>
          </w:p>
        </w:tc>
        <w:tc>
          <w:tcPr>
            <w:tcW w:w="1200" w:type="dxa"/>
            <w:vAlign w:val="bottom"/>
            <w:gridSpan w:val="3"/>
          </w:tcPr>
          <w:p>
            <w:pPr>
              <w:jc w:val="center"/>
              <w:ind w:right="560"/>
              <w:spacing w:after="0" w:line="119" w:lineRule="exact"/>
              <w:rPr>
                <w:sz w:val="20"/>
                <w:szCs w:val="20"/>
                <w:color w:val="auto"/>
              </w:rPr>
            </w:pPr>
            <w:r>
              <w:rPr>
                <w:rFonts w:ascii="Arial" w:cs="Arial" w:eastAsia="Arial" w:hAnsi="Arial"/>
                <w:sz w:val="13"/>
                <w:szCs w:val="13"/>
                <w:b w:val="1"/>
                <w:bCs w:val="1"/>
                <w:color w:val="auto"/>
                <w:w w:val="98"/>
              </w:rPr>
              <w:t>Increase</w:t>
            </w:r>
          </w:p>
        </w:tc>
        <w:tc>
          <w:tcPr>
            <w:tcW w:w="90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000" w:type="dxa"/>
            <w:vAlign w:val="bottom"/>
            <w:vMerge w:val="continue"/>
          </w:tcPr>
          <w:p>
            <w:pPr>
              <w:spacing w:after="0"/>
              <w:rPr>
                <w:sz w:val="14"/>
                <w:szCs w:val="14"/>
                <w:color w:val="auto"/>
              </w:rPr>
            </w:pPr>
          </w:p>
        </w:tc>
        <w:tc>
          <w:tcPr>
            <w:tcW w:w="2160" w:type="dxa"/>
            <w:vAlign w:val="bottom"/>
            <w:vMerge w:val="continue"/>
          </w:tcPr>
          <w:p>
            <w:pPr>
              <w:spacing w:after="0"/>
              <w:rPr>
                <w:sz w:val="14"/>
                <w:szCs w:val="14"/>
                <w:color w:val="auto"/>
              </w:rPr>
            </w:pPr>
          </w:p>
        </w:tc>
        <w:tc>
          <w:tcPr>
            <w:tcW w:w="1860" w:type="dxa"/>
            <w:vAlign w:val="bottom"/>
          </w:tcPr>
          <w:p>
            <w:pPr>
              <w:spacing w:after="0"/>
              <w:rPr>
                <w:sz w:val="14"/>
                <w:szCs w:val="14"/>
                <w:color w:val="auto"/>
              </w:rPr>
            </w:pPr>
          </w:p>
        </w:tc>
        <w:tc>
          <w:tcPr>
            <w:tcW w:w="560" w:type="dxa"/>
            <w:vAlign w:val="bottom"/>
          </w:tcPr>
          <w:p>
            <w:pPr>
              <w:jc w:val="right"/>
              <w:ind w:right="65"/>
              <w:spacing w:after="0"/>
              <w:rPr>
                <w:sz w:val="20"/>
                <w:szCs w:val="20"/>
                <w:color w:val="auto"/>
              </w:rPr>
            </w:pPr>
            <w:r>
              <w:rPr>
                <w:rFonts w:ascii="Arial" w:cs="Arial" w:eastAsia="Arial" w:hAnsi="Arial"/>
                <w:sz w:val="14"/>
                <w:szCs w:val="14"/>
                <w:b w:val="1"/>
                <w:bCs w:val="1"/>
                <w:color w:val="auto"/>
              </w:rPr>
              <w:t>2015</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jc w:val="right"/>
              <w:ind w:right="24"/>
              <w:spacing w:after="0"/>
              <w:rPr>
                <w:sz w:val="20"/>
                <w:szCs w:val="20"/>
                <w:color w:val="auto"/>
              </w:rPr>
            </w:pPr>
            <w:r>
              <w:rPr>
                <w:rFonts w:ascii="Arial" w:cs="Arial" w:eastAsia="Arial" w:hAnsi="Arial"/>
                <w:sz w:val="14"/>
                <w:szCs w:val="14"/>
                <w:b w:val="1"/>
                <w:bCs w:val="1"/>
                <w:color w:val="auto"/>
              </w:rPr>
              <w:t>2014</w:t>
            </w:r>
          </w:p>
        </w:tc>
        <w:tc>
          <w:tcPr>
            <w:tcW w:w="660" w:type="dxa"/>
            <w:vAlign w:val="bottom"/>
          </w:tcPr>
          <w:p>
            <w:pPr>
              <w:spacing w:after="0"/>
              <w:rPr>
                <w:sz w:val="14"/>
                <w:szCs w:val="14"/>
                <w:color w:val="auto"/>
              </w:rPr>
            </w:pPr>
          </w:p>
        </w:tc>
        <w:tc>
          <w:tcPr>
            <w:tcW w:w="12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9"/>
              </w:rPr>
              <w:t>(Decrease)</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0"/>
        </w:trPr>
        <w:tc>
          <w:tcPr>
            <w:tcW w:w="2000" w:type="dxa"/>
            <w:vAlign w:val="bottom"/>
            <w:shd w:val="clear" w:color="auto" w:fill="000000"/>
          </w:tcPr>
          <w:p>
            <w:pPr>
              <w:spacing w:after="0" w:line="20" w:lineRule="exact"/>
              <w:rPr>
                <w:sz w:val="1"/>
                <w:szCs w:val="1"/>
                <w:color w:val="auto"/>
              </w:rPr>
            </w:pPr>
          </w:p>
        </w:tc>
        <w:tc>
          <w:tcPr>
            <w:tcW w:w="2160" w:type="dxa"/>
            <w:vAlign w:val="bottom"/>
            <w:vMerge w:val="restart"/>
            <w:shd w:val="clear" w:color="auto" w:fill="CCEEFF"/>
          </w:tcPr>
          <w:p>
            <w:pPr>
              <w:spacing w:after="0" w:line="20" w:lineRule="exact"/>
              <w:rPr>
                <w:sz w:val="1"/>
                <w:szCs w:val="1"/>
                <w:color w:val="auto"/>
              </w:rPr>
            </w:pPr>
          </w:p>
        </w:tc>
        <w:tc>
          <w:tcPr>
            <w:tcW w:w="186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2160" w:type="dxa"/>
            <w:vAlign w:val="bottom"/>
            <w:vMerge w:val="continue"/>
            <w:shd w:val="clear" w:color="auto" w:fill="CCEEFF"/>
          </w:tcPr>
          <w:p>
            <w:pPr>
              <w:spacing w:after="0"/>
              <w:rPr>
                <w:sz w:val="18"/>
                <w:szCs w:val="18"/>
                <w:color w:val="auto"/>
              </w:rPr>
            </w:pPr>
          </w:p>
        </w:tc>
        <w:tc>
          <w:tcPr>
            <w:tcW w:w="1860" w:type="dxa"/>
            <w:vAlign w:val="bottom"/>
            <w:vMerge w:val="continue"/>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15.9</w:t>
            </w:r>
          </w:p>
        </w:tc>
        <w:tc>
          <w:tcPr>
            <w:tcW w:w="40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$ 10.8</w:t>
            </w:r>
          </w:p>
        </w:tc>
        <w:tc>
          <w:tcPr>
            <w:tcW w:w="6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56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30"/>
        </w:trPr>
        <w:tc>
          <w:tcPr>
            <w:tcW w:w="416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2820" w:type="dxa"/>
            <w:vAlign w:val="bottom"/>
            <w:gridSpan w:val="3"/>
          </w:tcPr>
          <w:p>
            <w:pPr>
              <w:jc w:val="right"/>
              <w:ind w:right="260"/>
              <w:spacing w:after="0"/>
              <w:rPr>
                <w:sz w:val="20"/>
                <w:szCs w:val="20"/>
                <w:color w:val="auto"/>
              </w:rPr>
            </w:pPr>
            <w:r>
              <w:rPr>
                <w:rFonts w:ascii="Arial" w:cs="Arial" w:eastAsia="Arial" w:hAnsi="Arial"/>
                <w:sz w:val="18"/>
                <w:szCs w:val="18"/>
                <w:color w:val="auto"/>
              </w:rPr>
              <w:t>11.0%</w:t>
            </w:r>
          </w:p>
        </w:tc>
        <w:tc>
          <w:tcPr>
            <w:tcW w:w="1420" w:type="dxa"/>
            <w:vAlign w:val="bottom"/>
            <w:gridSpan w:val="3"/>
          </w:tcPr>
          <w:p>
            <w:pPr>
              <w:jc w:val="right"/>
              <w:ind w:right="52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$5.1 million increase in our government systems segment operating profit reflected higher earnings contributions of $5.5 million primarily due to the increase in revenues.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As reflected in the table below, our overall firm and funded backlog decreased during the first three months of fiscal year 2016. The decreases in both firm and funded backlog were attributable to decreases in each of our segments.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As of</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June 30, 2015</w:t>
            </w:r>
          </w:p>
        </w:tc>
        <w:tc>
          <w:tcPr>
            <w:tcW w:w="920" w:type="dxa"/>
            <w:vAlign w:val="bottom"/>
            <w:gridSpan w:val="4"/>
          </w:tcPr>
          <w:p>
            <w:pPr>
              <w:ind w:left="20"/>
              <w:spacing w:after="0"/>
              <w:rPr>
                <w:sz w:val="20"/>
                <w:szCs w:val="20"/>
                <w:color w:val="auto"/>
              </w:rPr>
            </w:pPr>
            <w:r>
              <w:rPr>
                <w:rFonts w:ascii="Arial" w:cs="Arial" w:eastAsia="Arial" w:hAnsi="Arial"/>
                <w:sz w:val="14"/>
                <w:szCs w:val="14"/>
                <w:b w:val="1"/>
                <w:bCs w:val="1"/>
                <w:color w:val="auto"/>
              </w:rPr>
              <w:t>April 3, 2015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2"/>
          </w:tcPr>
          <w:p>
            <w:pPr>
              <w:ind w:left="66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Firm backlog</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Satellite Services segment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204.6</w:t>
            </w:r>
          </w:p>
        </w:tc>
        <w:tc>
          <w:tcPr>
            <w:tcW w:w="740" w:type="dxa"/>
            <w:vAlign w:val="bottom"/>
          </w:tcPr>
          <w:p>
            <w:pPr>
              <w:spacing w:after="0"/>
              <w:rPr>
                <w:sz w:val="18"/>
                <w:szCs w:val="18"/>
                <w:color w:val="auto"/>
              </w:rPr>
            </w:pP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Commercial Networks segment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Government Systems segment</w:t>
            </w: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372.4</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872.5</w:t>
            </w:r>
          </w:p>
        </w:tc>
        <w:tc>
          <w:tcPr>
            <w:tcW w:w="7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r>
              <w:rPr>
                <w:rFonts w:ascii="Arial" w:cs="Arial" w:eastAsia="Arial" w:hAnsi="Arial"/>
                <w:sz w:val="18"/>
                <w:szCs w:val="18"/>
                <w:u w:val="single" w:color="auto"/>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Funded backlog</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1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 segment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7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Commercial Networks segment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295.5</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 segment</w:t>
            </w: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295.6</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61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795.7</w:t>
            </w:r>
          </w:p>
        </w:tc>
        <w:tc>
          <w:tcPr>
            <w:tcW w:w="740" w:type="dxa"/>
            <w:vAlign w:val="bottom"/>
          </w:tcPr>
          <w:p>
            <w:pPr>
              <w:spacing w:after="0"/>
              <w:rPr>
                <w:sz w:val="24"/>
                <w:szCs w:val="24"/>
                <w:color w:val="auto"/>
              </w:rPr>
            </w:pP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841.</w:t>
            </w:r>
            <w:r>
              <w:rPr>
                <w:rFonts w:ascii="Arial" w:cs="Arial" w:eastAsia="Arial" w:hAnsi="Arial"/>
                <w:sz w:val="18"/>
                <w:szCs w:val="18"/>
                <w:u w:val="single" w:color="auto"/>
                <w:color w:val="auto"/>
              </w:rPr>
              <w:t>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firm backlog does not include contract options. Of the $872.5 million in firm backlog, $397.1 million is expected to be delivered during the remaining nine months of fiscal year 2016, and the balance is expected to be delivered in fiscal year 2017 and thereafter. We include in our backlog only those orders for which we have accepted purchase orders.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total new awards were approximately $305.5 million and $310.1 million for the three months ended June 30, 2015 and July 4, 2014, respectively.</w:t>
      </w:r>
    </w:p>
    <w:p>
      <w:pPr>
        <w:spacing w:after="0" w:line="24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contract.</w:t>
      </w:r>
    </w:p>
    <w:p>
      <w:pPr>
        <w:spacing w:after="0" w:line="18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Firm backlog amounts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fundings have ultimately been approximately equal to the aggregate amounts of the contracts.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have financed our operations to date primarily with cash flows from operations, bank line of credit financing, debt financing, export credit agency financing and equity financing. At June 30, 2015, we had $42.5 million in cash and cash equivalents, $342.3 million in working capital, $225.0 million in outstanding borrowings under the Revolving Credit Facility and $61.6 million in outstanding borrowings under our Ex-Im Credit Facility. At April 3, 2015, we had $52.3 million in cash and cash equivalents, $280.5 million in working capital and $210.0 million in outstanding borrowings under our Revolving Credit Facility and $20.5 million in outstanding borrowings under our Ex-Im Credit Facility. We invest our cash in excess of current operating requirements in short-term, interest-bearing, investment-grade securities.</w:t>
      </w:r>
    </w:p>
    <w:p>
      <w:pPr>
        <w:spacing w:after="0" w:line="19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future capital requirements will depend upon many factors, including the timing and amount of cash required for our ViaSat-2 satellite project and any future broadband satellite projects we may engage in, expansion of our research and development and marketing efforts, and the nature and timing of orders. Additionally, we will continue to evaluate possible acquisitions of, or investments in complementary businesses, products and technologies which may require the use of cash or additional financing.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general cash needs of our satellite services, commercial networks and government systems segments can vary significantly. The cash needs of our satellite services segment tend to be driven by the timing of capital expenditure payments (e.g., payments under satellite construction and launch contracts) and of network expansion activities, as well as the quality of customer, type of contract and payment terms. In our commercial networks segment, cash needs tend to be driven primarily by the type and mix of contracts in backlog, the nature and quality of customers, the level of investments in IR&amp;D activities and the payment terms of customers (including whether advance payments are made or customer financing is required). In our government systems segment, the primary factors determining cash needs tend to be the type and mix of contracts in backlog (e.g., product or service, development or production) and timing of payments (including restrictions on the timing of cash payments under U.S. government procurement regulations). Other factors affecting the cash needs of our commercial networks and government systems segments include contract duration and program performance. For example, if a program is performing well and meeting its contractual requirements, then its cash flow requirements are usually lower.</w:t>
      </w:r>
    </w:p>
    <w:p>
      <w:pPr>
        <w:spacing w:after="0" w:line="16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To further enhance our liquidity position or to finance the construction and launch of any future satellites, acquisitions or other business investment initiatives, we may obtain additional financing, which could consist of debt, convertible debt or equity financing from public and/or private credit and capital markets. In March 2013, we filed a universal shelf registration statement with the SEC for the future sale of an unlimited amount of debt securities, common stock, preferred stock, depositary shares, warrants and rights. The securities may be offered from time to time, separately or together, directly by us, by selling security holders, or through underwriters, dealers or agents at amounts, prices, interest rates and other terms to be determined at the time of the offering. We believe that our current cash balances and net cash expected to be provided by operating activities along with availability under our Credit Facilities will be sufficient to meet our anticipated operating requirements for at least the next twelve months.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Cash provided by operating activities for the first three months of fiscal year 2016 was $18.0 million compared to $46.9 million in the prior year period. This $28.9 million decrease was primarily driven by a $51.1 million year-over-year increase in cash used to fund net operating assets needs, offset by our operating results (net income adjusted for depreciation, amortization and other non-cash charges) which generated $22.2 million of higher cash inflows. The increase in cash used to fund net operating assets during the first three months of fiscal year 2016 when compared to the same period last fiscal year was due to higher combined billed and unbilled accounts receivable, net, attributable to the timing of contractual milestones for certain larger development programs in our government systems segment as well as an increase in our collections in excess of revenues and deferred revenues included in accrued liabilities due to the timing of milestone billings for certain larger development projects in our commercial networks segment.</w:t>
      </w:r>
    </w:p>
    <w:p>
      <w:pPr>
        <w:spacing w:after="0" w:line="16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Cash used in investing activities for the first three months of fiscal year 2016 was $86.7 million compared to $154.3 million in the prior year period. The decrease in cash used in investing activities reflects a decrease of $52.9 million in cash used for acquisitions and a decrease of $22.7 million in cash used for the construction of our ViaSat-2 satellite due to the timing of milestone payments, offset by a $2.6 million increase in capital expenditures for new CPE units and other general purpose equipment.</w:t>
      </w:r>
    </w:p>
    <w:p>
      <w:pPr>
        <w:spacing w:after="0" w:line="18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Cash provided by financing activities for the first three months of fiscal year 2016 was $58.8 million compared to $107.0 million for the prior year period. This $48.3 million decrease in cash provided by financing activities was primarily related to the $15.0 million in net proceeds from borrowings under our Revolving Credit Facility during the first three months of fiscal year 2016 compared to $100.0 million in the prior year period. This decrease in cash provided by financing activities was offset by $40.3 million of proceeds, net of discount, from borrowings under our Ex-Im Credit Facility. Cash provided by financing activities for both periods included cash received from stock option exercises and employee stock purchase plan purchases, and cash used for the repurchase of common stock related to net share settlement of certain employee tax liabilities in connection with the vesting of restricted stock unit awards.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service-related activities</w:t>
      </w:r>
    </w:p>
    <w:p>
      <w:pPr>
        <w:spacing w:after="0" w:line="117"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In May 2013, we entered into an agreement to purchase ViaSat-2, our second high-capacity Ka-band satellite, from The Boeing Company (Boeing) at a price of approximately $358.0 million, plus an additional amount for launch support services to be performed by Boeing. The projected total cost of the ViaSat-2 project, including the satellite, launch, insurance and related gateway infrastructure, through satellite launch is estimated to be between $600.0 million to $650.0 million, and will depend on the timing of the gateway infrastructure roll-out. Our total required cash funding may be reduced through various third party agreements, including potential joint service offerings and other strategic partnering arrangements. We believe we have adequate sources of funding for the project, which include our cash on hand, available borrowing capacity under our Ex-Im Credit Facility and the cash we expect to generate from operations over the next few years. At the end of the first quarter of fiscal year 2016, we had approximately 685,000 subscribers, however there can be no assurance that the number of subscribers of our Exede broadband services and service revenues in our satellite services segment will increase in any future period. We also expect to continue to invest in subscriber acquisition costs during fiscal year 2016 as we further expand our subscriber base as well as make additional investments for ViaSat-2. We believe the upcoming launch and roll-out of the ViaSat-2 satellite and related ground infrastructure will impact our financial results in our satellite services segment in future periods, although we expect the relative impact to be less than we experienced in relation to the launch and roll-out of our ViaSat-1 satellite and related ground infrastructure.</w:t>
      </w:r>
    </w:p>
    <w:p>
      <w:pPr>
        <w:spacing w:after="0" w:line="18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During the period from late fiscal year 2012 until early fiscal year 2015, we incurred higher operating costs in connection with the launch and roll-out of our ViaSat-1 satellite and related ground infrastructure and our Exede broadband services, as well as higher interest expense as we capitalized a lower amount of the interest expense on our outstanding debt in fiscal year 2014 as we were in the early stages of construction of ViaSat-2, our second high-capacity Ka-band satellite. These higher operating costs included costs associated with depreciation, gateway connectivity, subscriber acquisition costs, logistics, customer care and various support systems. These additional operating costs attributed to our Exede service commencement negatively impacted income from operations during that period. As the total number of subscribers of our Exede broadband services increased over the period, the resultant increase in service revenues in our satellite services segment improved income (loss) from operations for our satellite services segment, despite the additional litigation expense we incurred to successfully protect our proprietary technology, which was settled during the second quarter of fiscal year 2015.</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June 30, 2015, the Revolving Credit Facility provided a $500.0 million revolving line of credit (including up to $150.0 million of letters of credit) with a maturity date of November 26, 2018. Borrowings under the Revolving Credit Facility bear interest, at our option, at either (1) the highest of the Federal Funds rate plus 0.50%, the Eurodollar rate plus 1.00%, or the administrative agent’s prime rate as announced from time to time, or (2) the Eurodollar rate, plus, in the case of each of (1) and (2), an applicable margin that is based on our total leverage ratio. At June 30, 2015, the weighted average effective interest rate on our outstanding borrowings under the Revolving Credit Facility was 2.19%. The Revolving Credit Facility is required to be guaranteed by certain significant domestic subsidiaries of ViaSat (as defined in the Revolving Credit Facility) and secured by substantially all of our assets. As of June 30, 2015, none of our subsidiaries guaranteed the Revolving Credit Facility.</w:t>
      </w:r>
    </w:p>
    <w:p>
      <w:pPr>
        <w:spacing w:after="0" w:line="18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Revolving Credit Facility contains financial covenants regarding a maximum total leverage ratio and a minimum interest coverage ratio. In addition, the Revolving Credit Facility contains covenants that restrict, among other things, our ability to sell assets, make investments and acquisitions, make capital expenditures, grant liens, pay dividends and make certain other restricted payments.</w:t>
      </w:r>
    </w:p>
    <w:p>
      <w:pPr>
        <w:spacing w:after="0" w:line="181" w:lineRule="exact"/>
        <w:rPr>
          <w:sz w:val="20"/>
          <w:szCs w:val="20"/>
          <w:color w:val="auto"/>
        </w:rPr>
      </w:pPr>
    </w:p>
    <w:p>
      <w:pPr>
        <w:jc w:val="both"/>
        <w:ind w:right="700" w:firstLine="456"/>
        <w:spacing w:after="0" w:line="342" w:lineRule="auto"/>
        <w:rPr>
          <w:sz w:val="20"/>
          <w:szCs w:val="20"/>
          <w:color w:val="auto"/>
        </w:rPr>
      </w:pPr>
      <w:r>
        <w:rPr>
          <w:rFonts w:ascii="Arial" w:cs="Arial" w:eastAsia="Arial" w:hAnsi="Arial"/>
          <w:sz w:val="16"/>
          <w:szCs w:val="16"/>
          <w:color w:val="auto"/>
        </w:rPr>
        <w:t>At June 30, 2015, we had $225.0 million in principal amount of outstanding borrowings under the Revolving Credit Facility and $46.2 million outstanding under standby letters of credit, leaving borrowing availability under the Revolving Credit Facility as of June 30, 2015 of $228.8 million.</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Ex-Im Credit Facility</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On March 12, 2015, a foreign subsidiary of ViaSat entered into the Ex-Im Credit Facility with the Export-Import Bank of the United States. As of June 30, 2015, the Ex-Im Credit Facility provided a $524.9 million senior secured direct loan facility, $467.0 million of which can be used to finance up to 85% of the costs of construction, launch and insurance of the ViaSat-2 satellite and related goods and services (including costs incurred on or after September 18, 2012), with the remainder used to finance the total exposure fees incurred under the Ex-Im Credit Facility of up to $57.9 million (depending on the total amount of financing borrowed under the Ex-Im Credit Facility). Borrowings under the Ex-Im Credit Facility bear interest at a fixed rate of 2.38% and are required to be repaid in 17 approximately equal semi-annual installments, commencing approximately six months after the in-orbit acceptance date of the ViaSat-2 satellite (or, if earlier, on October 15, 2017), with a maturity date of October 15, 2025. Exposure fees of $6.0 million were incurred in connection with our initial borrowing under the Ex-Im Credit Facility, with the remaining exposure fees payable by the in-orbit acceptance date for ViaSat-2. Exposure fees under the Ex-Im Credit Facility are amortized using the effective interest rate method. The effective interest rate on our outstanding borrowings under the Ex-Im Credit Facility, which takes into account estimated timing and amount of borrowings, exposure fees, debt issuance costs and other fees, was approximately 5.0% as of June 30, 2015. The Ex-Im Credit Facility is guaranteed by ViaSat and is secured by first-priority liens on the ViaSat-2 satellite and related assets as well as a pledge of the capital stock of the borrower under the facility.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The Ex-Im Credit Facility contains financial covenants regarding ViaSat’s maximum total leverage ratio and minimum interest coverage ratio. In addition, the Ex-Im Credit Facility contains covenants that restrict, among other things, our ability to sell assets, make investments and acquisitions, make capital expenditures, grant liens, pay dividends and make certain other restricted payments.</w:t>
      </w:r>
    </w:p>
    <w:p>
      <w:pPr>
        <w:spacing w:after="0" w:line="18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At June 30, 2015, we had $61.6 million in principal amount of outstanding borrowings under the Ex-Im Credit Facility, leaving $411.4 million available to finance ViaSat-2 related costs once incurred. Borrowings under the Ex-Im Credit Facility were issued with a discount of $8.2 million (comprising the initial $6.0 million exposure fee, an accrual for a portion of the remaining exposure fees and other customary fees). The borrowings under the Ex-Im Credit Facility are recorded as long-term debt, net of discount, in our consolidated financial statements. The discount and deferred financing cost associated with the issuance of the borrowings under the Ex-Im Credit Facility are amortized to interest expense on an effective interest rate basis over the term of the borrowings under the Ex-Im Credit Facility.</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2020</w:t>
      </w:r>
    </w:p>
    <w:p>
      <w:pPr>
        <w:spacing w:after="0" w:line="11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In February 2012, we issued $275.0 million in principal amount of 2020 Notes in a private placement to institutional buyers, which were exchanged in August 2012 for substantially identical 2020 Notes that had been registered with the SEC. These initial 2020 Notes were issued at face value and are recorded as long-term debt in our condensed consolidated financial statements. In October 2012, we issued an additional $300.0 million in principal amount of 2020 Notes in a private placement to institutional buyers at an issue price of 103.50% of the principal amount, which were exchanged in January 2013 for substantially identical 2020 Notes that had been registered with the SEC. The 2020 Notes are all treated as a single class. The 2020 Notes bear interest at the rate of 6.875% per year, payable semi-annually in cash in arrears, which interest payments commenced in June 2012. Debt issuance costs associated with the issuance of the 2020 Notes are amortized to interest expense on a straight-line basis over the term of the 2020 Notes, the results of which are not materially different from the effective interest rate basis. The $10.5 million premium we received in connection with the issuance of the additional 2020 Notes is recorded as long-term debt in our condensed consolidated financial statements and is being amortized as a reduction to interest expense on an effective interest rate basis over the term of those 2020 Notes.</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2020 Notes are required to be guaranteed on an unsecured senior basis by each of our existing and future subsidiaries that guarantees the Revolving Credit Facility. As of June 30, 2015, none of our subsidiaries guaranteed the 2020 Notes. The 2020 Notes are our general senior unsecured obligations and rank equally in right of payment with all of our existing and future unsecured unsubordinated debt. The 2020 Notes are effectively junior in right of payment to our existing and future secured debt, including under the Credit Facilities (to the extent of the value of the assets securing such debt), are structurally subordinated to all existing and future liabilities (including trade payables) of our subsidiaries that do not guarantee the 2020 Notes, and are senior in right of payment to all of our existing and future subordinated indebtedness.</w:t>
      </w:r>
    </w:p>
    <w:p>
      <w:pPr>
        <w:spacing w:after="0" w:line="17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indenture governing the 2020 Notes limits, among other things, our and our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our satellite insurance; and consolidate or merge with, or sell substantially all of their assets to, another person.</w:t>
      </w:r>
    </w:p>
    <w:p>
      <w:pPr>
        <w:spacing w:after="0" w:line="18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may redeem the 2020 Notes prior to June 15, 2016, in whole or in part, at a redemption price equal to 100% of the principal amount thereof plus the applicable premium and any accrued and unpaid interest, if any, thereon to the redemption date. The applicable premium is calculated as the greater of:</w:t>
      </w:r>
    </w:p>
    <w:p>
      <w:pPr>
        <w:ind w:right="20" w:firstLine="8"/>
        <w:spacing w:after="0" w:line="290" w:lineRule="auto"/>
        <w:tabs>
          <w:tab w:leader="none" w:pos="215" w:val="left"/>
        </w:tabs>
        <w:numPr>
          <w:ilvl w:val="0"/>
          <w:numId w:val="13"/>
        </w:numPr>
        <w:rPr>
          <w:rFonts w:ascii="Arial" w:cs="Arial" w:eastAsia="Arial" w:hAnsi="Arial"/>
          <w:sz w:val="16"/>
          <w:szCs w:val="16"/>
          <w:color w:val="auto"/>
        </w:rPr>
      </w:pPr>
      <w:r>
        <w:rPr>
          <w:rFonts w:ascii="Arial" w:cs="Arial" w:eastAsia="Arial" w:hAnsi="Arial"/>
          <w:sz w:val="16"/>
          <w:szCs w:val="16"/>
          <w:color w:val="auto"/>
        </w:rPr>
        <w:t>1.0% of the principal amount of such 2020 Notes and (ii) the excess, if any, of (a) the present value at such date of redemption of (1) the redemption price of such 2020 Notes on June 15, 2016 plus (2) all required interest payments due on such 2020 Notes through June 15, 2016 (excluding accrued but unpaid interest to the date of redemption), computed using a discount rate equal to the treasury rate (as defined under the indenture) plus 50 basis points, over (b) the then-outstanding principal amount of such 2020 Notes. The 2020 Notes may be redeemed, in whole or in part, at any time during the twelve months beginning on June 15, 2016 at a redemption price of 103.438%, during the twelve months beginning on June 15, 2017 at a redemption price of 101.719%, and at any time on or after June 15, 2018 at a redemption price of 100%, in each case plus accrued and unpaid interest, if any, thereon to the redemption date.</w:t>
      </w:r>
    </w:p>
    <w:p>
      <w:pPr>
        <w:spacing w:after="0" w:line="16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the event a change of control occurs (as defined in the indenture), each holder will have the right to require us to repurchase all or any part of such holder’s 2020 Notes at a purchase price in cash equal to 101% of the aggregate principal amount of the 2020 Notes repurchased plus accrued and unpaid interest, if any, to the date of purchase (subject to the right of holders of record on the relevant record date to receive interest due on the relevant interest payment date).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obligations at June 30, 2015: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For the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Remainder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60" w:type="dxa"/>
            <w:vAlign w:val="bottom"/>
            <w:gridSpan w:val="9"/>
            <w:vMerge w:val="restart"/>
          </w:tcPr>
          <w:p>
            <w:pPr>
              <w:jc w:val="right"/>
              <w:ind w:right="560"/>
              <w:spacing w:after="0"/>
              <w:rPr>
                <w:sz w:val="20"/>
                <w:szCs w:val="20"/>
                <w:color w:val="auto"/>
              </w:rPr>
            </w:pPr>
            <w:r>
              <w:rPr>
                <w:rFonts w:ascii="Arial" w:cs="Arial" w:eastAsia="Arial" w:hAnsi="Arial"/>
                <w:sz w:val="14"/>
                <w:szCs w:val="14"/>
                <w:b w:val="1"/>
                <w:bCs w:val="1"/>
                <w:color w:val="auto"/>
              </w:rPr>
              <w:t>For the Fiscal Years Ending</w:t>
            </w:r>
          </w:p>
        </w:tc>
        <w:tc>
          <w:tcPr>
            <w:tcW w:w="0" w:type="dxa"/>
            <w:vAlign w:val="bottom"/>
          </w:tcPr>
          <w:p>
            <w:pPr>
              <w:spacing w:after="0"/>
              <w:rPr>
                <w:sz w:val="1"/>
                <w:szCs w:val="1"/>
                <w:color w:val="auto"/>
              </w:rPr>
            </w:pPr>
          </w:p>
        </w:tc>
      </w:tr>
      <w:tr>
        <w:trPr>
          <w:trHeight w:val="171"/>
        </w:trPr>
        <w:tc>
          <w:tcPr>
            <w:tcW w:w="6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including interest where applicable)</w:t>
            </w:r>
          </w:p>
        </w:tc>
        <w:tc>
          <w:tcPr>
            <w:tcW w:w="80" w:type="dxa"/>
            <w:vAlign w:val="bottom"/>
          </w:tcPr>
          <w:p>
            <w:pPr>
              <w:spacing w:after="0"/>
              <w:rPr>
                <w:sz w:val="14"/>
                <w:szCs w:val="14"/>
                <w:color w:val="auto"/>
              </w:rPr>
            </w:pPr>
          </w:p>
        </w:tc>
        <w:tc>
          <w:tcPr>
            <w:tcW w:w="10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10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Fiscal Year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center"/>
              <w:ind w:right="54"/>
              <w:spacing w:after="0" w:line="142"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2017-2018</w:t>
            </w:r>
          </w:p>
        </w:tc>
        <w:tc>
          <w:tcPr>
            <w:tcW w:w="3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2019-2020</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3"/>
              </w:rPr>
              <w:t>Thereafter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20" w:type="dxa"/>
            <w:vAlign w:val="bottom"/>
            <w:shd w:val="clear" w:color="auto" w:fill="000000"/>
          </w:tcPr>
          <w:p>
            <w:pPr>
              <w:spacing w:after="0" w:line="20" w:lineRule="exact"/>
              <w:rPr>
                <w:sz w:val="1"/>
                <w:szCs w:val="1"/>
                <w:color w:val="auto"/>
              </w:rPr>
            </w:pPr>
          </w:p>
        </w:tc>
        <w:tc>
          <w:tcPr>
            <w:tcW w:w="33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leases and satellite capacity agreements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239,458</w:t>
            </w:r>
          </w:p>
        </w:tc>
        <w:tc>
          <w:tcPr>
            <w:tcW w:w="3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55,084</w:t>
            </w:r>
          </w:p>
        </w:tc>
        <w:tc>
          <w:tcPr>
            <w:tcW w:w="16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70,158</w:t>
            </w:r>
          </w:p>
        </w:tc>
        <w:tc>
          <w:tcPr>
            <w:tcW w:w="3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54,293</w:t>
            </w:r>
          </w:p>
        </w:tc>
        <w:tc>
          <w:tcPr>
            <w:tcW w:w="14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59,923</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2020 Notes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772,658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19,766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79,063</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79,063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594,766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Revolving Credit Facility(1)</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242,041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9,992</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228,285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Ex-Im Credit Facility(2)</w:t>
            </w:r>
          </w:p>
        </w:tc>
        <w:tc>
          <w:tcPr>
            <w:tcW w:w="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71,046</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6,554</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16,989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46,834</w:t>
            </w:r>
          </w:p>
        </w:tc>
        <w:tc>
          <w:tcPr>
            <w:tcW w:w="0" w:type="dxa"/>
            <w:vAlign w:val="bottom"/>
          </w:tcPr>
          <w:p>
            <w:pPr>
              <w:spacing w:after="0"/>
              <w:rPr>
                <w:sz w:val="1"/>
                <w:szCs w:val="1"/>
                <w:color w:val="auto"/>
              </w:rPr>
            </w:pPr>
          </w:p>
        </w:tc>
      </w:tr>
      <w:tr>
        <w:trPr>
          <w:trHeight w:val="216"/>
        </w:trPr>
        <w:tc>
          <w:tcPr>
            <w:tcW w:w="64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Satellite performance incentives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33,559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4,424</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22,572</w:t>
            </w: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Purchase commitments including satellite-related agreements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579,048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328,945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202,675</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19,665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27,763</w:t>
            </w:r>
          </w:p>
        </w:tc>
        <w:tc>
          <w:tcPr>
            <w:tcW w:w="0" w:type="dxa"/>
            <w:vAlign w:val="bottom"/>
          </w:tcPr>
          <w:p>
            <w:pPr>
              <w:spacing w:after="0"/>
              <w:rPr>
                <w:sz w:val="1"/>
                <w:szCs w:val="1"/>
                <w:color w:val="auto"/>
              </w:rPr>
            </w:pPr>
          </w:p>
        </w:tc>
      </w:tr>
      <w:tr>
        <w:trPr>
          <w:trHeight w:val="216"/>
        </w:trPr>
        <w:tc>
          <w:tcPr>
            <w:tcW w:w="64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600</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420" w:type="dxa"/>
            <w:vAlign w:val="bottom"/>
            <w:gridSpan w:val="2"/>
          </w:tcPr>
          <w:p>
            <w:pPr>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1,938,710</w:t>
            </w:r>
          </w:p>
        </w:tc>
        <w:tc>
          <w:tcPr>
            <w:tcW w:w="3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410,044</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373,466</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403,342</w:t>
            </w:r>
          </w:p>
        </w:tc>
        <w:tc>
          <w:tcPr>
            <w:tcW w:w="260" w:type="dxa"/>
            <w:vAlign w:val="bottom"/>
            <w:gridSpan w:val="2"/>
          </w:tcPr>
          <w:p>
            <w:pPr>
              <w:ind w:left="160"/>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751,858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36" w:lineRule="exact"/>
        <w:rPr>
          <w:sz w:val="20"/>
          <w:szCs w:val="20"/>
          <w:color w:val="auto"/>
        </w:rPr>
      </w:pPr>
    </w:p>
    <w:p>
      <w:pPr>
        <w:ind w:left="460" w:right="240" w:hanging="452"/>
        <w:spacing w:after="0" w:line="256"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the extent that the interest rate is variable and ultimate amounts borrowed under the Revolving Credit Facility may fluctuate, amounts reflected represent estimated interest payments on our current outstanding balances based on the weighted average effective interest rate at June 30, 2015 until the maturity date in November 2018.</w:t>
      </w:r>
    </w:p>
    <w:p>
      <w:pPr>
        <w:ind w:left="460" w:right="100" w:hanging="452"/>
        <w:spacing w:after="0" w:line="295"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 the extent that the ultimate amounts borrowed under the Ex-Im Credit Facility may fluctuate, amounts reflected represent estimated interest and principal payments on our current outstanding balance until the maturity date in October 2025. The amounts listed in the table above exclude the completion exposure fee that will be payable under the Ex-Im Credit Agreement by the in-orbit acceptance date for ViaSat-2, the amount of which will be based on the total amount of financing borrowed under the Ex-Im Credit Facility; see “Liquidity and Capital Resources — Ex-Im Credit Facility.”</w:t>
      </w:r>
    </w:p>
    <w:p>
      <w:pPr>
        <w:spacing w:after="0" w:line="162"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have also entered into agreements with suppliers for the construction of our ViaSat-2 satellite, and operations of our satellites.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 See “Liquidity and Capital Resources – Satellite service-related activities.”</w:t>
      </w:r>
    </w:p>
    <w:p>
      <w:pPr>
        <w:spacing w:after="0" w:line="178"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Our condensed consolidated balance sheets included $39.2 million and $40.0 million of “other liabilities” as of June 30, 2015 and April 3, 2015, respectively, which primarily consisted of the long-term portion of our satellite performance incentives obligation, our long-term warranty obligations, the long-term portion of deferred rent, long-term portion of deferred revenue and long-term deferred income taxes. With the exception of the long-term portion of our satellite performance incentives obligation, these remaining liabilities have been excluded from the above table as the timing and/or the amount of any cash payment is uncertain. See Note 9 to our condensed consolidated financial statements for additional information regarding our income taxes and related tax positions and Note 7 to our condensed consolidated financial statements for a discussion of our product warranties.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had no material off-balance sheet arrangements at June 30, 2015 as defined in Regulation S-K Item 303(a)(4) other than as discussed under Contractual Obligations above or disclosed in the notes to our consolidated financial statements included in this report or in our Annual Report on Form 10-K for the year ended April 3, 2015.</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Authoritative Guidance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information regarding recently adopted and issued accounting pronouncements, see Note 1 to the condensed consolidated financial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Our financial instruments consist of cash and cash equivalents, accounts receivable, accounts payable, short-term and long-term obligations, including the Credit Facilities and the 2020 Notes, and foreign currency forward contracts. We consider investments in highly liquid instruments purchased with a remaining maturity of three months or less at the date of purchase to be cash equivalents. As of June 30, 2015, we had $225.0 million in principal amount of outstanding borrowings under our Revolving Credit Facility, $61.6 million in principal amount of outstanding borrowings under our Ex-Im Credit Facility, and $575.0 million in aggregate principal amount outstanding of the 2020 Notes, and we held no short-term investments. Our 2020 Notes and borrowings under our Ex-Im Credit Facility bear interest at a fixed rate and therefore our exposure to market risk for changes in interest rates relates primarily to borrowings under our Revolving Credit Facility, cash equivalents, short-term investments and short-term obligations.</w:t>
      </w:r>
    </w:p>
    <w:p>
      <w:pPr>
        <w:spacing w:after="0" w:line="16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primary objective of our investment activities is to preserve principal while at the same time maximizing the income we receive from our investments without significantly increasing risk. To minimize this risk, we maintain a significant portion of our cash balance in money market funds. In general, money market funds are not subject to interest rate risk because the interest paid on such funds fluctuates with the prevailing interest rate. Our cash and cash equivalents earn interest at variable rates. Our interest income has been and may continue to be negatively impacted by low market interest rates. Fixed rate securities may have their fair market value adversely impacted due to a rise in interest rates, while floating rate securities may produce less income than expected if interest rates fall. If the underlying weighted average interest rate on our cash and cash equivalents, assuming balances remain constant over a year, changed by 50 basis points, interest income would have increased or decreased by less than $0.1 million for the three months ended June 30, 2015 and July 4, 2014. Because our investment policy restricts us to invest in conservative, interest-bearing investments and because our business strategy does not rely on generating material returns from our investment portfolio, we do not expect our market risk exposure on our investment portfolio to be material.</w:t>
      </w:r>
    </w:p>
    <w:p>
      <w:pPr>
        <w:spacing w:after="0" w:line="167"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As of June 30, 2015, we had $225.0 million in principal amount of outstanding borrowings under our Revolving Credit Facility. Our primary interest rate under the Revolving Credit Facility is the Eurodollar rate plus an applicable margin that is based on our total leverage ratio. At June 30, 2015, the weighted average effective interest rate on our outstanding borrowings under the Revolving Credit Facility was 2.19%. Assuming the outstanding balance remained constant over a year, a 50 basis point increase in the interest rate would increase interest incurred, prior to effects of capitalized interest, by $1.1 million over a twelve-month period.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17" w:lineRule="exact"/>
        <w:rPr>
          <w:sz w:val="20"/>
          <w:szCs w:val="20"/>
          <w:color w:val="auto"/>
        </w:rPr>
      </w:pPr>
    </w:p>
    <w:p>
      <w:pPr>
        <w:ind w:right="260" w:firstLine="456"/>
        <w:spacing w:after="0" w:line="302" w:lineRule="auto"/>
        <w:rPr>
          <w:sz w:val="20"/>
          <w:szCs w:val="20"/>
          <w:color w:val="auto"/>
        </w:rPr>
      </w:pPr>
      <w:r>
        <w:rPr>
          <w:rFonts w:ascii="Arial" w:cs="Arial" w:eastAsia="Arial" w:hAnsi="Arial"/>
          <w:sz w:val="16"/>
          <w:szCs w:val="16"/>
          <w:color w:val="auto"/>
        </w:rPr>
        <w:t>We generally conduct our business in U.S. dollars. However, as our international business is conducted in a variety of foreign currencies, we are exposed to fluctuations in foreign currency exchange rates. Our objective in managing our exposure to foreign currency risk is to reduce earnings and cash flow volatility associated with foreign exchange rate fluctuations. Accordingly, from time to time, we may enter into foreign currency forward contracts to mitigate risks associated with foreign currency denominated assets, liabilities, commitments and anticipated foreign currency transactions.</w:t>
      </w:r>
    </w:p>
    <w:p>
      <w:pPr>
        <w:spacing w:after="0" w:line="15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As of June 3, 2015, we had a number of foreign currency forward contracts outstanding which are intended to reduce the foreign currency risk for amounts payable to vendors in Euros. The foreign currency forward contracts with a notional amount of $7.5 million had an insignificant amount of fair value recorded in other current assets as of June 30, 2015. If the foreign currency forward rate for the Euro to the U.S. dollar on these foreign currency forward contracts had changed by 10%, the fair value of these foreign currency forward contracts as of June 30, 2015 would have changed by approximately $0.7 million.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required by SEC Rule 13a-15(b), we carried out an evaluation, with the participation of our management, including our Chief Executive Officer and Chief Financial Officer, of the effectiveness of our disclosure controls and procedures as of June 30, 2015, the end of the period covered by this report. Based upon the foregoing, our Chief Executive Officer and Chief Financial Officer concluded that our disclosure controls and procedures were effective at a reasonable assurance level as of June 30, 2015.</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During the period covered by this report, there were no changes in our internal control over financial reporting that have materially affected, or are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From time to time, we are involved in a variety of claims, suits, investigations and proceedings arising in the ordinary course of business, including actions with respect to intellectual property claims, breach of contract claims, labor and employment claims, tax and other matters.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fiscal year ended April 3, 2015, which factors could materially affect our business, financial condition, liquidity or future results. The risks described in our reports on Forms 10-K and 10-Q are not the only risks facing our company. Additional risks and uncertainties not currently known to us or that we currently deem to be immaterial also may materially adversely affect our business, financial condition, liquidity or future results.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 Index on page 44 is incorporated herein by reference as the list of exhibits required as part of this report.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00"/>
          </w:cols>
          <w:pgMar w:left="240" w:top="459" w:right="3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VIASAT, INC.</w:t>
      </w:r>
    </w:p>
    <w:p>
      <w:pPr>
        <w:spacing w:after="0" w:line="225"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August 10, 2015</w:t>
      </w:r>
      <w:r>
        <w:rPr>
          <w:sz w:val="20"/>
          <w:szCs w:val="20"/>
          <w:color w:val="auto"/>
        </w:rPr>
        <w:tab/>
      </w:r>
      <w:r>
        <w:rPr>
          <w:rFonts w:ascii="Arial" w:cs="Arial" w:eastAsia="Arial" w:hAnsi="Arial"/>
          <w:sz w:val="17"/>
          <w:szCs w:val="17"/>
          <w:color w:val="auto"/>
        </w:rPr>
        <w:t>/s/ M</w:t>
      </w:r>
      <w:r>
        <w:rPr>
          <w:rFonts w:ascii="Arial" w:cs="Arial" w:eastAsia="Arial" w:hAnsi="Arial"/>
          <w:sz w:val="14"/>
          <w:szCs w:val="14"/>
          <w:color w:val="auto"/>
        </w:rPr>
        <w:t>ARK</w:t>
      </w:r>
      <w:r>
        <w:rPr>
          <w:rFonts w:ascii="Arial" w:cs="Arial" w:eastAsia="Arial" w:hAnsi="Arial"/>
          <w:sz w:val="17"/>
          <w:szCs w:val="17"/>
          <w:color w:val="auto"/>
        </w:rPr>
        <w:t xml:space="preserve"> D</w:t>
      </w:r>
      <w:r>
        <w:rPr>
          <w:rFonts w:ascii="Arial" w:cs="Arial" w:eastAsia="Arial" w:hAnsi="Arial"/>
          <w:sz w:val="14"/>
          <w:szCs w:val="14"/>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Mark Dankberg</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Chairman of the Board and Chief Executive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Executive Officer)</w:t>
      </w:r>
    </w:p>
    <w:p>
      <w:pPr>
        <w:spacing w:after="0" w:line="22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S</w:t>
      </w:r>
      <w:r>
        <w:rPr>
          <w:rFonts w:ascii="Arial" w:cs="Arial" w:eastAsia="Arial" w:hAnsi="Arial"/>
          <w:sz w:val="15"/>
          <w:szCs w:val="15"/>
          <w:color w:val="auto"/>
        </w:rPr>
        <w:t>HAWN</w:t>
      </w:r>
      <w:r>
        <w:rPr>
          <w:rFonts w:ascii="Arial" w:cs="Arial" w:eastAsia="Arial" w:hAnsi="Arial"/>
          <w:sz w:val="18"/>
          <w:szCs w:val="18"/>
          <w:color w:val="auto"/>
        </w:rPr>
        <w:t xml:space="preserve"> D</w:t>
      </w:r>
      <w:r>
        <w:rPr>
          <w:rFonts w:ascii="Arial" w:cs="Arial" w:eastAsia="Arial" w:hAnsi="Arial"/>
          <w:sz w:val="15"/>
          <w:szCs w:val="15"/>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Shawn Duffy</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Officer)</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740"/>
          </w:cols>
          <w:pgMar w:left="240" w:top="459" w:right="9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720" w:type="dxa"/>
            <w:vAlign w:val="bottom"/>
          </w:tcPr>
          <w:p>
            <w:pPr>
              <w:jc w:val="center"/>
              <w:ind w:left="3359"/>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24"/>
                <w:szCs w:val="24"/>
                <w:color w:val="auto"/>
              </w:rPr>
            </w:pPr>
          </w:p>
        </w:tc>
        <w:tc>
          <w:tcPr>
            <w:tcW w:w="5720" w:type="dxa"/>
            <w:vAlign w:val="bottom"/>
            <w:vMerge w:val="restart"/>
          </w:tcPr>
          <w:p>
            <w:pPr>
              <w:ind w:left="226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24"/>
                <w:szCs w:val="24"/>
                <w:color w:val="auto"/>
              </w:rPr>
            </w:pPr>
          </w:p>
        </w:tc>
        <w:tc>
          <w:tcPr>
            <w:tcW w:w="5940" w:type="dxa"/>
            <w:vAlign w:val="bottom"/>
            <w:gridSpan w:val="2"/>
          </w:tcPr>
          <w:p>
            <w:pPr>
              <w:ind w:left="220"/>
              <w:spacing w:after="0"/>
              <w:rPr>
                <w:sz w:val="20"/>
                <w:szCs w:val="20"/>
                <w:color w:val="auto"/>
              </w:rPr>
            </w:pPr>
            <w:r>
              <w:rPr>
                <w:rFonts w:ascii="Arial" w:cs="Arial" w:eastAsia="Arial" w:hAnsi="Arial"/>
                <w:sz w:val="18"/>
                <w:szCs w:val="18"/>
                <w:color w:val="auto"/>
                <w:w w:val="97"/>
              </w:rPr>
              <w:t>First Amendment to Credit Agreement, dated as of June 12, 2015, by and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940" w:type="dxa"/>
            <w:vAlign w:val="bottom"/>
            <w:gridSpan w:val="2"/>
          </w:tcPr>
          <w:p>
            <w:pPr>
              <w:ind w:left="220"/>
              <w:spacing w:after="0"/>
              <w:rPr>
                <w:sz w:val="20"/>
                <w:szCs w:val="20"/>
                <w:color w:val="auto"/>
              </w:rPr>
            </w:pPr>
            <w:r>
              <w:rPr>
                <w:rFonts w:ascii="Arial" w:cs="Arial" w:eastAsia="Arial" w:hAnsi="Arial"/>
                <w:sz w:val="18"/>
                <w:szCs w:val="18"/>
                <w:color w:val="auto"/>
                <w:w w:val="96"/>
              </w:rPr>
              <w:t>among ViaSat Technologies Limited, ViaSat, Inc., JPMorgan Chase Bank,</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940" w:type="dxa"/>
            <w:vAlign w:val="bottom"/>
            <w:gridSpan w:val="2"/>
          </w:tcPr>
          <w:p>
            <w:pPr>
              <w:ind w:left="220"/>
              <w:spacing w:after="0"/>
              <w:rPr>
                <w:sz w:val="20"/>
                <w:szCs w:val="20"/>
                <w:color w:val="auto"/>
              </w:rPr>
            </w:pPr>
            <w:r>
              <w:rPr>
                <w:rFonts w:ascii="Arial" w:cs="Arial" w:eastAsia="Arial" w:hAnsi="Arial"/>
                <w:sz w:val="18"/>
                <w:szCs w:val="18"/>
                <w:color w:val="auto"/>
                <w:w w:val="93"/>
              </w:rPr>
              <w:t>National Association (as Ex-Im Facility Agent) and the Export-Import Bank of</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940" w:type="dxa"/>
            <w:vAlign w:val="bottom"/>
            <w:gridSpan w:val="2"/>
          </w:tcPr>
          <w:p>
            <w:pPr>
              <w:ind w:left="220"/>
              <w:spacing w:after="0"/>
              <w:rPr>
                <w:sz w:val="20"/>
                <w:szCs w:val="20"/>
                <w:color w:val="auto"/>
              </w:rPr>
            </w:pPr>
            <w:r>
              <w:rPr>
                <w:rFonts w:ascii="Arial" w:cs="Arial" w:eastAsia="Arial" w:hAnsi="Arial"/>
                <w:sz w:val="18"/>
                <w:szCs w:val="18"/>
                <w:color w:val="auto"/>
              </w:rPr>
              <w:t>the United States</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31.1</w:t>
            </w:r>
          </w:p>
        </w:tc>
        <w:tc>
          <w:tcPr>
            <w:tcW w:w="400" w:type="dxa"/>
            <w:vAlign w:val="bottom"/>
          </w:tcPr>
          <w:p>
            <w:pPr>
              <w:spacing w:after="0"/>
              <w:rPr>
                <w:sz w:val="24"/>
                <w:szCs w:val="24"/>
                <w:color w:val="auto"/>
              </w:rPr>
            </w:pPr>
          </w:p>
        </w:tc>
        <w:tc>
          <w:tcPr>
            <w:tcW w:w="5940" w:type="dxa"/>
            <w:vAlign w:val="bottom"/>
            <w:gridSpan w:val="2"/>
          </w:tcPr>
          <w:p>
            <w:pPr>
              <w:ind w:left="220"/>
              <w:spacing w:after="0"/>
              <w:rPr>
                <w:sz w:val="20"/>
                <w:szCs w:val="20"/>
                <w:color w:val="auto"/>
              </w:rPr>
            </w:pPr>
            <w:r>
              <w:rPr>
                <w:rFonts w:ascii="Arial" w:cs="Arial" w:eastAsia="Arial" w:hAnsi="Arial"/>
                <w:sz w:val="18"/>
                <w:szCs w:val="18"/>
                <w:color w:val="auto"/>
              </w:rPr>
              <w:t>Certification of Chief Executive Officer Pursuant to Section 302 of the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940" w:type="dxa"/>
            <w:vAlign w:val="bottom"/>
            <w:gridSpan w:val="2"/>
          </w:tcPr>
          <w:p>
            <w:pPr>
              <w:ind w:left="220"/>
              <w:spacing w:after="0"/>
              <w:rPr>
                <w:sz w:val="20"/>
                <w:szCs w:val="20"/>
                <w:color w:val="auto"/>
              </w:rPr>
            </w:pPr>
            <w:r>
              <w:rPr>
                <w:rFonts w:ascii="Arial" w:cs="Arial" w:eastAsia="Arial" w:hAnsi="Arial"/>
                <w:sz w:val="18"/>
                <w:szCs w:val="18"/>
                <w:color w:val="auto"/>
              </w:rPr>
              <w:t>Sarbanes-Oxley Act of 2002</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31.2</w:t>
            </w:r>
          </w:p>
        </w:tc>
        <w:tc>
          <w:tcPr>
            <w:tcW w:w="400" w:type="dxa"/>
            <w:vAlign w:val="bottom"/>
          </w:tcPr>
          <w:p>
            <w:pPr>
              <w:spacing w:after="0"/>
              <w:rPr>
                <w:sz w:val="24"/>
                <w:szCs w:val="24"/>
                <w:color w:val="auto"/>
              </w:rPr>
            </w:pPr>
          </w:p>
        </w:tc>
        <w:tc>
          <w:tcPr>
            <w:tcW w:w="5940" w:type="dxa"/>
            <w:vAlign w:val="bottom"/>
            <w:gridSpan w:val="2"/>
          </w:tcPr>
          <w:p>
            <w:pPr>
              <w:ind w:left="220"/>
              <w:spacing w:after="0"/>
              <w:rPr>
                <w:sz w:val="20"/>
                <w:szCs w:val="20"/>
                <w:color w:val="auto"/>
              </w:rPr>
            </w:pPr>
            <w:r>
              <w:rPr>
                <w:rFonts w:ascii="Arial" w:cs="Arial" w:eastAsia="Arial" w:hAnsi="Arial"/>
                <w:sz w:val="18"/>
                <w:szCs w:val="18"/>
                <w:color w:val="auto"/>
              </w:rPr>
              <w:t>Certification of Chief Financial Officer Pursuant to Section 302 of the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940" w:type="dxa"/>
            <w:vAlign w:val="bottom"/>
            <w:gridSpan w:val="2"/>
          </w:tcPr>
          <w:p>
            <w:pPr>
              <w:ind w:left="220"/>
              <w:spacing w:after="0"/>
              <w:rPr>
                <w:sz w:val="20"/>
                <w:szCs w:val="20"/>
                <w:color w:val="auto"/>
              </w:rPr>
            </w:pPr>
            <w:r>
              <w:rPr>
                <w:rFonts w:ascii="Arial" w:cs="Arial" w:eastAsia="Arial" w:hAnsi="Arial"/>
                <w:sz w:val="18"/>
                <w:szCs w:val="18"/>
                <w:color w:val="auto"/>
              </w:rPr>
              <w:t>Sarbanes-Oxley Act of 2002</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32.1</w:t>
            </w:r>
          </w:p>
        </w:tc>
        <w:tc>
          <w:tcPr>
            <w:tcW w:w="400" w:type="dxa"/>
            <w:vAlign w:val="bottom"/>
          </w:tcPr>
          <w:p>
            <w:pPr>
              <w:spacing w:after="0"/>
              <w:rPr>
                <w:sz w:val="24"/>
                <w:szCs w:val="24"/>
                <w:color w:val="auto"/>
              </w:rPr>
            </w:pPr>
          </w:p>
        </w:tc>
        <w:tc>
          <w:tcPr>
            <w:tcW w:w="5940" w:type="dxa"/>
            <w:vAlign w:val="bottom"/>
            <w:gridSpan w:val="2"/>
          </w:tcPr>
          <w:p>
            <w:pPr>
              <w:ind w:left="220"/>
              <w:spacing w:after="0"/>
              <w:rPr>
                <w:sz w:val="20"/>
                <w:szCs w:val="20"/>
                <w:color w:val="auto"/>
              </w:rPr>
            </w:pPr>
            <w:r>
              <w:rPr>
                <w:rFonts w:ascii="Arial" w:cs="Arial" w:eastAsia="Arial" w:hAnsi="Arial"/>
                <w:sz w:val="18"/>
                <w:szCs w:val="18"/>
                <w:color w:val="auto"/>
                <w:w w:val="96"/>
              </w:rPr>
              <w:t>Certifications Pursuant to 18 U.S.C. Section 1350, as Adopted Pursuant to</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940" w:type="dxa"/>
            <w:vAlign w:val="bottom"/>
            <w:gridSpan w:val="2"/>
          </w:tcPr>
          <w:p>
            <w:pPr>
              <w:ind w:left="220"/>
              <w:spacing w:after="0"/>
              <w:rPr>
                <w:sz w:val="20"/>
                <w:szCs w:val="20"/>
                <w:color w:val="auto"/>
              </w:rPr>
            </w:pPr>
            <w:r>
              <w:rPr>
                <w:rFonts w:ascii="Arial" w:cs="Arial" w:eastAsia="Arial" w:hAnsi="Arial"/>
                <w:sz w:val="18"/>
                <w:szCs w:val="18"/>
                <w:color w:val="auto"/>
              </w:rPr>
              <w:t>Section 906 of the Sarbanes-Oxley Act of 2002</w:t>
            </w:r>
          </w:p>
        </w:tc>
        <w:tc>
          <w:tcPr>
            <w:tcW w:w="0" w:type="dxa"/>
            <w:vAlign w:val="bottom"/>
          </w:tcPr>
          <w:p>
            <w:pPr>
              <w:spacing w:after="0"/>
              <w:rPr>
                <w:sz w:val="1"/>
                <w:szCs w:val="1"/>
                <w:color w:val="auto"/>
              </w:rPr>
            </w:pP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5940" w:type="dxa"/>
            <w:vAlign w:val="bottom"/>
            <w:gridSpan w:val="2"/>
          </w:tcPr>
          <w:p>
            <w:pPr>
              <w:ind w:left="22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940" w:type="dxa"/>
            <w:vAlign w:val="bottom"/>
            <w:gridSpan w:val="2"/>
          </w:tcPr>
          <w:p>
            <w:pPr>
              <w:ind w:left="220"/>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940" w:type="dxa"/>
            <w:vAlign w:val="bottom"/>
            <w:gridSpan w:val="2"/>
          </w:tcPr>
          <w:p>
            <w:pPr>
              <w:ind w:left="220"/>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940" w:type="dxa"/>
            <w:vAlign w:val="bottom"/>
            <w:gridSpan w:val="2"/>
          </w:tcPr>
          <w:p>
            <w:pPr>
              <w:ind w:left="220"/>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940" w:type="dxa"/>
            <w:vAlign w:val="bottom"/>
            <w:gridSpan w:val="2"/>
          </w:tcPr>
          <w:p>
            <w:pPr>
              <w:ind w:left="220"/>
              <w:spacing w:after="0"/>
              <w:rPr>
                <w:sz w:val="20"/>
                <w:szCs w:val="20"/>
                <w:color w:val="auto"/>
              </w:rPr>
            </w:pPr>
            <w:r>
              <w:rPr>
                <w:rFonts w:ascii="Arial" w:cs="Arial" w:eastAsia="Arial" w:hAnsi="Arial"/>
                <w:sz w:val="18"/>
                <w:szCs w:val="18"/>
                <w:color w:val="auto"/>
              </w:rPr>
              <w:t>XBRL Taxonomy Extension Labels Linkbase</w:t>
            </w:r>
          </w:p>
        </w:tc>
        <w:tc>
          <w:tcPr>
            <w:tcW w:w="0" w:type="dxa"/>
            <w:vAlign w:val="bottom"/>
          </w:tcPr>
          <w:p>
            <w:pPr>
              <w:spacing w:after="0"/>
              <w:rPr>
                <w:sz w:val="1"/>
                <w:szCs w:val="1"/>
                <w:color w:val="auto"/>
              </w:rPr>
            </w:pP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940" w:type="dxa"/>
            <w:vAlign w:val="bottom"/>
            <w:gridSpan w:val="2"/>
          </w:tcPr>
          <w:p>
            <w:pPr>
              <w:ind w:left="220"/>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940" w:type="dxa"/>
            <w:vAlign w:val="bottom"/>
            <w:gridSpan w:val="2"/>
          </w:tcPr>
          <w:p>
            <w:pPr>
              <w:jc w:val="right"/>
              <w:ind w:right="979"/>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8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Incorporated by Reference</w:t>
            </w:r>
          </w:p>
        </w:tc>
        <w:tc>
          <w:tcPr>
            <w:tcW w:w="3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r>
      <w:tr>
        <w:trPr>
          <w:trHeight w:val="142"/>
        </w:trPr>
        <w:tc>
          <w:tcPr>
            <w:tcW w:w="3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1"/>
              </w:rPr>
              <w:t>Form</w:t>
            </w:r>
          </w:p>
        </w:tc>
        <w:tc>
          <w:tcPr>
            <w:tcW w:w="380" w:type="dxa"/>
            <w:vAlign w:val="bottom"/>
          </w:tcPr>
          <w:p>
            <w:pPr>
              <w:spacing w:after="0"/>
              <w:rPr>
                <w:sz w:val="12"/>
                <w:szCs w:val="12"/>
                <w:color w:val="auto"/>
              </w:rPr>
            </w:pPr>
          </w:p>
        </w:tc>
        <w:tc>
          <w:tcPr>
            <w:tcW w:w="4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0"/>
              </w:rPr>
              <w:t>File No.</w:t>
            </w:r>
          </w:p>
        </w:tc>
        <w:tc>
          <w:tcPr>
            <w:tcW w:w="380" w:type="dxa"/>
            <w:vAlign w:val="bottom"/>
          </w:tcPr>
          <w:p>
            <w:pPr>
              <w:spacing w:after="0"/>
              <w:rPr>
                <w:sz w:val="12"/>
                <w:szCs w:val="12"/>
                <w:color w:val="auto"/>
              </w:rPr>
            </w:pPr>
          </w:p>
        </w:tc>
        <w:tc>
          <w:tcPr>
            <w:tcW w:w="4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4"/>
              </w:rPr>
              <w:t>Exhibit</w:t>
            </w:r>
          </w:p>
        </w:tc>
        <w:tc>
          <w:tcPr>
            <w:tcW w:w="380" w:type="dxa"/>
            <w:vAlign w:val="bottom"/>
          </w:tcPr>
          <w:p>
            <w:pPr>
              <w:spacing w:after="0"/>
              <w:rPr>
                <w:sz w:val="12"/>
                <w:szCs w:val="12"/>
                <w:color w:val="auto"/>
              </w:rPr>
            </w:pPr>
          </w:p>
        </w:tc>
        <w:tc>
          <w:tcPr>
            <w:tcW w:w="6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2"/>
              </w:rPr>
              <w:t>Filing Date</w:t>
            </w:r>
          </w:p>
        </w:tc>
        <w:tc>
          <w:tcPr>
            <w:tcW w:w="380" w:type="dxa"/>
            <w:vAlign w:val="bottom"/>
          </w:tcPr>
          <w:p>
            <w:pPr>
              <w:spacing w:after="0"/>
              <w:rPr>
                <w:sz w:val="12"/>
                <w:szCs w:val="12"/>
                <w:color w:val="auto"/>
              </w:rPr>
            </w:pPr>
          </w:p>
        </w:tc>
        <w:tc>
          <w:tcPr>
            <w:tcW w:w="5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Herewith</w:t>
            </w:r>
          </w:p>
        </w:tc>
      </w:tr>
    </w:tbl>
    <w:p>
      <w:pPr>
        <w:spacing w:after="0" w:line="80" w:lineRule="exact"/>
        <w:rPr>
          <w:sz w:val="20"/>
          <w:szCs w:val="20"/>
          <w:color w:val="auto"/>
        </w:rPr>
      </w:pPr>
    </w:p>
    <w:p>
      <w:pPr>
        <w:ind w:left="3960"/>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960"/>
        <w:spacing w:after="0"/>
        <w:rPr>
          <w:sz w:val="20"/>
          <w:szCs w:val="20"/>
          <w:color w:val="auto"/>
        </w:rPr>
      </w:pPr>
      <w:r>
        <w:rPr>
          <w:rFonts w:ascii="Arial" w:cs="Arial" w:eastAsia="Arial" w:hAnsi="Arial"/>
          <w:sz w:val="17"/>
          <w:szCs w:val="17"/>
          <w:color w:val="auto"/>
        </w:rPr>
        <w:t>X</w:t>
      </w:r>
    </w:p>
    <w:p>
      <w:pPr>
        <w:spacing w:after="0" w:line="345" w:lineRule="exact"/>
        <w:rPr>
          <w:sz w:val="20"/>
          <w:szCs w:val="20"/>
          <w:color w:val="auto"/>
        </w:rPr>
      </w:pPr>
    </w:p>
    <w:p>
      <w:pPr>
        <w:ind w:left="3960"/>
        <w:spacing w:after="0"/>
        <w:rPr>
          <w:sz w:val="20"/>
          <w:szCs w:val="20"/>
          <w:color w:val="auto"/>
        </w:rPr>
      </w:pPr>
      <w:r>
        <w:rPr>
          <w:rFonts w:ascii="Arial" w:cs="Arial" w:eastAsia="Arial" w:hAnsi="Arial"/>
          <w:sz w:val="17"/>
          <w:szCs w:val="17"/>
          <w:color w:val="auto"/>
        </w:rPr>
        <w:t>X</w:t>
      </w:r>
    </w:p>
    <w:p>
      <w:pPr>
        <w:spacing w:after="0" w:line="345" w:lineRule="exact"/>
        <w:rPr>
          <w:sz w:val="20"/>
          <w:szCs w:val="20"/>
          <w:color w:val="auto"/>
        </w:rPr>
      </w:pPr>
    </w:p>
    <w:p>
      <w:pPr>
        <w:ind w:left="3960"/>
        <w:spacing w:after="0"/>
        <w:rPr>
          <w:sz w:val="20"/>
          <w:szCs w:val="20"/>
          <w:color w:val="auto"/>
        </w:rPr>
      </w:pPr>
      <w:r>
        <w:rPr>
          <w:rFonts w:ascii="Arial" w:cs="Arial" w:eastAsia="Arial" w:hAnsi="Arial"/>
          <w:sz w:val="17"/>
          <w:szCs w:val="17"/>
          <w:color w:val="auto"/>
        </w:rPr>
        <w:t>X</w:t>
      </w:r>
    </w:p>
    <w:p>
      <w:pPr>
        <w:spacing w:after="0" w:line="345" w:lineRule="exact"/>
        <w:rPr>
          <w:sz w:val="20"/>
          <w:szCs w:val="20"/>
          <w:color w:val="auto"/>
        </w:rPr>
      </w:pPr>
    </w:p>
    <w:p>
      <w:pPr>
        <w:ind w:left="3960"/>
        <w:spacing w:after="0"/>
        <w:rPr>
          <w:sz w:val="20"/>
          <w:szCs w:val="20"/>
          <w:color w:val="auto"/>
        </w:rPr>
      </w:pPr>
      <w:r>
        <w:rPr>
          <w:rFonts w:ascii="Arial" w:cs="Arial" w:eastAsia="Arial" w:hAnsi="Arial"/>
          <w:sz w:val="17"/>
          <w:szCs w:val="17"/>
          <w:color w:val="auto"/>
        </w:rPr>
        <w:t>X</w:t>
      </w:r>
    </w:p>
    <w:p>
      <w:pPr>
        <w:spacing w:after="0" w:line="129" w:lineRule="exact"/>
        <w:rPr>
          <w:sz w:val="20"/>
          <w:szCs w:val="20"/>
          <w:color w:val="auto"/>
        </w:rPr>
      </w:pPr>
    </w:p>
    <w:p>
      <w:pPr>
        <w:ind w:left="3960"/>
        <w:spacing w:after="0"/>
        <w:rPr>
          <w:sz w:val="20"/>
          <w:szCs w:val="20"/>
          <w:color w:val="auto"/>
        </w:rPr>
      </w:pPr>
      <w:r>
        <w:rPr>
          <w:rFonts w:ascii="Arial" w:cs="Arial" w:eastAsia="Arial" w:hAnsi="Arial"/>
          <w:sz w:val="17"/>
          <w:szCs w:val="17"/>
          <w:color w:val="auto"/>
        </w:rPr>
        <w:t>X</w:t>
      </w:r>
    </w:p>
    <w:p>
      <w:pPr>
        <w:spacing w:after="0" w:line="129" w:lineRule="exact"/>
        <w:rPr>
          <w:sz w:val="20"/>
          <w:szCs w:val="20"/>
          <w:color w:val="auto"/>
        </w:rPr>
      </w:pPr>
    </w:p>
    <w:p>
      <w:pPr>
        <w:ind w:left="3960"/>
        <w:spacing w:after="0"/>
        <w:rPr>
          <w:sz w:val="20"/>
          <w:szCs w:val="20"/>
          <w:color w:val="auto"/>
        </w:rPr>
      </w:pPr>
      <w:r>
        <w:rPr>
          <w:rFonts w:ascii="Arial" w:cs="Arial" w:eastAsia="Arial" w:hAnsi="Arial"/>
          <w:sz w:val="17"/>
          <w:szCs w:val="17"/>
          <w:color w:val="auto"/>
        </w:rPr>
        <w:t>X</w:t>
      </w:r>
    </w:p>
    <w:p>
      <w:pPr>
        <w:spacing w:after="0" w:line="129" w:lineRule="exact"/>
        <w:rPr>
          <w:sz w:val="20"/>
          <w:szCs w:val="20"/>
          <w:color w:val="auto"/>
        </w:rPr>
      </w:pPr>
    </w:p>
    <w:p>
      <w:pPr>
        <w:ind w:left="3960"/>
        <w:spacing w:after="0"/>
        <w:rPr>
          <w:sz w:val="20"/>
          <w:szCs w:val="20"/>
          <w:color w:val="auto"/>
        </w:rPr>
      </w:pPr>
      <w:r>
        <w:rPr>
          <w:rFonts w:ascii="Arial" w:cs="Arial" w:eastAsia="Arial" w:hAnsi="Arial"/>
          <w:sz w:val="17"/>
          <w:szCs w:val="17"/>
          <w:color w:val="auto"/>
        </w:rPr>
        <w:t>X</w:t>
      </w:r>
    </w:p>
    <w:p>
      <w:pPr>
        <w:spacing w:after="0" w:line="129" w:lineRule="exact"/>
        <w:rPr>
          <w:sz w:val="20"/>
          <w:szCs w:val="20"/>
          <w:color w:val="auto"/>
        </w:rPr>
      </w:pPr>
    </w:p>
    <w:p>
      <w:pPr>
        <w:ind w:left="3960"/>
        <w:spacing w:after="0"/>
        <w:rPr>
          <w:sz w:val="20"/>
          <w:szCs w:val="20"/>
          <w:color w:val="auto"/>
        </w:rPr>
      </w:pPr>
      <w:r>
        <w:rPr>
          <w:rFonts w:ascii="Arial" w:cs="Arial" w:eastAsia="Arial" w:hAnsi="Arial"/>
          <w:sz w:val="17"/>
          <w:szCs w:val="17"/>
          <w:color w:val="auto"/>
        </w:rPr>
        <w:t>X</w:t>
      </w:r>
    </w:p>
    <w:p>
      <w:pPr>
        <w:spacing w:after="0" w:line="129" w:lineRule="exact"/>
        <w:rPr>
          <w:sz w:val="20"/>
          <w:szCs w:val="20"/>
          <w:color w:val="auto"/>
        </w:rPr>
      </w:pPr>
    </w:p>
    <w:p>
      <w:pPr>
        <w:ind w:left="3960"/>
        <w:spacing w:after="0"/>
        <w:rPr>
          <w:sz w:val="20"/>
          <w:szCs w:val="20"/>
          <w:color w:val="auto"/>
        </w:rPr>
      </w:pPr>
      <w:r>
        <w:rPr>
          <w:rFonts w:ascii="Arial" w:cs="Arial" w:eastAsia="Arial" w:hAnsi="Arial"/>
          <w:sz w:val="17"/>
          <w:szCs w:val="17"/>
          <w:color w:val="auto"/>
        </w:rPr>
        <w:t>X</w:t>
      </w:r>
    </w:p>
    <w:p>
      <w:pPr>
        <w:sectPr>
          <w:pgSz w:w="11900" w:h="16838" w:orient="portrait"/>
          <w:cols w:equalWidth="0" w:num="2">
            <w:col w:w="6860" w:space="380"/>
            <w:col w:w="4080"/>
          </w:cols>
          <w:pgMar w:left="240" w:top="459"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12,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ViaSat Technologies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Sanford Lane, Wareham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Dorset, BH20 4DY, England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ViaSat,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6155 El Camino Real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Carlsbad, California 92009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Financial Officer</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 First Amendment to Credit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refer to that certain Credit Agreement, dated as of March 12, 2015, among ViaSat Technologies Limited, a company incorporated under the laws of England (the “</w:t>
      </w:r>
      <w:r>
        <w:rPr>
          <w:rFonts w:ascii="Arial" w:cs="Arial" w:eastAsia="Arial" w:hAnsi="Arial"/>
          <w:sz w:val="18"/>
          <w:szCs w:val="18"/>
          <w:u w:val="single" w:color="auto"/>
          <w:color w:val="auto"/>
        </w:rPr>
        <w:t>Borrower</w:t>
      </w:r>
      <w:r>
        <w:rPr>
          <w:rFonts w:ascii="Arial" w:cs="Arial" w:eastAsia="Arial" w:hAnsi="Arial"/>
          <w:sz w:val="18"/>
          <w:szCs w:val="18"/>
          <w:color w:val="auto"/>
        </w:rPr>
        <w:t>”), ViaSat, Inc., a Delaware corporation, JPMorgan Chase Bank, National Association, a national association organized and existing under the laws of the United States of America (the “</w:t>
      </w:r>
      <w:r>
        <w:rPr>
          <w:rFonts w:ascii="Arial" w:cs="Arial" w:eastAsia="Arial" w:hAnsi="Arial"/>
          <w:sz w:val="18"/>
          <w:szCs w:val="18"/>
          <w:u w:val="single" w:color="auto"/>
          <w:color w:val="auto"/>
        </w:rPr>
        <w:t>Ex-Im Facility Agent</w:t>
      </w:r>
      <w:r>
        <w:rPr>
          <w:rFonts w:ascii="Arial" w:cs="Arial" w:eastAsia="Arial" w:hAnsi="Arial"/>
          <w:sz w:val="18"/>
          <w:szCs w:val="18"/>
          <w:color w:val="auto"/>
        </w:rPr>
        <w:t>”), and the Export-Import Bank of the United States (“</w:t>
      </w:r>
      <w:r>
        <w:rPr>
          <w:rFonts w:ascii="Arial" w:cs="Arial" w:eastAsia="Arial" w:hAnsi="Arial"/>
          <w:sz w:val="18"/>
          <w:szCs w:val="18"/>
          <w:u w:val="single" w:color="auto"/>
          <w:color w:val="auto"/>
        </w:rPr>
        <w:t>Ex-Im</w:t>
      </w:r>
      <w:r>
        <w:rPr>
          <w:rFonts w:ascii="Arial" w:cs="Arial" w:eastAsia="Arial" w:hAnsi="Arial"/>
          <w:sz w:val="18"/>
          <w:szCs w:val="18"/>
          <w:color w:val="auto"/>
        </w:rPr>
        <w:t>”) (as amended, modified or supplemented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Capitalized terms used herein and not defined shall have the meanings assigned to them in the Credit Agreement.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WHEREAS, the Borrower has requested to amend the Credit Agreement in certain respects in accordance with the terms of this Amendment; and</w:t>
      </w:r>
    </w:p>
    <w:p>
      <w:pPr>
        <w:spacing w:after="0" w:line="23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WHEREAS, pursuant to Section 14.08 of the Credit Agreement, Ex-Im has instructed the Ex-Im Facility Agent to amend the Credit Agreement (for itself and on behalf of Ex-Im) in accordance with the terms of this Amendment.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premises and the mutual covenants herein contained, the parties hereto agree as follows:</w:t>
      </w:r>
    </w:p>
    <w:p>
      <w:pPr>
        <w:spacing w:after="0" w:line="117" w:lineRule="exact"/>
        <w:rPr>
          <w:sz w:val="20"/>
          <w:szCs w:val="20"/>
          <w:color w:val="auto"/>
        </w:rPr>
      </w:pPr>
    </w:p>
    <w:p>
      <w:pPr>
        <w:ind w:right="40" w:firstLine="464"/>
        <w:spacing w:after="0" w:line="277" w:lineRule="auto"/>
        <w:tabs>
          <w:tab w:leader="none" w:pos="63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definition of “Subsidiary” set forth in Section 1.01 of the Credit Agreement is hereby amended and restated in its entirety, with retroactive effect as of March 12, 2015, to read as follows:</w:t>
      </w:r>
    </w:p>
    <w:p>
      <w:pPr>
        <w:spacing w:after="0" w:line="58" w:lineRule="exact"/>
        <w:rPr>
          <w:sz w:val="20"/>
          <w:szCs w:val="20"/>
          <w:color w:val="auto"/>
        </w:rPr>
      </w:pPr>
    </w:p>
    <w:p>
      <w:pPr>
        <w:ind w:left="460" w:right="60" w:firstLine="43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shall mean, as of any date of determination and with respect to any Person, any corporation, limited liability company or partnership (whether or not, in any case, characterized as such or as a “joint venture”), whether now existing or hereafter organized or acquired: (a) in the case of a corporation or limited liability company, of which a majority of the Equity Interests (as defined in Annex F) having ordinary voting power for the election of directors or other governing body (other than securities having such power only by reason of the happening of a contingency) are at the time beneficially owned (either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5" w:name="page46"/>
    <w:bookmarkEnd w:id="45"/>
    <w:p>
      <w:pPr>
        <w:ind w:left="4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directly or indirectly) by such Person, or (b) in the case of a partnership, of which a majority of the partnership or other ownership interests are at the time beneficially owned (either directly or indirectly) by such Person. Notwithstanding the foregoing, except for purposes of Sections B.10(a)-(b), C.11, C.13 and C.14 of Annex F, the definitions in Annex F of Consolidated Total Assets, EBITDA, Net Income, Permitted Business and Pro Forma Basis and the calculations under Annex F of Senior Secured Leverage Ratio (with respect to the Indebtedness of the Guarantor and its Subsidiaries), Total Leverage Ratio (with respect to the Indebtedness of the Guarantor and its Subsidiaries) and Interest Coverage Ratio (with respect to the Interest Expense of the Guarantor and its Subsidiaries), Trellisware (as defined in Annex F) shall not be deemed to be a “Subsidiary” of the Guarantor unless it is a Wholly-Owned Subsidiary (as defined in Annex F), and the covenants set forth in Annex F shall not apply to Trellisware unless it is a Wholly-Owned Subsidiary.”</w:t>
      </w:r>
    </w:p>
    <w:p>
      <w:pPr>
        <w:spacing w:after="0" w:line="192" w:lineRule="exact"/>
        <w:rPr>
          <w:sz w:val="20"/>
          <w:szCs w:val="20"/>
          <w:color w:val="auto"/>
        </w:rPr>
      </w:pPr>
    </w:p>
    <w:p>
      <w:pPr>
        <w:ind w:right="80" w:firstLine="464"/>
        <w:spacing w:after="0" w:line="264" w:lineRule="auto"/>
        <w:tabs>
          <w:tab w:leader="none" w:pos="636"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Except as amended hereby, all of the provisions of the Credit Agreement and the other Finance Documents shall remain unmodified and in full force and effect except that each reference to the “Agreement” in the Credit Agreement or words of like import in any Finance Document shall mean and be a reference to the Credit Agreement as amended hereby.</w:t>
      </w:r>
    </w:p>
    <w:p>
      <w:pPr>
        <w:spacing w:after="0" w:line="181" w:lineRule="exact"/>
        <w:rPr>
          <w:rFonts w:ascii="Arial" w:cs="Arial" w:eastAsia="Arial" w:hAnsi="Arial"/>
          <w:sz w:val="18"/>
          <w:szCs w:val="18"/>
          <w:color w:val="auto"/>
        </w:rPr>
      </w:pPr>
    </w:p>
    <w:p>
      <w:pPr>
        <w:ind w:right="80" w:firstLine="464"/>
        <w:spacing w:after="0" w:line="257" w:lineRule="auto"/>
        <w:tabs>
          <w:tab w:leader="none" w:pos="636"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The governing law and venue provisions of Section 12 of the Credit Agreement are incorporated herein by this reference </w:t>
      </w:r>
      <w:r>
        <w:rPr>
          <w:rFonts w:ascii="Arial" w:cs="Arial" w:eastAsia="Arial" w:hAnsi="Arial"/>
          <w:sz w:val="18"/>
          <w:szCs w:val="18"/>
          <w:i w:val="1"/>
          <w:iCs w:val="1"/>
          <w:color w:val="auto"/>
        </w:rPr>
        <w:t>mutatis mutandis</w:t>
      </w:r>
      <w:r>
        <w:rPr>
          <w:rFonts w:ascii="Arial" w:cs="Arial" w:eastAsia="Arial" w:hAnsi="Arial"/>
          <w:sz w:val="18"/>
          <w:szCs w:val="18"/>
          <w:color w:val="auto"/>
        </w:rPr>
        <w:t>. This Amendment may be executed in two or more counterparts, each of which shall be deemed an original, but all of which together shall constitute one instrument. Delivery of an executed counterpart hereof by facsimile or electronic transmission shall be effective as delivery of a manually executed counterpart. Each party shall execute and deliver such further documents, and perform such further acts, as may be reasonably necessary to achieve the intent of the parties as expressed in this Amendment.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46" w:name="page47"/>
    <w:bookmarkEnd w:id="4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you are in agreement with the foregoing, please execute this Amendment in the space provided below.</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JPMORGAN CHASE BANK</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Lori Helmers</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Lori Helmers</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Executive Director</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First Amendment to Ex-Im Credit Agreement</w:t>
      </w:r>
    </w:p>
    <w:p>
      <w:pPr>
        <w:sectPr>
          <w:pgSz w:w="11900" w:h="16838" w:orient="portrait"/>
          <w:cols w:equalWidth="0" w:num="1">
            <w:col w:w="11420"/>
          </w:cols>
          <w:pgMar w:left="240" w:top="274" w:right="239" w:bottom="1440" w:gutter="0" w:footer="0" w:header="0"/>
        </w:sectPr>
      </w:pPr>
    </w:p>
    <w:bookmarkStart w:id="47" w:name="page48"/>
    <w:bookmarkEnd w:id="47"/>
    <w:p>
      <w:pPr>
        <w:ind w:left="6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VIASAT TECHNOLOGIES LIMITED</w:t>
      </w:r>
    </w:p>
    <w:p>
      <w:pPr>
        <w:spacing w:after="0" w:line="225"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By:</w:t>
        <w:tab/>
        <w:t>/s/ Bruce Dirks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Bruce Dirks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-130810</wp:posOffset>
            </wp:positionV>
            <wp:extent cx="25812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VIASAT, INC.</w:t>
      </w:r>
    </w:p>
    <w:p>
      <w:pPr>
        <w:spacing w:after="0" w:line="225"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By:</w:t>
        <w:tab/>
        <w:t>/s/ Shawn Duffy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Shawn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-130810</wp:posOffset>
            </wp:positionV>
            <wp:extent cx="25812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 w:lineRule="exact"/>
        <w:rPr>
          <w:sz w:val="20"/>
          <w:szCs w:val="20"/>
          <w:color w:val="auto"/>
        </w:rPr>
      </w:pPr>
    </w:p>
    <w:p>
      <w:pPr>
        <w:jc w:val="right"/>
        <w:spacing w:after="0"/>
        <w:tabs>
          <w:tab w:leader="none" w:pos="3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and 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EXPORT-IMPORT BANK OF THE UNITED STATES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Nestor SyBing</w:t>
            </w:r>
          </w:p>
        </w:tc>
      </w:tr>
      <w:tr>
        <w:trPr>
          <w:trHeight w:val="195"/>
        </w:trPr>
        <w:tc>
          <w:tcPr>
            <w:tcW w:w="8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40" w:type="dxa"/>
            <w:vAlign w:val="bottom"/>
          </w:tcPr>
          <w:p>
            <w:pPr>
              <w:ind w:left="80"/>
              <w:spacing w:after="0" w:line="195" w:lineRule="exact"/>
              <w:rPr>
                <w:sz w:val="20"/>
                <w:szCs w:val="20"/>
                <w:color w:val="auto"/>
              </w:rPr>
            </w:pPr>
            <w:r>
              <w:rPr>
                <w:rFonts w:ascii="Arial" w:cs="Arial" w:eastAsia="Arial" w:hAnsi="Arial"/>
                <w:sz w:val="18"/>
                <w:szCs w:val="18"/>
                <w:color w:val="auto"/>
              </w:rPr>
              <w:t>Nestor SyBing</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3740" w:type="dxa"/>
            <w:vAlign w:val="bottom"/>
          </w:tcPr>
          <w:p>
            <w:pPr>
              <w:ind w:left="80"/>
              <w:spacing w:after="0"/>
              <w:rPr>
                <w:sz w:val="20"/>
                <w:szCs w:val="20"/>
                <w:color w:val="auto"/>
              </w:rPr>
            </w:pPr>
            <w:r>
              <w:rPr>
                <w:rFonts w:ascii="Arial" w:cs="Arial" w:eastAsia="Arial" w:hAnsi="Arial"/>
                <w:sz w:val="18"/>
                <w:szCs w:val="18"/>
                <w:color w:val="auto"/>
              </w:rPr>
              <w:t>Managing Director</w:t>
            </w:r>
          </w:p>
        </w:tc>
      </w:tr>
      <w:tr>
        <w:trPr>
          <w:trHeight w:val="216"/>
        </w:trPr>
        <w:tc>
          <w:tcPr>
            <w:tcW w:w="840" w:type="dxa"/>
            <w:vAlign w:val="bottom"/>
          </w:tcPr>
          <w:p>
            <w:pPr>
              <w:spacing w:after="0"/>
              <w:rPr>
                <w:sz w:val="18"/>
                <w:szCs w:val="18"/>
                <w:color w:val="auto"/>
              </w:rPr>
            </w:pPr>
          </w:p>
        </w:tc>
        <w:tc>
          <w:tcPr>
            <w:tcW w:w="3740" w:type="dxa"/>
            <w:vAlign w:val="bottom"/>
          </w:tcPr>
          <w:p>
            <w:pPr>
              <w:ind w:left="80"/>
              <w:spacing w:after="0"/>
              <w:rPr>
                <w:sz w:val="20"/>
                <w:szCs w:val="20"/>
                <w:color w:val="auto"/>
              </w:rPr>
            </w:pPr>
            <w:r>
              <w:rPr>
                <w:rFonts w:ascii="Arial" w:cs="Arial" w:eastAsia="Arial" w:hAnsi="Arial"/>
                <w:sz w:val="18"/>
                <w:szCs w:val="18"/>
                <w:color w:val="auto"/>
              </w:rPr>
              <w:t>Project &amp; Corporate Portfolio Management</w:t>
            </w:r>
          </w:p>
        </w:tc>
      </w:tr>
      <w:tr>
        <w:trPr>
          <w:trHeight w:val="230"/>
        </w:trPr>
        <w:tc>
          <w:tcPr>
            <w:tcW w:w="840" w:type="dxa"/>
            <w:vAlign w:val="bottom"/>
          </w:tcPr>
          <w:p>
            <w:pPr>
              <w:spacing w:after="0"/>
              <w:rPr>
                <w:sz w:val="20"/>
                <w:szCs w:val="20"/>
                <w:color w:val="auto"/>
              </w:rPr>
            </w:pPr>
          </w:p>
        </w:tc>
        <w:tc>
          <w:tcPr>
            <w:tcW w:w="3740" w:type="dxa"/>
            <w:vAlign w:val="bottom"/>
          </w:tcPr>
          <w:p>
            <w:pPr>
              <w:ind w:left="80"/>
              <w:spacing w:after="0"/>
              <w:rPr>
                <w:sz w:val="20"/>
                <w:szCs w:val="20"/>
                <w:color w:val="auto"/>
              </w:rPr>
            </w:pPr>
            <w:r>
              <w:rPr>
                <w:rFonts w:ascii="Arial" w:cs="Arial" w:eastAsia="Arial" w:hAnsi="Arial"/>
                <w:sz w:val="18"/>
                <w:szCs w:val="18"/>
                <w:color w:val="auto"/>
              </w:rPr>
              <w:t>Asset Management Division</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First Amendment to Ex-Im Credit Agreement</w:t>
      </w:r>
    </w:p>
    <w:p>
      <w:pPr>
        <w:sectPr>
          <w:pgSz w:w="11900" w:h="16838" w:orient="portrait"/>
          <w:cols w:equalWidth="0" w:num="1">
            <w:col w:w="11000"/>
          </w:cols>
          <w:pgMar w:left="240" w:top="274" w:right="65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Dankberg, Chief Executive Officer of ViaSat, Inc., certify that:</w:t>
      </w:r>
    </w:p>
    <w:p>
      <w:pPr>
        <w:spacing w:after="0" w:line="131"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Date: August 10, 2015</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M</w:t>
            </w:r>
            <w:r>
              <w:rPr>
                <w:rFonts w:ascii="Arial" w:cs="Arial" w:eastAsia="Arial" w:hAnsi="Arial"/>
                <w:sz w:val="15"/>
                <w:szCs w:val="15"/>
                <w:color w:val="auto"/>
              </w:rPr>
              <w:t>ARK</w:t>
            </w:r>
            <w:r>
              <w:rPr>
                <w:rFonts w:ascii="Arial" w:cs="Arial" w:eastAsia="Arial" w:hAnsi="Arial"/>
                <w:sz w:val="18"/>
                <w:szCs w:val="18"/>
                <w:color w:val="auto"/>
              </w:rPr>
              <w:t xml:space="preserve"> D</w:t>
            </w:r>
            <w:r>
              <w:rPr>
                <w:rFonts w:ascii="Arial" w:cs="Arial" w:eastAsia="Arial" w:hAnsi="Arial"/>
                <w:sz w:val="15"/>
                <w:szCs w:val="15"/>
                <w:color w:val="auto"/>
              </w:rPr>
              <w:t>ANKBERG</w:t>
            </w:r>
          </w:p>
        </w:tc>
      </w:tr>
      <w:tr>
        <w:trPr>
          <w:trHeight w:val="195"/>
        </w:trPr>
        <w:tc>
          <w:tcPr>
            <w:tcW w:w="6080" w:type="dxa"/>
            <w:vAlign w:val="bottom"/>
          </w:tcPr>
          <w:p>
            <w:pPr>
              <w:spacing w:after="0"/>
              <w:rPr>
                <w:sz w:val="16"/>
                <w:szCs w:val="16"/>
                <w:color w:val="auto"/>
              </w:rPr>
            </w:pPr>
          </w:p>
        </w:tc>
        <w:tc>
          <w:tcPr>
            <w:tcW w:w="5340" w:type="dxa"/>
            <w:vAlign w:val="bottom"/>
          </w:tcPr>
          <w:p>
            <w:pPr>
              <w:ind w:left="100"/>
              <w:spacing w:after="0" w:line="195" w:lineRule="exact"/>
              <w:rPr>
                <w:sz w:val="20"/>
                <w:szCs w:val="20"/>
                <w:color w:val="auto"/>
              </w:rPr>
            </w:pPr>
            <w:r>
              <w:rPr>
                <w:rFonts w:ascii="Arial" w:cs="Arial" w:eastAsia="Arial" w:hAnsi="Arial"/>
                <w:sz w:val="18"/>
                <w:szCs w:val="18"/>
                <w:color w:val="auto"/>
              </w:rPr>
              <w:t>Mark Dankberg</w:t>
            </w:r>
          </w:p>
        </w:tc>
      </w:tr>
      <w:tr>
        <w:trPr>
          <w:trHeight w:val="230"/>
        </w:trPr>
        <w:tc>
          <w:tcPr>
            <w:tcW w:w="608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21"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Shawn Duffy, Chief Financial Officer of ViaSat, Inc., certify that:</w:t>
      </w:r>
    </w:p>
    <w:p>
      <w:pPr>
        <w:spacing w:after="0" w:line="131"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Date: August 10, 2015</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S</w:t>
            </w:r>
            <w:r>
              <w:rPr>
                <w:rFonts w:ascii="Arial" w:cs="Arial" w:eastAsia="Arial" w:hAnsi="Arial"/>
                <w:sz w:val="15"/>
                <w:szCs w:val="15"/>
                <w:color w:val="auto"/>
              </w:rPr>
              <w:t>HAWN</w:t>
            </w:r>
            <w:r>
              <w:rPr>
                <w:rFonts w:ascii="Arial" w:cs="Arial" w:eastAsia="Arial" w:hAnsi="Arial"/>
                <w:sz w:val="18"/>
                <w:szCs w:val="18"/>
                <w:color w:val="auto"/>
              </w:rPr>
              <w:t xml:space="preserve"> D</w:t>
            </w:r>
            <w:r>
              <w:rPr>
                <w:rFonts w:ascii="Arial" w:cs="Arial" w:eastAsia="Arial" w:hAnsi="Arial"/>
                <w:sz w:val="15"/>
                <w:szCs w:val="15"/>
                <w:color w:val="auto"/>
              </w:rPr>
              <w:t>UFFY</w:t>
            </w:r>
          </w:p>
        </w:tc>
      </w:tr>
      <w:tr>
        <w:trPr>
          <w:trHeight w:val="195"/>
        </w:trPr>
        <w:tc>
          <w:tcPr>
            <w:tcW w:w="5960" w:type="dxa"/>
            <w:vAlign w:val="bottom"/>
          </w:tcPr>
          <w:p>
            <w:pPr>
              <w:spacing w:after="0"/>
              <w:rPr>
                <w:sz w:val="16"/>
                <w:szCs w:val="16"/>
                <w:color w:val="auto"/>
              </w:rPr>
            </w:pPr>
          </w:p>
        </w:tc>
        <w:tc>
          <w:tcPr>
            <w:tcW w:w="5460" w:type="dxa"/>
            <w:vAlign w:val="bottom"/>
          </w:tcPr>
          <w:p>
            <w:pPr>
              <w:ind w:left="100"/>
              <w:spacing w:after="0" w:line="195" w:lineRule="exact"/>
              <w:rPr>
                <w:sz w:val="20"/>
                <w:szCs w:val="20"/>
                <w:color w:val="auto"/>
              </w:rPr>
            </w:pPr>
            <w:r>
              <w:rPr>
                <w:rFonts w:ascii="Arial" w:cs="Arial" w:eastAsia="Arial" w:hAnsi="Arial"/>
                <w:sz w:val="18"/>
                <w:szCs w:val="18"/>
                <w:color w:val="auto"/>
              </w:rPr>
              <w:t>Shawn Duffy</w:t>
            </w:r>
          </w:p>
        </w:tc>
      </w:tr>
      <w:tr>
        <w:trPr>
          <w:trHeight w:val="230"/>
        </w:trPr>
        <w:tc>
          <w:tcPr>
            <w:tcW w:w="5960" w:type="dxa"/>
            <w:vAlign w:val="bottom"/>
          </w:tcPr>
          <w:p>
            <w:pPr>
              <w:spacing w:after="0"/>
              <w:rPr>
                <w:sz w:val="20"/>
                <w:szCs w:val="20"/>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21"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62" w:lineRule="exact"/>
        <w:rPr>
          <w:sz w:val="20"/>
          <w:szCs w:val="20"/>
          <w:color w:val="auto"/>
        </w:rPr>
      </w:pPr>
    </w:p>
    <w:p>
      <w:pPr>
        <w:ind w:right="180" w:firstLine="464"/>
        <w:spacing w:after="0" w:line="277" w:lineRule="auto"/>
        <w:tabs>
          <w:tab w:leader="none" w:pos="701"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June 30, 2015 (the “Report”) fully complies with the requirements of Section 13(a) or Section 15(d), as applicable, of the Securities Exchange Act of 1934, as amended; and</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Date: August 10, 2015</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M</w:t>
            </w:r>
            <w:r>
              <w:rPr>
                <w:rFonts w:ascii="Arial" w:cs="Arial" w:eastAsia="Arial" w:hAnsi="Arial"/>
                <w:sz w:val="15"/>
                <w:szCs w:val="15"/>
                <w:color w:val="auto"/>
              </w:rPr>
              <w:t>ARK</w:t>
            </w:r>
            <w:r>
              <w:rPr>
                <w:rFonts w:ascii="Arial" w:cs="Arial" w:eastAsia="Arial" w:hAnsi="Arial"/>
                <w:sz w:val="18"/>
                <w:szCs w:val="18"/>
                <w:color w:val="auto"/>
              </w:rPr>
              <w:t xml:space="preserve"> D</w:t>
            </w:r>
            <w:r>
              <w:rPr>
                <w:rFonts w:ascii="Arial" w:cs="Arial" w:eastAsia="Arial" w:hAnsi="Arial"/>
                <w:sz w:val="15"/>
                <w:szCs w:val="15"/>
                <w:color w:val="auto"/>
              </w:rPr>
              <w:t>ANKBERG</w:t>
            </w:r>
          </w:p>
        </w:tc>
      </w:tr>
      <w:tr>
        <w:trPr>
          <w:trHeight w:val="195"/>
        </w:trPr>
        <w:tc>
          <w:tcPr>
            <w:tcW w:w="6080" w:type="dxa"/>
            <w:vAlign w:val="bottom"/>
          </w:tcPr>
          <w:p>
            <w:pPr>
              <w:spacing w:after="0"/>
              <w:rPr>
                <w:sz w:val="16"/>
                <w:szCs w:val="16"/>
                <w:color w:val="auto"/>
              </w:rPr>
            </w:pPr>
          </w:p>
        </w:tc>
        <w:tc>
          <w:tcPr>
            <w:tcW w:w="5340" w:type="dxa"/>
            <w:vAlign w:val="bottom"/>
          </w:tcPr>
          <w:p>
            <w:pPr>
              <w:ind w:left="100"/>
              <w:spacing w:after="0" w:line="195" w:lineRule="exact"/>
              <w:rPr>
                <w:sz w:val="20"/>
                <w:szCs w:val="20"/>
                <w:color w:val="auto"/>
              </w:rPr>
            </w:pPr>
            <w:r>
              <w:rPr>
                <w:rFonts w:ascii="Arial" w:cs="Arial" w:eastAsia="Arial" w:hAnsi="Arial"/>
                <w:sz w:val="18"/>
                <w:szCs w:val="18"/>
                <w:color w:val="auto"/>
              </w:rPr>
              <w:t>Mark Dankberg</w:t>
            </w:r>
          </w:p>
        </w:tc>
      </w:tr>
      <w:tr>
        <w:trPr>
          <w:trHeight w:val="230"/>
        </w:trPr>
        <w:tc>
          <w:tcPr>
            <w:tcW w:w="608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62" w:lineRule="exact"/>
        <w:rPr>
          <w:sz w:val="20"/>
          <w:szCs w:val="20"/>
          <w:color w:val="auto"/>
        </w:rPr>
      </w:pPr>
    </w:p>
    <w:p>
      <w:pPr>
        <w:ind w:right="180" w:firstLine="464"/>
        <w:spacing w:after="0" w:line="277" w:lineRule="auto"/>
        <w:tabs>
          <w:tab w:leader="none" w:pos="701"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June 30, 2015 (the “Report”) fully complies with the requirements of Section 13(a) or Section 15(d), as applicable, of the Securities Exchange Act of 1934, as amended; and</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Date: August 10, 2015</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S</w:t>
            </w:r>
            <w:r>
              <w:rPr>
                <w:rFonts w:ascii="Arial" w:cs="Arial" w:eastAsia="Arial" w:hAnsi="Arial"/>
                <w:sz w:val="15"/>
                <w:szCs w:val="15"/>
                <w:color w:val="auto"/>
              </w:rPr>
              <w:t>HAWN</w:t>
            </w:r>
            <w:r>
              <w:rPr>
                <w:rFonts w:ascii="Arial" w:cs="Arial" w:eastAsia="Arial" w:hAnsi="Arial"/>
                <w:sz w:val="18"/>
                <w:szCs w:val="18"/>
                <w:color w:val="auto"/>
              </w:rPr>
              <w:t xml:space="preserve"> D</w:t>
            </w:r>
            <w:r>
              <w:rPr>
                <w:rFonts w:ascii="Arial" w:cs="Arial" w:eastAsia="Arial" w:hAnsi="Arial"/>
                <w:sz w:val="15"/>
                <w:szCs w:val="15"/>
                <w:color w:val="auto"/>
              </w:rPr>
              <w:t>UFFY</w:t>
            </w:r>
          </w:p>
        </w:tc>
      </w:tr>
      <w:tr>
        <w:trPr>
          <w:trHeight w:val="195"/>
        </w:trPr>
        <w:tc>
          <w:tcPr>
            <w:tcW w:w="6080" w:type="dxa"/>
            <w:vAlign w:val="bottom"/>
          </w:tcPr>
          <w:p>
            <w:pPr>
              <w:spacing w:after="0"/>
              <w:rPr>
                <w:sz w:val="16"/>
                <w:szCs w:val="16"/>
                <w:color w:val="auto"/>
              </w:rPr>
            </w:pPr>
          </w:p>
        </w:tc>
        <w:tc>
          <w:tcPr>
            <w:tcW w:w="5340" w:type="dxa"/>
            <w:vAlign w:val="bottom"/>
          </w:tcPr>
          <w:p>
            <w:pPr>
              <w:ind w:left="100"/>
              <w:spacing w:after="0" w:line="195" w:lineRule="exact"/>
              <w:rPr>
                <w:sz w:val="20"/>
                <w:szCs w:val="20"/>
                <w:color w:val="auto"/>
              </w:rPr>
            </w:pPr>
            <w:r>
              <w:rPr>
                <w:rFonts w:ascii="Arial" w:cs="Arial" w:eastAsia="Arial" w:hAnsi="Arial"/>
                <w:sz w:val="18"/>
                <w:szCs w:val="18"/>
                <w:color w:val="auto"/>
              </w:rPr>
              <w:t>Shawn Duffy</w:t>
            </w:r>
          </w:p>
        </w:tc>
      </w:tr>
      <w:tr>
        <w:trPr>
          <w:trHeight w:val="230"/>
        </w:trPr>
        <w:tc>
          <w:tcPr>
            <w:tcW w:w="608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4"/>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decimal"/>
      <w:start w:val="2"/>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lowerRoman"/>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2"/>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2019-12-29T16:00:08Z</dcterms:created>
  <dcterms:modified xsi:type="dcterms:W3CDTF">2019-12-29T16:00:08Z</dcterms:modified>
</cp:coreProperties>
</file>