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7047230" cy="4410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1007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DANKBERG MARK D</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6155 EL CAMINO REAL</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VIASAT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VSAT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4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11/03/2026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924"/>
        <w:spacing w:after="0"/>
        <w:rPr>
          <w:sz w:val="20"/>
          <w:szCs w:val="20"/>
          <w:color w:val="auto"/>
        </w:rPr>
      </w:pPr>
      <w:r>
        <w:rPr>
          <w:rFonts w:ascii="Times New Roman" w:cs="Times New Roman" w:eastAsia="Times New Roman" w:hAnsi="Times New Roman"/>
          <w:sz w:val="17"/>
          <w:szCs w:val="17"/>
          <w:color w:val="0000FF"/>
        </w:rPr>
        <w:t>Chairman and CEO</w:t>
      </w:r>
    </w:p>
    <w:p>
      <w:pPr>
        <w:spacing w:after="0" w:line="276" w:lineRule="exact"/>
        <w:rPr>
          <w:sz w:val="24"/>
          <w:szCs w:val="24"/>
          <w:color w:val="auto"/>
        </w:rPr>
      </w:pPr>
    </w:p>
    <w:p>
      <w:pPr>
        <w:sectPr>
          <w:pgSz w:w="11900" w:h="16838" w:orient="portrait"/>
          <w:cols w:equalWidth="0" w:num="3">
            <w:col w:w="3180" w:space="720"/>
            <w:col w:w="3116" w:space="720"/>
            <w:col w:w="3344"/>
          </w:cols>
          <w:pgMar w:left="460" w:top="216" w:right="359" w:bottom="1440" w:gutter="0" w:footer="0" w:header="0"/>
          <w:type w:val="continuous"/>
        </w:sectPr>
      </w:pP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140" w:type="dxa"/>
            <w:vAlign w:val="bottom"/>
            <w:shd w:val="clear" w:color="auto" w:fill="9A9A9A"/>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1100" w:type="dxa"/>
            <w:vAlign w:val="bottom"/>
            <w:shd w:val="clear" w:color="auto" w:fill="9A9A9A"/>
          </w:tcPr>
          <w:p>
            <w:pPr>
              <w:spacing w:after="0"/>
              <w:rPr>
                <w:sz w:val="3"/>
                <w:szCs w:val="3"/>
                <w:color w:val="auto"/>
              </w:rPr>
            </w:pPr>
          </w:p>
        </w:tc>
        <w:tc>
          <w:tcPr>
            <w:tcW w:w="140" w:type="dxa"/>
            <w:vAlign w:val="bottom"/>
            <w:shd w:val="clear" w:color="auto" w:fill="9A9A9A"/>
          </w:tcPr>
          <w:p>
            <w:pPr>
              <w:spacing w:after="0"/>
              <w:rPr>
                <w:sz w:val="3"/>
                <w:szCs w:val="3"/>
                <w:color w:val="auto"/>
              </w:rPr>
            </w:pPr>
          </w:p>
        </w:tc>
        <w:tc>
          <w:tcPr>
            <w:tcW w:w="3620" w:type="dxa"/>
            <w:vAlign w:val="bottom"/>
            <w:gridSpan w:val="8"/>
            <w:vMerge w:val="restart"/>
          </w:tcPr>
          <w:p>
            <w:pPr>
              <w:jc w:val="center"/>
              <w:ind w:right="41"/>
              <w:spacing w:after="0"/>
              <w:rPr>
                <w:sz w:val="20"/>
                <w:szCs w:val="20"/>
                <w:color w:val="auto"/>
              </w:rPr>
            </w:pPr>
            <w:r>
              <w:rPr>
                <w:rFonts w:ascii="Arial" w:cs="Arial" w:eastAsia="Arial" w:hAnsi="Arial"/>
                <w:sz w:val="13"/>
                <w:szCs w:val="13"/>
                <w:color w:val="auto"/>
                <w:w w:val="97"/>
              </w:rPr>
              <w:t>4. If Amendment, Date of Original Filed (Month/Day/Year)</w:t>
            </w:r>
          </w:p>
        </w:tc>
        <w:tc>
          <w:tcPr>
            <w:tcW w:w="3700" w:type="dxa"/>
            <w:vAlign w:val="bottom"/>
            <w:gridSpan w:val="10"/>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20" w:type="dxa"/>
            <w:vAlign w:val="bottom"/>
            <w:gridSpan w:val="8"/>
            <w:vMerge w:val="continue"/>
          </w:tcPr>
          <w:p>
            <w:pPr>
              <w:spacing w:after="0"/>
              <w:rPr>
                <w:sz w:val="9"/>
                <w:szCs w:val="9"/>
                <w:color w:val="auto"/>
              </w:rPr>
            </w:pPr>
          </w:p>
        </w:tc>
        <w:tc>
          <w:tcPr>
            <w:tcW w:w="370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gridSpan w:val="2"/>
          </w:tcPr>
          <w:p>
            <w:pPr>
              <w:ind w:left="36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CARLSBAD</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92009</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Borders>
              <w:top w:val="single" w:sz="8" w:color="EEEEEE"/>
            </w:tcBorders>
          </w:tcPr>
          <w:p>
            <w:pPr>
              <w:spacing w:after="0"/>
              <w:rPr>
                <w:sz w:val="15"/>
                <w:szCs w:val="15"/>
                <w:color w:val="auto"/>
              </w:rPr>
            </w:pPr>
          </w:p>
        </w:tc>
        <w:tc>
          <w:tcPr>
            <w:tcW w:w="12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Borders>
              <w:top w:val="single" w:sz="8" w:color="EEEEEE"/>
            </w:tcBorders>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4"/>
                <w:szCs w:val="14"/>
                <w:color w:val="auto"/>
              </w:rPr>
            </w:pPr>
          </w:p>
        </w:tc>
        <w:tc>
          <w:tcPr>
            <w:tcW w:w="184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5)</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3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580" w:type="dxa"/>
            <w:vAlign w:val="bottom"/>
            <w:tcBorders>
              <w:bottom w:val="single" w:sz="8" w:color="2C2C2C"/>
            </w:tcBorders>
            <w:gridSpan w:val="5"/>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2"/>
          </w:tcPr>
          <w:p>
            <w:pPr>
              <w:jc w:val="center"/>
              <w:ind w:left="45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9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56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gridSpan w:val="2"/>
            <w:vMerge w:val="restart"/>
          </w:tcPr>
          <w:p>
            <w:pPr>
              <w:ind w:left="100"/>
              <w:spacing w:after="0" w:line="268"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219,738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30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34</w:t>
            </w:r>
          </w:p>
        </w:tc>
        <w:tc>
          <w:tcPr>
            <w:tcW w:w="140" w:type="dxa"/>
            <w:vAlign w:val="bottom"/>
          </w:tcPr>
          <w:p>
            <w:pPr>
              <w:spacing w:after="0"/>
              <w:rPr>
                <w:sz w:val="11"/>
                <w:szCs w:val="11"/>
                <w:color w:val="auto"/>
              </w:rPr>
            </w:pPr>
          </w:p>
        </w:tc>
        <w:tc>
          <w:tcPr>
            <w:tcW w:w="106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11/03/2026</w:t>
            </w:r>
          </w:p>
        </w:tc>
        <w:tc>
          <w:tcPr>
            <w:tcW w:w="1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8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219,738</w:t>
            </w:r>
          </w:p>
        </w:tc>
        <w:tc>
          <w:tcPr>
            <w:tcW w:w="2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11/17/2028</w:t>
            </w:r>
          </w:p>
        </w:tc>
        <w:tc>
          <w:tcPr>
            <w:tcW w:w="6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4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line="128" w:lineRule="exact"/>
              <w:rPr>
                <w:sz w:val="20"/>
                <w:szCs w:val="20"/>
                <w:color w:val="auto"/>
              </w:rPr>
            </w:pPr>
            <w:r>
              <w:rPr>
                <w:rFonts w:ascii="Times New Roman" w:cs="Times New Roman" w:eastAsia="Times New Roman" w:hAnsi="Times New Roman"/>
                <w:sz w:val="13"/>
                <w:szCs w:val="13"/>
                <w:color w:val="0000FF"/>
              </w:rPr>
              <w:t>219,738</w:t>
            </w: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16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was originally granted on November 17, 2022, and was subject to both time-based and performance-based vesting conditions. On November 3, 2026, the Compensation and Human Resources Committee of the Issuer's Board of Directors determined that the financial performance goals had been met. Following certification of performance results, the Stock Option is fully vested and currently exercisable with respect to 75% of the shares and will vest with respect to the remaining shares on November 17, 2026.</w:t>
      </w:r>
    </w:p>
    <w:p>
      <w:pPr>
        <w:spacing w:after="0" w:line="1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Stacy Nguyen, Attorney-in-</w:t>
            </w:r>
          </w:p>
        </w:tc>
        <w:tc>
          <w:tcPr>
            <w:tcW w:w="16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11/05/2026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033482" TargetMode="External"/><Relationship Id="rId14" Type="http://schemas.openxmlformats.org/officeDocument/2006/relationships/hyperlink" Target="http://www.sec.gov/cgi-bin/browse-edgar?action=getcompany&amp;CIK=00007977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2026-11-05T15:26:07Z</dcterms:created>
  <dcterms:modified xsi:type="dcterms:W3CDTF">2026-11-05T15:26:07Z</dcterms:modified>
</cp:coreProperties>
</file>