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202E39"/>
        </w:rPr>
        <w:t>SCHEDULE 14A INFORMATION</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202E39"/>
        </w:rPr>
        <w:t>Proxy Statement Pursuant to Section 14(a) of the</w:t>
      </w:r>
    </w:p>
    <w:p>
      <w:pPr>
        <w:spacing w:after="0" w:line="1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202E39"/>
        </w:rPr>
        <w:t>Securities Exchange Act of 1934</w:t>
      </w:r>
    </w:p>
    <w:p>
      <w:pPr>
        <w:spacing w:after="0" w:line="193"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202E39"/>
        </w:rPr>
        <w:t xml:space="preserve">Filed by the Registrant </w:t>
      </w:r>
      <w:r>
        <w:rPr>
          <w:rFonts w:ascii="MS PGothic" w:cs="MS PGothic" w:eastAsia="MS PGothic" w:hAnsi="MS PGothic"/>
          <w:sz w:val="18"/>
          <w:szCs w:val="18"/>
          <w:color w:val="202E39"/>
        </w:rPr>
        <w:t>☒</w:t>
      </w:r>
    </w:p>
    <w:p>
      <w:pPr>
        <w:spacing w:after="0" w:line="51"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202E39"/>
        </w:rPr>
        <w:t xml:space="preserve">Filed by a Party other than the Registrant </w:t>
      </w:r>
      <w:r>
        <w:rPr>
          <w:rFonts w:ascii="MS PGothic" w:cs="MS PGothic" w:eastAsia="MS PGothic" w:hAnsi="MS PGothic"/>
          <w:sz w:val="18"/>
          <w:szCs w:val="18"/>
          <w:color w:val="202E39"/>
        </w:rPr>
        <w:t>☐</w:t>
      </w:r>
    </w:p>
    <w:p>
      <w:pPr>
        <w:spacing w:after="0" w:line="256" w:lineRule="exact"/>
        <w:rPr>
          <w:sz w:val="24"/>
          <w:szCs w:val="24"/>
          <w:color w:val="auto"/>
        </w:rPr>
      </w:pPr>
    </w:p>
    <w:p>
      <w:pPr>
        <w:ind w:left="200"/>
        <w:spacing w:after="0"/>
        <w:rPr>
          <w:sz w:val="20"/>
          <w:szCs w:val="20"/>
          <w:color w:val="auto"/>
        </w:rPr>
      </w:pPr>
      <w:r>
        <w:rPr>
          <w:rFonts w:ascii="Arial" w:cs="Arial" w:eastAsia="Arial" w:hAnsi="Arial"/>
          <w:sz w:val="18"/>
          <w:szCs w:val="18"/>
          <w:color w:val="202E39"/>
        </w:rPr>
        <w:t>Check the appropriate box:</w:t>
      </w:r>
    </w:p>
    <w:p>
      <w:pPr>
        <w:spacing w:after="0" w:line="23" w:lineRule="exact"/>
        <w:rPr>
          <w:sz w:val="24"/>
          <w:szCs w:val="24"/>
          <w:color w:val="auto"/>
        </w:rPr>
      </w:pPr>
    </w:p>
    <w:p>
      <w:pPr>
        <w:ind w:left="560" w:hanging="356"/>
        <w:spacing w:after="0"/>
        <w:tabs>
          <w:tab w:leader="none" w:pos="56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Preliminary Proxy Statement</w:t>
      </w:r>
    </w:p>
    <w:p>
      <w:pPr>
        <w:spacing w:after="0" w:line="9" w:lineRule="exact"/>
        <w:rPr>
          <w:rFonts w:ascii="MS PGothic" w:cs="MS PGothic" w:eastAsia="MS PGothic" w:hAnsi="MS PGothic"/>
          <w:sz w:val="18"/>
          <w:szCs w:val="18"/>
          <w:color w:val="202E39"/>
        </w:rPr>
      </w:pPr>
    </w:p>
    <w:p>
      <w:pPr>
        <w:ind w:left="200" w:right="4280" w:firstLine="4"/>
        <w:spacing w:after="0" w:line="216" w:lineRule="exact"/>
        <w:tabs>
          <w:tab w:leader="none" w:pos="565"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 xml:space="preserve">Confidential, for Use of the Commission Only (as permitted by Rule 14a-6(e)(2)) </w:t>
      </w:r>
      <w:r>
        <w:rPr>
          <w:rFonts w:ascii="MS PGothic" w:cs="MS PGothic" w:eastAsia="MS PGothic" w:hAnsi="MS PGothic"/>
          <w:sz w:val="18"/>
          <w:szCs w:val="18"/>
          <w:color w:val="202E39"/>
        </w:rPr>
        <w:t>☒</w:t>
      </w:r>
      <w:r>
        <w:rPr>
          <w:rFonts w:ascii="Arial" w:cs="Arial" w:eastAsia="Arial" w:hAnsi="Arial"/>
          <w:sz w:val="18"/>
          <w:szCs w:val="18"/>
          <w:color w:val="202E39"/>
        </w:rPr>
        <w:t xml:space="preserve"> Definitive Proxy Statement</w:t>
      </w:r>
    </w:p>
    <w:p>
      <w:pPr>
        <w:ind w:left="560" w:hanging="356"/>
        <w:spacing w:after="0"/>
        <w:tabs>
          <w:tab w:leader="none" w:pos="56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Definitive Additional Materials</w:t>
      </w:r>
    </w:p>
    <w:p>
      <w:pPr>
        <w:spacing w:after="0" w:line="9" w:lineRule="exact"/>
        <w:rPr>
          <w:rFonts w:ascii="MS PGothic" w:cs="MS PGothic" w:eastAsia="MS PGothic" w:hAnsi="MS PGothic"/>
          <w:sz w:val="18"/>
          <w:szCs w:val="18"/>
          <w:color w:val="202E39"/>
        </w:rPr>
      </w:pPr>
    </w:p>
    <w:p>
      <w:pPr>
        <w:ind w:left="560" w:hanging="356"/>
        <w:spacing w:after="0"/>
        <w:tabs>
          <w:tab w:leader="none" w:pos="56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Soliciting Material under Rule 14a-12</w:t>
      </w:r>
    </w:p>
    <w:p>
      <w:pPr>
        <w:spacing w:after="0" w:line="20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202E39"/>
        </w:rPr>
        <w:t>VIASAT, INC.</w:t>
      </w:r>
    </w:p>
    <w:p>
      <w:pPr>
        <w:spacing w:after="0" w:line="4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202E39"/>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2" w:lineRule="exact"/>
        <w:rPr>
          <w:sz w:val="24"/>
          <w:szCs w:val="24"/>
          <w:color w:val="auto"/>
        </w:rPr>
      </w:pPr>
    </w:p>
    <w:p>
      <w:pPr>
        <w:ind w:left="2860"/>
        <w:spacing w:after="0"/>
        <w:rPr>
          <w:sz w:val="20"/>
          <w:szCs w:val="20"/>
          <w:color w:val="auto"/>
        </w:rPr>
      </w:pPr>
      <w:r>
        <w:rPr>
          <w:rFonts w:ascii="Arial" w:cs="Arial" w:eastAsia="Arial" w:hAnsi="Arial"/>
          <w:sz w:val="18"/>
          <w:szCs w:val="18"/>
          <w:color w:val="202E39"/>
        </w:rPr>
        <w:t>(Name of Person(s) Filing Proxy Statement, if other than the Registrant)</w:t>
      </w:r>
    </w:p>
    <w:p>
      <w:pPr>
        <w:spacing w:after="0" w:line="239" w:lineRule="exact"/>
        <w:rPr>
          <w:sz w:val="24"/>
          <w:szCs w:val="24"/>
          <w:color w:val="auto"/>
        </w:rPr>
      </w:pPr>
    </w:p>
    <w:p>
      <w:pPr>
        <w:ind w:left="200"/>
        <w:spacing w:after="0"/>
        <w:rPr>
          <w:sz w:val="20"/>
          <w:szCs w:val="20"/>
          <w:color w:val="auto"/>
        </w:rPr>
      </w:pPr>
      <w:r>
        <w:rPr>
          <w:rFonts w:ascii="Arial" w:cs="Arial" w:eastAsia="Arial" w:hAnsi="Arial"/>
          <w:sz w:val="18"/>
          <w:szCs w:val="18"/>
          <w:color w:val="202E39"/>
        </w:rPr>
        <w:t>Payment of Filing Fee (Check the appropriate box):</w:t>
      </w:r>
    </w:p>
    <w:p>
      <w:pPr>
        <w:spacing w:after="0" w:line="266" w:lineRule="exact"/>
        <w:rPr>
          <w:sz w:val="24"/>
          <w:szCs w:val="24"/>
          <w:color w:val="auto"/>
        </w:rPr>
      </w:pPr>
    </w:p>
    <w:p>
      <w:pPr>
        <w:ind w:left="560" w:hanging="356"/>
        <w:spacing w:after="0"/>
        <w:tabs>
          <w:tab w:leader="none" w:pos="560" w:val="left"/>
        </w:tabs>
        <w:numPr>
          <w:ilvl w:val="0"/>
          <w:numId w:val="2"/>
        </w:numPr>
        <w:rPr>
          <w:rFonts w:ascii="MS PGothic" w:cs="MS PGothic" w:eastAsia="MS PGothic" w:hAnsi="MS PGothic"/>
          <w:sz w:val="18"/>
          <w:szCs w:val="18"/>
          <w:color w:val="202E39"/>
        </w:rPr>
      </w:pPr>
      <w:r>
        <w:rPr>
          <w:rFonts w:ascii="Arial" w:cs="Arial" w:eastAsia="Arial" w:hAnsi="Arial"/>
          <w:sz w:val="18"/>
          <w:szCs w:val="18"/>
          <w:color w:val="202E39"/>
        </w:rPr>
        <w:t>No fee required.</w:t>
      </w:r>
    </w:p>
    <w:p>
      <w:pPr>
        <w:spacing w:after="0" w:line="261" w:lineRule="exact"/>
        <w:rPr>
          <w:sz w:val="24"/>
          <w:szCs w:val="24"/>
          <w:color w:val="auto"/>
        </w:rPr>
      </w:pPr>
    </w:p>
    <w:p>
      <w:pPr>
        <w:ind w:left="560" w:hanging="356"/>
        <w:spacing w:after="0"/>
        <w:tabs>
          <w:tab w:leader="none" w:pos="560" w:val="left"/>
        </w:tabs>
        <w:numPr>
          <w:ilvl w:val="0"/>
          <w:numId w:val="3"/>
        </w:numPr>
        <w:rPr>
          <w:rFonts w:ascii="MS PGothic" w:cs="MS PGothic" w:eastAsia="MS PGothic" w:hAnsi="MS PGothic"/>
          <w:sz w:val="18"/>
          <w:szCs w:val="18"/>
          <w:color w:val="202E39"/>
        </w:rPr>
      </w:pPr>
      <w:r>
        <w:rPr>
          <w:rFonts w:ascii="Arial" w:cs="Arial" w:eastAsia="Arial" w:hAnsi="Arial"/>
          <w:sz w:val="18"/>
          <w:szCs w:val="18"/>
          <w:color w:val="202E39"/>
        </w:rPr>
        <w:t>Fee computed on table below per Exchange Act Rules 14a-6(i)(1) and 0-11.</w:t>
      </w:r>
    </w:p>
    <w:p>
      <w:pPr>
        <w:ind w:left="1020" w:hanging="451"/>
        <w:spacing w:after="0" w:line="234" w:lineRule="auto"/>
        <w:tabs>
          <w:tab w:leader="none" w:pos="102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Title of each class of securities to which transaction applies:</w:t>
      </w:r>
    </w:p>
    <w:p>
      <w:pPr>
        <w:ind w:left="1020" w:hanging="451"/>
        <w:spacing w:after="0" w:line="234" w:lineRule="auto"/>
        <w:tabs>
          <w:tab w:leader="none" w:pos="102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Aggregate number of securities to which transaction applies:</w:t>
      </w:r>
    </w:p>
    <w:p>
      <w:pPr>
        <w:ind w:left="1020" w:right="220" w:hanging="451"/>
        <w:spacing w:after="0" w:line="234" w:lineRule="auto"/>
        <w:tabs>
          <w:tab w:leader="none" w:pos="102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202E39"/>
        </w:rPr>
      </w:pPr>
    </w:p>
    <w:p>
      <w:pPr>
        <w:ind w:left="1020" w:hanging="451"/>
        <w:spacing w:after="0" w:line="234" w:lineRule="auto"/>
        <w:tabs>
          <w:tab w:leader="none" w:pos="102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Proposed maximum aggregate value of transaction:</w:t>
      </w:r>
    </w:p>
    <w:p>
      <w:pPr>
        <w:ind w:left="1020" w:hanging="451"/>
        <w:spacing w:after="0"/>
        <w:tabs>
          <w:tab w:leader="none" w:pos="102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Total fee paid:</w:t>
      </w:r>
    </w:p>
    <w:p>
      <w:pPr>
        <w:spacing w:after="0" w:line="238" w:lineRule="exact"/>
        <w:rPr>
          <w:rFonts w:ascii="Arial" w:cs="Arial" w:eastAsia="Arial" w:hAnsi="Arial"/>
          <w:sz w:val="18"/>
          <w:szCs w:val="18"/>
          <w:color w:val="202E39"/>
        </w:rPr>
      </w:pPr>
    </w:p>
    <w:p>
      <w:pPr>
        <w:ind w:left="560" w:hanging="356"/>
        <w:spacing w:after="0"/>
        <w:tabs>
          <w:tab w:leader="none" w:pos="560" w:val="left"/>
        </w:tabs>
        <w:numPr>
          <w:ilvl w:val="0"/>
          <w:numId w:val="3"/>
        </w:numPr>
        <w:rPr>
          <w:rFonts w:ascii="MS PGothic" w:cs="MS PGothic" w:eastAsia="MS PGothic" w:hAnsi="MS PGothic"/>
          <w:sz w:val="18"/>
          <w:szCs w:val="18"/>
          <w:color w:val="202E39"/>
        </w:rPr>
      </w:pPr>
      <w:r>
        <w:rPr>
          <w:rFonts w:ascii="Arial" w:cs="Arial" w:eastAsia="Arial" w:hAnsi="Arial"/>
          <w:sz w:val="18"/>
          <w:szCs w:val="18"/>
          <w:color w:val="202E39"/>
        </w:rPr>
        <w:t>Fee paid previously with preliminary materials.</w:t>
      </w:r>
    </w:p>
    <w:p>
      <w:pPr>
        <w:spacing w:after="0" w:line="306" w:lineRule="exact"/>
        <w:rPr>
          <w:rFonts w:ascii="MS PGothic" w:cs="MS PGothic" w:eastAsia="MS PGothic" w:hAnsi="MS PGothic"/>
          <w:sz w:val="18"/>
          <w:szCs w:val="18"/>
          <w:color w:val="202E39"/>
        </w:rPr>
      </w:pPr>
    </w:p>
    <w:p>
      <w:pPr>
        <w:ind w:left="560" w:hanging="356"/>
        <w:spacing w:after="0" w:line="246" w:lineRule="auto"/>
        <w:tabs>
          <w:tab w:leader="none" w:pos="560" w:val="left"/>
        </w:tabs>
        <w:numPr>
          <w:ilvl w:val="0"/>
          <w:numId w:val="3"/>
        </w:numPr>
        <w:rPr>
          <w:rFonts w:ascii="MS PGothic" w:cs="MS PGothic" w:eastAsia="MS PGothic" w:hAnsi="MS PGothic"/>
          <w:sz w:val="18"/>
          <w:szCs w:val="18"/>
          <w:color w:val="202E39"/>
        </w:rPr>
      </w:pPr>
      <w:r>
        <w:rPr>
          <w:rFonts w:ascii="Arial" w:cs="Arial" w:eastAsia="Arial" w:hAnsi="Arial"/>
          <w:sz w:val="18"/>
          <w:szCs w:val="18"/>
          <w:color w:val="202E39"/>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0" w:lineRule="exact"/>
        <w:rPr>
          <w:rFonts w:ascii="MS PGothic" w:cs="MS PGothic" w:eastAsia="MS PGothic" w:hAnsi="MS PGothic"/>
          <w:sz w:val="18"/>
          <w:szCs w:val="18"/>
          <w:color w:val="202E39"/>
        </w:rPr>
      </w:pPr>
    </w:p>
    <w:p>
      <w:pPr>
        <w:ind w:left="1020" w:hanging="451"/>
        <w:spacing w:after="0"/>
        <w:tabs>
          <w:tab w:leader="none" w:pos="102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Amount Previously Paid:</w:t>
      </w:r>
    </w:p>
    <w:p>
      <w:pPr>
        <w:ind w:left="1020" w:hanging="451"/>
        <w:spacing w:after="0" w:line="234" w:lineRule="auto"/>
        <w:tabs>
          <w:tab w:leader="none" w:pos="102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Form, Schedule or Registration Statement No.:</w:t>
      </w:r>
    </w:p>
    <w:p>
      <w:pPr>
        <w:ind w:left="1020" w:hanging="451"/>
        <w:spacing w:after="0" w:line="234" w:lineRule="auto"/>
        <w:tabs>
          <w:tab w:leader="none" w:pos="102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Filing Party:</w:t>
      </w:r>
    </w:p>
    <w:p>
      <w:pPr>
        <w:ind w:left="1020" w:hanging="451"/>
        <w:spacing w:after="0"/>
        <w:tabs>
          <w:tab w:leader="none" w:pos="102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Date Filed:</w:t>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4060" w:right="1920"/>
        <w:spacing w:after="0" w:line="268" w:lineRule="auto"/>
        <w:rPr>
          <w:sz w:val="20"/>
          <w:szCs w:val="20"/>
          <w:color w:val="auto"/>
        </w:rPr>
      </w:pPr>
      <w:r>
        <w:rPr>
          <w:rFonts w:ascii="Arial" w:cs="Arial" w:eastAsia="Arial" w:hAnsi="Arial"/>
          <w:sz w:val="35"/>
          <w:szCs w:val="35"/>
          <w:color w:val="009FE3"/>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-568960</wp:posOffset>
            </wp:positionV>
            <wp:extent cx="1372235" cy="43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437515"/>
                    </a:xfrm>
                    <a:prstGeom prst="rect">
                      <a:avLst/>
                    </a:prstGeom>
                    <a:noFill/>
                  </pic:spPr>
                </pic:pic>
              </a:graphicData>
            </a:graphic>
          </wp:anchor>
        </w:drawing>
      </w:r>
    </w:p>
    <w:p>
      <w:pPr>
        <w:spacing w:after="0" w:line="118"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2820" w:type="dxa"/>
            <w:vAlign w:val="bottom"/>
            <w:gridSpan w:val="2"/>
          </w:tcPr>
          <w:p>
            <w:pPr>
              <w:spacing w:after="0"/>
              <w:rPr>
                <w:sz w:val="20"/>
                <w:szCs w:val="20"/>
                <w:color w:val="auto"/>
              </w:rPr>
            </w:pPr>
            <w:r>
              <w:rPr>
                <w:rFonts w:ascii="Arial" w:cs="Arial" w:eastAsia="Arial" w:hAnsi="Arial"/>
                <w:sz w:val="16"/>
                <w:szCs w:val="16"/>
                <w:b w:val="1"/>
                <w:bCs w:val="1"/>
                <w:color w:val="009FE3"/>
              </w:rPr>
              <w:t>Meeting Information</w:t>
            </w:r>
          </w:p>
        </w:tc>
        <w:tc>
          <w:tcPr>
            <w:tcW w:w="2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114"/>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140" w:type="dxa"/>
            <w:vAlign w:val="bottom"/>
          </w:tcPr>
          <w:p>
            <w:pPr>
              <w:spacing w:after="0"/>
              <w:rPr>
                <w:sz w:val="9"/>
                <w:szCs w:val="9"/>
                <w:color w:val="auto"/>
              </w:rPr>
            </w:pPr>
          </w:p>
        </w:tc>
      </w:tr>
      <w:tr>
        <w:trPr>
          <w:trHeight w:val="313"/>
        </w:trPr>
        <w:tc>
          <w:tcPr>
            <w:tcW w:w="20" w:type="dxa"/>
            <w:vAlign w:val="bottom"/>
          </w:tcPr>
          <w:p>
            <w:pPr>
              <w:spacing w:after="0"/>
              <w:rPr>
                <w:sz w:val="24"/>
                <w:szCs w:val="24"/>
                <w:color w:val="auto"/>
              </w:rPr>
            </w:pPr>
          </w:p>
        </w:tc>
        <w:tc>
          <w:tcPr>
            <w:tcW w:w="2800" w:type="dxa"/>
            <w:vAlign w:val="bottom"/>
            <w:shd w:val="clear" w:color="auto" w:fill="009FE3"/>
          </w:tcPr>
          <w:p>
            <w:pPr>
              <w:ind w:left="60"/>
              <w:spacing w:after="0"/>
              <w:rPr>
                <w:sz w:val="20"/>
                <w:szCs w:val="20"/>
                <w:color w:val="auto"/>
              </w:rPr>
            </w:pPr>
            <w:r>
              <w:rPr>
                <w:rFonts w:ascii="Arial" w:cs="Arial" w:eastAsia="Arial" w:hAnsi="Arial"/>
                <w:sz w:val="16"/>
                <w:szCs w:val="16"/>
                <w:color w:val="FFFFFF"/>
              </w:rPr>
              <w:t>DATE:</w:t>
            </w:r>
          </w:p>
        </w:tc>
        <w:tc>
          <w:tcPr>
            <w:tcW w:w="2240" w:type="dxa"/>
            <w:vAlign w:val="bottom"/>
            <w:shd w:val="clear" w:color="auto" w:fill="009FE3"/>
          </w:tcPr>
          <w:p>
            <w:pPr>
              <w:ind w:left="60"/>
              <w:spacing w:after="0"/>
              <w:rPr>
                <w:sz w:val="20"/>
                <w:szCs w:val="20"/>
                <w:color w:val="auto"/>
              </w:rPr>
            </w:pPr>
            <w:r>
              <w:rPr>
                <w:rFonts w:ascii="Arial" w:cs="Arial" w:eastAsia="Arial" w:hAnsi="Arial"/>
                <w:sz w:val="16"/>
                <w:szCs w:val="16"/>
                <w:color w:val="FFFFFF"/>
              </w:rPr>
              <w:t>TIME:</w:t>
            </w:r>
          </w:p>
        </w:tc>
        <w:tc>
          <w:tcPr>
            <w:tcW w:w="2840" w:type="dxa"/>
            <w:vAlign w:val="bottom"/>
            <w:shd w:val="clear" w:color="auto" w:fill="009FE3"/>
          </w:tcPr>
          <w:p>
            <w:pPr>
              <w:ind w:left="580"/>
              <w:spacing w:after="0"/>
              <w:rPr>
                <w:sz w:val="20"/>
                <w:szCs w:val="20"/>
                <w:color w:val="auto"/>
              </w:rPr>
            </w:pPr>
            <w:r>
              <w:rPr>
                <w:rFonts w:ascii="Arial" w:cs="Arial" w:eastAsia="Arial" w:hAnsi="Arial"/>
                <w:sz w:val="16"/>
                <w:szCs w:val="16"/>
                <w:color w:val="FFFFFF"/>
              </w:rPr>
              <w:t>PLACE:</w:t>
            </w:r>
          </w:p>
        </w:tc>
        <w:tc>
          <w:tcPr>
            <w:tcW w:w="3140" w:type="dxa"/>
            <w:vAlign w:val="bottom"/>
            <w:shd w:val="clear" w:color="auto" w:fill="009FE3"/>
          </w:tcPr>
          <w:p>
            <w:pPr>
              <w:ind w:left="500"/>
              <w:spacing w:after="0"/>
              <w:rPr>
                <w:sz w:val="20"/>
                <w:szCs w:val="20"/>
                <w:color w:val="auto"/>
              </w:rPr>
            </w:pPr>
            <w:r>
              <w:rPr>
                <w:rFonts w:ascii="Arial" w:cs="Arial" w:eastAsia="Arial" w:hAnsi="Arial"/>
                <w:sz w:val="16"/>
                <w:szCs w:val="16"/>
                <w:color w:val="FFFFFF"/>
              </w:rPr>
              <w:t>RECORD DATE:</w:t>
            </w:r>
          </w:p>
        </w:tc>
      </w:tr>
      <w:tr>
        <w:trPr>
          <w:trHeight w:val="195"/>
        </w:trPr>
        <w:tc>
          <w:tcPr>
            <w:tcW w:w="20" w:type="dxa"/>
            <w:vAlign w:val="bottom"/>
          </w:tcPr>
          <w:p>
            <w:pPr>
              <w:spacing w:after="0"/>
              <w:rPr>
                <w:sz w:val="16"/>
                <w:szCs w:val="16"/>
                <w:color w:val="auto"/>
              </w:rPr>
            </w:pPr>
          </w:p>
        </w:tc>
        <w:tc>
          <w:tcPr>
            <w:tcW w:w="2800" w:type="dxa"/>
            <w:vAlign w:val="bottom"/>
            <w:shd w:val="clear" w:color="auto" w:fill="009FE3"/>
          </w:tcPr>
          <w:p>
            <w:pPr>
              <w:ind w:left="60"/>
              <w:spacing w:after="0"/>
              <w:rPr>
                <w:sz w:val="20"/>
                <w:szCs w:val="20"/>
                <w:color w:val="auto"/>
              </w:rPr>
            </w:pPr>
            <w:r>
              <w:rPr>
                <w:rFonts w:ascii="Arial" w:cs="Arial" w:eastAsia="Arial" w:hAnsi="Arial"/>
                <w:sz w:val="16"/>
                <w:szCs w:val="16"/>
                <w:color w:val="FFFFFF"/>
              </w:rPr>
              <w:t>September 6, 2018</w:t>
            </w:r>
          </w:p>
        </w:tc>
        <w:tc>
          <w:tcPr>
            <w:tcW w:w="2240" w:type="dxa"/>
            <w:vAlign w:val="bottom"/>
            <w:shd w:val="clear" w:color="auto" w:fill="009FE3"/>
          </w:tcPr>
          <w:p>
            <w:pPr>
              <w:ind w:left="60"/>
              <w:spacing w:after="0"/>
              <w:rPr>
                <w:sz w:val="20"/>
                <w:szCs w:val="20"/>
                <w:color w:val="auto"/>
              </w:rPr>
            </w:pPr>
            <w:r>
              <w:rPr>
                <w:rFonts w:ascii="Arial" w:cs="Arial" w:eastAsia="Arial" w:hAnsi="Arial"/>
                <w:sz w:val="16"/>
                <w:szCs w:val="16"/>
                <w:color w:val="FFFFFF"/>
              </w:rPr>
              <w:t>8:30 a.m. Pacific Time</w:t>
            </w:r>
          </w:p>
        </w:tc>
        <w:tc>
          <w:tcPr>
            <w:tcW w:w="2840" w:type="dxa"/>
            <w:vAlign w:val="bottom"/>
            <w:shd w:val="clear" w:color="auto" w:fill="009FE3"/>
          </w:tcPr>
          <w:p>
            <w:pPr>
              <w:ind w:left="580"/>
              <w:spacing w:after="0"/>
              <w:rPr>
                <w:sz w:val="20"/>
                <w:szCs w:val="20"/>
                <w:color w:val="auto"/>
              </w:rPr>
            </w:pPr>
            <w:r>
              <w:rPr>
                <w:rFonts w:ascii="Arial" w:cs="Arial" w:eastAsia="Arial" w:hAnsi="Arial"/>
                <w:sz w:val="16"/>
                <w:szCs w:val="16"/>
                <w:color w:val="FFFFFF"/>
              </w:rPr>
              <w:t>Viasat Corporate Offices</w:t>
            </w:r>
          </w:p>
        </w:tc>
        <w:tc>
          <w:tcPr>
            <w:tcW w:w="3140" w:type="dxa"/>
            <w:vAlign w:val="bottom"/>
            <w:shd w:val="clear" w:color="auto" w:fill="009FE3"/>
          </w:tcPr>
          <w:p>
            <w:pPr>
              <w:ind w:left="500"/>
              <w:spacing w:after="0"/>
              <w:rPr>
                <w:sz w:val="20"/>
                <w:szCs w:val="20"/>
                <w:color w:val="auto"/>
              </w:rPr>
            </w:pPr>
            <w:r>
              <w:rPr>
                <w:rFonts w:ascii="Arial" w:cs="Arial" w:eastAsia="Arial" w:hAnsi="Arial"/>
                <w:sz w:val="16"/>
                <w:szCs w:val="16"/>
                <w:color w:val="FFFFFF"/>
              </w:rPr>
              <w:t>July 10, 2018</w:t>
            </w:r>
          </w:p>
        </w:tc>
      </w:tr>
      <w:tr>
        <w:trPr>
          <w:trHeight w:val="128"/>
        </w:trPr>
        <w:tc>
          <w:tcPr>
            <w:tcW w:w="20" w:type="dxa"/>
            <w:vAlign w:val="bottom"/>
          </w:tcPr>
          <w:p>
            <w:pPr>
              <w:spacing w:after="0"/>
              <w:rPr>
                <w:sz w:val="11"/>
                <w:szCs w:val="11"/>
                <w:color w:val="auto"/>
              </w:rPr>
            </w:pPr>
          </w:p>
        </w:tc>
        <w:tc>
          <w:tcPr>
            <w:tcW w:w="2800" w:type="dxa"/>
            <w:vAlign w:val="bottom"/>
            <w:shd w:val="clear" w:color="auto" w:fill="009FE3"/>
          </w:tcPr>
          <w:p>
            <w:pPr>
              <w:spacing w:after="0"/>
              <w:rPr>
                <w:sz w:val="11"/>
                <w:szCs w:val="11"/>
                <w:color w:val="auto"/>
              </w:rPr>
            </w:pPr>
          </w:p>
        </w:tc>
        <w:tc>
          <w:tcPr>
            <w:tcW w:w="2240" w:type="dxa"/>
            <w:vAlign w:val="bottom"/>
            <w:shd w:val="clear" w:color="auto" w:fill="009FE3"/>
          </w:tcPr>
          <w:p>
            <w:pPr>
              <w:spacing w:after="0"/>
              <w:rPr>
                <w:sz w:val="11"/>
                <w:szCs w:val="11"/>
                <w:color w:val="auto"/>
              </w:rPr>
            </w:pPr>
          </w:p>
        </w:tc>
        <w:tc>
          <w:tcPr>
            <w:tcW w:w="2840" w:type="dxa"/>
            <w:vAlign w:val="bottom"/>
            <w:shd w:val="clear" w:color="auto" w:fill="009FE3"/>
          </w:tcPr>
          <w:p>
            <w:pPr>
              <w:spacing w:after="0"/>
              <w:rPr>
                <w:sz w:val="11"/>
                <w:szCs w:val="11"/>
                <w:color w:val="auto"/>
              </w:rPr>
            </w:pPr>
          </w:p>
        </w:tc>
        <w:tc>
          <w:tcPr>
            <w:tcW w:w="3140" w:type="dxa"/>
            <w:vAlign w:val="bottom"/>
            <w:shd w:val="clear" w:color="auto" w:fill="009FE3"/>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-325120</wp:posOffset>
            </wp:positionV>
            <wp:extent cx="8890" cy="248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24892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-325120</wp:posOffset>
            </wp:positionV>
            <wp:extent cx="8890" cy="24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24892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-325120</wp:posOffset>
            </wp:positionV>
            <wp:extent cx="8890"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248920"/>
                    </a:xfrm>
                    <a:prstGeom prst="rect">
                      <a:avLst/>
                    </a:prstGeom>
                    <a:noFill/>
                  </pic:spPr>
                </pic:pic>
              </a:graphicData>
            </a:graphic>
          </wp:anchor>
        </w:drawing>
      </w:r>
    </w:p>
    <w:p>
      <w:pPr>
        <w:spacing w:after="0" w:line="306"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Dear Fellow Stockholder:</w:t>
      </w:r>
    </w:p>
    <w:p>
      <w:pPr>
        <w:spacing w:after="0" w:line="113" w:lineRule="exact"/>
        <w:rPr>
          <w:sz w:val="20"/>
          <w:szCs w:val="20"/>
          <w:color w:val="auto"/>
        </w:rPr>
      </w:pPr>
    </w:p>
    <w:p>
      <w:pPr>
        <w:jc w:val="both"/>
        <w:ind w:left="200" w:right="400"/>
        <w:spacing w:after="0" w:line="253" w:lineRule="auto"/>
        <w:rPr>
          <w:sz w:val="20"/>
          <w:szCs w:val="20"/>
          <w:color w:val="auto"/>
        </w:rPr>
      </w:pPr>
      <w:r>
        <w:rPr>
          <w:rFonts w:ascii="Arial" w:cs="Arial" w:eastAsia="Arial" w:hAnsi="Arial"/>
          <w:sz w:val="16"/>
          <w:szCs w:val="16"/>
          <w:color w:val="202E39"/>
        </w:rPr>
        <w:t>You are cordially invited to attend our 2018 annual meeting of stockholders, which will be held on September 6, 2018 at 8:30 a.m. Pacific Time at the corporate offices of Viasat located at 6155 El Camino Real, Founders Hall, Carlsbad, California. We are holding the annual meeting for the following purposes:</w:t>
      </w:r>
    </w:p>
    <w:p>
      <w:pPr>
        <w:spacing w:after="0" w:line="107" w:lineRule="exact"/>
        <w:rPr>
          <w:sz w:val="20"/>
          <w:szCs w:val="20"/>
          <w:color w:val="auto"/>
        </w:rPr>
      </w:pPr>
    </w:p>
    <w:p>
      <w:pPr>
        <w:ind w:left="960" w:right="200" w:hanging="432"/>
        <w:spacing w:after="0" w:line="260" w:lineRule="auto"/>
        <w:tabs>
          <w:tab w:leader="none" w:pos="96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elect Frank J. Biondi, Jr., Robert Johnson and John Stenbit to serve as Class I Directors for a three-year term to expire at the 2021 annual meeting of stockholders.</w:t>
      </w:r>
    </w:p>
    <w:p>
      <w:pPr>
        <w:spacing w:after="0" w:line="47" w:lineRule="exact"/>
        <w:rPr>
          <w:rFonts w:ascii="Arial" w:cs="Arial" w:eastAsia="Arial" w:hAnsi="Arial"/>
          <w:sz w:val="16"/>
          <w:szCs w:val="16"/>
          <w:color w:val="009FE3"/>
        </w:rPr>
      </w:pPr>
    </w:p>
    <w:p>
      <w:pPr>
        <w:ind w:left="960" w:hanging="432"/>
        <w:spacing w:after="0"/>
        <w:tabs>
          <w:tab w:leader="none" w:pos="96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ratify the appointment of PricewaterhouseCoopers LLP as Viasat’s independent registered public accounting firm for fiscal year 2019.</w:t>
      </w:r>
    </w:p>
    <w:p>
      <w:pPr>
        <w:spacing w:after="0" w:line="72" w:lineRule="exact"/>
        <w:rPr>
          <w:rFonts w:ascii="Arial" w:cs="Arial" w:eastAsia="Arial" w:hAnsi="Arial"/>
          <w:sz w:val="16"/>
          <w:szCs w:val="16"/>
          <w:color w:val="009FE3"/>
        </w:rPr>
      </w:pPr>
    </w:p>
    <w:p>
      <w:pPr>
        <w:ind w:left="960" w:hanging="432"/>
        <w:spacing w:after="0"/>
        <w:tabs>
          <w:tab w:leader="none" w:pos="96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conduct an advisory vote on executive compensation.</w:t>
      </w:r>
    </w:p>
    <w:p>
      <w:pPr>
        <w:spacing w:after="0" w:line="72" w:lineRule="exact"/>
        <w:rPr>
          <w:rFonts w:ascii="Arial" w:cs="Arial" w:eastAsia="Arial" w:hAnsi="Arial"/>
          <w:sz w:val="16"/>
          <w:szCs w:val="16"/>
          <w:color w:val="009FE3"/>
        </w:rPr>
      </w:pPr>
    </w:p>
    <w:p>
      <w:pPr>
        <w:ind w:left="960" w:hanging="432"/>
        <w:spacing w:after="0"/>
        <w:tabs>
          <w:tab w:leader="none" w:pos="96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approve an amendment and restatement of the 1996 Equity Participation Plan.</w:t>
      </w:r>
    </w:p>
    <w:p>
      <w:pPr>
        <w:spacing w:after="0" w:line="72" w:lineRule="exact"/>
        <w:rPr>
          <w:rFonts w:ascii="Arial" w:cs="Arial" w:eastAsia="Arial" w:hAnsi="Arial"/>
          <w:sz w:val="16"/>
          <w:szCs w:val="16"/>
          <w:color w:val="009FE3"/>
        </w:rPr>
      </w:pPr>
    </w:p>
    <w:p>
      <w:pPr>
        <w:ind w:left="960" w:hanging="432"/>
        <w:spacing w:after="0"/>
        <w:tabs>
          <w:tab w:leader="none" w:pos="96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transact other business that may properly come before the annual meeting or any adjournments or postponements of the meeting.</w:t>
      </w:r>
    </w:p>
    <w:p>
      <w:pPr>
        <w:spacing w:after="0" w:line="113" w:lineRule="exact"/>
        <w:rPr>
          <w:sz w:val="20"/>
          <w:szCs w:val="20"/>
          <w:color w:val="auto"/>
        </w:rPr>
      </w:pPr>
    </w:p>
    <w:p>
      <w:pPr>
        <w:ind w:left="200" w:right="380"/>
        <w:spacing w:after="0" w:line="260" w:lineRule="auto"/>
        <w:rPr>
          <w:sz w:val="20"/>
          <w:szCs w:val="20"/>
          <w:color w:val="auto"/>
        </w:rPr>
      </w:pPr>
      <w:r>
        <w:rPr>
          <w:rFonts w:ascii="Arial" w:cs="Arial" w:eastAsia="Arial" w:hAnsi="Arial"/>
          <w:sz w:val="16"/>
          <w:szCs w:val="16"/>
          <w:color w:val="202E39"/>
        </w:rPr>
        <w:t>These items are fully described in the proxy statement, which is part of this notice. We have not received notice of other matters that may be properly presented at the annual meeting.</w:t>
      </w:r>
    </w:p>
    <w:p>
      <w:pPr>
        <w:spacing w:after="0" w:line="68" w:lineRule="exact"/>
        <w:rPr>
          <w:sz w:val="20"/>
          <w:szCs w:val="20"/>
          <w:color w:val="auto"/>
        </w:rPr>
      </w:pPr>
    </w:p>
    <w:p>
      <w:pPr>
        <w:ind w:left="200" w:right="120"/>
        <w:spacing w:after="0" w:line="259" w:lineRule="auto"/>
        <w:rPr>
          <w:sz w:val="20"/>
          <w:szCs w:val="20"/>
          <w:color w:val="auto"/>
        </w:rPr>
      </w:pPr>
      <w:r>
        <w:rPr>
          <w:rFonts w:ascii="Arial" w:cs="Arial" w:eastAsia="Arial" w:hAnsi="Arial"/>
          <w:sz w:val="16"/>
          <w:szCs w:val="16"/>
          <w:color w:val="202E39"/>
        </w:rPr>
        <w:t xml:space="preserve">All stockholders of record as of July 10, 2018, the record date, are entitled to vote at the annual meeting. </w:t>
      </w:r>
      <w:r>
        <w:rPr>
          <w:rFonts w:ascii="Arial" w:cs="Arial" w:eastAsia="Arial" w:hAnsi="Arial"/>
          <w:sz w:val="16"/>
          <w:szCs w:val="16"/>
          <w:b w:val="1"/>
          <w:bCs w:val="1"/>
          <w:color w:val="009FE3"/>
        </w:rPr>
        <w:t>Your vote is very important. Whether or not</w:t>
      </w:r>
      <w:r>
        <w:rPr>
          <w:rFonts w:ascii="Arial" w:cs="Arial" w:eastAsia="Arial" w:hAnsi="Arial"/>
          <w:sz w:val="16"/>
          <w:szCs w:val="16"/>
          <w:color w:val="202E39"/>
        </w:rPr>
        <w:t xml:space="preserve"> </w:t>
      </w:r>
      <w:r>
        <w:rPr>
          <w:rFonts w:ascii="Arial" w:cs="Arial" w:eastAsia="Arial" w:hAnsi="Arial"/>
          <w:sz w:val="16"/>
          <w:szCs w:val="16"/>
          <w:b w:val="1"/>
          <w:bCs w:val="1"/>
          <w:color w:val="009FE3"/>
        </w:rPr>
        <w:t xml:space="preserve">you expect to attend the annual meeting in person, please sign, date and return the enclosed proxy card as soon as possible to ensure that your shares are represented at the annual meeting. </w:t>
      </w:r>
      <w:r>
        <w:rPr>
          <w:rFonts w:ascii="Arial" w:cs="Arial" w:eastAsia="Arial" w:hAnsi="Arial"/>
          <w:sz w:val="16"/>
          <w:szCs w:val="16"/>
          <w:color w:val="202E39"/>
        </w:rPr>
        <w:t>If your shares are held in “street name,” which means your shares are held of record by a broker,</w:t>
      </w:r>
      <w:r>
        <w:rPr>
          <w:rFonts w:ascii="Arial" w:cs="Arial" w:eastAsia="Arial" w:hAnsi="Arial"/>
          <w:sz w:val="16"/>
          <w:szCs w:val="16"/>
          <w:b w:val="1"/>
          <w:bCs w:val="1"/>
          <w:color w:val="009FE3"/>
        </w:rPr>
        <w:t xml:space="preserve"> </w:t>
      </w:r>
      <w:r>
        <w:rPr>
          <w:rFonts w:ascii="Arial" w:cs="Arial" w:eastAsia="Arial" w:hAnsi="Arial"/>
          <w:sz w:val="16"/>
          <w:szCs w:val="16"/>
          <w:color w:val="202E39"/>
        </w:rPr>
        <w:t>bank or other financial institution, you must provide your broker, bank or financial institution with instructions on how to vote your shares.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09FE3"/>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3771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00"/>
        <w:spacing w:after="0"/>
        <w:rPr>
          <w:sz w:val="20"/>
          <w:szCs w:val="20"/>
          <w:color w:val="auto"/>
        </w:rPr>
      </w:pPr>
      <w:r>
        <w:rPr>
          <w:rFonts w:ascii="Arial" w:cs="Arial" w:eastAsia="Arial" w:hAnsi="Arial"/>
          <w:sz w:val="14"/>
          <w:szCs w:val="14"/>
          <w:color w:val="202E39"/>
        </w:rPr>
        <w:t>Provide instructions to your broker, bank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202E39"/>
        </w:rPr>
        <w:t>Sign, date and return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202E39"/>
        </w:rPr>
        <w:t>Attend Annual Meeting</w:t>
      </w:r>
    </w:p>
    <w:p>
      <w:pPr>
        <w:spacing w:after="0" w:line="2" w:lineRule="exact"/>
        <w:rPr>
          <w:sz w:val="20"/>
          <w:szCs w:val="20"/>
          <w:color w:val="auto"/>
        </w:rPr>
      </w:pPr>
    </w:p>
    <w:p>
      <w:pPr>
        <w:sectPr>
          <w:pgSz w:w="11900" w:h="16838" w:orient="portrait"/>
          <w:cols w:equalWidth="0" w:num="3">
            <w:col w:w="4080" w:space="720"/>
            <w:col w:w="3220" w:space="720"/>
            <w:col w:w="2500"/>
          </w:cols>
          <w:pgMar w:left="240" w:top="459" w:right="419" w:bottom="1440" w:gutter="0" w:footer="0" w:header="0"/>
          <w:type w:val="continuous"/>
        </w:sectPr>
      </w:pPr>
    </w:p>
    <w:p>
      <w:pPr>
        <w:jc w:val="center"/>
        <w:ind w:right="7080"/>
        <w:spacing w:after="0"/>
        <w:rPr>
          <w:sz w:val="20"/>
          <w:szCs w:val="20"/>
          <w:color w:val="auto"/>
        </w:rPr>
      </w:pPr>
      <w:r>
        <w:rPr>
          <w:rFonts w:ascii="Arial" w:cs="Arial" w:eastAsia="Arial" w:hAnsi="Arial"/>
          <w:sz w:val="14"/>
          <w:szCs w:val="14"/>
          <w:color w:val="202E39"/>
        </w:rPr>
        <w:t>other financial institution about how to vote</w:t>
      </w:r>
    </w:p>
    <w:p>
      <w:pPr>
        <w:jc w:val="center"/>
        <w:ind w:right="7080"/>
        <w:spacing w:after="0"/>
        <w:rPr>
          <w:sz w:val="20"/>
          <w:szCs w:val="20"/>
          <w:color w:val="auto"/>
        </w:rPr>
      </w:pPr>
      <w:r>
        <w:rPr>
          <w:rFonts w:ascii="Arial" w:cs="Arial" w:eastAsia="Arial" w:hAnsi="Arial"/>
          <w:sz w:val="14"/>
          <w:szCs w:val="14"/>
          <w:color w:val="202E39"/>
        </w:rPr>
        <w:t>shares they hold for you</w:t>
      </w:r>
    </w:p>
    <w:p>
      <w:pPr>
        <w:sectPr>
          <w:pgSz w:w="11900" w:h="16838" w:orient="portrait"/>
          <w:cols w:equalWidth="0" w:num="1">
            <w:col w:w="11240"/>
          </w:cols>
          <w:pgMar w:left="240" w:top="459" w:right="419" w:bottom="1440" w:gutter="0" w:footer="0" w:header="0"/>
          <w:type w:val="continuous"/>
        </w:sectPr>
      </w:pPr>
    </w:p>
    <w:p>
      <w:pPr>
        <w:spacing w:after="0" w:line="376" w:lineRule="exact"/>
        <w:rPr>
          <w:sz w:val="20"/>
          <w:szCs w:val="20"/>
          <w:color w:val="auto"/>
        </w:rPr>
      </w:pPr>
    </w:p>
    <w:p>
      <w:pPr>
        <w:ind w:left="5840"/>
        <w:spacing w:after="0"/>
        <w:rPr>
          <w:sz w:val="20"/>
          <w:szCs w:val="20"/>
          <w:color w:val="auto"/>
        </w:rPr>
      </w:pPr>
      <w:r>
        <w:rPr>
          <w:rFonts w:ascii="Arial" w:cs="Arial" w:eastAsia="Arial" w:hAnsi="Arial"/>
          <w:sz w:val="16"/>
          <w:szCs w:val="16"/>
          <w:color w:val="202E39"/>
        </w:rPr>
        <w:t>By Order of the Board of Directors</w:t>
      </w:r>
    </w:p>
    <w:p>
      <w:pPr>
        <w:spacing w:after="0" w:line="122" w:lineRule="exact"/>
        <w:rPr>
          <w:sz w:val="20"/>
          <w:szCs w:val="20"/>
          <w:color w:val="auto"/>
        </w:rPr>
      </w:pPr>
    </w:p>
    <w:p>
      <w:pPr>
        <w:ind w:left="5840"/>
        <w:spacing w:after="0"/>
        <w:rPr>
          <w:sz w:val="20"/>
          <w:szCs w:val="20"/>
          <w:color w:val="auto"/>
        </w:rPr>
      </w:pPr>
      <w:r>
        <w:rPr>
          <w:rFonts w:ascii="Arial" w:cs="Arial" w:eastAsia="Arial" w:hAnsi="Arial"/>
          <w:sz w:val="18"/>
          <w:szCs w:val="18"/>
          <w:color w:val="202E39"/>
        </w:rPr>
        <w:t>/s/ Mark Dankberg</w:t>
      </w:r>
    </w:p>
    <w:p>
      <w:pPr>
        <w:ind w:left="5840"/>
        <w:spacing w:after="0"/>
        <w:rPr>
          <w:sz w:val="20"/>
          <w:szCs w:val="20"/>
          <w:color w:val="auto"/>
        </w:rPr>
      </w:pPr>
      <w:r>
        <w:rPr>
          <w:rFonts w:ascii="Arial" w:cs="Arial" w:eastAsia="Arial" w:hAnsi="Arial"/>
          <w:sz w:val="16"/>
          <w:szCs w:val="16"/>
          <w:color w:val="202E39"/>
        </w:rPr>
        <w:t>Mark Dankberg</w:t>
      </w:r>
    </w:p>
    <w:p>
      <w:pPr>
        <w:spacing w:after="0" w:line="5" w:lineRule="exact"/>
        <w:rPr>
          <w:sz w:val="20"/>
          <w:szCs w:val="20"/>
          <w:color w:val="auto"/>
        </w:rPr>
      </w:pPr>
    </w:p>
    <w:p>
      <w:pPr>
        <w:ind w:left="5840"/>
        <w:spacing w:after="0"/>
        <w:rPr>
          <w:sz w:val="20"/>
          <w:szCs w:val="20"/>
          <w:color w:val="auto"/>
        </w:rPr>
      </w:pPr>
      <w:r>
        <w:rPr>
          <w:rFonts w:ascii="Arial" w:cs="Arial" w:eastAsia="Arial" w:hAnsi="Arial"/>
          <w:sz w:val="16"/>
          <w:szCs w:val="16"/>
          <w:color w:val="202E39"/>
        </w:rPr>
        <w:t>Chairman of the Board and</w:t>
      </w:r>
    </w:p>
    <w:p>
      <w:pPr>
        <w:spacing w:after="0" w:line="5" w:lineRule="exact"/>
        <w:rPr>
          <w:sz w:val="20"/>
          <w:szCs w:val="20"/>
          <w:color w:val="auto"/>
        </w:rPr>
      </w:pPr>
    </w:p>
    <w:p>
      <w:pPr>
        <w:ind w:left="5840"/>
        <w:spacing w:after="0"/>
        <w:rPr>
          <w:sz w:val="20"/>
          <w:szCs w:val="20"/>
          <w:color w:val="auto"/>
        </w:rPr>
      </w:pPr>
      <w:r>
        <w:rPr>
          <w:rFonts w:ascii="Arial" w:cs="Arial" w:eastAsia="Arial" w:hAnsi="Arial"/>
          <w:sz w:val="16"/>
          <w:szCs w:val="16"/>
          <w:color w:val="202E39"/>
        </w:rPr>
        <w:t>Chief Executive Officer</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Carlsbad, California</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July 20, 2018</w:t>
      </w: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202E39"/>
        </w:rPr>
        <w:t>YOUR VOTE IS IMPORTANT.</w:t>
      </w:r>
    </w:p>
    <w:p>
      <w:pPr>
        <w:spacing w:after="0" w:line="2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202E39"/>
        </w:rPr>
        <w:t>WHETHER OR NOT YOU PLAN TO ATTEND THE ANNUAL MEETING IN PERSON,</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202E39"/>
        </w:rPr>
        <w:t>PLEASE SIGN, DATE AND RETURN THE ACCOMPANYING PROXY CARD.</w:t>
      </w:r>
    </w:p>
    <w:p>
      <w:pPr>
        <w:sectPr>
          <w:pgSz w:w="11900" w:h="16838" w:orient="portrait"/>
          <w:cols w:equalWidth="0" w:num="1">
            <w:col w:w="11240"/>
          </w:cols>
          <w:pgMar w:left="240" w:top="459" w:right="4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TABLE OF CONTENTS</w:t>
      </w:r>
    </w:p>
    <w:p>
      <w:pPr>
        <w:spacing w:after="0" w:line="27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860" w:type="dxa"/>
            <w:vAlign w:val="bottom"/>
            <w:gridSpan w:val="2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GENERAL INFORMATION</w:t>
              </w:r>
            </w:hyperlink>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60" w:type="dxa"/>
            <w:vAlign w:val="bottom"/>
            <w:tcBorders>
              <w:bottom w:val="single" w:sz="8" w:color="009FE3"/>
            </w:tcBorders>
          </w:tcPr>
          <w:p>
            <w:pPr>
              <w:spacing w:after="0" w:line="20" w:lineRule="exact"/>
              <w:rPr>
                <w:sz w:val="1"/>
                <w:szCs w:val="1"/>
                <w:color w:val="auto"/>
              </w:rPr>
            </w:pPr>
          </w:p>
        </w:tc>
        <w:tc>
          <w:tcPr>
            <w:tcW w:w="44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600" w:type="dxa"/>
            <w:vAlign w:val="bottom"/>
            <w:tcBorders>
              <w:top w:val="single" w:sz="8" w:color="0000EE"/>
              <w:bottom w:val="single" w:sz="8" w:color="009FE3"/>
            </w:tcBorders>
          </w:tcPr>
          <w:p>
            <w:pPr>
              <w:spacing w:after="0" w:line="20" w:lineRule="exact"/>
              <w:rPr>
                <w:sz w:val="1"/>
                <w:szCs w:val="1"/>
                <w:color w:val="auto"/>
              </w:rPr>
            </w:pPr>
          </w:p>
        </w:tc>
        <w:tc>
          <w:tcPr>
            <w:tcW w:w="320" w:type="dxa"/>
            <w:vAlign w:val="bottom"/>
            <w:tcBorders>
              <w:top w:val="single" w:sz="8" w:color="0000EE"/>
              <w:bottom w:val="single" w:sz="8" w:color="009FE3"/>
            </w:tcBorders>
          </w:tcPr>
          <w:p>
            <w:pPr>
              <w:spacing w:after="0" w:line="20" w:lineRule="exact"/>
              <w:rPr>
                <w:sz w:val="1"/>
                <w:szCs w:val="1"/>
                <w:color w:val="auto"/>
              </w:rPr>
            </w:pPr>
          </w:p>
        </w:tc>
        <w:tc>
          <w:tcPr>
            <w:tcW w:w="40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4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34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3000" w:type="dxa"/>
            <w:vAlign w:val="bottom"/>
            <w:tcBorders>
              <w:bottom w:val="single" w:sz="8" w:color="0000EE"/>
            </w:tcBorders>
            <w:gridSpan w:val="14"/>
          </w:tcPr>
          <w:p>
            <w:pPr>
              <w:spacing w:after="0" w:line="15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About the Annual Meeting and Voting</w:t>
              </w:r>
            </w:hyperlink>
          </w:p>
        </w:tc>
        <w:tc>
          <w:tcPr>
            <w:tcW w:w="1860" w:type="dxa"/>
            <w:vAlign w:val="bottom"/>
            <w:gridSpan w:val="14"/>
          </w:tcPr>
          <w:p>
            <w:pPr>
              <w:spacing w:after="0"/>
              <w:rPr>
                <w:sz w:val="13"/>
                <w:szCs w:val="13"/>
                <w:color w:val="auto"/>
              </w:rPr>
            </w:pPr>
          </w:p>
        </w:tc>
        <w:tc>
          <w:tcPr>
            <w:tcW w:w="360" w:type="dxa"/>
            <w:vAlign w:val="bottom"/>
          </w:tcPr>
          <w:p>
            <w:pPr>
              <w:jc w:val="right"/>
              <w:spacing w:after="0" w:line="156" w:lineRule="exact"/>
              <w:rPr>
                <w:sz w:val="20"/>
                <w:szCs w:val="20"/>
                <w:color w:val="auto"/>
              </w:rPr>
            </w:pPr>
            <w:r>
              <w:rPr>
                <w:rFonts w:ascii="Arial" w:cs="Arial" w:eastAsia="Arial" w:hAnsi="Arial"/>
                <w:sz w:val="18"/>
                <w:szCs w:val="18"/>
                <w:color w:val="202E39"/>
              </w:rPr>
              <w:t>1</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860" w:type="dxa"/>
            <w:vAlign w:val="bottom"/>
            <w:gridSpan w:val="28"/>
          </w:tcPr>
          <w:p>
            <w:pPr>
              <w:spacing w:after="0" w:line="182"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CORPORATE GOVERNANCE PRINCIPLES AND BOARD</w:t>
              </w:r>
            </w:hyperlink>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760" w:type="dxa"/>
            <w:vAlign w:val="bottom"/>
            <w:tcBorders>
              <w:top w:val="single" w:sz="8" w:color="0000EE"/>
            </w:tcBorders>
            <w:gridSpan w:val="27"/>
          </w:tcPr>
          <w:p>
            <w:pPr>
              <w:spacing w:after="0" w:line="182"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MATTERS</w:t>
              </w:r>
            </w:hyperlink>
          </w:p>
        </w:tc>
        <w:tc>
          <w:tcPr>
            <w:tcW w:w="1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009FE3"/>
            </w:tcBorders>
          </w:tcPr>
          <w:p>
            <w:pPr>
              <w:spacing w:after="0" w:line="20" w:lineRule="exact"/>
              <w:rPr>
                <w:sz w:val="1"/>
                <w:szCs w:val="1"/>
                <w:color w:val="auto"/>
              </w:rPr>
            </w:pPr>
          </w:p>
        </w:tc>
        <w:tc>
          <w:tcPr>
            <w:tcW w:w="44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600" w:type="dxa"/>
            <w:vAlign w:val="bottom"/>
            <w:tcBorders>
              <w:bottom w:val="single" w:sz="8" w:color="009FE3"/>
            </w:tcBorders>
          </w:tcPr>
          <w:p>
            <w:pPr>
              <w:spacing w:after="0" w:line="20" w:lineRule="exact"/>
              <w:rPr>
                <w:sz w:val="1"/>
                <w:szCs w:val="1"/>
                <w:color w:val="auto"/>
              </w:rPr>
            </w:pPr>
          </w:p>
        </w:tc>
        <w:tc>
          <w:tcPr>
            <w:tcW w:w="320" w:type="dxa"/>
            <w:vAlign w:val="bottom"/>
            <w:tcBorders>
              <w:bottom w:val="single" w:sz="8" w:color="009FE3"/>
            </w:tcBorders>
          </w:tcPr>
          <w:p>
            <w:pPr>
              <w:spacing w:after="0" w:line="20" w:lineRule="exact"/>
              <w:rPr>
                <w:sz w:val="1"/>
                <w:szCs w:val="1"/>
                <w:color w:val="auto"/>
              </w:rPr>
            </w:pPr>
          </w:p>
        </w:tc>
        <w:tc>
          <w:tcPr>
            <w:tcW w:w="40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4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34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4860" w:type="dxa"/>
            <w:vAlign w:val="bottom"/>
            <w:gridSpan w:val="28"/>
          </w:tcPr>
          <w:p>
            <w:pPr>
              <w:spacing w:after="0" w:line="156" w:lineRule="exact"/>
              <w:rPr>
                <w:rFonts w:ascii="Arial" w:cs="Arial" w:eastAsia="Arial" w:hAnsi="Arial"/>
                <w:sz w:val="18"/>
                <w:szCs w:val="18"/>
                <w:color w:val="0000EE"/>
              </w:rPr>
            </w:pPr>
            <w:hyperlink w:anchor="page8">
              <w:r>
                <w:rPr>
                  <w:rFonts w:ascii="Arial" w:cs="Arial" w:eastAsia="Arial" w:hAnsi="Arial"/>
                  <w:sz w:val="18"/>
                  <w:szCs w:val="18"/>
                  <w:color w:val="0000EE"/>
                </w:rPr>
                <w:t>Board Responsibilities</w:t>
              </w:r>
            </w:hyperlink>
          </w:p>
        </w:tc>
        <w:tc>
          <w:tcPr>
            <w:tcW w:w="360" w:type="dxa"/>
            <w:vAlign w:val="bottom"/>
          </w:tcPr>
          <w:p>
            <w:pPr>
              <w:jc w:val="right"/>
              <w:spacing w:after="0" w:line="156" w:lineRule="exact"/>
              <w:rPr>
                <w:sz w:val="20"/>
                <w:szCs w:val="20"/>
                <w:color w:val="auto"/>
              </w:rPr>
            </w:pPr>
            <w:r>
              <w:rPr>
                <w:rFonts w:ascii="Arial" w:cs="Arial" w:eastAsia="Arial" w:hAnsi="Arial"/>
                <w:sz w:val="18"/>
                <w:szCs w:val="18"/>
                <w:color w:val="202E39"/>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4860" w:type="dxa"/>
            <w:vAlign w:val="bottom"/>
            <w:gridSpan w:val="28"/>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Board Leadership and Independence</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4860" w:type="dxa"/>
            <w:vAlign w:val="bottom"/>
            <w:gridSpan w:val="28"/>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Board Structure and Committee Composition</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7</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Director Nomination Process</w:t>
              </w:r>
            </w:hyperlink>
          </w:p>
        </w:tc>
        <w:tc>
          <w:tcPr>
            <w:tcW w:w="1280" w:type="dxa"/>
            <w:vAlign w:val="bottom"/>
            <w:tcBorders>
              <w:top w:val="single" w:sz="8" w:color="0000EE"/>
            </w:tcBorders>
            <w:gridSpan w:val="9"/>
          </w:tcPr>
          <w:p>
            <w:pPr>
              <w:spacing w:after="0"/>
              <w:rPr>
                <w:sz w:val="15"/>
                <w:szCs w:val="15"/>
                <w:color w:val="auto"/>
              </w:rPr>
            </w:pPr>
          </w:p>
        </w:tc>
        <w:tc>
          <w:tcPr>
            <w:tcW w:w="1280" w:type="dxa"/>
            <w:vAlign w:val="bottom"/>
            <w:gridSpan w:val="10"/>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8</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860" w:type="dxa"/>
            <w:vAlign w:val="bottom"/>
            <w:gridSpan w:val="28"/>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Communications with the Board</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8</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540" w:type="dxa"/>
            <w:vAlign w:val="bottom"/>
            <w:tcBorders>
              <w:top w:val="single" w:sz="8" w:color="0000EE"/>
            </w:tcBorders>
            <w:gridSpan w:val="12"/>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PROPOSAL 1: ELECTION OF</w:t>
              </w:r>
            </w:hyperlink>
          </w:p>
        </w:tc>
        <w:tc>
          <w:tcPr>
            <w:tcW w:w="2320" w:type="dxa"/>
            <w:vAlign w:val="bottom"/>
            <w:gridSpan w:val="16"/>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DIRECTORS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60" w:type="dxa"/>
            <w:vAlign w:val="bottom"/>
            <w:tcBorders>
              <w:bottom w:val="single" w:sz="8" w:color="009FE3"/>
            </w:tcBorders>
          </w:tcPr>
          <w:p>
            <w:pPr>
              <w:spacing w:after="0" w:line="20" w:lineRule="exact"/>
              <w:rPr>
                <w:sz w:val="1"/>
                <w:szCs w:val="1"/>
                <w:color w:val="auto"/>
              </w:rPr>
            </w:pPr>
          </w:p>
        </w:tc>
        <w:tc>
          <w:tcPr>
            <w:tcW w:w="44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600" w:type="dxa"/>
            <w:vAlign w:val="bottom"/>
            <w:tcBorders>
              <w:top w:val="single" w:sz="8" w:color="0000EE"/>
              <w:bottom w:val="single" w:sz="8" w:color="009FE3"/>
            </w:tcBorders>
          </w:tcPr>
          <w:p>
            <w:pPr>
              <w:spacing w:after="0" w:line="20" w:lineRule="exact"/>
              <w:rPr>
                <w:sz w:val="1"/>
                <w:szCs w:val="1"/>
                <w:color w:val="auto"/>
              </w:rPr>
            </w:pPr>
          </w:p>
        </w:tc>
        <w:tc>
          <w:tcPr>
            <w:tcW w:w="320" w:type="dxa"/>
            <w:vAlign w:val="bottom"/>
            <w:tcBorders>
              <w:top w:val="single" w:sz="8" w:color="0000EE"/>
              <w:bottom w:val="single" w:sz="8" w:color="009FE3"/>
            </w:tcBorders>
          </w:tcPr>
          <w:p>
            <w:pPr>
              <w:spacing w:after="0" w:line="20" w:lineRule="exact"/>
              <w:rPr>
                <w:sz w:val="1"/>
                <w:szCs w:val="1"/>
                <w:color w:val="auto"/>
              </w:rPr>
            </w:pPr>
          </w:p>
        </w:tc>
        <w:tc>
          <w:tcPr>
            <w:tcW w:w="40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42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top w:val="single" w:sz="8" w:color="0000EE"/>
              <w:bottom w:val="single" w:sz="8" w:color="009FE3"/>
            </w:tcBorders>
          </w:tcPr>
          <w:p>
            <w:pPr>
              <w:spacing w:after="0" w:line="20" w:lineRule="exact"/>
              <w:rPr>
                <w:sz w:val="1"/>
                <w:szCs w:val="1"/>
                <w:color w:val="auto"/>
              </w:rPr>
            </w:pPr>
          </w:p>
        </w:tc>
        <w:tc>
          <w:tcPr>
            <w:tcW w:w="180" w:type="dxa"/>
            <w:vAlign w:val="bottom"/>
            <w:tcBorders>
              <w:top w:val="single" w:sz="8" w:color="0000EE"/>
              <w:bottom w:val="single" w:sz="8" w:color="009FE3"/>
            </w:tcBorders>
          </w:tcPr>
          <w:p>
            <w:pPr>
              <w:spacing w:after="0" w:line="20" w:lineRule="exact"/>
              <w:rPr>
                <w:sz w:val="1"/>
                <w:szCs w:val="1"/>
                <w:color w:val="auto"/>
              </w:rPr>
            </w:pPr>
          </w:p>
        </w:tc>
        <w:tc>
          <w:tcPr>
            <w:tcW w:w="28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10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34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780" w:type="dxa"/>
            <w:vAlign w:val="bottom"/>
            <w:tcBorders>
              <w:bottom w:val="single" w:sz="8" w:color="0000EE"/>
            </w:tcBorders>
            <w:gridSpan w:val="4"/>
          </w:tcPr>
          <w:p>
            <w:pPr>
              <w:spacing w:after="0" w:line="156" w:lineRule="exact"/>
              <w:rPr>
                <w:rFonts w:ascii="Arial" w:cs="Arial" w:eastAsia="Arial" w:hAnsi="Arial"/>
                <w:sz w:val="18"/>
                <w:szCs w:val="18"/>
                <w:color w:val="0000EE"/>
              </w:rPr>
            </w:pPr>
            <w:hyperlink w:anchor="page12">
              <w:r>
                <w:rPr>
                  <w:rFonts w:ascii="Arial" w:cs="Arial" w:eastAsia="Arial" w:hAnsi="Arial"/>
                  <w:sz w:val="18"/>
                  <w:szCs w:val="18"/>
                  <w:color w:val="0000EE"/>
                </w:rPr>
                <w:t>Overview</w:t>
              </w:r>
            </w:hyperlink>
          </w:p>
        </w:tc>
        <w:tc>
          <w:tcPr>
            <w:tcW w:w="4080" w:type="dxa"/>
            <w:vAlign w:val="bottom"/>
            <w:gridSpan w:val="24"/>
          </w:tcPr>
          <w:p>
            <w:pPr>
              <w:spacing w:after="0"/>
              <w:rPr>
                <w:sz w:val="13"/>
                <w:szCs w:val="13"/>
                <w:color w:val="auto"/>
              </w:rPr>
            </w:pPr>
          </w:p>
        </w:tc>
        <w:tc>
          <w:tcPr>
            <w:tcW w:w="360" w:type="dxa"/>
            <w:vAlign w:val="bottom"/>
          </w:tcPr>
          <w:p>
            <w:pPr>
              <w:jc w:val="right"/>
              <w:spacing w:after="0" w:line="156" w:lineRule="exact"/>
              <w:rPr>
                <w:sz w:val="20"/>
                <w:szCs w:val="20"/>
                <w:color w:val="auto"/>
              </w:rPr>
            </w:pPr>
            <w:r>
              <w:rPr>
                <w:rFonts w:ascii="Arial" w:cs="Arial" w:eastAsia="Arial" w:hAnsi="Arial"/>
                <w:sz w:val="18"/>
                <w:szCs w:val="18"/>
                <w:color w:val="202E39"/>
              </w:rPr>
              <w:t>9</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34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Class I Directors Nominated for Election at this Annual</w:t>
              </w:r>
            </w:hyperlink>
          </w:p>
        </w:tc>
        <w:tc>
          <w:tcPr>
            <w:tcW w:w="520" w:type="dxa"/>
            <w:vAlign w:val="bottom"/>
            <w:gridSpan w:val="5"/>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860" w:type="dxa"/>
            <w:vAlign w:val="bottom"/>
            <w:gridSpan w:val="28"/>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Meeting</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10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4860" w:type="dxa"/>
            <w:vAlign w:val="bottom"/>
            <w:gridSpan w:val="28"/>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Class II Directors with Terms Expiring in 2019</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11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68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Class III Directors with Terms Expiring in 2020</w:t>
              </w:r>
            </w:hyperlink>
          </w:p>
        </w:tc>
        <w:tc>
          <w:tcPr>
            <w:tcW w:w="1180" w:type="dxa"/>
            <w:vAlign w:val="bottom"/>
            <w:gridSpan w:val="8"/>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12</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860" w:type="dxa"/>
            <w:vAlign w:val="bottom"/>
            <w:gridSpan w:val="28"/>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Recommendation of the Board</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12</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460" w:type="dxa"/>
            <w:vAlign w:val="bottom"/>
            <w:tcBorders>
              <w:top w:val="single" w:sz="8" w:color="0000EE"/>
            </w:tcBorders>
            <w:gridSpan w:val="11"/>
          </w:tcPr>
          <w:p>
            <w:pPr>
              <w:spacing w:after="0" w:line="182" w:lineRule="exact"/>
              <w:rPr>
                <w:rFonts w:ascii="Arial" w:cs="Arial" w:eastAsia="Arial" w:hAnsi="Arial"/>
                <w:sz w:val="18"/>
                <w:szCs w:val="18"/>
                <w:b w:val="1"/>
                <w:bCs w:val="1"/>
                <w:color w:val="0000EE"/>
                <w:w w:val="96"/>
              </w:rPr>
            </w:pPr>
            <w:hyperlink w:anchor="page16">
              <w:r>
                <w:rPr>
                  <w:rFonts w:ascii="Arial" w:cs="Arial" w:eastAsia="Arial" w:hAnsi="Arial"/>
                  <w:sz w:val="18"/>
                  <w:szCs w:val="18"/>
                  <w:b w:val="1"/>
                  <w:bCs w:val="1"/>
                  <w:color w:val="0000EE"/>
                  <w:w w:val="96"/>
                </w:rPr>
                <w:t>PROPOSAL 2: RATIFICATION</w:t>
              </w:r>
            </w:hyperlink>
          </w:p>
        </w:tc>
        <w:tc>
          <w:tcPr>
            <w:tcW w:w="2400" w:type="dxa"/>
            <w:vAlign w:val="bottom"/>
            <w:gridSpan w:val="17"/>
          </w:tcPr>
          <w:p>
            <w:pPr>
              <w:ind w:left="100"/>
              <w:spacing w:after="0" w:line="18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OF APPOINTMENT OF</w:t>
              </w:r>
            </w:hyperlink>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48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b w:val="1"/>
                <w:bCs w:val="1"/>
                <w:color w:val="0000EE"/>
                <w:w w:val="99"/>
              </w:rPr>
            </w:pPr>
            <w:hyperlink w:anchor="page16">
              <w:r>
                <w:rPr>
                  <w:rFonts w:ascii="Arial" w:cs="Arial" w:eastAsia="Arial" w:hAnsi="Arial"/>
                  <w:sz w:val="18"/>
                  <w:szCs w:val="18"/>
                  <w:b w:val="1"/>
                  <w:bCs w:val="1"/>
                  <w:color w:val="0000EE"/>
                  <w:w w:val="99"/>
                </w:rPr>
                <w:t>INDEPENDENT REGISTERED PUBLIC ACCOUNTING</w:t>
              </w:r>
            </w:hyperlink>
          </w:p>
        </w:tc>
        <w:tc>
          <w:tcPr>
            <w:tcW w:w="20" w:type="dxa"/>
            <w:vAlign w:val="bottom"/>
            <w:tcBorders>
              <w:bottom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500" w:type="dxa"/>
            <w:vAlign w:val="bottom"/>
            <w:gridSpan w:val="25"/>
          </w:tcPr>
          <w:p>
            <w:pPr>
              <w:spacing w:after="0" w:line="18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FIRM</w:t>
              </w:r>
            </w:hyperlink>
          </w:p>
        </w:tc>
        <w:tc>
          <w:tcPr>
            <w:tcW w:w="6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009FE3"/>
            </w:tcBorders>
          </w:tcPr>
          <w:p>
            <w:pPr>
              <w:spacing w:after="0" w:line="20" w:lineRule="exact"/>
              <w:rPr>
                <w:sz w:val="1"/>
                <w:szCs w:val="1"/>
                <w:color w:val="auto"/>
              </w:rPr>
            </w:pPr>
          </w:p>
        </w:tc>
        <w:tc>
          <w:tcPr>
            <w:tcW w:w="44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600" w:type="dxa"/>
            <w:vAlign w:val="bottom"/>
            <w:tcBorders>
              <w:bottom w:val="single" w:sz="8" w:color="009FE3"/>
            </w:tcBorders>
          </w:tcPr>
          <w:p>
            <w:pPr>
              <w:spacing w:after="0" w:line="20" w:lineRule="exact"/>
              <w:rPr>
                <w:sz w:val="1"/>
                <w:szCs w:val="1"/>
                <w:color w:val="auto"/>
              </w:rPr>
            </w:pPr>
          </w:p>
        </w:tc>
        <w:tc>
          <w:tcPr>
            <w:tcW w:w="320" w:type="dxa"/>
            <w:vAlign w:val="bottom"/>
            <w:tcBorders>
              <w:bottom w:val="single" w:sz="8" w:color="009FE3"/>
            </w:tcBorders>
          </w:tcPr>
          <w:p>
            <w:pPr>
              <w:spacing w:after="0" w:line="20" w:lineRule="exact"/>
              <w:rPr>
                <w:sz w:val="1"/>
                <w:szCs w:val="1"/>
                <w:color w:val="auto"/>
              </w:rPr>
            </w:pPr>
          </w:p>
        </w:tc>
        <w:tc>
          <w:tcPr>
            <w:tcW w:w="40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4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34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780" w:type="dxa"/>
            <w:vAlign w:val="bottom"/>
            <w:tcBorders>
              <w:bottom w:val="single" w:sz="8" w:color="0000EE"/>
            </w:tcBorders>
            <w:gridSpan w:val="4"/>
          </w:tcPr>
          <w:p>
            <w:pPr>
              <w:spacing w:after="0" w:line="156" w:lineRule="exact"/>
              <w:rPr>
                <w:rFonts w:ascii="Arial" w:cs="Arial" w:eastAsia="Arial" w:hAnsi="Arial"/>
                <w:sz w:val="18"/>
                <w:szCs w:val="18"/>
                <w:color w:val="0000EE"/>
              </w:rPr>
            </w:pPr>
            <w:hyperlink w:anchor="page16">
              <w:r>
                <w:rPr>
                  <w:rFonts w:ascii="Arial" w:cs="Arial" w:eastAsia="Arial" w:hAnsi="Arial"/>
                  <w:sz w:val="18"/>
                  <w:szCs w:val="18"/>
                  <w:color w:val="0000EE"/>
                </w:rPr>
                <w:t>Overview</w:t>
              </w:r>
            </w:hyperlink>
          </w:p>
        </w:tc>
        <w:tc>
          <w:tcPr>
            <w:tcW w:w="4080" w:type="dxa"/>
            <w:vAlign w:val="bottom"/>
            <w:gridSpan w:val="24"/>
          </w:tcPr>
          <w:p>
            <w:pPr>
              <w:spacing w:after="0"/>
              <w:rPr>
                <w:sz w:val="13"/>
                <w:szCs w:val="13"/>
                <w:color w:val="auto"/>
              </w:rPr>
            </w:pPr>
          </w:p>
        </w:tc>
        <w:tc>
          <w:tcPr>
            <w:tcW w:w="360" w:type="dxa"/>
            <w:vAlign w:val="bottom"/>
          </w:tcPr>
          <w:p>
            <w:pPr>
              <w:jc w:val="right"/>
              <w:spacing w:after="0" w:line="156" w:lineRule="exact"/>
              <w:rPr>
                <w:sz w:val="20"/>
                <w:szCs w:val="20"/>
                <w:color w:val="auto"/>
              </w:rPr>
            </w:pPr>
            <w:r>
              <w:rPr>
                <w:rFonts w:ascii="Arial" w:cs="Arial" w:eastAsia="Arial" w:hAnsi="Arial"/>
                <w:sz w:val="18"/>
                <w:szCs w:val="18"/>
                <w:color w:val="202E39"/>
              </w:rPr>
              <w:t>13</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860" w:type="dxa"/>
            <w:vAlign w:val="bottom"/>
            <w:gridSpan w:val="28"/>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Principal Accountant Fees and Services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13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4860" w:type="dxa"/>
            <w:vAlign w:val="bottom"/>
            <w:gridSpan w:val="28"/>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Pre-Approval Policy of the Audit Committee</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14</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4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Recommendation of the Board</w:t>
              </w:r>
            </w:hyperlink>
          </w:p>
        </w:tc>
        <w:tc>
          <w:tcPr>
            <w:tcW w:w="1000" w:type="dxa"/>
            <w:vAlign w:val="bottom"/>
            <w:tcBorders>
              <w:top w:val="single" w:sz="8" w:color="0000EE"/>
            </w:tcBorders>
            <w:gridSpan w:val="5"/>
          </w:tcPr>
          <w:p>
            <w:pPr>
              <w:spacing w:after="0"/>
              <w:rPr>
                <w:sz w:val="15"/>
                <w:szCs w:val="15"/>
                <w:color w:val="auto"/>
              </w:rPr>
            </w:pPr>
          </w:p>
        </w:tc>
        <w:tc>
          <w:tcPr>
            <w:tcW w:w="1400" w:type="dxa"/>
            <w:vAlign w:val="bottom"/>
            <w:gridSpan w:val="1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14</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860" w:type="dxa"/>
            <w:vAlign w:val="bottom"/>
            <w:gridSpan w:val="28"/>
          </w:tcPr>
          <w:p>
            <w:pPr>
              <w:spacing w:after="0" w:line="182"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PROPOSAL 3: ADVISORY VOTE ON EXECUTIVE</w:t>
              </w:r>
            </w:hyperlink>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140" w:type="dxa"/>
            <w:vAlign w:val="bottom"/>
            <w:tcBorders>
              <w:top w:val="single" w:sz="8" w:color="0000EE"/>
            </w:tcBorders>
            <w:gridSpan w:val="22"/>
          </w:tcPr>
          <w:p>
            <w:pPr>
              <w:spacing w:after="0" w:line="182"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COMPENSATION</w:t>
              </w:r>
            </w:hyperlink>
          </w:p>
        </w:tc>
        <w:tc>
          <w:tcPr>
            <w:tcW w:w="420" w:type="dxa"/>
            <w:vAlign w:val="bottom"/>
            <w:gridSpan w:val="4"/>
          </w:tcPr>
          <w:p>
            <w:pPr>
              <w:spacing w:after="0"/>
              <w:rPr>
                <w:sz w:val="15"/>
                <w:szCs w:val="15"/>
                <w:color w:val="auto"/>
              </w:rPr>
            </w:pPr>
          </w:p>
        </w:tc>
        <w:tc>
          <w:tcPr>
            <w:tcW w:w="300" w:type="dxa"/>
            <w:vAlign w:val="bottom"/>
            <w:gridSpan w:val="2"/>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009FE3"/>
            </w:tcBorders>
          </w:tcPr>
          <w:p>
            <w:pPr>
              <w:spacing w:after="0" w:line="20" w:lineRule="exact"/>
              <w:rPr>
                <w:sz w:val="1"/>
                <w:szCs w:val="1"/>
                <w:color w:val="auto"/>
              </w:rPr>
            </w:pPr>
          </w:p>
        </w:tc>
        <w:tc>
          <w:tcPr>
            <w:tcW w:w="44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600" w:type="dxa"/>
            <w:vAlign w:val="bottom"/>
            <w:tcBorders>
              <w:top w:val="single" w:sz="8" w:color="0000EE"/>
              <w:bottom w:val="single" w:sz="8" w:color="009FE3"/>
            </w:tcBorders>
          </w:tcPr>
          <w:p>
            <w:pPr>
              <w:spacing w:after="0" w:line="20" w:lineRule="exact"/>
              <w:rPr>
                <w:sz w:val="1"/>
                <w:szCs w:val="1"/>
                <w:color w:val="auto"/>
              </w:rPr>
            </w:pPr>
          </w:p>
        </w:tc>
        <w:tc>
          <w:tcPr>
            <w:tcW w:w="320" w:type="dxa"/>
            <w:vAlign w:val="bottom"/>
            <w:tcBorders>
              <w:bottom w:val="single" w:sz="8" w:color="009FE3"/>
            </w:tcBorders>
          </w:tcPr>
          <w:p>
            <w:pPr>
              <w:spacing w:after="0" w:line="20" w:lineRule="exact"/>
              <w:rPr>
                <w:sz w:val="1"/>
                <w:szCs w:val="1"/>
                <w:color w:val="auto"/>
              </w:rPr>
            </w:pPr>
          </w:p>
        </w:tc>
        <w:tc>
          <w:tcPr>
            <w:tcW w:w="40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4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34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780" w:type="dxa"/>
            <w:vAlign w:val="bottom"/>
            <w:tcBorders>
              <w:bottom w:val="single" w:sz="8" w:color="0000EE"/>
            </w:tcBorders>
            <w:gridSpan w:val="4"/>
          </w:tcPr>
          <w:p>
            <w:pPr>
              <w:spacing w:after="0" w:line="156" w:lineRule="exact"/>
              <w:rPr>
                <w:rFonts w:ascii="Arial" w:cs="Arial" w:eastAsia="Arial" w:hAnsi="Arial"/>
                <w:sz w:val="18"/>
                <w:szCs w:val="18"/>
                <w:color w:val="0000EE"/>
              </w:rPr>
            </w:pPr>
            <w:hyperlink w:anchor="page18">
              <w:r>
                <w:rPr>
                  <w:rFonts w:ascii="Arial" w:cs="Arial" w:eastAsia="Arial" w:hAnsi="Arial"/>
                  <w:sz w:val="18"/>
                  <w:szCs w:val="18"/>
                  <w:color w:val="0000EE"/>
                </w:rPr>
                <w:t>Overview</w:t>
              </w:r>
            </w:hyperlink>
          </w:p>
        </w:tc>
        <w:tc>
          <w:tcPr>
            <w:tcW w:w="4080" w:type="dxa"/>
            <w:vAlign w:val="bottom"/>
            <w:gridSpan w:val="24"/>
          </w:tcPr>
          <w:p>
            <w:pPr>
              <w:spacing w:after="0"/>
              <w:rPr>
                <w:sz w:val="13"/>
                <w:szCs w:val="13"/>
                <w:color w:val="auto"/>
              </w:rPr>
            </w:pPr>
          </w:p>
        </w:tc>
        <w:tc>
          <w:tcPr>
            <w:tcW w:w="360" w:type="dxa"/>
            <w:vAlign w:val="bottom"/>
          </w:tcPr>
          <w:p>
            <w:pPr>
              <w:jc w:val="right"/>
              <w:spacing w:after="0" w:line="156" w:lineRule="exact"/>
              <w:rPr>
                <w:sz w:val="20"/>
                <w:szCs w:val="20"/>
                <w:color w:val="auto"/>
              </w:rPr>
            </w:pPr>
            <w:r>
              <w:rPr>
                <w:rFonts w:ascii="Arial" w:cs="Arial" w:eastAsia="Arial" w:hAnsi="Arial"/>
                <w:sz w:val="18"/>
                <w:szCs w:val="18"/>
                <w:color w:val="202E39"/>
              </w:rPr>
              <w:t>15</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860" w:type="dxa"/>
            <w:vAlign w:val="bottom"/>
            <w:gridSpan w:val="28"/>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Recommendation of the Board</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15</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440" w:type="dxa"/>
            <w:vAlign w:val="bottom"/>
            <w:tcBorders>
              <w:top w:val="single" w:sz="8" w:color="0000EE"/>
            </w:tcBorders>
            <w:gridSpan w:val="10"/>
          </w:tcPr>
          <w:p>
            <w:pPr>
              <w:spacing w:after="0" w:line="182" w:lineRule="exact"/>
              <w:rPr>
                <w:rFonts w:ascii="Arial" w:cs="Arial" w:eastAsia="Arial" w:hAnsi="Arial"/>
                <w:sz w:val="18"/>
                <w:szCs w:val="18"/>
                <w:b w:val="1"/>
                <w:bCs w:val="1"/>
                <w:color w:val="0000EE"/>
                <w:w w:val="99"/>
              </w:rPr>
            </w:pPr>
            <w:hyperlink w:anchor="page19">
              <w:r>
                <w:rPr>
                  <w:rFonts w:ascii="Arial" w:cs="Arial" w:eastAsia="Arial" w:hAnsi="Arial"/>
                  <w:sz w:val="18"/>
                  <w:szCs w:val="18"/>
                  <w:b w:val="1"/>
                  <w:bCs w:val="1"/>
                  <w:color w:val="0000EE"/>
                  <w:w w:val="99"/>
                </w:rPr>
                <w:t>PROPOSAL 4: AMENDMENT</w:t>
              </w:r>
            </w:hyperlink>
          </w:p>
        </w:tc>
        <w:tc>
          <w:tcPr>
            <w:tcW w:w="2420" w:type="dxa"/>
            <w:vAlign w:val="bottom"/>
            <w:gridSpan w:val="18"/>
          </w:tcPr>
          <w:p>
            <w:pPr>
              <w:ind w:left="60"/>
              <w:spacing w:after="0" w:line="182"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AND RESTATEMENT OF</w:t>
              </w:r>
            </w:hyperlink>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560" w:type="dxa"/>
            <w:vAlign w:val="bottom"/>
            <w:tcBorders>
              <w:top w:val="single" w:sz="8" w:color="0000EE"/>
            </w:tcBorders>
            <w:gridSpan w:val="26"/>
          </w:tcPr>
          <w:p>
            <w:pPr>
              <w:spacing w:after="0" w:line="182"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THE 1996 EQUITY PARTICIPATION PLAN</w:t>
              </w:r>
            </w:hyperlink>
          </w:p>
        </w:tc>
        <w:tc>
          <w:tcPr>
            <w:tcW w:w="300" w:type="dxa"/>
            <w:vAlign w:val="bottom"/>
            <w:gridSpan w:val="2"/>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009FE3"/>
            </w:tcBorders>
          </w:tcPr>
          <w:p>
            <w:pPr>
              <w:spacing w:after="0" w:line="20" w:lineRule="exact"/>
              <w:rPr>
                <w:sz w:val="1"/>
                <w:szCs w:val="1"/>
                <w:color w:val="auto"/>
              </w:rPr>
            </w:pPr>
          </w:p>
        </w:tc>
        <w:tc>
          <w:tcPr>
            <w:tcW w:w="44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600" w:type="dxa"/>
            <w:vAlign w:val="bottom"/>
            <w:tcBorders>
              <w:top w:val="single" w:sz="8" w:color="0000EE"/>
              <w:bottom w:val="single" w:sz="8" w:color="009FE3"/>
            </w:tcBorders>
          </w:tcPr>
          <w:p>
            <w:pPr>
              <w:spacing w:after="0" w:line="20" w:lineRule="exact"/>
              <w:rPr>
                <w:sz w:val="1"/>
                <w:szCs w:val="1"/>
                <w:color w:val="auto"/>
              </w:rPr>
            </w:pPr>
          </w:p>
        </w:tc>
        <w:tc>
          <w:tcPr>
            <w:tcW w:w="320" w:type="dxa"/>
            <w:vAlign w:val="bottom"/>
            <w:tcBorders>
              <w:top w:val="single" w:sz="8" w:color="0000EE"/>
              <w:bottom w:val="single" w:sz="8" w:color="009FE3"/>
            </w:tcBorders>
          </w:tcPr>
          <w:p>
            <w:pPr>
              <w:spacing w:after="0" w:line="20" w:lineRule="exact"/>
              <w:rPr>
                <w:sz w:val="1"/>
                <w:szCs w:val="1"/>
                <w:color w:val="auto"/>
              </w:rPr>
            </w:pPr>
          </w:p>
        </w:tc>
        <w:tc>
          <w:tcPr>
            <w:tcW w:w="400" w:type="dxa"/>
            <w:vAlign w:val="bottom"/>
            <w:tcBorders>
              <w:top w:val="single" w:sz="8" w:color="0000EE"/>
              <w:bottom w:val="single" w:sz="8" w:color="009FE3"/>
            </w:tcBorders>
          </w:tcPr>
          <w:p>
            <w:pPr>
              <w:spacing w:after="0" w:line="20" w:lineRule="exact"/>
              <w:rPr>
                <w:sz w:val="1"/>
                <w:szCs w:val="1"/>
                <w:color w:val="auto"/>
              </w:rPr>
            </w:pPr>
          </w:p>
        </w:tc>
        <w:tc>
          <w:tcPr>
            <w:tcW w:w="12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42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top w:val="single" w:sz="8" w:color="0000EE"/>
              <w:bottom w:val="single" w:sz="8" w:color="009FE3"/>
            </w:tcBorders>
          </w:tcPr>
          <w:p>
            <w:pPr>
              <w:spacing w:after="0" w:line="20" w:lineRule="exact"/>
              <w:rPr>
                <w:sz w:val="1"/>
                <w:szCs w:val="1"/>
                <w:color w:val="auto"/>
              </w:rPr>
            </w:pPr>
          </w:p>
        </w:tc>
        <w:tc>
          <w:tcPr>
            <w:tcW w:w="180" w:type="dxa"/>
            <w:vAlign w:val="bottom"/>
            <w:tcBorders>
              <w:top w:val="single" w:sz="8" w:color="0000EE"/>
              <w:bottom w:val="single" w:sz="8" w:color="009FE3"/>
            </w:tcBorders>
          </w:tcPr>
          <w:p>
            <w:pPr>
              <w:spacing w:after="0" w:line="20" w:lineRule="exact"/>
              <w:rPr>
                <w:sz w:val="1"/>
                <w:szCs w:val="1"/>
                <w:color w:val="auto"/>
              </w:rPr>
            </w:pPr>
          </w:p>
        </w:tc>
        <w:tc>
          <w:tcPr>
            <w:tcW w:w="28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34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760" w:type="dxa"/>
            <w:vAlign w:val="bottom"/>
            <w:tcBorders>
              <w:bottom w:val="single" w:sz="8" w:color="0000EE"/>
            </w:tcBorders>
            <w:gridSpan w:val="3"/>
          </w:tcPr>
          <w:p>
            <w:pPr>
              <w:spacing w:after="0" w:line="156"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Overview</w:t>
              </w:r>
            </w:hyperlink>
          </w:p>
        </w:tc>
        <w:tc>
          <w:tcPr>
            <w:tcW w:w="4100" w:type="dxa"/>
            <w:vAlign w:val="bottom"/>
            <w:gridSpan w:val="25"/>
          </w:tcPr>
          <w:p>
            <w:pPr>
              <w:spacing w:after="0"/>
              <w:rPr>
                <w:sz w:val="13"/>
                <w:szCs w:val="13"/>
                <w:color w:val="auto"/>
              </w:rPr>
            </w:pPr>
          </w:p>
        </w:tc>
        <w:tc>
          <w:tcPr>
            <w:tcW w:w="360" w:type="dxa"/>
            <w:vAlign w:val="bottom"/>
          </w:tcPr>
          <w:p>
            <w:pPr>
              <w:jc w:val="right"/>
              <w:spacing w:after="0" w:line="156" w:lineRule="exact"/>
              <w:rPr>
                <w:sz w:val="20"/>
                <w:szCs w:val="20"/>
                <w:color w:val="auto"/>
              </w:rPr>
            </w:pPr>
            <w:r>
              <w:rPr>
                <w:rFonts w:ascii="Arial" w:cs="Arial" w:eastAsia="Arial" w:hAnsi="Arial"/>
                <w:sz w:val="18"/>
                <w:szCs w:val="18"/>
                <w:color w:val="202E39"/>
              </w:rPr>
              <w:t>16</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860" w:type="dxa"/>
            <w:vAlign w:val="bottom"/>
            <w:gridSpan w:val="28"/>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Why You Should Vote for the Restated Equity Plan</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16</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2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Summary of the Restated Equity Plan</w:t>
              </w:r>
            </w:hyperlink>
          </w:p>
        </w:tc>
        <w:tc>
          <w:tcPr>
            <w:tcW w:w="840" w:type="dxa"/>
            <w:vAlign w:val="bottom"/>
            <w:gridSpan w:val="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19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324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U.S. Federal Income Tax Consequences</w:t>
              </w:r>
            </w:hyperlink>
          </w:p>
        </w:tc>
        <w:tc>
          <w:tcPr>
            <w:tcW w:w="1560" w:type="dxa"/>
            <w:vAlign w:val="bottom"/>
            <w:gridSpan w:val="9"/>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202E39"/>
              </w:rPr>
              <w:t>21</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48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New Plan Benefits</w:t>
              </w:r>
            </w:hyperlink>
          </w:p>
        </w:tc>
        <w:tc>
          <w:tcPr>
            <w:tcW w:w="3320" w:type="dxa"/>
            <w:vAlign w:val="bottom"/>
            <w:gridSpan w:val="25"/>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23</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800" w:type="dxa"/>
            <w:vAlign w:val="bottom"/>
            <w:gridSpan w:val="30"/>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Recommendation of the Board</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23</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24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b w:val="1"/>
                <w:bCs w:val="1"/>
                <w:color w:val="0000EE"/>
                <w:w w:val="95"/>
              </w:rPr>
            </w:pPr>
            <w:hyperlink w:anchor="page27">
              <w:r>
                <w:rPr>
                  <w:rFonts w:ascii="Arial" w:cs="Arial" w:eastAsia="Arial" w:hAnsi="Arial"/>
                  <w:sz w:val="18"/>
                  <w:szCs w:val="18"/>
                  <w:b w:val="1"/>
                  <w:bCs w:val="1"/>
                  <w:color w:val="0000EE"/>
                  <w:w w:val="95"/>
                </w:rPr>
                <w:t>OWNERSHIP OF SECURITIES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100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300" w:type="dxa"/>
            <w:vAlign w:val="bottom"/>
            <w:tcBorders>
              <w:bottom w:val="single" w:sz="8" w:color="009FE3"/>
            </w:tcBorders>
          </w:tcPr>
          <w:p>
            <w:pPr>
              <w:spacing w:after="0" w:line="20" w:lineRule="exact"/>
              <w:rPr>
                <w:sz w:val="1"/>
                <w:szCs w:val="1"/>
                <w:color w:val="auto"/>
              </w:rPr>
            </w:pPr>
          </w:p>
        </w:tc>
        <w:tc>
          <w:tcPr>
            <w:tcW w:w="3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3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8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52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2180" w:type="dxa"/>
            <w:vAlign w:val="bottom"/>
            <w:tcBorders>
              <w:bottom w:val="single" w:sz="8" w:color="0000EE"/>
            </w:tcBorders>
            <w:gridSpan w:val="9"/>
          </w:tcPr>
          <w:p>
            <w:pPr>
              <w:spacing w:after="0" w:line="156"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Beneficial Ownership Table</w:t>
              </w:r>
            </w:hyperlink>
          </w:p>
        </w:tc>
        <w:tc>
          <w:tcPr>
            <w:tcW w:w="2620" w:type="dxa"/>
            <w:vAlign w:val="bottom"/>
            <w:gridSpan w:val="21"/>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8"/>
                <w:szCs w:val="18"/>
                <w:color w:val="202E39"/>
              </w:rPr>
              <w:t>24</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800" w:type="dxa"/>
            <w:vAlign w:val="bottom"/>
            <w:gridSpan w:val="30"/>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Section 16(a) Beneficial Ownership Reporting Compliance</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26</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640" w:type="dxa"/>
            <w:vAlign w:val="bottom"/>
            <w:tcBorders>
              <w:top w:val="single" w:sz="8" w:color="0000EE"/>
            </w:tcBorders>
            <w:gridSpan w:val="29"/>
          </w:tcPr>
          <w:p>
            <w:pPr>
              <w:spacing w:after="0" w:line="182"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EXECUTIVE COMPENSATION</w:t>
              </w:r>
            </w:hyperlink>
          </w:p>
        </w:tc>
        <w:tc>
          <w:tcPr>
            <w:tcW w:w="16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1000" w:type="dxa"/>
            <w:vAlign w:val="bottom"/>
            <w:tcBorders>
              <w:top w:val="single" w:sz="8" w:color="0000EE"/>
              <w:bottom w:val="single" w:sz="8" w:color="009FE3"/>
            </w:tcBorders>
          </w:tcPr>
          <w:p>
            <w:pPr>
              <w:spacing w:after="0" w:line="20" w:lineRule="exact"/>
              <w:rPr>
                <w:sz w:val="1"/>
                <w:szCs w:val="1"/>
                <w:color w:val="auto"/>
              </w:rPr>
            </w:pPr>
          </w:p>
        </w:tc>
        <w:tc>
          <w:tcPr>
            <w:tcW w:w="22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top w:val="single" w:sz="8" w:color="0000EE"/>
              <w:bottom w:val="single" w:sz="8" w:color="009FE3"/>
            </w:tcBorders>
          </w:tcPr>
          <w:p>
            <w:pPr>
              <w:spacing w:after="0" w:line="20" w:lineRule="exact"/>
              <w:rPr>
                <w:sz w:val="1"/>
                <w:szCs w:val="1"/>
                <w:color w:val="auto"/>
              </w:rPr>
            </w:pPr>
          </w:p>
        </w:tc>
        <w:tc>
          <w:tcPr>
            <w:tcW w:w="60" w:type="dxa"/>
            <w:vAlign w:val="bottom"/>
            <w:tcBorders>
              <w:top w:val="single" w:sz="8" w:color="0000EE"/>
              <w:bottom w:val="single" w:sz="8" w:color="009FE3"/>
            </w:tcBorders>
          </w:tcPr>
          <w:p>
            <w:pPr>
              <w:spacing w:after="0" w:line="20" w:lineRule="exact"/>
              <w:rPr>
                <w:sz w:val="1"/>
                <w:szCs w:val="1"/>
                <w:color w:val="auto"/>
              </w:rPr>
            </w:pPr>
          </w:p>
        </w:tc>
        <w:tc>
          <w:tcPr>
            <w:tcW w:w="300" w:type="dxa"/>
            <w:vAlign w:val="bottom"/>
            <w:tcBorders>
              <w:top w:val="single" w:sz="8" w:color="0000EE"/>
              <w:bottom w:val="single" w:sz="8" w:color="009FE3"/>
            </w:tcBorders>
          </w:tcPr>
          <w:p>
            <w:pPr>
              <w:spacing w:after="0" w:line="20" w:lineRule="exact"/>
              <w:rPr>
                <w:sz w:val="1"/>
                <w:szCs w:val="1"/>
                <w:color w:val="auto"/>
              </w:rPr>
            </w:pPr>
          </w:p>
        </w:tc>
        <w:tc>
          <w:tcPr>
            <w:tcW w:w="3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160" w:type="dxa"/>
            <w:vAlign w:val="bottom"/>
            <w:tcBorders>
              <w:top w:val="single" w:sz="8" w:color="0000EE"/>
              <w:bottom w:val="single" w:sz="8" w:color="009FE3"/>
            </w:tcBorders>
          </w:tcPr>
          <w:p>
            <w:pPr>
              <w:spacing w:after="0" w:line="20" w:lineRule="exact"/>
              <w:rPr>
                <w:sz w:val="1"/>
                <w:szCs w:val="1"/>
                <w:color w:val="auto"/>
              </w:rPr>
            </w:pPr>
          </w:p>
        </w:tc>
        <w:tc>
          <w:tcPr>
            <w:tcW w:w="10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3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8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52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3160" w:type="dxa"/>
            <w:vAlign w:val="bottom"/>
            <w:tcBorders>
              <w:bottom w:val="single" w:sz="8" w:color="0000EE"/>
            </w:tcBorders>
            <w:gridSpan w:val="20"/>
          </w:tcPr>
          <w:p>
            <w:pPr>
              <w:spacing w:after="0" w:line="15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Compensation Discussion and Analysis</w:t>
              </w:r>
            </w:hyperlink>
          </w:p>
        </w:tc>
        <w:tc>
          <w:tcPr>
            <w:tcW w:w="1640" w:type="dxa"/>
            <w:vAlign w:val="bottom"/>
            <w:gridSpan w:val="10"/>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8"/>
                <w:szCs w:val="18"/>
                <w:color w:val="202E39"/>
              </w:rPr>
              <w:t>27</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26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Compensation Committee Report</w:t>
              </w:r>
            </w:hyperlink>
          </w:p>
        </w:tc>
        <w:tc>
          <w:tcPr>
            <w:tcW w:w="2120" w:type="dxa"/>
            <w:vAlign w:val="bottom"/>
            <w:gridSpan w:val="14"/>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37</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800" w:type="dxa"/>
            <w:vAlign w:val="bottom"/>
            <w:gridSpan w:val="30"/>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Summary Compensation Table</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38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4800" w:type="dxa"/>
            <w:vAlign w:val="bottom"/>
            <w:gridSpan w:val="30"/>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Grants of Plan-Based Awards in Fiscal Year 2018</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39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414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Outstanding Equity Awards at 2018 Fiscal Year End</w:t>
              </w:r>
            </w:hyperlink>
          </w:p>
        </w:tc>
        <w:tc>
          <w:tcPr>
            <w:tcW w:w="660" w:type="dxa"/>
            <w:vAlign w:val="bottom"/>
            <w:gridSpan w:val="4"/>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40</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800" w:type="dxa"/>
            <w:vAlign w:val="bottom"/>
            <w:gridSpan w:val="30"/>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Option Exercises and Stock Vested in Fiscal Year 2018</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41</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Pension Benefits</w:t>
              </w:r>
            </w:hyperlink>
          </w:p>
        </w:tc>
        <w:tc>
          <w:tcPr>
            <w:tcW w:w="3020" w:type="dxa"/>
            <w:vAlign w:val="bottom"/>
            <w:tcBorders>
              <w:top w:val="single" w:sz="8" w:color="0000EE"/>
            </w:tcBorders>
            <w:gridSpan w:val="24"/>
          </w:tcPr>
          <w:p>
            <w:pPr>
              <w:spacing w:after="0"/>
              <w:rPr>
                <w:sz w:val="15"/>
                <w:szCs w:val="15"/>
                <w:color w:val="auto"/>
              </w:rPr>
            </w:pPr>
          </w:p>
        </w:tc>
        <w:tc>
          <w:tcPr>
            <w:tcW w:w="420" w:type="dxa"/>
            <w:vAlign w:val="bottom"/>
            <w:gridSpan w:val="3"/>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41</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800" w:type="dxa"/>
            <w:vAlign w:val="bottom"/>
            <w:gridSpan w:val="30"/>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Non-Qualified Deferred Compensation</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41</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02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8"/>
              </w:rPr>
            </w:pPr>
            <w:hyperlink w:anchor="page44">
              <w:r>
                <w:rPr>
                  <w:rFonts w:ascii="Arial" w:cs="Arial" w:eastAsia="Arial" w:hAnsi="Arial"/>
                  <w:sz w:val="18"/>
                  <w:szCs w:val="18"/>
                  <w:color w:val="0000EE"/>
                  <w:w w:val="98"/>
                </w:rPr>
                <w:t>Potential Payments Upon Termination</w:t>
              </w:r>
            </w:hyperlink>
          </w:p>
        </w:tc>
        <w:tc>
          <w:tcPr>
            <w:tcW w:w="40" w:type="dxa"/>
            <w:vAlign w:val="bottom"/>
            <w:tcBorders>
              <w:top w:val="single" w:sz="8" w:color="0000EE"/>
            </w:tcBorders>
          </w:tcPr>
          <w:p>
            <w:pPr>
              <w:spacing w:after="0"/>
              <w:rPr>
                <w:sz w:val="15"/>
                <w:szCs w:val="15"/>
                <w:color w:val="auto"/>
              </w:rPr>
            </w:pPr>
          </w:p>
        </w:tc>
        <w:tc>
          <w:tcPr>
            <w:tcW w:w="1740" w:type="dxa"/>
            <w:vAlign w:val="bottom"/>
            <w:gridSpan w:val="12"/>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41</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800" w:type="dxa"/>
            <w:vAlign w:val="bottom"/>
            <w:gridSpan w:val="30"/>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CEO Pay Ratio</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42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4800" w:type="dxa"/>
            <w:vAlign w:val="bottom"/>
            <w:gridSpan w:val="30"/>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Director Compensation</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43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4800" w:type="dxa"/>
            <w:vAlign w:val="bottom"/>
            <w:gridSpan w:val="30"/>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Compensation Committee Interlocks and Insider</w:t>
              </w:r>
            </w:hyperlink>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47">
              <w:r>
                <w:rPr>
                  <w:rFonts w:ascii="Arial" w:cs="Arial" w:eastAsia="Arial" w:hAnsi="Arial"/>
                  <w:sz w:val="18"/>
                  <w:szCs w:val="18"/>
                  <w:color w:val="0000EE"/>
                  <w:w w:val="98"/>
                </w:rPr>
                <w:t>Participation</w:t>
              </w:r>
            </w:hyperlink>
          </w:p>
        </w:tc>
        <w:tc>
          <w:tcPr>
            <w:tcW w:w="2840" w:type="dxa"/>
            <w:vAlign w:val="bottom"/>
            <w:tcBorders>
              <w:top w:val="single" w:sz="8" w:color="0000EE"/>
            </w:tcBorders>
            <w:gridSpan w:val="22"/>
          </w:tcPr>
          <w:p>
            <w:pPr>
              <w:spacing w:after="0"/>
              <w:rPr>
                <w:sz w:val="15"/>
                <w:szCs w:val="15"/>
                <w:color w:val="auto"/>
              </w:rPr>
            </w:pPr>
          </w:p>
        </w:tc>
        <w:tc>
          <w:tcPr>
            <w:tcW w:w="960" w:type="dxa"/>
            <w:vAlign w:val="bottom"/>
            <w:gridSpan w:val="7"/>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44</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0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Equity Compensation Plan Information</w:t>
              </w:r>
            </w:hyperlink>
          </w:p>
        </w:tc>
        <w:tc>
          <w:tcPr>
            <w:tcW w:w="1720" w:type="dxa"/>
            <w:vAlign w:val="bottom"/>
            <w:gridSpan w:val="11"/>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44</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800" w:type="dxa"/>
            <w:vAlign w:val="bottom"/>
            <w:gridSpan w:val="30"/>
          </w:tcPr>
          <w:p>
            <w:pPr>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CERTAIN RELATIONSHIPS AND RELATED</w:t>
              </w:r>
            </w:hyperlink>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620" w:type="dxa"/>
            <w:vAlign w:val="bottom"/>
            <w:tcBorders>
              <w:top w:val="single" w:sz="8" w:color="0000EE"/>
            </w:tcBorders>
            <w:gridSpan w:val="22"/>
          </w:tcPr>
          <w:p>
            <w:pPr>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TRANSACTIONS</w:t>
              </w:r>
            </w:hyperlink>
          </w:p>
        </w:tc>
        <w:tc>
          <w:tcPr>
            <w:tcW w:w="500" w:type="dxa"/>
            <w:vAlign w:val="bottom"/>
            <w:gridSpan w:val="3"/>
          </w:tcPr>
          <w:p>
            <w:pPr>
              <w:spacing w:after="0"/>
              <w:rPr>
                <w:sz w:val="15"/>
                <w:szCs w:val="15"/>
                <w:color w:val="auto"/>
              </w:rPr>
            </w:pPr>
          </w:p>
        </w:tc>
        <w:tc>
          <w:tcPr>
            <w:tcW w:w="500" w:type="dxa"/>
            <w:vAlign w:val="bottom"/>
            <w:gridSpan w:val="3"/>
          </w:tcPr>
          <w:p>
            <w:pPr>
              <w:spacing w:after="0"/>
              <w:rPr>
                <w:sz w:val="15"/>
                <w:szCs w:val="15"/>
                <w:color w:val="auto"/>
              </w:rPr>
            </w:pPr>
          </w:p>
        </w:tc>
        <w:tc>
          <w:tcPr>
            <w:tcW w:w="180" w:type="dxa"/>
            <w:vAlign w:val="bottom"/>
            <w:gridSpan w:val="2"/>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1000" w:type="dxa"/>
            <w:vAlign w:val="bottom"/>
            <w:tcBorders>
              <w:top w:val="single" w:sz="8" w:color="0000EE"/>
              <w:bottom w:val="single" w:sz="8" w:color="009FE3"/>
            </w:tcBorders>
          </w:tcPr>
          <w:p>
            <w:pPr>
              <w:spacing w:after="0" w:line="20" w:lineRule="exact"/>
              <w:rPr>
                <w:sz w:val="1"/>
                <w:szCs w:val="1"/>
                <w:color w:val="auto"/>
              </w:rPr>
            </w:pPr>
          </w:p>
        </w:tc>
        <w:tc>
          <w:tcPr>
            <w:tcW w:w="22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300" w:type="dxa"/>
            <w:vAlign w:val="bottom"/>
            <w:tcBorders>
              <w:bottom w:val="single" w:sz="8" w:color="009FE3"/>
            </w:tcBorders>
          </w:tcPr>
          <w:p>
            <w:pPr>
              <w:spacing w:after="0" w:line="20" w:lineRule="exact"/>
              <w:rPr>
                <w:sz w:val="1"/>
                <w:szCs w:val="1"/>
                <w:color w:val="auto"/>
              </w:rPr>
            </w:pPr>
          </w:p>
        </w:tc>
        <w:tc>
          <w:tcPr>
            <w:tcW w:w="3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3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8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52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4120" w:type="dxa"/>
            <w:vAlign w:val="bottom"/>
            <w:tcBorders>
              <w:bottom w:val="single" w:sz="8" w:color="0000EE"/>
            </w:tcBorders>
            <w:gridSpan w:val="25"/>
          </w:tcPr>
          <w:p>
            <w:pPr>
              <w:spacing w:after="0" w:line="156"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Review and Approval of Related Party Transactions</w:t>
              </w:r>
            </w:hyperlink>
          </w:p>
        </w:tc>
        <w:tc>
          <w:tcPr>
            <w:tcW w:w="680" w:type="dxa"/>
            <w:vAlign w:val="bottom"/>
            <w:gridSpan w:val="5"/>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8"/>
                <w:szCs w:val="18"/>
                <w:color w:val="202E39"/>
              </w:rPr>
              <w:t>45</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800" w:type="dxa"/>
            <w:vAlign w:val="bottom"/>
            <w:gridSpan w:val="30"/>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Related Party Transactions</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45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140" w:type="dxa"/>
            <w:vAlign w:val="bottom"/>
            <w:gridSpan w:val="1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4800" w:type="dxa"/>
            <w:vAlign w:val="bottom"/>
            <w:gridSpan w:val="30"/>
          </w:tcPr>
          <w:p>
            <w:pPr>
              <w:spacing w:after="0" w:line="18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AUDIT COMMITTEE REPORT</w:t>
              </w:r>
            </w:hyperlink>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1000" w:type="dxa"/>
            <w:vAlign w:val="bottom"/>
            <w:tcBorders>
              <w:top w:val="single" w:sz="8" w:color="0000EE"/>
              <w:bottom w:val="single" w:sz="8" w:color="009FE3"/>
            </w:tcBorders>
          </w:tcPr>
          <w:p>
            <w:pPr>
              <w:spacing w:after="0" w:line="20" w:lineRule="exact"/>
              <w:rPr>
                <w:sz w:val="1"/>
                <w:szCs w:val="1"/>
                <w:color w:val="auto"/>
              </w:rPr>
            </w:pPr>
          </w:p>
        </w:tc>
        <w:tc>
          <w:tcPr>
            <w:tcW w:w="22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top w:val="single" w:sz="8" w:color="0000EE"/>
              <w:bottom w:val="single" w:sz="8" w:color="009FE3"/>
            </w:tcBorders>
          </w:tcPr>
          <w:p>
            <w:pPr>
              <w:spacing w:after="0" w:line="20" w:lineRule="exact"/>
              <w:rPr>
                <w:sz w:val="1"/>
                <w:szCs w:val="1"/>
                <w:color w:val="auto"/>
              </w:rPr>
            </w:pPr>
          </w:p>
        </w:tc>
        <w:tc>
          <w:tcPr>
            <w:tcW w:w="60" w:type="dxa"/>
            <w:vAlign w:val="bottom"/>
            <w:tcBorders>
              <w:top w:val="single" w:sz="8" w:color="0000EE"/>
              <w:bottom w:val="single" w:sz="8" w:color="009FE3"/>
            </w:tcBorders>
          </w:tcPr>
          <w:p>
            <w:pPr>
              <w:spacing w:after="0" w:line="20" w:lineRule="exact"/>
              <w:rPr>
                <w:sz w:val="1"/>
                <w:szCs w:val="1"/>
                <w:color w:val="auto"/>
              </w:rPr>
            </w:pPr>
          </w:p>
        </w:tc>
        <w:tc>
          <w:tcPr>
            <w:tcW w:w="300" w:type="dxa"/>
            <w:vAlign w:val="bottom"/>
            <w:tcBorders>
              <w:top w:val="single" w:sz="8" w:color="0000EE"/>
              <w:bottom w:val="single" w:sz="8" w:color="009FE3"/>
            </w:tcBorders>
          </w:tcPr>
          <w:p>
            <w:pPr>
              <w:spacing w:after="0" w:line="20" w:lineRule="exact"/>
              <w:rPr>
                <w:sz w:val="1"/>
                <w:szCs w:val="1"/>
                <w:color w:val="auto"/>
              </w:rPr>
            </w:pPr>
          </w:p>
        </w:tc>
        <w:tc>
          <w:tcPr>
            <w:tcW w:w="3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160" w:type="dxa"/>
            <w:vAlign w:val="bottom"/>
            <w:tcBorders>
              <w:top w:val="single" w:sz="8" w:color="0000EE"/>
              <w:bottom w:val="single" w:sz="8" w:color="009FE3"/>
            </w:tcBorders>
          </w:tcPr>
          <w:p>
            <w:pPr>
              <w:spacing w:after="0" w:line="20" w:lineRule="exact"/>
              <w:rPr>
                <w:sz w:val="1"/>
                <w:szCs w:val="1"/>
                <w:color w:val="auto"/>
              </w:rPr>
            </w:pPr>
          </w:p>
        </w:tc>
        <w:tc>
          <w:tcPr>
            <w:tcW w:w="10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3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8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52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4800" w:type="dxa"/>
            <w:vAlign w:val="bottom"/>
            <w:gridSpan w:val="30"/>
          </w:tcPr>
          <w:p>
            <w:pPr>
              <w:spacing w:after="0" w:line="15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OTHER MATTERS</w:t>
              </w:r>
            </w:hyperlink>
          </w:p>
        </w:tc>
        <w:tc>
          <w:tcPr>
            <w:tcW w:w="52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1000" w:type="dxa"/>
            <w:vAlign w:val="bottom"/>
            <w:tcBorders>
              <w:top w:val="single" w:sz="8" w:color="0000EE"/>
              <w:bottom w:val="single" w:sz="8" w:color="009FE3"/>
            </w:tcBorders>
          </w:tcPr>
          <w:p>
            <w:pPr>
              <w:spacing w:after="0" w:line="20" w:lineRule="exact"/>
              <w:rPr>
                <w:sz w:val="1"/>
                <w:szCs w:val="1"/>
                <w:color w:val="auto"/>
              </w:rPr>
            </w:pPr>
          </w:p>
        </w:tc>
        <w:tc>
          <w:tcPr>
            <w:tcW w:w="22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top w:val="single" w:sz="8" w:color="0000EE"/>
              <w:bottom w:val="single" w:sz="8" w:color="009FE3"/>
            </w:tcBorders>
          </w:tcPr>
          <w:p>
            <w:pPr>
              <w:spacing w:after="0" w:line="20" w:lineRule="exact"/>
              <w:rPr>
                <w:sz w:val="1"/>
                <w:szCs w:val="1"/>
                <w:color w:val="auto"/>
              </w:rPr>
            </w:pPr>
          </w:p>
        </w:tc>
        <w:tc>
          <w:tcPr>
            <w:tcW w:w="60" w:type="dxa"/>
            <w:vAlign w:val="bottom"/>
            <w:tcBorders>
              <w:top w:val="single" w:sz="8" w:color="0000EE"/>
              <w:bottom w:val="single" w:sz="8" w:color="009FE3"/>
            </w:tcBorders>
          </w:tcPr>
          <w:p>
            <w:pPr>
              <w:spacing w:after="0" w:line="20" w:lineRule="exact"/>
              <w:rPr>
                <w:sz w:val="1"/>
                <w:szCs w:val="1"/>
                <w:color w:val="auto"/>
              </w:rPr>
            </w:pPr>
          </w:p>
        </w:tc>
        <w:tc>
          <w:tcPr>
            <w:tcW w:w="300" w:type="dxa"/>
            <w:vAlign w:val="bottom"/>
            <w:tcBorders>
              <w:bottom w:val="single" w:sz="8" w:color="009FE3"/>
            </w:tcBorders>
          </w:tcPr>
          <w:p>
            <w:pPr>
              <w:spacing w:after="0" w:line="20" w:lineRule="exact"/>
              <w:rPr>
                <w:sz w:val="1"/>
                <w:szCs w:val="1"/>
                <w:color w:val="auto"/>
              </w:rPr>
            </w:pPr>
          </w:p>
        </w:tc>
        <w:tc>
          <w:tcPr>
            <w:tcW w:w="3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3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8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52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4800" w:type="dxa"/>
            <w:vAlign w:val="bottom"/>
            <w:gridSpan w:val="30"/>
          </w:tcPr>
          <w:p>
            <w:pPr>
              <w:spacing w:after="0" w:line="15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APPENDIX A: 1996 EQUITY PARTICIPATION PLAN, AS</w:t>
              </w:r>
            </w:hyperlink>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A-1</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620" w:type="dxa"/>
            <w:vAlign w:val="bottom"/>
            <w:tcBorders>
              <w:top w:val="single" w:sz="8" w:color="0000EE"/>
            </w:tcBorders>
            <w:gridSpan w:val="28"/>
          </w:tcPr>
          <w:p>
            <w:pPr>
              <w:spacing w:after="0" w:line="182"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AMENDED AND RESTATED</w:t>
              </w:r>
            </w:hyperlink>
          </w:p>
        </w:tc>
        <w:tc>
          <w:tcPr>
            <w:tcW w:w="180" w:type="dxa"/>
            <w:vAlign w:val="bottom"/>
            <w:gridSpan w:val="2"/>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1000" w:type="dxa"/>
            <w:vAlign w:val="bottom"/>
            <w:tcBorders>
              <w:top w:val="single" w:sz="8" w:color="0000EE"/>
              <w:bottom w:val="single" w:sz="8" w:color="009FE3"/>
            </w:tcBorders>
          </w:tcPr>
          <w:p>
            <w:pPr>
              <w:spacing w:after="0" w:line="20" w:lineRule="exact"/>
              <w:rPr>
                <w:sz w:val="1"/>
                <w:szCs w:val="1"/>
                <w:color w:val="auto"/>
              </w:rPr>
            </w:pPr>
          </w:p>
        </w:tc>
        <w:tc>
          <w:tcPr>
            <w:tcW w:w="220" w:type="dxa"/>
            <w:vAlign w:val="bottom"/>
            <w:tcBorders>
              <w:top w:val="single" w:sz="8" w:color="0000EE"/>
              <w:bottom w:val="single" w:sz="8" w:color="009FE3"/>
            </w:tcBorders>
          </w:tcPr>
          <w:p>
            <w:pPr>
              <w:spacing w:after="0" w:line="20" w:lineRule="exact"/>
              <w:rPr>
                <w:sz w:val="1"/>
                <w:szCs w:val="1"/>
                <w:color w:val="auto"/>
              </w:rPr>
            </w:pPr>
          </w:p>
        </w:tc>
        <w:tc>
          <w:tcPr>
            <w:tcW w:w="140" w:type="dxa"/>
            <w:vAlign w:val="bottom"/>
            <w:tcBorders>
              <w:top w:val="single" w:sz="8" w:color="0000EE"/>
              <w:bottom w:val="single" w:sz="8" w:color="009FE3"/>
            </w:tcBorders>
          </w:tcPr>
          <w:p>
            <w:pPr>
              <w:spacing w:after="0" w:line="20" w:lineRule="exact"/>
              <w:rPr>
                <w:sz w:val="1"/>
                <w:szCs w:val="1"/>
                <w:color w:val="auto"/>
              </w:rPr>
            </w:pPr>
          </w:p>
        </w:tc>
        <w:tc>
          <w:tcPr>
            <w:tcW w:w="80" w:type="dxa"/>
            <w:vAlign w:val="bottom"/>
            <w:tcBorders>
              <w:top w:val="single" w:sz="8" w:color="0000EE"/>
              <w:bottom w:val="single" w:sz="8" w:color="009FE3"/>
            </w:tcBorders>
          </w:tcPr>
          <w:p>
            <w:pPr>
              <w:spacing w:after="0" w:line="20" w:lineRule="exact"/>
              <w:rPr>
                <w:sz w:val="1"/>
                <w:szCs w:val="1"/>
                <w:color w:val="auto"/>
              </w:rPr>
            </w:pPr>
          </w:p>
        </w:tc>
        <w:tc>
          <w:tcPr>
            <w:tcW w:w="40" w:type="dxa"/>
            <w:vAlign w:val="bottom"/>
            <w:tcBorders>
              <w:top w:val="single" w:sz="8" w:color="0000EE"/>
              <w:bottom w:val="single" w:sz="8" w:color="009FE3"/>
            </w:tcBorders>
          </w:tcPr>
          <w:p>
            <w:pPr>
              <w:spacing w:after="0" w:line="20" w:lineRule="exact"/>
              <w:rPr>
                <w:sz w:val="1"/>
                <w:szCs w:val="1"/>
                <w:color w:val="auto"/>
              </w:rPr>
            </w:pPr>
          </w:p>
        </w:tc>
        <w:tc>
          <w:tcPr>
            <w:tcW w:w="60" w:type="dxa"/>
            <w:vAlign w:val="bottom"/>
            <w:tcBorders>
              <w:top w:val="single" w:sz="8" w:color="0000EE"/>
              <w:bottom w:val="single" w:sz="8" w:color="009FE3"/>
            </w:tcBorders>
          </w:tcPr>
          <w:p>
            <w:pPr>
              <w:spacing w:after="0" w:line="20" w:lineRule="exact"/>
              <w:rPr>
                <w:sz w:val="1"/>
                <w:szCs w:val="1"/>
                <w:color w:val="auto"/>
              </w:rPr>
            </w:pPr>
          </w:p>
        </w:tc>
        <w:tc>
          <w:tcPr>
            <w:tcW w:w="300" w:type="dxa"/>
            <w:vAlign w:val="bottom"/>
            <w:tcBorders>
              <w:top w:val="single" w:sz="8" w:color="0000EE"/>
              <w:bottom w:val="single" w:sz="8" w:color="009FE3"/>
            </w:tcBorders>
          </w:tcPr>
          <w:p>
            <w:pPr>
              <w:spacing w:after="0" w:line="20" w:lineRule="exact"/>
              <w:rPr>
                <w:sz w:val="1"/>
                <w:szCs w:val="1"/>
                <w:color w:val="auto"/>
              </w:rPr>
            </w:pPr>
          </w:p>
        </w:tc>
        <w:tc>
          <w:tcPr>
            <w:tcW w:w="320" w:type="dxa"/>
            <w:vAlign w:val="bottom"/>
            <w:tcBorders>
              <w:top w:val="single" w:sz="8" w:color="0000EE"/>
              <w:bottom w:val="single" w:sz="8" w:color="009FE3"/>
            </w:tcBorders>
          </w:tcPr>
          <w:p>
            <w:pPr>
              <w:spacing w:after="0" w:line="20" w:lineRule="exact"/>
              <w:rPr>
                <w:sz w:val="1"/>
                <w:szCs w:val="1"/>
                <w:color w:val="auto"/>
              </w:rPr>
            </w:pPr>
          </w:p>
        </w:tc>
        <w:tc>
          <w:tcPr>
            <w:tcW w:w="20" w:type="dxa"/>
            <w:vAlign w:val="bottom"/>
            <w:tcBorders>
              <w:top w:val="single" w:sz="8" w:color="0000EE"/>
              <w:bottom w:val="single" w:sz="8" w:color="009FE3"/>
            </w:tcBorders>
          </w:tcPr>
          <w:p>
            <w:pPr>
              <w:spacing w:after="0" w:line="20" w:lineRule="exact"/>
              <w:rPr>
                <w:sz w:val="1"/>
                <w:szCs w:val="1"/>
                <w:color w:val="auto"/>
              </w:rPr>
            </w:pPr>
          </w:p>
        </w:tc>
        <w:tc>
          <w:tcPr>
            <w:tcW w:w="160" w:type="dxa"/>
            <w:vAlign w:val="bottom"/>
            <w:tcBorders>
              <w:top w:val="single" w:sz="8" w:color="0000EE"/>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tcBorders>
          </w:tcPr>
          <w:p>
            <w:pPr>
              <w:spacing w:after="0" w:line="20" w:lineRule="exact"/>
              <w:rPr>
                <w:sz w:val="1"/>
                <w:szCs w:val="1"/>
                <w:color w:val="auto"/>
              </w:rPr>
            </w:pPr>
          </w:p>
        </w:tc>
        <w:tc>
          <w:tcPr>
            <w:tcW w:w="3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tcBorders>
          </w:tcPr>
          <w:p>
            <w:pPr>
              <w:spacing w:after="0" w:line="20" w:lineRule="exact"/>
              <w:rPr>
                <w:sz w:val="1"/>
                <w:szCs w:val="1"/>
                <w:color w:val="auto"/>
              </w:rPr>
            </w:pPr>
          </w:p>
        </w:tc>
        <w:tc>
          <w:tcPr>
            <w:tcW w:w="380" w:type="dxa"/>
            <w:vAlign w:val="bottom"/>
            <w:tcBorders>
              <w:bottom w:val="single" w:sz="8" w:color="009FE3"/>
            </w:tcBorders>
          </w:tcPr>
          <w:p>
            <w:pPr>
              <w:spacing w:after="0" w:line="20" w:lineRule="exact"/>
              <w:rPr>
                <w:sz w:val="1"/>
                <w:szCs w:val="1"/>
                <w:color w:val="auto"/>
              </w:rPr>
            </w:pPr>
          </w:p>
        </w:tc>
        <w:tc>
          <w:tcPr>
            <w:tcW w:w="22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20" w:type="dxa"/>
            <w:vAlign w:val="bottom"/>
            <w:tcBorders>
              <w:bottom w:val="single" w:sz="8" w:color="009FE3"/>
            </w:tcBorders>
          </w:tcPr>
          <w:p>
            <w:pPr>
              <w:spacing w:after="0" w:line="20" w:lineRule="exact"/>
              <w:rPr>
                <w:sz w:val="1"/>
                <w:szCs w:val="1"/>
                <w:color w:val="auto"/>
              </w:rPr>
            </w:pPr>
          </w:p>
        </w:tc>
        <w:tc>
          <w:tcPr>
            <w:tcW w:w="160" w:type="dxa"/>
            <w:vAlign w:val="bottom"/>
            <w:tcBorders>
              <w:bottom w:val="single" w:sz="8" w:color="009FE3"/>
            </w:tcBorders>
          </w:tcPr>
          <w:p>
            <w:pPr>
              <w:spacing w:after="0" w:line="20" w:lineRule="exact"/>
              <w:rPr>
                <w:sz w:val="1"/>
                <w:szCs w:val="1"/>
                <w:color w:val="auto"/>
              </w:rPr>
            </w:pPr>
          </w:p>
        </w:tc>
        <w:tc>
          <w:tcPr>
            <w:tcW w:w="52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-4775835</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r>
        <w:rPr>
          <w:sz w:val="20"/>
          <w:szCs w:val="20"/>
          <w:color w:val="auto"/>
        </w:rPr>
        <w:tab/>
      </w:r>
      <w:r>
        <w:rPr>
          <w:rFonts w:ascii="Arial" w:cs="Arial" w:eastAsia="Arial" w:hAnsi="Arial"/>
          <w:sz w:val="14"/>
          <w:szCs w:val="14"/>
          <w:b w:val="1"/>
          <w:bCs w:val="1"/>
          <w:color w:val="202E39"/>
        </w:rPr>
        <w:t>i</w:t>
      </w:r>
    </w:p>
    <w:p>
      <w:pPr>
        <w:sectPr>
          <w:pgSz w:w="11900" w:h="16838" w:orient="portrait"/>
          <w:cols w:equalWidth="0" w:num="2">
            <w:col w:w="5500" w:space="320"/>
            <w:col w:w="540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72235" cy="43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2235" cy="43751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4100"/>
        <w:spacing w:after="0"/>
        <w:rPr>
          <w:sz w:val="20"/>
          <w:szCs w:val="20"/>
          <w:color w:val="auto"/>
        </w:rPr>
      </w:pPr>
      <w:r>
        <w:rPr>
          <w:rFonts w:ascii="Arial" w:cs="Arial" w:eastAsia="Arial" w:hAnsi="Arial"/>
          <w:sz w:val="50"/>
          <w:szCs w:val="50"/>
          <w:color w:val="009FE3"/>
        </w:rPr>
        <w:t>PROXY STATEMENT</w:t>
      </w:r>
    </w:p>
    <w:p>
      <w:pPr>
        <w:ind w:left="200"/>
        <w:spacing w:after="0"/>
        <w:rPr>
          <w:sz w:val="20"/>
          <w:szCs w:val="20"/>
          <w:color w:val="auto"/>
        </w:rPr>
      </w:pPr>
      <w:r>
        <w:rPr>
          <w:rFonts w:ascii="Arial" w:cs="Arial" w:eastAsia="Arial" w:hAnsi="Arial"/>
          <w:sz w:val="16"/>
          <w:szCs w:val="16"/>
          <w:b w:val="1"/>
          <w:bCs w:val="1"/>
          <w:color w:val="202E39"/>
        </w:rPr>
        <w:t>6155 El Camino Real</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202E39"/>
        </w:rPr>
        <w:t>Carlsbad, California 92009</w:t>
      </w:r>
    </w:p>
    <w:p>
      <w:pPr>
        <w:spacing w:after="0" w:line="235" w:lineRule="exact"/>
        <w:rPr>
          <w:sz w:val="20"/>
          <w:szCs w:val="20"/>
          <w:color w:val="auto"/>
        </w:rPr>
      </w:pPr>
    </w:p>
    <w:p>
      <w:pPr>
        <w:ind w:left="200" w:right="60"/>
        <w:spacing w:after="0" w:line="253" w:lineRule="auto"/>
        <w:rPr>
          <w:sz w:val="20"/>
          <w:szCs w:val="20"/>
          <w:color w:val="auto"/>
        </w:rPr>
      </w:pPr>
      <w:r>
        <w:rPr>
          <w:rFonts w:ascii="Arial" w:cs="Arial" w:eastAsia="Arial" w:hAnsi="Arial"/>
          <w:sz w:val="16"/>
          <w:szCs w:val="16"/>
          <w:color w:val="202E39"/>
        </w:rPr>
        <w:t>The Board of Directors of Viasat, Inc. is soliciting the enclosed proxy for use at the annual meeting of stockholders to be held on September 6, 2018 at 8:30 a.m. Pacific Time at the corporate offices of Viasat located at 6155 El Camino Real, Founders Hall, Carlsbad, California, and at any adjournments or postponements of the meeting, for the purposes set forth in the notice of annual meeting of stockholders.</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GENERAL INFORMATION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About the Annual Meeting and Voting</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Why am I receiving this proxy statement?</w:t>
      </w:r>
    </w:p>
    <w:p>
      <w:pPr>
        <w:spacing w:after="0" w:line="124" w:lineRule="exact"/>
        <w:rPr>
          <w:sz w:val="20"/>
          <w:szCs w:val="20"/>
          <w:color w:val="auto"/>
        </w:rPr>
      </w:pPr>
    </w:p>
    <w:p>
      <w:pPr>
        <w:ind w:left="200" w:right="220"/>
        <w:spacing w:after="0" w:line="251" w:lineRule="auto"/>
        <w:rPr>
          <w:sz w:val="20"/>
          <w:szCs w:val="20"/>
          <w:color w:val="auto"/>
        </w:rPr>
      </w:pPr>
      <w:r>
        <w:rPr>
          <w:rFonts w:ascii="Arial" w:cs="Arial" w:eastAsia="Arial" w:hAnsi="Arial"/>
          <w:sz w:val="16"/>
          <w:szCs w:val="16"/>
          <w:color w:val="202E39"/>
        </w:rPr>
        <w:t>We sent you this proxy statement and the enclosed proxy card because Viasat’s Board of Directors is soliciting your proxy to vote at the 2018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sign, date and return the enclosed proxy card.</w:t>
      </w:r>
    </w:p>
    <w:p>
      <w:pPr>
        <w:spacing w:after="0" w:line="95" w:lineRule="exact"/>
        <w:rPr>
          <w:sz w:val="20"/>
          <w:szCs w:val="20"/>
          <w:color w:val="auto"/>
        </w:rPr>
      </w:pPr>
    </w:p>
    <w:p>
      <w:pPr>
        <w:ind w:left="200" w:right="40"/>
        <w:spacing w:after="0" w:line="251" w:lineRule="auto"/>
        <w:rPr>
          <w:sz w:val="20"/>
          <w:szCs w:val="20"/>
          <w:color w:val="auto"/>
        </w:rPr>
      </w:pPr>
      <w:r>
        <w:rPr>
          <w:rFonts w:ascii="Arial" w:cs="Arial" w:eastAsia="Arial" w:hAnsi="Arial"/>
          <w:sz w:val="16"/>
          <w:szCs w:val="16"/>
          <w:color w:val="202E39"/>
        </w:rPr>
        <w:t>We intend to begin mailing this proxy statement, the attached notice of our annual meeting and the enclosed proxy card on or about July 20, 2018 to all stockholders who owned Viasat common stock on the record date, July 10, 2018, and are thus entitled to vote at the annual meeting. On this record date, there were approximately 59,532,906 shares of Viasat common stock outstanding. Common stock is our only class of stock entitled to vote. Along with this proxy statement we are also sending our fiscal year 2018 annual report, which includes our financial statements.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What am I voting 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items of business scheduled to be voted on at the annual meeting are:</w:t>
      </w:r>
    </w:p>
    <w:p>
      <w:pPr>
        <w:spacing w:after="0" w:line="107" w:lineRule="exact"/>
        <w:rPr>
          <w:sz w:val="20"/>
          <w:szCs w:val="20"/>
          <w:color w:val="auto"/>
        </w:rPr>
      </w:pPr>
    </w:p>
    <w:p>
      <w:pPr>
        <w:ind w:left="640" w:hanging="220"/>
        <w:spacing w:after="0" w:line="286" w:lineRule="auto"/>
        <w:tabs>
          <w:tab w:leader="none" w:pos="640" w:val="left"/>
        </w:tabs>
        <w:numPr>
          <w:ilvl w:val="0"/>
          <w:numId w:val="5"/>
        </w:numPr>
        <w:rPr>
          <w:rFonts w:ascii="Arial" w:cs="Arial" w:eastAsia="Arial" w:hAnsi="Arial"/>
          <w:sz w:val="16"/>
          <w:szCs w:val="16"/>
          <w:color w:val="009FE3"/>
        </w:rPr>
      </w:pPr>
      <w:r>
        <w:rPr>
          <w:rFonts w:ascii="Arial" w:cs="Arial" w:eastAsia="Arial" w:hAnsi="Arial"/>
          <w:sz w:val="16"/>
          <w:szCs w:val="16"/>
          <w:b w:val="1"/>
          <w:bCs w:val="1"/>
          <w:color w:val="009FE3"/>
        </w:rPr>
        <w:t xml:space="preserve">Proposal 1: </w:t>
      </w:r>
      <w:r>
        <w:rPr>
          <w:rFonts w:ascii="Arial" w:cs="Arial" w:eastAsia="Arial" w:hAnsi="Arial"/>
          <w:sz w:val="16"/>
          <w:szCs w:val="16"/>
          <w:color w:val="202E39"/>
        </w:rPr>
        <w:t>The election of Frank J. Biondi, Jr., Robert Johnson and John Stenbit to serve as Class I Directors for a three-year term to expire at the</w:t>
      </w:r>
      <w:r>
        <w:rPr>
          <w:rFonts w:ascii="Arial" w:cs="Arial" w:eastAsia="Arial" w:hAnsi="Arial"/>
          <w:sz w:val="16"/>
          <w:szCs w:val="16"/>
          <w:b w:val="1"/>
          <w:bCs w:val="1"/>
          <w:color w:val="009FE3"/>
        </w:rPr>
        <w:t xml:space="preserve"> </w:t>
      </w:r>
      <w:r>
        <w:rPr>
          <w:rFonts w:ascii="Arial" w:cs="Arial" w:eastAsia="Arial" w:hAnsi="Arial"/>
          <w:sz w:val="16"/>
          <w:szCs w:val="16"/>
          <w:color w:val="202E39"/>
        </w:rPr>
        <w:t>2021 annual meeting of stockholders.</w:t>
      </w:r>
    </w:p>
    <w:p>
      <w:pPr>
        <w:spacing w:after="0" w:line="7" w:lineRule="exact"/>
        <w:rPr>
          <w:rFonts w:ascii="Arial" w:cs="Arial" w:eastAsia="Arial" w:hAnsi="Arial"/>
          <w:sz w:val="16"/>
          <w:szCs w:val="16"/>
          <w:color w:val="009FE3"/>
        </w:rPr>
      </w:pPr>
    </w:p>
    <w:p>
      <w:pPr>
        <w:ind w:left="640" w:right="20" w:hanging="220"/>
        <w:spacing w:after="0" w:line="286" w:lineRule="auto"/>
        <w:tabs>
          <w:tab w:leader="none" w:pos="640" w:val="left"/>
        </w:tabs>
        <w:numPr>
          <w:ilvl w:val="0"/>
          <w:numId w:val="5"/>
        </w:numPr>
        <w:rPr>
          <w:rFonts w:ascii="Arial" w:cs="Arial" w:eastAsia="Arial" w:hAnsi="Arial"/>
          <w:sz w:val="16"/>
          <w:szCs w:val="16"/>
          <w:color w:val="009FE3"/>
        </w:rPr>
      </w:pPr>
      <w:r>
        <w:rPr>
          <w:rFonts w:ascii="Arial" w:cs="Arial" w:eastAsia="Arial" w:hAnsi="Arial"/>
          <w:sz w:val="16"/>
          <w:szCs w:val="16"/>
          <w:b w:val="1"/>
          <w:bCs w:val="1"/>
          <w:color w:val="009FE3"/>
        </w:rPr>
        <w:t xml:space="preserve">Proposal 2: </w:t>
      </w:r>
      <w:r>
        <w:rPr>
          <w:rFonts w:ascii="Arial" w:cs="Arial" w:eastAsia="Arial" w:hAnsi="Arial"/>
          <w:sz w:val="16"/>
          <w:szCs w:val="16"/>
          <w:color w:val="202E39"/>
        </w:rPr>
        <w:t>The ratification of the appointment of PricewaterhouseCoopers as Viasat’s independent registered public accounting firm for fiscal year</w:t>
      </w:r>
      <w:r>
        <w:rPr>
          <w:rFonts w:ascii="Arial" w:cs="Arial" w:eastAsia="Arial" w:hAnsi="Arial"/>
          <w:sz w:val="16"/>
          <w:szCs w:val="16"/>
          <w:b w:val="1"/>
          <w:bCs w:val="1"/>
          <w:color w:val="009FE3"/>
        </w:rPr>
        <w:t xml:space="preserve"> </w:t>
      </w:r>
      <w:r>
        <w:rPr>
          <w:rFonts w:ascii="Arial" w:cs="Arial" w:eastAsia="Arial" w:hAnsi="Arial"/>
          <w:sz w:val="16"/>
          <w:szCs w:val="16"/>
          <w:color w:val="202E39"/>
        </w:rPr>
        <w:t>2019.</w:t>
      </w:r>
    </w:p>
    <w:p>
      <w:pPr>
        <w:spacing w:after="0" w:line="7" w:lineRule="exact"/>
        <w:rPr>
          <w:rFonts w:ascii="Arial" w:cs="Arial" w:eastAsia="Arial" w:hAnsi="Arial"/>
          <w:sz w:val="16"/>
          <w:szCs w:val="16"/>
          <w:color w:val="009FE3"/>
        </w:rPr>
      </w:pPr>
    </w:p>
    <w:p>
      <w:pPr>
        <w:ind w:left="640" w:hanging="220"/>
        <w:spacing w:after="0"/>
        <w:tabs>
          <w:tab w:leader="none" w:pos="640" w:val="left"/>
        </w:tabs>
        <w:numPr>
          <w:ilvl w:val="0"/>
          <w:numId w:val="5"/>
        </w:numPr>
        <w:rPr>
          <w:rFonts w:ascii="Arial" w:cs="Arial" w:eastAsia="Arial" w:hAnsi="Arial"/>
          <w:sz w:val="16"/>
          <w:szCs w:val="16"/>
          <w:color w:val="009FE3"/>
        </w:rPr>
      </w:pPr>
      <w:r>
        <w:rPr>
          <w:rFonts w:ascii="Arial" w:cs="Arial" w:eastAsia="Arial" w:hAnsi="Arial"/>
          <w:sz w:val="16"/>
          <w:szCs w:val="16"/>
          <w:b w:val="1"/>
          <w:bCs w:val="1"/>
          <w:color w:val="009FE3"/>
        </w:rPr>
        <w:t xml:space="preserve">Proposal 3: </w:t>
      </w:r>
      <w:r>
        <w:rPr>
          <w:rFonts w:ascii="Arial" w:cs="Arial" w:eastAsia="Arial" w:hAnsi="Arial"/>
          <w:sz w:val="16"/>
          <w:szCs w:val="16"/>
          <w:color w:val="202E39"/>
        </w:rPr>
        <w:t>The advisory vote on executive compensation.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5"/>
        </w:numPr>
        <w:rPr>
          <w:rFonts w:ascii="Arial" w:cs="Arial" w:eastAsia="Arial" w:hAnsi="Arial"/>
          <w:sz w:val="16"/>
          <w:szCs w:val="16"/>
          <w:color w:val="009FE3"/>
        </w:rPr>
      </w:pPr>
      <w:r>
        <w:rPr>
          <w:rFonts w:ascii="Arial" w:cs="Arial" w:eastAsia="Arial" w:hAnsi="Arial"/>
          <w:sz w:val="16"/>
          <w:szCs w:val="16"/>
          <w:b w:val="1"/>
          <w:bCs w:val="1"/>
          <w:color w:val="009FE3"/>
        </w:rPr>
        <w:t xml:space="preserve">Proposal 4: </w:t>
      </w:r>
      <w:r>
        <w:rPr>
          <w:rFonts w:ascii="Arial" w:cs="Arial" w:eastAsia="Arial" w:hAnsi="Arial"/>
          <w:sz w:val="16"/>
          <w:szCs w:val="16"/>
          <w:color w:val="202E39"/>
        </w:rPr>
        <w:t>The amendment and restatement of the 1996 Equity Participation Plan.</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We will also consider any other business that properly comes before the annual meeting.</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How does the Board recommend that I vote?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Our Board of Directors unanimously recommends that you vote:</w:t>
      </w:r>
    </w:p>
    <w:p>
      <w:pPr>
        <w:spacing w:after="0" w:line="107" w:lineRule="exact"/>
        <w:rPr>
          <w:sz w:val="20"/>
          <w:szCs w:val="20"/>
          <w:color w:val="auto"/>
        </w:rPr>
      </w:pPr>
    </w:p>
    <w:p>
      <w:pPr>
        <w:ind w:left="640" w:hanging="220"/>
        <w:spacing w:after="0"/>
        <w:tabs>
          <w:tab w:leader="none" w:pos="64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election of Frank J. Biondi, Jr., Robert Johnson and John Stenbit (Proposal 1);</w:t>
      </w:r>
    </w:p>
    <w:p>
      <w:pPr>
        <w:spacing w:after="0" w:line="72" w:lineRule="exact"/>
        <w:rPr>
          <w:rFonts w:ascii="Arial" w:cs="Arial" w:eastAsia="Arial" w:hAnsi="Arial"/>
          <w:sz w:val="16"/>
          <w:szCs w:val="16"/>
          <w:color w:val="009FE3"/>
        </w:rPr>
      </w:pPr>
    </w:p>
    <w:p>
      <w:pPr>
        <w:ind w:left="640" w:right="40" w:hanging="220"/>
        <w:spacing w:after="0" w:line="286" w:lineRule="auto"/>
        <w:tabs>
          <w:tab w:leader="none" w:pos="64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ratification of the appointment of PricewaterhouseCoopers as Viasat’s independent registered public accounting firm for fiscal year 2019</w:t>
      </w:r>
      <w:r>
        <w:rPr>
          <w:rFonts w:ascii="Arial" w:cs="Arial" w:eastAsia="Arial" w:hAnsi="Arial"/>
          <w:sz w:val="16"/>
          <w:szCs w:val="16"/>
          <w:b w:val="1"/>
          <w:bCs w:val="1"/>
          <w:color w:val="009FE3"/>
        </w:rPr>
        <w:t xml:space="preserve"> </w:t>
      </w:r>
      <w:r>
        <w:rPr>
          <w:rFonts w:ascii="Arial" w:cs="Arial" w:eastAsia="Arial" w:hAnsi="Arial"/>
          <w:sz w:val="16"/>
          <w:szCs w:val="16"/>
          <w:color w:val="202E39"/>
        </w:rPr>
        <w:t>(Proposal 2);</w:t>
      </w:r>
    </w:p>
    <w:p>
      <w:pPr>
        <w:spacing w:after="0" w:line="7" w:lineRule="exact"/>
        <w:rPr>
          <w:rFonts w:ascii="Arial" w:cs="Arial" w:eastAsia="Arial" w:hAnsi="Arial"/>
          <w:sz w:val="16"/>
          <w:szCs w:val="16"/>
          <w:color w:val="009FE3"/>
        </w:rPr>
      </w:pPr>
    </w:p>
    <w:p>
      <w:pPr>
        <w:ind w:left="640" w:hanging="220"/>
        <w:spacing w:after="0"/>
        <w:tabs>
          <w:tab w:leader="none" w:pos="64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approval of executive compensation (Proposal 3); and</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amendment and restatement of the 1996 Equity Participation Plan (Proposal 4).</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How many votes do I have?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You are entitled to one vote for every share of Viasat common stock that you own as of July 10, 2018.</w:t>
      </w:r>
    </w:p>
    <w:p>
      <w:pPr>
        <w:spacing w:after="0" w:line="139" w:lineRule="exact"/>
        <w:rPr>
          <w:sz w:val="20"/>
          <w:szCs w:val="20"/>
          <w:color w:val="auto"/>
        </w:rPr>
      </w:pPr>
    </w:p>
    <w:tbl>
      <w:tblPr>
        <w:tblLayout w:type="fixed"/>
        <w:tblInd w:w="916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1</w:t>
            </w:r>
          </w:p>
        </w:tc>
      </w:tr>
    </w:tbl>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GENERAL INFORMATION </w:t>
      </w:r>
      <w:r>
        <w:rPr>
          <w:rFonts w:ascii="Arial" w:cs="Arial" w:eastAsia="Arial" w:hAnsi="Arial"/>
          <w:sz w:val="14"/>
          <w:szCs w:val="14"/>
          <w:color w:val="009FE3"/>
        </w:rPr>
        <w:t>• About the Annual Meeting and Voting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How do I vote by proxy?</w:t>
      </w:r>
    </w:p>
    <w:p>
      <w:pPr>
        <w:spacing w:after="0" w:line="124"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202E39"/>
        </w:rPr>
        <w:t>Your vote is important. Whether or not you plan to attend the annual meeting in person, we urge you to sign, date and return the enclosed proxy card as soon as possible to ensure that your vote is recorded promptly. Returning the proxy card will not affect your right to attend the annual meeting or vote your shares in person.</w:t>
      </w:r>
    </w:p>
    <w:p>
      <w:pPr>
        <w:spacing w:after="0" w:line="93" w:lineRule="exact"/>
        <w:rPr>
          <w:sz w:val="20"/>
          <w:szCs w:val="20"/>
          <w:color w:val="auto"/>
        </w:rPr>
      </w:pPr>
    </w:p>
    <w:p>
      <w:pPr>
        <w:jc w:val="both"/>
        <w:ind w:left="200" w:right="320"/>
        <w:spacing w:after="0" w:line="253" w:lineRule="auto"/>
        <w:rPr>
          <w:sz w:val="20"/>
          <w:szCs w:val="20"/>
          <w:color w:val="auto"/>
        </w:rPr>
      </w:pPr>
      <w:r>
        <w:rPr>
          <w:rFonts w:ascii="Arial" w:cs="Arial" w:eastAsia="Arial" w:hAnsi="Arial"/>
          <w:sz w:val="16"/>
          <w:szCs w:val="16"/>
          <w:color w:val="202E39"/>
        </w:rPr>
        <w:t>If you complete and submit your proxy card, the persons named as proxies will vote your shares in accordance with your instructions. If you submit a proxy card but do not fill out the voting instructions on the proxy card, your shares will be voted in accordance with the recommendations made by the Board of Directors.</w:t>
      </w:r>
    </w:p>
    <w:p>
      <w:pPr>
        <w:spacing w:after="0" w:line="93" w:lineRule="exact"/>
        <w:rPr>
          <w:sz w:val="20"/>
          <w:szCs w:val="20"/>
          <w:color w:val="auto"/>
        </w:rPr>
      </w:pPr>
    </w:p>
    <w:p>
      <w:pPr>
        <w:ind w:left="200" w:right="280"/>
        <w:spacing w:after="0" w:line="253" w:lineRule="auto"/>
        <w:rPr>
          <w:sz w:val="20"/>
          <w:szCs w:val="20"/>
          <w:color w:val="auto"/>
        </w:rPr>
      </w:pPr>
      <w:r>
        <w:rPr>
          <w:rFonts w:ascii="Arial" w:cs="Arial" w:eastAsia="Arial" w:hAnsi="Arial"/>
          <w:sz w:val="16"/>
          <w:szCs w:val="16"/>
          <w:color w:val="202E39"/>
        </w:rPr>
        <w:t>If any other matters are properly presented for voting at the annual meeting, or any adjournments or postponements of the annual meeting occur, the proxy card will confer discretionary authority on the individuals named as proxies to vote your shares in accordance with their best judgment. As of the date of this proxy statement, we have not received notice of other matters that may properly be presented for voting at the annual meeting.</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May I revoke my proxy?</w:t>
      </w:r>
    </w:p>
    <w:p>
      <w:pPr>
        <w:spacing w:after="0" w:line="124" w:lineRule="exact"/>
        <w:rPr>
          <w:sz w:val="20"/>
          <w:szCs w:val="20"/>
          <w:color w:val="auto"/>
        </w:rPr>
      </w:pPr>
    </w:p>
    <w:p>
      <w:pPr>
        <w:ind w:left="200" w:right="580"/>
        <w:spacing w:after="0" w:line="260" w:lineRule="auto"/>
        <w:rPr>
          <w:sz w:val="20"/>
          <w:szCs w:val="20"/>
          <w:color w:val="auto"/>
        </w:rPr>
      </w:pPr>
      <w:r>
        <w:rPr>
          <w:rFonts w:ascii="Arial" w:cs="Arial" w:eastAsia="Arial" w:hAnsi="Arial"/>
          <w:sz w:val="16"/>
          <w:szCs w:val="16"/>
          <w:color w:val="202E39"/>
        </w:rPr>
        <w:t>If you give us your proxy, you may revoke it at any time before your proxy is voted at the annual meeting. You may revoke your proxy in any of the following three ways:</w:t>
      </w:r>
    </w:p>
    <w:p>
      <w:pPr>
        <w:spacing w:after="0" w:line="101" w:lineRule="exact"/>
        <w:rPr>
          <w:sz w:val="20"/>
          <w:szCs w:val="20"/>
          <w:color w:val="auto"/>
        </w:rPr>
      </w:pPr>
    </w:p>
    <w:p>
      <w:pPr>
        <w:ind w:left="640" w:hanging="220"/>
        <w:spacing w:after="0"/>
        <w:tabs>
          <w:tab w:leader="none" w:pos="640" w:val="left"/>
        </w:tabs>
        <w:numPr>
          <w:ilvl w:val="0"/>
          <w:numId w:val="7"/>
        </w:numPr>
        <w:rPr>
          <w:rFonts w:ascii="Arial" w:cs="Arial" w:eastAsia="Arial" w:hAnsi="Arial"/>
          <w:sz w:val="16"/>
          <w:szCs w:val="16"/>
          <w:color w:val="009FE3"/>
        </w:rPr>
      </w:pPr>
      <w:r>
        <w:rPr>
          <w:rFonts w:ascii="Arial" w:cs="Arial" w:eastAsia="Arial" w:hAnsi="Arial"/>
          <w:sz w:val="16"/>
          <w:szCs w:val="16"/>
          <w:color w:val="202E39"/>
        </w:rPr>
        <w:t>you may send in another signed proxy card bearing a later date;</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7"/>
        </w:numPr>
        <w:rPr>
          <w:rFonts w:ascii="Arial" w:cs="Arial" w:eastAsia="Arial" w:hAnsi="Arial"/>
          <w:sz w:val="16"/>
          <w:szCs w:val="16"/>
          <w:color w:val="009FE3"/>
        </w:rPr>
      </w:pPr>
      <w:r>
        <w:rPr>
          <w:rFonts w:ascii="Arial" w:cs="Arial" w:eastAsia="Arial" w:hAnsi="Arial"/>
          <w:sz w:val="16"/>
          <w:szCs w:val="16"/>
          <w:color w:val="202E39"/>
        </w:rPr>
        <w:t>you may deliver a written notice of revocation to Viasat’s Corporate Secretary prior to the annual meeting; or</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7"/>
        </w:numPr>
        <w:rPr>
          <w:rFonts w:ascii="Arial" w:cs="Arial" w:eastAsia="Arial" w:hAnsi="Arial"/>
          <w:sz w:val="16"/>
          <w:szCs w:val="16"/>
          <w:color w:val="009FE3"/>
        </w:rPr>
      </w:pPr>
      <w:r>
        <w:rPr>
          <w:rFonts w:ascii="Arial" w:cs="Arial" w:eastAsia="Arial" w:hAnsi="Arial"/>
          <w:sz w:val="16"/>
          <w:szCs w:val="16"/>
          <w:color w:val="202E39"/>
        </w:rPr>
        <w:t>you may notify Viasat’s Corporate Secretary in writing before the annual meeting and vote in person at the meeting.</w:t>
      </w:r>
    </w:p>
    <w:p>
      <w:pPr>
        <w:spacing w:after="0" w:line="113"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202E39"/>
        </w:rPr>
        <w:t>If your shares are held in “street name,” which means your shares are held of record by a broker, bank or other financial institution, you must contact your broker, bank or financial institution to revoke any prior instructions.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How do I vote in person?</w:t>
      </w:r>
    </w:p>
    <w:p>
      <w:pPr>
        <w:spacing w:after="0" w:line="124" w:lineRule="exact"/>
        <w:rPr>
          <w:sz w:val="20"/>
          <w:szCs w:val="20"/>
          <w:color w:val="auto"/>
        </w:rPr>
      </w:pPr>
    </w:p>
    <w:p>
      <w:pPr>
        <w:ind w:left="200" w:right="260"/>
        <w:spacing w:after="0" w:line="260" w:lineRule="auto"/>
        <w:rPr>
          <w:sz w:val="20"/>
          <w:szCs w:val="20"/>
          <w:color w:val="auto"/>
        </w:rPr>
      </w:pPr>
      <w:r>
        <w:rPr>
          <w:rFonts w:ascii="Arial" w:cs="Arial" w:eastAsia="Arial" w:hAnsi="Arial"/>
          <w:sz w:val="16"/>
          <w:szCs w:val="16"/>
          <w:color w:val="202E39"/>
        </w:rPr>
        <w:t>If you plan to attend the annual meeting and wish to vote in person, we will give you a ballot when you arrive. Even if you plan to attend the annual meeting, we recommend that you also vote by proxy as described above so that your vote will be counted if you later decide not to attend the meeting.</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What if my shares are held by a broker, bank or other financial institution?</w:t>
      </w:r>
    </w:p>
    <w:p>
      <w:pPr>
        <w:spacing w:after="0" w:line="124"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202E39"/>
        </w:rPr>
        <w:t>If you are the beneficial owner of shares held by a broker, bank or other financial institution, then your shares are held in “street name” and the organization holding your shares is considered to be the stockholder of record for purposes of voting at the annual meeting. As the beneficial owner, you have the right to direct your broker, bank or other financial institution regarding how to vote your shares. You are also invited to attend the annual meeting. However, since you are not the stockholder of record, you may not vote in person at the meeting unless you bring to the meeting a “legal proxy” from the record holder of the shares (your broker, bank or other financial institution). The legal proxy will give you the right to vote the shares at the meeting.</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Can I vote via the internet or by telephone?</w:t>
      </w:r>
    </w:p>
    <w:p>
      <w:pPr>
        <w:spacing w:after="0" w:line="124" w:lineRule="exact"/>
        <w:rPr>
          <w:sz w:val="20"/>
          <w:szCs w:val="20"/>
          <w:color w:val="auto"/>
        </w:rPr>
      </w:pPr>
    </w:p>
    <w:p>
      <w:pPr>
        <w:ind w:left="200" w:right="100"/>
        <w:spacing w:after="0" w:line="251" w:lineRule="auto"/>
        <w:rPr>
          <w:sz w:val="20"/>
          <w:szCs w:val="20"/>
          <w:color w:val="auto"/>
        </w:rPr>
      </w:pPr>
      <w:r>
        <w:rPr>
          <w:rFonts w:ascii="Arial" w:cs="Arial" w:eastAsia="Arial" w:hAnsi="Arial"/>
          <w:sz w:val="16"/>
          <w:szCs w:val="16"/>
          <w:color w:val="202E39"/>
        </w:rPr>
        <w:t>If your shares are registered in the name of a broker, bank or other financial institution, you may be eligible to vote your shares electronically over the internet or by telephone. A large number of banks and brokerage firms offer internet and telephone voting. If the broker, bank or other financial institution holding your shares does not offer internet or telephone voting information, please complete and return your proxy card or voting instruction card in the self-addressed, postage-paid envelope provided.</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How can I attend the annual meeting?</w:t>
      </w:r>
    </w:p>
    <w:p>
      <w:pPr>
        <w:spacing w:after="0" w:line="124" w:lineRule="exact"/>
        <w:rPr>
          <w:sz w:val="20"/>
          <w:szCs w:val="20"/>
          <w:color w:val="auto"/>
        </w:rPr>
      </w:pPr>
    </w:p>
    <w:p>
      <w:pPr>
        <w:ind w:left="200" w:right="60"/>
        <w:spacing w:after="0" w:line="248" w:lineRule="auto"/>
        <w:rPr>
          <w:sz w:val="20"/>
          <w:szCs w:val="20"/>
          <w:color w:val="auto"/>
        </w:rPr>
      </w:pPr>
      <w:r>
        <w:rPr>
          <w:rFonts w:ascii="Arial" w:cs="Arial" w:eastAsia="Arial" w:hAnsi="Arial"/>
          <w:sz w:val="16"/>
          <w:szCs w:val="16"/>
          <w:color w:val="202E39"/>
        </w:rPr>
        <w:t>You are entitled to attend the annual meeting only if you were a Viasat stockholder or joint holder as of the record date, July 10, 2018, or you hold a valid proxy for the annual meeting. You should be prepared to present valid government issued photo identification for admittance. If you are a stockholder of record, your name will be verified against the list of stockholders of record on the record date prior to your admission to the annual meeting. If you are not a stockholder of record but hold shares in street name, you should provide proof of beneficial ownership by bringing either a copy of the voting instruction card provided by your broker or a copy of a brokerage statement showing your share ownership as of July 10, 2018. If you do not provide photo identification or comply with the other procedures outlined above, you will not be admitted to the annual meeting. The use of cell phones, smartphones, pagers, recording and photographic equipment and/or computers is not permitted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88265</wp:posOffset>
            </wp:positionV>
            <wp:extent cx="42862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GENERAL INFORMATION • </w:t>
      </w:r>
      <w:r>
        <w:rPr>
          <w:rFonts w:ascii="Arial" w:cs="Arial" w:eastAsia="Arial" w:hAnsi="Arial"/>
          <w:sz w:val="14"/>
          <w:szCs w:val="14"/>
          <w:color w:val="202E39"/>
        </w:rPr>
        <w:t>About the Annual Meeting and Voting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What constitutes a quorum?</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A quorum is present when at least a majority of the outstanding shares entitled to vote are represented at the annual meeting either in person or by proxy.</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This year, approximately 29,766,454 shares must be represented to constitute a quorum at the meeting and permit us to conduct our business.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What vote is required to approve each proposal?</w:t>
      </w:r>
    </w:p>
    <w:p>
      <w:pPr>
        <w:spacing w:after="0" w:line="124" w:lineRule="exact"/>
        <w:rPr>
          <w:sz w:val="20"/>
          <w:szCs w:val="20"/>
          <w:color w:val="auto"/>
        </w:rPr>
      </w:pPr>
    </w:p>
    <w:p>
      <w:pPr>
        <w:ind w:left="200" w:right="200"/>
        <w:spacing w:after="0" w:line="253" w:lineRule="auto"/>
        <w:rPr>
          <w:sz w:val="20"/>
          <w:szCs w:val="20"/>
          <w:color w:val="auto"/>
        </w:rPr>
      </w:pPr>
      <w:r>
        <w:rPr>
          <w:rFonts w:ascii="Arial" w:cs="Arial" w:eastAsia="Arial" w:hAnsi="Arial"/>
          <w:sz w:val="16"/>
          <w:szCs w:val="16"/>
          <w:color w:val="202E39"/>
        </w:rPr>
        <w:t>In the election of directors, the three nominees for director who receive the highest number of affirmative votes will be elected as directors. All other proposals require the affirmative vote of a majority of the votes cast on that proposal. Voting results will be tabulated and certified by our transfer agent, Computershare.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What will happen if I abstain from voting or fail to vote?</w:t>
      </w:r>
    </w:p>
    <w:p>
      <w:pPr>
        <w:spacing w:after="0" w:line="124" w:lineRule="exact"/>
        <w:rPr>
          <w:sz w:val="20"/>
          <w:szCs w:val="20"/>
          <w:color w:val="auto"/>
        </w:rPr>
      </w:pPr>
    </w:p>
    <w:p>
      <w:pPr>
        <w:ind w:left="200" w:right="660"/>
        <w:spacing w:after="0" w:line="260" w:lineRule="auto"/>
        <w:rPr>
          <w:sz w:val="20"/>
          <w:szCs w:val="20"/>
          <w:color w:val="auto"/>
        </w:rPr>
      </w:pPr>
      <w:r>
        <w:rPr>
          <w:rFonts w:ascii="Arial" w:cs="Arial" w:eastAsia="Arial" w:hAnsi="Arial"/>
          <w:sz w:val="16"/>
          <w:szCs w:val="16"/>
          <w:color w:val="202E39"/>
        </w:rPr>
        <w:t>Shares held by persons attending the annual meeting but not voting, and shares represented by proxies that reflect abstentions as to a particular proposal will be counted as present for purposes of determining the presence of a quorum.</w:t>
      </w:r>
    </w:p>
    <w:p>
      <w:pPr>
        <w:spacing w:after="0" w:line="88" w:lineRule="exact"/>
        <w:rPr>
          <w:sz w:val="20"/>
          <w:szCs w:val="20"/>
          <w:color w:val="auto"/>
        </w:rPr>
      </w:pPr>
    </w:p>
    <w:p>
      <w:pPr>
        <w:ind w:left="200" w:right="120"/>
        <w:spacing w:after="0" w:line="248" w:lineRule="auto"/>
        <w:rPr>
          <w:sz w:val="20"/>
          <w:szCs w:val="20"/>
          <w:color w:val="auto"/>
        </w:rPr>
      </w:pPr>
      <w:r>
        <w:rPr>
          <w:rFonts w:ascii="Arial" w:cs="Arial" w:eastAsia="Arial" w:hAnsi="Arial"/>
          <w:sz w:val="16"/>
          <w:szCs w:val="16"/>
          <w:color w:val="202E39"/>
        </w:rPr>
        <w:t>Similarly, shares represented by proxies that reflect a “broker non-vote” will be counted for purposes of determining whether a quorum exists. A broker non-vote occurs when a broker, bank or other financial institution holding shares in street name for a beneficial owner has not received instructions from the beneficial owner and does not have discretionary authority to vote the shares for a particular proposal. Under the rules of various national and regional securities exchanges, the organization that holds your shares in street name has discretionary authority to vote only on routine matters and cannot vote on non-routine matters. The only proposal at the meeting that is considered a routine matter under applicable rules is the proposal to ratify the appointment of PricewaterhouseCoopers as Viasat’s independent registered public accounting firm for the 2019 fiscal year. Therefore, unless you provide voting instructions to the broker, bank or other financial institution holding shares on your behalf, they will not have discretionary authority to vote your shares on any of the other proposals described in this proxy statement. Please vote your proxy or provide voting instructions to the broker, bank or other financial institution holding your shares so your vote on the other proposals will be counted.</w:t>
      </w:r>
    </w:p>
    <w:p>
      <w:pPr>
        <w:spacing w:after="0" w:line="99" w:lineRule="exact"/>
        <w:rPr>
          <w:sz w:val="20"/>
          <w:szCs w:val="20"/>
          <w:color w:val="auto"/>
        </w:rPr>
      </w:pPr>
    </w:p>
    <w:p>
      <w:pPr>
        <w:ind w:left="200" w:right="260"/>
        <w:spacing w:after="0" w:line="253" w:lineRule="auto"/>
        <w:rPr>
          <w:sz w:val="20"/>
          <w:szCs w:val="20"/>
          <w:color w:val="auto"/>
        </w:rPr>
      </w:pPr>
      <w:r>
        <w:rPr>
          <w:rFonts w:ascii="Arial" w:cs="Arial" w:eastAsia="Arial" w:hAnsi="Arial"/>
          <w:sz w:val="16"/>
          <w:szCs w:val="16"/>
          <w:color w:val="202E39"/>
        </w:rPr>
        <w:t>In tabulating the voting results for each proposal, neither abstentions nor shares that constitute broker non-votes are considered votes cast on that proposal. Because abstentions and broker non-votes will not be considered votes cast, abstentions and broker non-votes will not affect the outcome of any matter being voted on at the meeting, assuming that a quorum is obtained.</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What are the costs of soliciting these proxies?</w:t>
      </w:r>
    </w:p>
    <w:p>
      <w:pPr>
        <w:spacing w:after="0" w:line="124" w:lineRule="exact"/>
        <w:rPr>
          <w:sz w:val="20"/>
          <w:szCs w:val="20"/>
          <w:color w:val="auto"/>
        </w:rPr>
      </w:pPr>
    </w:p>
    <w:p>
      <w:pPr>
        <w:ind w:left="200" w:right="120"/>
        <w:spacing w:after="0" w:line="250" w:lineRule="auto"/>
        <w:rPr>
          <w:sz w:val="20"/>
          <w:szCs w:val="20"/>
          <w:color w:val="auto"/>
        </w:rPr>
      </w:pPr>
      <w:r>
        <w:rPr>
          <w:rFonts w:ascii="Arial" w:cs="Arial" w:eastAsia="Arial" w:hAnsi="Arial"/>
          <w:sz w:val="16"/>
          <w:szCs w:val="16"/>
          <w:color w:val="202E39"/>
        </w:rPr>
        <w:t>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w:t>
      </w:r>
    </w:p>
    <w:p>
      <w:pPr>
        <w:spacing w:after="0" w:line="174" w:lineRule="exact"/>
        <w:rPr>
          <w:sz w:val="20"/>
          <w:szCs w:val="20"/>
          <w:color w:val="auto"/>
        </w:rPr>
      </w:pPr>
    </w:p>
    <w:p>
      <w:pPr>
        <w:ind w:left="200" w:right="100"/>
        <w:spacing w:after="0" w:line="258" w:lineRule="auto"/>
        <w:rPr>
          <w:sz w:val="20"/>
          <w:szCs w:val="20"/>
          <w:color w:val="auto"/>
        </w:rPr>
      </w:pPr>
      <w:r>
        <w:rPr>
          <w:rFonts w:ascii="Arial" w:cs="Arial" w:eastAsia="Arial" w:hAnsi="Arial"/>
          <w:sz w:val="20"/>
          <w:szCs w:val="20"/>
          <w:b w:val="1"/>
          <w:bCs w:val="1"/>
          <w:color w:val="202E39"/>
        </w:rPr>
        <w:t>I share an address with another stockholder, but we received only one paper copy of the proxy materials. How may I obtain an additional copy of the proxy materials?</w:t>
      </w:r>
    </w:p>
    <w:p>
      <w:pPr>
        <w:spacing w:after="0" w:line="75" w:lineRule="exact"/>
        <w:rPr>
          <w:sz w:val="20"/>
          <w:szCs w:val="20"/>
          <w:color w:val="auto"/>
        </w:rPr>
      </w:pPr>
    </w:p>
    <w:p>
      <w:pPr>
        <w:ind w:left="200" w:right="120"/>
        <w:spacing w:after="0" w:line="248" w:lineRule="auto"/>
        <w:rPr>
          <w:sz w:val="20"/>
          <w:szCs w:val="20"/>
          <w:color w:val="auto"/>
        </w:rPr>
      </w:pPr>
      <w:r>
        <w:rPr>
          <w:rFonts w:ascii="Arial" w:cs="Arial" w:eastAsia="Arial" w:hAnsi="Arial"/>
          <w:sz w:val="16"/>
          <w:szCs w:val="16"/>
          <w:color w:val="202E39"/>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annual report or proxy statement without charge by sending a written request to Viasat, Inc., Attention: Investor Relations, 6155 El Camino Real, Carlsbad, California 92009, by email at </w:t>
      </w:r>
      <w:r>
        <w:rPr>
          <w:rFonts w:ascii="Arial" w:cs="Arial" w:eastAsia="Arial" w:hAnsi="Arial"/>
          <w:sz w:val="16"/>
          <w:szCs w:val="16"/>
          <w:i w:val="1"/>
          <w:iCs w:val="1"/>
          <w:color w:val="202E39"/>
        </w:rPr>
        <w:t>ir@viasat.com</w:t>
      </w:r>
      <w:r>
        <w:rPr>
          <w:rFonts w:ascii="Arial" w:cs="Arial" w:eastAsia="Arial" w:hAnsi="Arial"/>
          <w:sz w:val="16"/>
          <w:szCs w:val="16"/>
          <w:color w:val="202E39"/>
        </w:rPr>
        <w:t xml:space="preserve"> or by telephone at (760) 476-2633. We will promptly send additional copies of the annual report or proxy statement upon receipt of such request.</w:t>
      </w:r>
    </w:p>
    <w:p>
      <w:pPr>
        <w:spacing w:after="0" w:line="122" w:lineRule="exact"/>
        <w:rPr>
          <w:sz w:val="20"/>
          <w:szCs w:val="20"/>
          <w:color w:val="auto"/>
        </w:rPr>
      </w:pPr>
    </w:p>
    <w:tbl>
      <w:tblPr>
        <w:tblLayout w:type="fixed"/>
        <w:tblInd w:w="916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3</w:t>
            </w:r>
          </w:p>
        </w:tc>
      </w:tr>
    </w:tbl>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GENERAL INFORMATION </w:t>
      </w:r>
      <w:r>
        <w:rPr>
          <w:rFonts w:ascii="Arial" w:cs="Arial" w:eastAsia="Arial" w:hAnsi="Arial"/>
          <w:sz w:val="14"/>
          <w:szCs w:val="14"/>
          <w:color w:val="009FE3"/>
        </w:rPr>
        <w:t>• About the Annual Meeting and Voting</w:t>
      </w:r>
    </w:p>
    <w:p>
      <w:pPr>
        <w:spacing w:after="0" w:line="117" w:lineRule="exact"/>
        <w:rPr>
          <w:sz w:val="20"/>
          <w:szCs w:val="20"/>
          <w:color w:val="auto"/>
        </w:rPr>
      </w:pPr>
    </w:p>
    <w:p>
      <w:pPr>
        <w:ind w:left="200" w:right="400"/>
        <w:spacing w:after="0" w:line="258" w:lineRule="auto"/>
        <w:rPr>
          <w:sz w:val="20"/>
          <w:szCs w:val="20"/>
          <w:color w:val="auto"/>
        </w:rPr>
      </w:pPr>
      <w:r>
        <w:rPr>
          <w:rFonts w:ascii="Arial" w:cs="Arial" w:eastAsia="Arial" w:hAnsi="Arial"/>
          <w:sz w:val="20"/>
          <w:szCs w:val="20"/>
          <w:b w:val="1"/>
          <w:bCs w:val="1"/>
          <w:color w:val="202E39"/>
        </w:rPr>
        <w:t>Important notice regarding the availability of proxy materials for the Viasat annual meeting of stockholders to be held on September 6, 2018</w:t>
      </w:r>
    </w:p>
    <w:p>
      <w:pPr>
        <w:spacing w:after="0" w:line="75"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 xml:space="preserve">Under rules adopted by the SEC, we are also furnishing proxy materials to our stockholders via the internet. This process is designed to expedite stockholders’ receipt of proxy materials, lower the cost of the annual meeting and help conserve natural resources. </w:t>
      </w:r>
      <w:r>
        <w:rPr>
          <w:rFonts w:ascii="Arial" w:cs="Arial" w:eastAsia="Arial" w:hAnsi="Arial"/>
          <w:sz w:val="16"/>
          <w:szCs w:val="16"/>
          <w:b w:val="1"/>
          <w:bCs w:val="1"/>
          <w:color w:val="202E39"/>
        </w:rPr>
        <w:t>This proxy statement and our</w:t>
      </w:r>
      <w:r>
        <w:rPr>
          <w:rFonts w:ascii="Arial" w:cs="Arial" w:eastAsia="Arial" w:hAnsi="Arial"/>
          <w:sz w:val="16"/>
          <w:szCs w:val="16"/>
          <w:color w:val="202E39"/>
        </w:rPr>
        <w:t xml:space="preserve"> </w:t>
      </w:r>
      <w:r>
        <w:rPr>
          <w:rFonts w:ascii="Arial" w:cs="Arial" w:eastAsia="Arial" w:hAnsi="Arial"/>
          <w:sz w:val="16"/>
          <w:szCs w:val="16"/>
          <w:b w:val="1"/>
          <w:bCs w:val="1"/>
          <w:color w:val="202E39"/>
        </w:rPr>
        <w:t xml:space="preserve">annual report to stockholders are available on the Investor Relations section of our website at </w:t>
      </w:r>
      <w:r>
        <w:rPr>
          <w:rFonts w:ascii="Arial" w:cs="Arial" w:eastAsia="Arial" w:hAnsi="Arial"/>
          <w:sz w:val="16"/>
          <w:szCs w:val="16"/>
          <w:b w:val="1"/>
          <w:bCs w:val="1"/>
          <w:i w:val="1"/>
          <w:iCs w:val="1"/>
          <w:color w:val="202E39"/>
        </w:rPr>
        <w:t>investors.viasat.com</w:t>
      </w:r>
      <w:r>
        <w:rPr>
          <w:rFonts w:ascii="Arial" w:cs="Arial" w:eastAsia="Arial" w:hAnsi="Arial"/>
          <w:sz w:val="16"/>
          <w:szCs w:val="16"/>
          <w:b w:val="1"/>
          <w:bCs w:val="1"/>
          <w:color w:val="202E39"/>
        </w:rPr>
        <w:t xml:space="preserve">. </w:t>
      </w:r>
      <w:r>
        <w:rPr>
          <w:rFonts w:ascii="Arial" w:cs="Arial" w:eastAsia="Arial" w:hAnsi="Arial"/>
          <w:sz w:val="16"/>
          <w:szCs w:val="16"/>
          <w:color w:val="202E39"/>
        </w:rPr>
        <w:t>If you are a stockholder of</w:t>
      </w:r>
      <w:r>
        <w:rPr>
          <w:rFonts w:ascii="Arial" w:cs="Arial" w:eastAsia="Arial" w:hAnsi="Arial"/>
          <w:sz w:val="16"/>
          <w:szCs w:val="16"/>
          <w:b w:val="1"/>
          <w:bCs w:val="1"/>
          <w:color w:val="202E39"/>
        </w:rPr>
        <w:t xml:space="preserve"> </w:t>
      </w:r>
      <w:r>
        <w:rPr>
          <w:rFonts w:ascii="Arial" w:cs="Arial" w:eastAsia="Arial" w:hAnsi="Arial"/>
          <w:sz w:val="16"/>
          <w:szCs w:val="16"/>
          <w:color w:val="202E39"/>
        </w:rPr>
        <w:t>record, you can elect to access future proxy 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other financial institution for instructions on how to elect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87630</wp:posOffset>
            </wp:positionV>
            <wp:extent cx="42862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4</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right="1620"/>
        <w:spacing w:after="0" w:line="254" w:lineRule="auto"/>
        <w:rPr>
          <w:sz w:val="20"/>
          <w:szCs w:val="20"/>
          <w:color w:val="auto"/>
        </w:rPr>
      </w:pPr>
      <w:r>
        <w:rPr>
          <w:rFonts w:ascii="Arial" w:cs="Arial" w:eastAsia="Arial" w:hAnsi="Arial"/>
          <w:sz w:val="36"/>
          <w:szCs w:val="36"/>
          <w:color w:val="009FE3"/>
        </w:rPr>
        <w:t>CORPORATE GOVERNANCE PRINCIPLES AND BOARD MATTERS</w:t>
      </w:r>
    </w:p>
    <w:p>
      <w:pPr>
        <w:spacing w:after="0" w:line="181" w:lineRule="exact"/>
        <w:rPr>
          <w:sz w:val="20"/>
          <w:szCs w:val="20"/>
          <w:color w:val="auto"/>
        </w:rPr>
      </w:pPr>
    </w:p>
    <w:p>
      <w:pPr>
        <w:ind w:left="200" w:right="80"/>
        <w:spacing w:after="0" w:line="251" w:lineRule="auto"/>
        <w:rPr>
          <w:sz w:val="20"/>
          <w:szCs w:val="20"/>
          <w:color w:val="auto"/>
        </w:rPr>
      </w:pPr>
      <w:r>
        <w:rPr>
          <w:rFonts w:ascii="Arial" w:cs="Arial" w:eastAsia="Arial" w:hAnsi="Arial"/>
          <w:sz w:val="16"/>
          <w:szCs w:val="16"/>
          <w:color w:val="202E39"/>
        </w:rPr>
        <w:t xml:space="preserve">We are dedicated to maintaining the highest standards of business integrity. It is our belief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Board Responsibilities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Primary Responsibilities</w:t>
      </w:r>
    </w:p>
    <w:p>
      <w:pPr>
        <w:spacing w:after="0" w:line="124"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202E39"/>
        </w:rPr>
        <w:t>The Board of Directors is the company’s governing body and is responsible for assuring that the long-term interests of the stockholders are being served. The Board of Directors is also responsible for overseeing Viasat’s Chief Executive Officer and other senior management in the competent and ethical operation of the company on a day-to-day basis. To satisfy its duties, directors are expected to take a proactive, focused approach to their position, and set standards to ensure that the company is committed to business success by maintaining the highest standards of responsibility and ethics.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Risk Oversight</w:t>
      </w:r>
    </w:p>
    <w:p>
      <w:pPr>
        <w:spacing w:after="0" w:line="124" w:lineRule="exact"/>
        <w:rPr>
          <w:sz w:val="20"/>
          <w:szCs w:val="20"/>
          <w:color w:val="auto"/>
        </w:rPr>
      </w:pPr>
    </w:p>
    <w:p>
      <w:pPr>
        <w:ind w:left="200" w:right="380"/>
        <w:spacing w:after="0" w:line="260" w:lineRule="auto"/>
        <w:rPr>
          <w:sz w:val="20"/>
          <w:szCs w:val="20"/>
          <w:color w:val="auto"/>
        </w:rPr>
      </w:pPr>
      <w:r>
        <w:rPr>
          <w:rFonts w:ascii="Arial" w:cs="Arial" w:eastAsia="Arial" w:hAnsi="Arial"/>
          <w:sz w:val="16"/>
          <w:szCs w:val="16"/>
          <w:color w:val="202E39"/>
        </w:rPr>
        <w:t>We take a comprehensive approach to risk management which is reflected in the reporting processes by which our management provides timely and comprehensive information to the Board to support the Board’s role in oversight, approval and decision-making.</w:t>
      </w: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FFFFFF"/>
        </w:rPr>
        <w:t>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-104775</wp:posOffset>
            </wp:positionV>
            <wp:extent cx="6997700" cy="720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720090"/>
                    </a:xfrm>
                    <a:prstGeom prst="rect">
                      <a:avLst/>
                    </a:prstGeom>
                    <a:noFill/>
                  </pic:spPr>
                </pic:pic>
              </a:graphicData>
            </a:graphic>
          </wp:anchor>
        </w:drawing>
      </w:r>
    </w:p>
    <w:p>
      <w:pPr>
        <w:spacing w:after="0" w:line="5" w:lineRule="exact"/>
        <w:rPr>
          <w:sz w:val="20"/>
          <w:szCs w:val="20"/>
          <w:color w:val="auto"/>
        </w:rPr>
      </w:pPr>
    </w:p>
    <w:p>
      <w:pPr>
        <w:ind w:left="280" w:right="80"/>
        <w:spacing w:after="0" w:line="246" w:lineRule="auto"/>
        <w:rPr>
          <w:sz w:val="20"/>
          <w:szCs w:val="20"/>
          <w:color w:val="auto"/>
        </w:rPr>
      </w:pPr>
      <w:r>
        <w:rPr>
          <w:rFonts w:ascii="Arial" w:cs="Arial" w:eastAsia="Arial" w:hAnsi="Arial"/>
          <w:sz w:val="16"/>
          <w:szCs w:val="16"/>
          <w:color w:val="009FE3"/>
        </w:rPr>
        <w:t xml:space="preserve">The Board is responsible for </w:t>
      </w:r>
      <w:r>
        <w:rPr>
          <w:rFonts w:ascii="Arial" w:cs="Arial" w:eastAsia="Arial" w:hAnsi="Arial"/>
          <w:sz w:val="16"/>
          <w:szCs w:val="16"/>
          <w:color w:val="202E39"/>
        </w:rPr>
        <w:t>overseeing management in the execution of its responsibilities and for assessing the company’s approach to risk</w:t>
      </w:r>
      <w:r>
        <w:rPr>
          <w:rFonts w:ascii="Arial" w:cs="Arial" w:eastAsia="Arial" w:hAnsi="Arial"/>
          <w:sz w:val="16"/>
          <w:szCs w:val="16"/>
          <w:color w:val="009FE3"/>
        </w:rPr>
        <w:t xml:space="preserve"> </w:t>
      </w:r>
      <w:r>
        <w:rPr>
          <w:rFonts w:ascii="Arial" w:cs="Arial" w:eastAsia="Arial" w:hAnsi="Arial"/>
          <w:sz w:val="16"/>
          <w:szCs w:val="16"/>
          <w:color w:val="202E39"/>
        </w:rPr>
        <w:t>management. The Board exercises these responsibilities periodically as part of its meetings and also through the Board’s committees, each of which examines various components of enterprise risk as it pertains to the committee’s area of oversight. In addition, an overall review of risk is inherent in the Board’s consideration of the company’s long-term strategies and in the transactions and other matters presented to the Board, including capital expenditures, acquisitions and divestitures, and financial matters.</w:t>
      </w:r>
    </w:p>
    <w:p>
      <w:pPr>
        <w:jc w:val="center"/>
        <w:ind w:right="-439"/>
        <w:spacing w:after="0"/>
        <w:rPr>
          <w:sz w:val="20"/>
          <w:szCs w:val="20"/>
          <w:color w:val="auto"/>
        </w:rPr>
      </w:pPr>
      <w:r>
        <w:rPr>
          <w:rFonts w:ascii="Arial" w:cs="Arial" w:eastAsia="Arial" w:hAnsi="Arial"/>
          <w:sz w:val="29"/>
          <w:szCs w:val="29"/>
          <w:color w:val="202E39"/>
        </w:rPr>
        <w:t>À</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wp:posOffset>
            </wp:positionV>
            <wp:extent cx="699770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120015"/>
                    </a:xfrm>
                    <a:prstGeom prst="rect">
                      <a:avLst/>
                    </a:prstGeom>
                    <a:noFill/>
                  </pic:spPr>
                </pic:pic>
              </a:graphicData>
            </a:graphic>
          </wp:anchor>
        </w:drawing>
      </w:r>
    </w:p>
    <w:p>
      <w:pPr>
        <w:jc w:val="center"/>
        <w:ind w:right="-339"/>
        <w:spacing w:after="0"/>
        <w:rPr>
          <w:sz w:val="20"/>
          <w:szCs w:val="20"/>
          <w:color w:val="auto"/>
        </w:rPr>
      </w:pPr>
      <w:r>
        <w:rPr>
          <w:rFonts w:ascii="Arial" w:cs="Arial" w:eastAsia="Arial" w:hAnsi="Arial"/>
          <w:sz w:val="16"/>
          <w:szCs w:val="16"/>
          <w:b w:val="1"/>
          <w:bCs w:val="1"/>
          <w:color w:val="FFFFFF"/>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1800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1800860"/>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189"/>
        </w:trPr>
        <w:tc>
          <w:tcPr>
            <w:tcW w:w="2720" w:type="dxa"/>
            <w:vAlign w:val="bottom"/>
          </w:tcPr>
          <w:p>
            <w:pPr>
              <w:spacing w:after="0"/>
              <w:rPr>
                <w:sz w:val="20"/>
                <w:szCs w:val="20"/>
                <w:color w:val="auto"/>
              </w:rPr>
            </w:pPr>
            <w:r>
              <w:rPr>
                <w:rFonts w:ascii="Arial" w:cs="Arial" w:eastAsia="Arial" w:hAnsi="Arial"/>
                <w:sz w:val="16"/>
                <w:szCs w:val="16"/>
                <w:color w:val="009FE3"/>
              </w:rPr>
              <w:t>Audit Committee is responsible for</w:t>
            </w:r>
          </w:p>
        </w:tc>
        <w:tc>
          <w:tcPr>
            <w:tcW w:w="2660" w:type="dxa"/>
            <w:vAlign w:val="bottom"/>
          </w:tcPr>
          <w:p>
            <w:pPr>
              <w:ind w:left="80"/>
              <w:spacing w:after="0"/>
              <w:rPr>
                <w:sz w:val="20"/>
                <w:szCs w:val="20"/>
                <w:color w:val="auto"/>
              </w:rPr>
            </w:pPr>
            <w:r>
              <w:rPr>
                <w:rFonts w:ascii="Arial" w:cs="Arial" w:eastAsia="Arial" w:hAnsi="Arial"/>
                <w:sz w:val="16"/>
                <w:szCs w:val="16"/>
                <w:color w:val="009FE3"/>
              </w:rPr>
              <w:t>Compensation and Human</w:t>
            </w:r>
          </w:p>
        </w:tc>
        <w:tc>
          <w:tcPr>
            <w:tcW w:w="2960" w:type="dxa"/>
            <w:vAlign w:val="bottom"/>
          </w:tcPr>
          <w:p>
            <w:pPr>
              <w:ind w:left="160"/>
              <w:spacing w:after="0"/>
              <w:rPr>
                <w:sz w:val="20"/>
                <w:szCs w:val="20"/>
                <w:color w:val="auto"/>
              </w:rPr>
            </w:pPr>
            <w:r>
              <w:rPr>
                <w:rFonts w:ascii="Arial" w:cs="Arial" w:eastAsia="Arial" w:hAnsi="Arial"/>
                <w:sz w:val="16"/>
                <w:szCs w:val="16"/>
                <w:color w:val="009FE3"/>
              </w:rPr>
              <w:t>Nomination, Evaluation and</w:t>
            </w:r>
          </w:p>
        </w:tc>
        <w:tc>
          <w:tcPr>
            <w:tcW w:w="2600" w:type="dxa"/>
            <w:vAlign w:val="bottom"/>
          </w:tcPr>
          <w:p>
            <w:pPr>
              <w:ind w:left="80"/>
              <w:spacing w:after="0"/>
              <w:rPr>
                <w:sz w:val="20"/>
                <w:szCs w:val="20"/>
                <w:color w:val="auto"/>
              </w:rPr>
            </w:pPr>
            <w:r>
              <w:rPr>
                <w:rFonts w:ascii="Arial" w:cs="Arial" w:eastAsia="Arial" w:hAnsi="Arial"/>
                <w:sz w:val="16"/>
                <w:szCs w:val="16"/>
                <w:color w:val="009FE3"/>
              </w:rPr>
              <w:t>Banking and Finance Committee is</w:t>
            </w: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202E39"/>
              </w:rPr>
              <w:t>reviewing the professional services</w:t>
            </w:r>
          </w:p>
        </w:tc>
        <w:tc>
          <w:tcPr>
            <w:tcW w:w="2660" w:type="dxa"/>
            <w:vAlign w:val="bottom"/>
          </w:tcPr>
          <w:p>
            <w:pPr>
              <w:ind w:left="80"/>
              <w:spacing w:after="0"/>
              <w:rPr>
                <w:sz w:val="20"/>
                <w:szCs w:val="20"/>
                <w:color w:val="auto"/>
              </w:rPr>
            </w:pPr>
            <w:r>
              <w:rPr>
                <w:rFonts w:ascii="Arial" w:cs="Arial" w:eastAsia="Arial" w:hAnsi="Arial"/>
                <w:sz w:val="16"/>
                <w:szCs w:val="16"/>
                <w:color w:val="009FE3"/>
              </w:rPr>
              <w:t>Resources Committee is</w:t>
            </w:r>
          </w:p>
        </w:tc>
        <w:tc>
          <w:tcPr>
            <w:tcW w:w="2960" w:type="dxa"/>
            <w:vAlign w:val="bottom"/>
          </w:tcPr>
          <w:p>
            <w:pPr>
              <w:ind w:left="160"/>
              <w:spacing w:after="0"/>
              <w:rPr>
                <w:sz w:val="20"/>
                <w:szCs w:val="20"/>
                <w:color w:val="auto"/>
              </w:rPr>
            </w:pPr>
            <w:r>
              <w:rPr>
                <w:rFonts w:ascii="Arial" w:cs="Arial" w:eastAsia="Arial" w:hAnsi="Arial"/>
                <w:sz w:val="16"/>
                <w:szCs w:val="16"/>
                <w:color w:val="009FE3"/>
              </w:rPr>
              <w:t>Corporate Governance Committee is</w:t>
            </w:r>
          </w:p>
        </w:tc>
        <w:tc>
          <w:tcPr>
            <w:tcW w:w="2600" w:type="dxa"/>
            <w:vAlign w:val="bottom"/>
          </w:tcPr>
          <w:p>
            <w:pPr>
              <w:ind w:left="80"/>
              <w:spacing w:after="0"/>
              <w:rPr>
                <w:sz w:val="20"/>
                <w:szCs w:val="20"/>
                <w:color w:val="auto"/>
              </w:rPr>
            </w:pPr>
            <w:r>
              <w:rPr>
                <w:rFonts w:ascii="Arial" w:cs="Arial" w:eastAsia="Arial" w:hAnsi="Arial"/>
                <w:sz w:val="16"/>
                <w:szCs w:val="16"/>
                <w:color w:val="009FE3"/>
              </w:rPr>
              <w:t xml:space="preserve">responsible for </w:t>
            </w:r>
            <w:r>
              <w:rPr>
                <w:rFonts w:ascii="Arial" w:cs="Arial" w:eastAsia="Arial" w:hAnsi="Arial"/>
                <w:sz w:val="16"/>
                <w:szCs w:val="16"/>
                <w:color w:val="202E39"/>
              </w:rPr>
              <w:t>overseeing certain</w:t>
            </w: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202E39"/>
              </w:rPr>
              <w:t>provided by our independent</w:t>
            </w:r>
          </w:p>
        </w:tc>
        <w:tc>
          <w:tcPr>
            <w:tcW w:w="2660" w:type="dxa"/>
            <w:vAlign w:val="bottom"/>
          </w:tcPr>
          <w:p>
            <w:pPr>
              <w:ind w:left="80"/>
              <w:spacing w:after="0"/>
              <w:rPr>
                <w:sz w:val="20"/>
                <w:szCs w:val="20"/>
                <w:color w:val="auto"/>
              </w:rPr>
            </w:pPr>
            <w:r>
              <w:rPr>
                <w:rFonts w:ascii="Arial" w:cs="Arial" w:eastAsia="Arial" w:hAnsi="Arial"/>
                <w:sz w:val="16"/>
                <w:szCs w:val="16"/>
                <w:color w:val="009FE3"/>
              </w:rPr>
              <w:t xml:space="preserve">responsible for </w:t>
            </w:r>
            <w:r>
              <w:rPr>
                <w:rFonts w:ascii="Arial" w:cs="Arial" w:eastAsia="Arial" w:hAnsi="Arial"/>
                <w:sz w:val="16"/>
                <w:szCs w:val="16"/>
                <w:color w:val="202E39"/>
              </w:rPr>
              <w:t>designing and</w:t>
            </w:r>
          </w:p>
        </w:tc>
        <w:tc>
          <w:tcPr>
            <w:tcW w:w="2960" w:type="dxa"/>
            <w:vAlign w:val="bottom"/>
          </w:tcPr>
          <w:p>
            <w:pPr>
              <w:ind w:left="160"/>
              <w:spacing w:after="0"/>
              <w:rPr>
                <w:sz w:val="20"/>
                <w:szCs w:val="20"/>
                <w:color w:val="auto"/>
              </w:rPr>
            </w:pPr>
            <w:r>
              <w:rPr>
                <w:rFonts w:ascii="Arial" w:cs="Arial" w:eastAsia="Arial" w:hAnsi="Arial"/>
                <w:sz w:val="16"/>
                <w:szCs w:val="16"/>
                <w:color w:val="009FE3"/>
              </w:rPr>
              <w:t xml:space="preserve">responsible for </w:t>
            </w:r>
            <w:r>
              <w:rPr>
                <w:rFonts w:ascii="Arial" w:cs="Arial" w:eastAsia="Arial" w:hAnsi="Arial"/>
                <w:sz w:val="16"/>
                <w:szCs w:val="16"/>
                <w:color w:val="202E39"/>
              </w:rPr>
              <w:t>developing and</w:t>
            </w:r>
          </w:p>
        </w:tc>
        <w:tc>
          <w:tcPr>
            <w:tcW w:w="2600" w:type="dxa"/>
            <w:vAlign w:val="bottom"/>
          </w:tcPr>
          <w:p>
            <w:pPr>
              <w:ind w:left="80"/>
              <w:spacing w:after="0"/>
              <w:rPr>
                <w:sz w:val="20"/>
                <w:szCs w:val="20"/>
                <w:color w:val="auto"/>
              </w:rPr>
            </w:pPr>
            <w:r>
              <w:rPr>
                <w:rFonts w:ascii="Arial" w:cs="Arial" w:eastAsia="Arial" w:hAnsi="Arial"/>
                <w:sz w:val="16"/>
                <w:szCs w:val="16"/>
                <w:color w:val="202E39"/>
              </w:rPr>
              <w:t>aspects of corporate finance for</w:t>
            </w: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202E39"/>
              </w:rPr>
              <w:t>registered public accounting firm, the</w:t>
            </w:r>
          </w:p>
        </w:tc>
        <w:tc>
          <w:tcPr>
            <w:tcW w:w="2660" w:type="dxa"/>
            <w:vAlign w:val="bottom"/>
          </w:tcPr>
          <w:p>
            <w:pPr>
              <w:ind w:left="80"/>
              <w:spacing w:after="0"/>
              <w:rPr>
                <w:sz w:val="20"/>
                <w:szCs w:val="20"/>
                <w:color w:val="auto"/>
              </w:rPr>
            </w:pPr>
            <w:r>
              <w:rPr>
                <w:rFonts w:ascii="Arial" w:cs="Arial" w:eastAsia="Arial" w:hAnsi="Arial"/>
                <w:sz w:val="16"/>
                <w:szCs w:val="16"/>
                <w:color w:val="202E39"/>
              </w:rPr>
              <w:t>evaluating Viasat’s compensation</w:t>
            </w:r>
          </w:p>
        </w:tc>
        <w:tc>
          <w:tcPr>
            <w:tcW w:w="2960" w:type="dxa"/>
            <w:vAlign w:val="bottom"/>
          </w:tcPr>
          <w:p>
            <w:pPr>
              <w:ind w:left="160"/>
              <w:spacing w:after="0"/>
              <w:rPr>
                <w:sz w:val="20"/>
                <w:szCs w:val="20"/>
                <w:color w:val="auto"/>
              </w:rPr>
            </w:pPr>
            <w:r>
              <w:rPr>
                <w:rFonts w:ascii="Arial" w:cs="Arial" w:eastAsia="Arial" w:hAnsi="Arial"/>
                <w:sz w:val="16"/>
                <w:szCs w:val="16"/>
                <w:color w:val="202E39"/>
              </w:rPr>
              <w:t>recommending to the Board a set of</w:t>
            </w:r>
          </w:p>
        </w:tc>
        <w:tc>
          <w:tcPr>
            <w:tcW w:w="2600" w:type="dxa"/>
            <w:vAlign w:val="bottom"/>
          </w:tcPr>
          <w:p>
            <w:pPr>
              <w:ind w:left="80"/>
              <w:spacing w:after="0"/>
              <w:rPr>
                <w:sz w:val="20"/>
                <w:szCs w:val="20"/>
                <w:color w:val="auto"/>
              </w:rPr>
            </w:pPr>
            <w:r>
              <w:rPr>
                <w:rFonts w:ascii="Arial" w:cs="Arial" w:eastAsia="Arial" w:hAnsi="Arial"/>
                <w:sz w:val="16"/>
                <w:szCs w:val="16"/>
                <w:color w:val="202E39"/>
              </w:rPr>
              <w:t>the company, and reviewing and</w:t>
            </w: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202E39"/>
              </w:rPr>
              <w:t>independence of such independent</w:t>
            </w:r>
          </w:p>
        </w:tc>
        <w:tc>
          <w:tcPr>
            <w:tcW w:w="2660" w:type="dxa"/>
            <w:vAlign w:val="bottom"/>
          </w:tcPr>
          <w:p>
            <w:pPr>
              <w:ind w:left="80"/>
              <w:spacing w:after="0"/>
              <w:rPr>
                <w:sz w:val="20"/>
                <w:szCs w:val="20"/>
                <w:color w:val="auto"/>
              </w:rPr>
            </w:pPr>
            <w:r>
              <w:rPr>
                <w:rFonts w:ascii="Arial" w:cs="Arial" w:eastAsia="Arial" w:hAnsi="Arial"/>
                <w:sz w:val="16"/>
                <w:szCs w:val="16"/>
                <w:color w:val="202E39"/>
              </w:rPr>
              <w:t>plans, policies and programs,</w:t>
            </w:r>
          </w:p>
        </w:tc>
        <w:tc>
          <w:tcPr>
            <w:tcW w:w="2960" w:type="dxa"/>
            <w:vAlign w:val="bottom"/>
          </w:tcPr>
          <w:p>
            <w:pPr>
              <w:ind w:left="160"/>
              <w:spacing w:after="0"/>
              <w:rPr>
                <w:sz w:val="20"/>
                <w:szCs w:val="20"/>
                <w:color w:val="auto"/>
              </w:rPr>
            </w:pPr>
            <w:r>
              <w:rPr>
                <w:rFonts w:ascii="Arial" w:cs="Arial" w:eastAsia="Arial" w:hAnsi="Arial"/>
                <w:sz w:val="16"/>
                <w:szCs w:val="16"/>
                <w:color w:val="202E39"/>
              </w:rPr>
              <w:t>corporate governance guidelines and</w:t>
            </w:r>
          </w:p>
        </w:tc>
        <w:tc>
          <w:tcPr>
            <w:tcW w:w="2600" w:type="dxa"/>
            <w:vAlign w:val="bottom"/>
          </w:tcPr>
          <w:p>
            <w:pPr>
              <w:ind w:left="80"/>
              <w:spacing w:after="0"/>
              <w:rPr>
                <w:sz w:val="20"/>
                <w:szCs w:val="20"/>
                <w:color w:val="auto"/>
              </w:rPr>
            </w:pPr>
            <w:r>
              <w:rPr>
                <w:rFonts w:ascii="Arial" w:cs="Arial" w:eastAsia="Arial" w:hAnsi="Arial"/>
                <w:sz w:val="16"/>
                <w:szCs w:val="16"/>
                <w:color w:val="202E39"/>
              </w:rPr>
              <w:t>making recommendations to the</w:t>
            </w: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202E39"/>
              </w:rPr>
              <w:t>registered public accounting firm</w:t>
            </w:r>
          </w:p>
        </w:tc>
        <w:tc>
          <w:tcPr>
            <w:tcW w:w="2660" w:type="dxa"/>
            <w:vAlign w:val="bottom"/>
          </w:tcPr>
          <w:p>
            <w:pPr>
              <w:ind w:left="80"/>
              <w:spacing w:after="0"/>
              <w:rPr>
                <w:sz w:val="20"/>
                <w:szCs w:val="20"/>
                <w:color w:val="auto"/>
              </w:rPr>
            </w:pPr>
            <w:r>
              <w:rPr>
                <w:rFonts w:ascii="Arial" w:cs="Arial" w:eastAsia="Arial" w:hAnsi="Arial"/>
                <w:sz w:val="16"/>
                <w:szCs w:val="16"/>
                <w:color w:val="202E39"/>
              </w:rPr>
              <w:t>including the compensation of our</w:t>
            </w:r>
          </w:p>
        </w:tc>
        <w:tc>
          <w:tcPr>
            <w:tcW w:w="2960" w:type="dxa"/>
            <w:vAlign w:val="bottom"/>
          </w:tcPr>
          <w:p>
            <w:pPr>
              <w:ind w:left="160"/>
              <w:spacing w:after="0"/>
              <w:rPr>
                <w:sz w:val="20"/>
                <w:szCs w:val="20"/>
                <w:color w:val="auto"/>
              </w:rPr>
            </w:pPr>
            <w:r>
              <w:rPr>
                <w:rFonts w:ascii="Arial" w:cs="Arial" w:eastAsia="Arial" w:hAnsi="Arial"/>
                <w:sz w:val="16"/>
                <w:szCs w:val="16"/>
                <w:color w:val="202E39"/>
              </w:rPr>
              <w:t>principles, providing oversight of the</w:t>
            </w:r>
          </w:p>
        </w:tc>
        <w:tc>
          <w:tcPr>
            <w:tcW w:w="2600" w:type="dxa"/>
            <w:vAlign w:val="bottom"/>
          </w:tcPr>
          <w:p>
            <w:pPr>
              <w:ind w:left="80"/>
              <w:spacing w:after="0"/>
              <w:rPr>
                <w:sz w:val="20"/>
                <w:szCs w:val="20"/>
                <w:color w:val="auto"/>
              </w:rPr>
            </w:pPr>
            <w:r>
              <w:rPr>
                <w:rFonts w:ascii="Arial" w:cs="Arial" w:eastAsia="Arial" w:hAnsi="Arial"/>
                <w:sz w:val="16"/>
                <w:szCs w:val="16"/>
                <w:color w:val="202E39"/>
              </w:rPr>
              <w:t>Board about the company’s</w:t>
            </w: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202E39"/>
              </w:rPr>
              <w:t>from our management, and our</w:t>
            </w:r>
          </w:p>
        </w:tc>
        <w:tc>
          <w:tcPr>
            <w:tcW w:w="2660" w:type="dxa"/>
            <w:vAlign w:val="bottom"/>
          </w:tcPr>
          <w:p>
            <w:pPr>
              <w:ind w:left="80"/>
              <w:spacing w:after="0"/>
              <w:rPr>
                <w:sz w:val="20"/>
                <w:szCs w:val="20"/>
                <w:color w:val="auto"/>
              </w:rPr>
            </w:pPr>
            <w:r>
              <w:rPr>
                <w:rFonts w:ascii="Arial" w:cs="Arial" w:eastAsia="Arial" w:hAnsi="Arial"/>
                <w:sz w:val="16"/>
                <w:szCs w:val="16"/>
                <w:color w:val="202E39"/>
              </w:rPr>
              <w:t>executive officers.</w:t>
            </w:r>
          </w:p>
        </w:tc>
        <w:tc>
          <w:tcPr>
            <w:tcW w:w="2960" w:type="dxa"/>
            <w:vAlign w:val="bottom"/>
          </w:tcPr>
          <w:p>
            <w:pPr>
              <w:ind w:left="160"/>
              <w:spacing w:after="0"/>
              <w:rPr>
                <w:sz w:val="20"/>
                <w:szCs w:val="20"/>
                <w:color w:val="auto"/>
              </w:rPr>
            </w:pPr>
            <w:r>
              <w:rPr>
                <w:rFonts w:ascii="Arial" w:cs="Arial" w:eastAsia="Arial" w:hAnsi="Arial"/>
                <w:sz w:val="16"/>
                <w:szCs w:val="16"/>
                <w:color w:val="202E39"/>
              </w:rPr>
              <w:t>process for the self-assessment by</w:t>
            </w:r>
          </w:p>
        </w:tc>
        <w:tc>
          <w:tcPr>
            <w:tcW w:w="2600" w:type="dxa"/>
            <w:vAlign w:val="bottom"/>
          </w:tcPr>
          <w:p>
            <w:pPr>
              <w:ind w:left="80"/>
              <w:spacing w:after="0"/>
              <w:rPr>
                <w:sz w:val="20"/>
                <w:szCs w:val="20"/>
                <w:color w:val="auto"/>
              </w:rPr>
            </w:pPr>
            <w:r>
              <w:rPr>
                <w:rFonts w:ascii="Arial" w:cs="Arial" w:eastAsia="Arial" w:hAnsi="Arial"/>
                <w:sz w:val="16"/>
                <w:szCs w:val="16"/>
                <w:color w:val="202E39"/>
              </w:rPr>
              <w:t>financial affairs and policies,</w:t>
            </w: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202E39"/>
              </w:rPr>
              <w:t>annual and quarterly financial</w:t>
            </w:r>
          </w:p>
        </w:tc>
        <w:tc>
          <w:tcPr>
            <w:tcW w:w="2660" w:type="dxa"/>
            <w:vAlign w:val="bottom"/>
          </w:tcPr>
          <w:p>
            <w:pPr>
              <w:spacing w:after="0"/>
              <w:rPr>
                <w:sz w:val="16"/>
                <w:szCs w:val="16"/>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202E39"/>
              </w:rPr>
              <w:t>the Board and each of its committees,</w:t>
            </w:r>
          </w:p>
        </w:tc>
        <w:tc>
          <w:tcPr>
            <w:tcW w:w="2600" w:type="dxa"/>
            <w:vAlign w:val="bottom"/>
          </w:tcPr>
          <w:p>
            <w:pPr>
              <w:ind w:left="80"/>
              <w:spacing w:after="0"/>
              <w:rPr>
                <w:sz w:val="20"/>
                <w:szCs w:val="20"/>
                <w:color w:val="auto"/>
              </w:rPr>
            </w:pPr>
            <w:r>
              <w:rPr>
                <w:rFonts w:ascii="Arial" w:cs="Arial" w:eastAsia="Arial" w:hAnsi="Arial"/>
                <w:sz w:val="16"/>
                <w:szCs w:val="16"/>
                <w:color w:val="202E39"/>
              </w:rPr>
              <w:t>including short and long-term</w:t>
            </w: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202E39"/>
              </w:rPr>
              <w:t>statements.</w:t>
            </w:r>
          </w:p>
        </w:tc>
        <w:tc>
          <w:tcPr>
            <w:tcW w:w="2660" w:type="dxa"/>
            <w:vAlign w:val="bottom"/>
          </w:tcPr>
          <w:p>
            <w:pPr>
              <w:spacing w:after="0"/>
              <w:rPr>
                <w:sz w:val="16"/>
                <w:szCs w:val="16"/>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202E39"/>
              </w:rPr>
              <w:t>reviewing and recommending</w:t>
            </w:r>
          </w:p>
        </w:tc>
        <w:tc>
          <w:tcPr>
            <w:tcW w:w="2600" w:type="dxa"/>
            <w:vAlign w:val="bottom"/>
          </w:tcPr>
          <w:p>
            <w:pPr>
              <w:ind w:left="80"/>
              <w:spacing w:after="0"/>
              <w:rPr>
                <w:sz w:val="20"/>
                <w:szCs w:val="20"/>
                <w:color w:val="auto"/>
              </w:rPr>
            </w:pPr>
            <w:r>
              <w:rPr>
                <w:rFonts w:ascii="Arial" w:cs="Arial" w:eastAsia="Arial" w:hAnsi="Arial"/>
                <w:sz w:val="16"/>
                <w:szCs w:val="16"/>
                <w:color w:val="202E39"/>
              </w:rPr>
              <w:t>financing plans, objectives and</w:t>
            </w:r>
          </w:p>
        </w:tc>
      </w:tr>
      <w:tr>
        <w:trPr>
          <w:trHeight w:val="189"/>
        </w:trPr>
        <w:tc>
          <w:tcPr>
            <w:tcW w:w="27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202E39"/>
              </w:rPr>
              <w:t>nominees for election as directors and</w:t>
            </w:r>
          </w:p>
        </w:tc>
        <w:tc>
          <w:tcPr>
            <w:tcW w:w="2600" w:type="dxa"/>
            <w:vAlign w:val="bottom"/>
          </w:tcPr>
          <w:p>
            <w:pPr>
              <w:ind w:left="80"/>
              <w:spacing w:after="0"/>
              <w:rPr>
                <w:sz w:val="20"/>
                <w:szCs w:val="20"/>
                <w:color w:val="auto"/>
              </w:rPr>
            </w:pPr>
            <w:r>
              <w:rPr>
                <w:rFonts w:ascii="Arial" w:cs="Arial" w:eastAsia="Arial" w:hAnsi="Arial"/>
                <w:sz w:val="16"/>
                <w:szCs w:val="16"/>
                <w:color w:val="202E39"/>
              </w:rPr>
              <w:t>principles, borrowings or the</w:t>
            </w:r>
          </w:p>
        </w:tc>
      </w:tr>
      <w:tr>
        <w:trPr>
          <w:trHeight w:val="189"/>
        </w:trPr>
        <w:tc>
          <w:tcPr>
            <w:tcW w:w="27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202E39"/>
              </w:rPr>
              <w:t>committee members, conducting the</w:t>
            </w:r>
          </w:p>
        </w:tc>
        <w:tc>
          <w:tcPr>
            <w:tcW w:w="2600" w:type="dxa"/>
            <w:vAlign w:val="bottom"/>
          </w:tcPr>
          <w:p>
            <w:pPr>
              <w:ind w:left="80"/>
              <w:spacing w:after="0"/>
              <w:rPr>
                <w:sz w:val="20"/>
                <w:szCs w:val="20"/>
                <w:color w:val="auto"/>
              </w:rPr>
            </w:pPr>
            <w:r>
              <w:rPr>
                <w:rFonts w:ascii="Arial" w:cs="Arial" w:eastAsia="Arial" w:hAnsi="Arial"/>
                <w:sz w:val="16"/>
                <w:szCs w:val="16"/>
                <w:color w:val="202E39"/>
              </w:rPr>
              <w:t>issuance of debt and equity</w:t>
            </w:r>
          </w:p>
        </w:tc>
      </w:tr>
      <w:tr>
        <w:trPr>
          <w:trHeight w:val="189"/>
        </w:trPr>
        <w:tc>
          <w:tcPr>
            <w:tcW w:w="27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202E39"/>
              </w:rPr>
              <w:t>evaluation of our Chief Executive</w:t>
            </w:r>
          </w:p>
        </w:tc>
        <w:tc>
          <w:tcPr>
            <w:tcW w:w="2600" w:type="dxa"/>
            <w:vAlign w:val="bottom"/>
          </w:tcPr>
          <w:p>
            <w:pPr>
              <w:ind w:left="80"/>
              <w:spacing w:after="0"/>
              <w:rPr>
                <w:sz w:val="20"/>
                <w:szCs w:val="20"/>
                <w:color w:val="auto"/>
              </w:rPr>
            </w:pPr>
            <w:r>
              <w:rPr>
                <w:rFonts w:ascii="Arial" w:cs="Arial" w:eastAsia="Arial" w:hAnsi="Arial"/>
                <w:sz w:val="16"/>
                <w:szCs w:val="16"/>
                <w:color w:val="202E39"/>
              </w:rPr>
              <w:t>securities.</w:t>
            </w:r>
          </w:p>
        </w:tc>
      </w:tr>
      <w:tr>
        <w:trPr>
          <w:trHeight w:val="189"/>
        </w:trPr>
        <w:tc>
          <w:tcPr>
            <w:tcW w:w="27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202E39"/>
              </w:rPr>
              <w:t>Officer, and advising the Board with</w:t>
            </w:r>
          </w:p>
        </w:tc>
        <w:tc>
          <w:tcPr>
            <w:tcW w:w="2600" w:type="dxa"/>
            <w:vAlign w:val="bottom"/>
          </w:tcPr>
          <w:p>
            <w:pPr>
              <w:spacing w:after="0"/>
              <w:rPr>
                <w:sz w:val="16"/>
                <w:szCs w:val="16"/>
                <w:color w:val="auto"/>
              </w:rPr>
            </w:pPr>
          </w:p>
        </w:tc>
      </w:tr>
      <w:tr>
        <w:trPr>
          <w:trHeight w:val="189"/>
        </w:trPr>
        <w:tc>
          <w:tcPr>
            <w:tcW w:w="27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202E39"/>
              </w:rPr>
              <w:t>respect to Board and committee</w:t>
            </w:r>
          </w:p>
        </w:tc>
        <w:tc>
          <w:tcPr>
            <w:tcW w:w="2600" w:type="dxa"/>
            <w:vAlign w:val="bottom"/>
          </w:tcPr>
          <w:p>
            <w:pPr>
              <w:spacing w:after="0"/>
              <w:rPr>
                <w:sz w:val="16"/>
                <w:szCs w:val="16"/>
                <w:color w:val="auto"/>
              </w:rPr>
            </w:pPr>
          </w:p>
        </w:tc>
      </w:tr>
      <w:tr>
        <w:trPr>
          <w:trHeight w:val="187"/>
        </w:trPr>
        <w:tc>
          <w:tcPr>
            <w:tcW w:w="27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202E39"/>
              </w:rPr>
              <w:t>composition.</w:t>
            </w:r>
          </w:p>
        </w:tc>
        <w:tc>
          <w:tcPr>
            <w:tcW w:w="2600" w:type="dxa"/>
            <w:vAlign w:val="bottom"/>
          </w:tcPr>
          <w:p>
            <w:pPr>
              <w:spacing w:after="0"/>
              <w:rPr>
                <w:sz w:val="16"/>
                <w:szCs w:val="16"/>
                <w:color w:val="auto"/>
              </w:rPr>
            </w:pPr>
          </w:p>
        </w:tc>
      </w:tr>
    </w:tbl>
    <w:p>
      <w:pPr>
        <w:jc w:val="center"/>
        <w:ind w:right="-339"/>
        <w:spacing w:after="0"/>
        <w:rPr>
          <w:sz w:val="20"/>
          <w:szCs w:val="20"/>
          <w:color w:val="auto"/>
        </w:rPr>
      </w:pPr>
      <w:r>
        <w:rPr>
          <w:rFonts w:ascii="Arial" w:cs="Arial" w:eastAsia="Arial" w:hAnsi="Arial"/>
          <w:sz w:val="29"/>
          <w:szCs w:val="29"/>
          <w:color w:val="202E39"/>
        </w:rPr>
        <w:t>À</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wp:posOffset>
            </wp:positionV>
            <wp:extent cx="699770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120015"/>
                    </a:xfrm>
                    <a:prstGeom prst="rect">
                      <a:avLst/>
                    </a:prstGeom>
                    <a:noFill/>
                  </pic:spPr>
                </pic:pic>
              </a:graphicData>
            </a:graphic>
          </wp:anchor>
        </w:drawing>
      </w:r>
    </w:p>
    <w:p>
      <w:pPr>
        <w:jc w:val="center"/>
        <w:ind w:right="-199"/>
        <w:spacing w:after="0"/>
        <w:rPr>
          <w:sz w:val="20"/>
          <w:szCs w:val="20"/>
          <w:color w:val="auto"/>
        </w:rPr>
      </w:pPr>
      <w:r>
        <w:rPr>
          <w:rFonts w:ascii="Arial" w:cs="Arial" w:eastAsia="Arial" w:hAnsi="Arial"/>
          <w:sz w:val="16"/>
          <w:szCs w:val="16"/>
          <w:b w:val="1"/>
          <w:bCs w:val="1"/>
          <w:color w:val="FFFFFF"/>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240030"/>
                    </a:xfrm>
                    <a:prstGeom prst="rect">
                      <a:avLst/>
                    </a:prstGeom>
                    <a:noFill/>
                  </pic:spPr>
                </pic:pic>
              </a:graphicData>
            </a:graphic>
          </wp:anchor>
        </w:drawing>
      </w:r>
    </w:p>
    <w:p>
      <w:pPr>
        <w:ind w:left="280" w:right="580"/>
        <w:spacing w:after="0" w:line="260" w:lineRule="auto"/>
        <w:rPr>
          <w:sz w:val="20"/>
          <w:szCs w:val="20"/>
          <w:color w:val="auto"/>
        </w:rPr>
      </w:pPr>
      <w:r>
        <w:rPr>
          <w:rFonts w:ascii="Arial" w:cs="Arial" w:eastAsia="Arial" w:hAnsi="Arial"/>
          <w:sz w:val="16"/>
          <w:szCs w:val="16"/>
          <w:color w:val="009FE3"/>
        </w:rPr>
        <w:t xml:space="preserve">Our senior management is responsible for </w:t>
      </w:r>
      <w:r>
        <w:rPr>
          <w:rFonts w:ascii="Arial" w:cs="Arial" w:eastAsia="Arial" w:hAnsi="Arial"/>
          <w:sz w:val="16"/>
          <w:szCs w:val="16"/>
          <w:color w:val="202E39"/>
        </w:rPr>
        <w:t>assessing and managing the company’s various exposures to risk on a day-to-day basis, including the</w:t>
      </w:r>
      <w:r>
        <w:rPr>
          <w:rFonts w:ascii="Arial" w:cs="Arial" w:eastAsia="Arial" w:hAnsi="Arial"/>
          <w:sz w:val="16"/>
          <w:szCs w:val="16"/>
          <w:color w:val="009FE3"/>
        </w:rPr>
        <w:t xml:space="preserve"> </w:t>
      </w:r>
      <w:r>
        <w:rPr>
          <w:rFonts w:ascii="Arial" w:cs="Arial" w:eastAsia="Arial" w:hAnsi="Arial"/>
          <w:sz w:val="16"/>
          <w:szCs w:val="16"/>
          <w:color w:val="202E39"/>
        </w:rPr>
        <w:t>creation of appropriate risk management programs and policies.</w:t>
      </w:r>
    </w:p>
    <w:p>
      <w:pPr>
        <w:spacing w:after="0" w:line="113" w:lineRule="exact"/>
        <w:rPr>
          <w:sz w:val="20"/>
          <w:szCs w:val="20"/>
          <w:color w:val="auto"/>
        </w:rPr>
      </w:pPr>
    </w:p>
    <w:tbl>
      <w:tblPr>
        <w:tblLayout w:type="fixed"/>
        <w:tblInd w:w="916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5</w:t>
            </w:r>
          </w:p>
        </w:tc>
      </w:tr>
    </w:tbl>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CORPORATE GOVERNANCE PRINCIPLES AND BOARD MATTERS </w:t>
      </w:r>
      <w:r>
        <w:rPr>
          <w:rFonts w:ascii="Arial" w:cs="Arial" w:eastAsia="Arial" w:hAnsi="Arial"/>
          <w:sz w:val="14"/>
          <w:szCs w:val="14"/>
          <w:color w:val="009FE3"/>
        </w:rPr>
        <w:t>• Board Leadership and Independence</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Board Leadership and Independence</w:t>
      </w:r>
    </w:p>
    <w:p>
      <w:pPr>
        <w:spacing w:after="0" w:line="145"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Mark Dankberg, our Chief Executive Officer, serves as the Chairman of the Board. Currently, the Board believes this leadership structure provides the most efficient and effective leadership model for Viasat by enhancing the Chairman and Chief Executive Officer’s ability to provide clear insight and direction of business strategies and plans to both the Board and management. The Board regularly evaluates its leadership structure and currently believes Viasat can most effectively execute its business strategies and plans if the Chairman is also a member of the management team. A single person, acting in the capacities of Chairman and Chief Executive Officer, promotes unity of vision and leadership, which allows for a single, clear focus for management to execute the company’s business strategies and plans. While we have not designated a lead independent director, we believe that Viasat’s unitary leadership structure is appropriately balanced by sound corporate governance principles, the effective oversight of management by non-employee directors and the strength of Viasat’s independent directors.</w:t>
      </w:r>
    </w:p>
    <w:p>
      <w:pPr>
        <w:spacing w:after="0" w:line="100" w:lineRule="exact"/>
        <w:rPr>
          <w:sz w:val="20"/>
          <w:szCs w:val="20"/>
          <w:color w:val="auto"/>
        </w:rPr>
      </w:pPr>
    </w:p>
    <w:p>
      <w:pPr>
        <w:ind w:left="200" w:right="80"/>
        <w:spacing w:after="0" w:line="249" w:lineRule="auto"/>
        <w:rPr>
          <w:sz w:val="20"/>
          <w:szCs w:val="20"/>
          <w:color w:val="auto"/>
        </w:rPr>
      </w:pPr>
      <w:r>
        <w:rPr>
          <w:rFonts w:ascii="Arial" w:cs="Arial" w:eastAsia="Arial" w:hAnsi="Arial"/>
          <w:sz w:val="16"/>
          <w:szCs w:val="16"/>
          <w:color w:val="202E39"/>
        </w:rPr>
        <w:t>The criteria established by The Nasdaq Stock Market, or Nasdaq, for director independence include various objective standards and a subjective test. The subjective test requires that each independent director not have a relationship which, in the opinion of the Board, would interfere with the exercise of independent judgment in carrying out the responsibilities of a director. Under the objective standards, a member of the Board is not considered independent if, for example, he or she is (1) an employee of Viasat, or (2) a partner in, or a controlling stockholder or an executive officer of, an entity to which Viasat made, or from which Viasat received, payments in the current or any of the past three fiscal years that exceed 5% of the recipient’s consolidated gross revenues for that year.</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None of our existing directors were disqualified from independent status under the objective standards, other than Mr.</w:t>
      </w:r>
    </w:p>
    <w:p>
      <w:pPr>
        <w:spacing w:after="0" w:line="5" w:lineRule="exact"/>
        <w:rPr>
          <w:sz w:val="20"/>
          <w:szCs w:val="20"/>
          <w:color w:val="auto"/>
        </w:rPr>
      </w:pPr>
    </w:p>
    <w:p>
      <w:pPr>
        <w:ind w:left="200" w:right="260"/>
        <w:spacing w:after="0" w:line="251" w:lineRule="auto"/>
        <w:rPr>
          <w:sz w:val="20"/>
          <w:szCs w:val="20"/>
          <w:color w:val="auto"/>
        </w:rPr>
      </w:pPr>
      <w:r>
        <w:rPr>
          <w:rFonts w:ascii="Arial" w:cs="Arial" w:eastAsia="Arial" w:hAnsi="Arial"/>
          <w:sz w:val="16"/>
          <w:szCs w:val="16"/>
          <w:color w:val="202E39"/>
        </w:rPr>
        <w:t>Dankberg and Richard Baldridge, who do not qualify as independent because they are Viasat employees. The subjective evaluation of director independence by the Board of Directors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w:t>
      </w:r>
    </w:p>
    <w:p>
      <w:pPr>
        <w:spacing w:after="0" w:line="95" w:lineRule="exact"/>
        <w:rPr>
          <w:sz w:val="20"/>
          <w:szCs w:val="20"/>
          <w:color w:val="auto"/>
        </w:rPr>
      </w:pPr>
    </w:p>
    <w:p>
      <w:pPr>
        <w:ind w:left="200" w:right="400"/>
        <w:spacing w:after="0" w:line="251" w:lineRule="auto"/>
        <w:rPr>
          <w:sz w:val="20"/>
          <w:szCs w:val="20"/>
          <w:color w:val="auto"/>
        </w:rPr>
      </w:pPr>
      <w:r>
        <w:rPr>
          <w:rFonts w:ascii="Arial" w:cs="Arial" w:eastAsia="Arial" w:hAnsi="Arial"/>
          <w:sz w:val="16"/>
          <w:szCs w:val="16"/>
          <w:color w:val="202E39"/>
        </w:rPr>
        <w:t>As a result of this evaluation, the Board of Directors affirmatively determined that each existing member of the Board other than Mr. Dankberg and Mr. Baldridge is independent under the criteria established by Nasdaq for director independence. In addition to the Board level standards for director independence, all members of the Audit Committee, Compensation and Human Resources Committee, and Nomination, Evaluation and Corporate Governance Committee qualify as independent directors as defined by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84455</wp:posOffset>
            </wp:positionV>
            <wp:extent cx="42862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6</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680"/>
        <w:spacing w:after="0"/>
        <w:rPr>
          <w:sz w:val="20"/>
          <w:szCs w:val="20"/>
          <w:color w:val="auto"/>
        </w:rPr>
      </w:pPr>
      <w:r>
        <w:rPr>
          <w:rFonts w:ascii="Arial" w:cs="Arial" w:eastAsia="Arial" w:hAnsi="Arial"/>
          <w:sz w:val="14"/>
          <w:szCs w:val="14"/>
          <w:color w:val="009FE3"/>
        </w:rPr>
        <w:t xml:space="preserve">CORPORATE GOVERNANCE PRINCIPLES AND BOARD MATTERS • </w:t>
      </w:r>
      <w:r>
        <w:rPr>
          <w:rFonts w:ascii="Arial" w:cs="Arial" w:eastAsia="Arial" w:hAnsi="Arial"/>
          <w:sz w:val="14"/>
          <w:szCs w:val="14"/>
          <w:color w:val="202E39"/>
        </w:rPr>
        <w:t>Board Structure and Committee Composition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Board Structure and Committee Composition</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As of the date of this proxy statement, our Board of Directors has ten directors and the following four standing committees: (1) Audit Committee,</w:t>
      </w:r>
    </w:p>
    <w:p>
      <w:pPr>
        <w:spacing w:after="0" w:line="5" w:lineRule="exact"/>
        <w:rPr>
          <w:sz w:val="20"/>
          <w:szCs w:val="20"/>
          <w:color w:val="auto"/>
        </w:rPr>
      </w:pPr>
    </w:p>
    <w:p>
      <w:pPr>
        <w:ind w:left="200" w:right="20" w:firstLine="4"/>
        <w:spacing w:after="0" w:line="248" w:lineRule="auto"/>
        <w:tabs>
          <w:tab w:leader="none" w:pos="443" w:val="left"/>
        </w:tabs>
        <w:numPr>
          <w:ilvl w:val="0"/>
          <w:numId w:val="8"/>
        </w:numPr>
        <w:rPr>
          <w:rFonts w:ascii="Arial" w:cs="Arial" w:eastAsia="Arial" w:hAnsi="Arial"/>
          <w:sz w:val="16"/>
          <w:szCs w:val="16"/>
          <w:color w:val="202E39"/>
        </w:rPr>
      </w:pPr>
      <w:r>
        <w:rPr>
          <w:rFonts w:ascii="Arial" w:cs="Arial" w:eastAsia="Arial" w:hAnsi="Arial"/>
          <w:sz w:val="16"/>
          <w:szCs w:val="16"/>
          <w:color w:val="202E39"/>
        </w:rPr>
        <w:t xml:space="preserve">Compensation and Human Resources Committee, (3) Nomination, Evaluation and Corporate Governance Committee, and (4) Banking and Finance Committee. The membership during the last fiscal year and the function of each of the committees are described below. Each of the committees operates under a written charter which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 During our fiscal year ended March 31, 2018, the Board held eight meetings During this period, all of the directors attended or participated in at least 75% of the aggregate of the total number of meetings of the Board, and the total number of meetings held by all committees of the Board, on which each such director served. Although we do not have a formal policy regarding attendance by members of our Board at our annual meeting of stockholders, we encourage the attendance of our directors and director nominees at our annual meeting, and historically more than a majority have done so. All of our then current directors attended last year’s annual meeting of stockholders.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3200" w:type="dxa"/>
            <w:vAlign w:val="bottom"/>
            <w:tcBorders>
              <w:top w:val="single" w:sz="8" w:color="E8EAEB"/>
              <w:right w:val="single" w:sz="8" w:color="E8EAEB"/>
            </w:tcBorders>
          </w:tcPr>
          <w:p>
            <w:pPr>
              <w:spacing w:after="0"/>
              <w:rPr>
                <w:sz w:val="17"/>
                <w:szCs w:val="17"/>
                <w:color w:val="auto"/>
              </w:rPr>
            </w:pPr>
          </w:p>
        </w:tc>
        <w:tc>
          <w:tcPr>
            <w:tcW w:w="1740" w:type="dxa"/>
            <w:vAlign w:val="bottom"/>
            <w:tcBorders>
              <w:top w:val="single" w:sz="8" w:color="E8EAEB"/>
              <w:right w:val="single" w:sz="8" w:color="E8EAEB"/>
            </w:tcBorders>
          </w:tcPr>
          <w:p>
            <w:pPr>
              <w:spacing w:after="0"/>
              <w:rPr>
                <w:sz w:val="17"/>
                <w:szCs w:val="17"/>
                <w:color w:val="auto"/>
              </w:rPr>
            </w:pPr>
          </w:p>
        </w:tc>
        <w:tc>
          <w:tcPr>
            <w:tcW w:w="1880" w:type="dxa"/>
            <w:vAlign w:val="bottom"/>
            <w:tcBorders>
              <w:top w:val="single" w:sz="8" w:color="E8EAEB"/>
              <w:right w:val="single" w:sz="8" w:color="E8EAEB"/>
            </w:tcBorders>
          </w:tcPr>
          <w:p>
            <w:pPr>
              <w:spacing w:after="0"/>
              <w:rPr>
                <w:sz w:val="17"/>
                <w:szCs w:val="17"/>
                <w:color w:val="auto"/>
              </w:rPr>
            </w:pPr>
          </w:p>
        </w:tc>
        <w:tc>
          <w:tcPr>
            <w:tcW w:w="2160" w:type="dxa"/>
            <w:vAlign w:val="bottom"/>
            <w:tcBorders>
              <w:top w:val="single" w:sz="8" w:color="E8EAEB"/>
              <w:right w:val="single" w:sz="8" w:color="E8EAEB"/>
            </w:tcBorders>
          </w:tcPr>
          <w:p>
            <w:pPr>
              <w:jc w:val="center"/>
              <w:ind w:left="463"/>
              <w:spacing w:after="0"/>
              <w:rPr>
                <w:sz w:val="20"/>
                <w:szCs w:val="20"/>
                <w:color w:val="auto"/>
              </w:rPr>
            </w:pPr>
            <w:r>
              <w:rPr>
                <w:rFonts w:ascii="Arial" w:cs="Arial" w:eastAsia="Arial" w:hAnsi="Arial"/>
                <w:sz w:val="14"/>
                <w:szCs w:val="14"/>
                <w:b w:val="1"/>
                <w:bCs w:val="1"/>
                <w:color w:val="009FE3"/>
              </w:rPr>
              <w:t>Nomination,</w:t>
            </w:r>
          </w:p>
        </w:tc>
        <w:tc>
          <w:tcPr>
            <w:tcW w:w="2040" w:type="dxa"/>
            <w:vAlign w:val="bottom"/>
            <w:tcBorders>
              <w:top w:val="single" w:sz="8" w:color="E8EAEB"/>
            </w:tcBorders>
          </w:tcPr>
          <w:p>
            <w:pPr>
              <w:spacing w:after="0"/>
              <w:rPr>
                <w:sz w:val="17"/>
                <w:szCs w:val="17"/>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740" w:type="dxa"/>
            <w:vAlign w:val="bottom"/>
            <w:tcBorders>
              <w:right w:val="single" w:sz="8" w:color="E8EAEB"/>
            </w:tcBorders>
          </w:tcPr>
          <w:p>
            <w:pPr>
              <w:spacing w:after="0"/>
              <w:rPr>
                <w:sz w:val="14"/>
                <w:szCs w:val="14"/>
                <w:color w:val="auto"/>
              </w:rPr>
            </w:pPr>
          </w:p>
        </w:tc>
        <w:tc>
          <w:tcPr>
            <w:tcW w:w="1880" w:type="dxa"/>
            <w:vAlign w:val="bottom"/>
            <w:tcBorders>
              <w:right w:val="single" w:sz="8" w:color="E8EAEB"/>
            </w:tcBorders>
          </w:tcPr>
          <w:p>
            <w:pPr>
              <w:jc w:val="center"/>
              <w:ind w:left="462"/>
              <w:spacing w:after="0"/>
              <w:rPr>
                <w:sz w:val="20"/>
                <w:szCs w:val="20"/>
                <w:color w:val="auto"/>
              </w:rPr>
            </w:pPr>
            <w:r>
              <w:rPr>
                <w:rFonts w:ascii="Arial" w:cs="Arial" w:eastAsia="Arial" w:hAnsi="Arial"/>
                <w:sz w:val="14"/>
                <w:szCs w:val="14"/>
                <w:b w:val="1"/>
                <w:bCs w:val="1"/>
                <w:color w:val="009FE3"/>
              </w:rPr>
              <w:t>Compensation and</w:t>
            </w:r>
          </w:p>
        </w:tc>
        <w:tc>
          <w:tcPr>
            <w:tcW w:w="2160" w:type="dxa"/>
            <w:vAlign w:val="bottom"/>
            <w:tcBorders>
              <w:right w:val="single" w:sz="8" w:color="E8EAEB"/>
            </w:tcBorders>
          </w:tcPr>
          <w:p>
            <w:pPr>
              <w:jc w:val="center"/>
              <w:ind w:left="463"/>
              <w:spacing w:after="0"/>
              <w:rPr>
                <w:sz w:val="20"/>
                <w:szCs w:val="20"/>
                <w:color w:val="auto"/>
              </w:rPr>
            </w:pPr>
            <w:r>
              <w:rPr>
                <w:rFonts w:ascii="Arial" w:cs="Arial" w:eastAsia="Arial" w:hAnsi="Arial"/>
                <w:sz w:val="14"/>
                <w:szCs w:val="14"/>
                <w:b w:val="1"/>
                <w:bCs w:val="1"/>
                <w:color w:val="009FE3"/>
              </w:rPr>
              <w:t>Evaluation and</w:t>
            </w:r>
          </w:p>
        </w:tc>
        <w:tc>
          <w:tcPr>
            <w:tcW w:w="2040" w:type="dxa"/>
            <w:vAlign w:val="bottom"/>
          </w:tcPr>
          <w:p>
            <w:pPr>
              <w:spacing w:after="0"/>
              <w:rPr>
                <w:sz w:val="14"/>
                <w:szCs w:val="14"/>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740" w:type="dxa"/>
            <w:vAlign w:val="bottom"/>
            <w:tcBorders>
              <w:right w:val="single" w:sz="8" w:color="E8EAEB"/>
            </w:tcBorders>
          </w:tcPr>
          <w:p>
            <w:pPr>
              <w:spacing w:after="0"/>
              <w:rPr>
                <w:sz w:val="14"/>
                <w:szCs w:val="14"/>
                <w:color w:val="auto"/>
              </w:rPr>
            </w:pPr>
          </w:p>
        </w:tc>
        <w:tc>
          <w:tcPr>
            <w:tcW w:w="1880" w:type="dxa"/>
            <w:vAlign w:val="bottom"/>
            <w:tcBorders>
              <w:right w:val="single" w:sz="8" w:color="E8EAEB"/>
            </w:tcBorders>
          </w:tcPr>
          <w:p>
            <w:pPr>
              <w:jc w:val="center"/>
              <w:ind w:left="462"/>
              <w:spacing w:after="0"/>
              <w:rPr>
                <w:sz w:val="20"/>
                <w:szCs w:val="20"/>
                <w:color w:val="auto"/>
              </w:rPr>
            </w:pPr>
            <w:r>
              <w:rPr>
                <w:rFonts w:ascii="Arial" w:cs="Arial" w:eastAsia="Arial" w:hAnsi="Arial"/>
                <w:sz w:val="14"/>
                <w:szCs w:val="14"/>
                <w:b w:val="1"/>
                <w:bCs w:val="1"/>
                <w:color w:val="009FE3"/>
              </w:rPr>
              <w:t>Human Resources</w:t>
            </w:r>
          </w:p>
        </w:tc>
        <w:tc>
          <w:tcPr>
            <w:tcW w:w="2160" w:type="dxa"/>
            <w:vAlign w:val="bottom"/>
            <w:tcBorders>
              <w:right w:val="single" w:sz="8" w:color="E8EAEB"/>
            </w:tcBorders>
          </w:tcPr>
          <w:p>
            <w:pPr>
              <w:jc w:val="center"/>
              <w:ind w:left="443"/>
              <w:spacing w:after="0"/>
              <w:rPr>
                <w:sz w:val="20"/>
                <w:szCs w:val="20"/>
                <w:color w:val="auto"/>
              </w:rPr>
            </w:pPr>
            <w:r>
              <w:rPr>
                <w:rFonts w:ascii="Arial" w:cs="Arial" w:eastAsia="Arial" w:hAnsi="Arial"/>
                <w:sz w:val="14"/>
                <w:szCs w:val="14"/>
                <w:b w:val="1"/>
                <w:bCs w:val="1"/>
                <w:color w:val="009FE3"/>
              </w:rPr>
              <w:t>Corporate Governance</w:t>
            </w:r>
          </w:p>
        </w:tc>
        <w:tc>
          <w:tcPr>
            <w:tcW w:w="2040" w:type="dxa"/>
            <w:vAlign w:val="bottom"/>
          </w:tcPr>
          <w:p>
            <w:pPr>
              <w:jc w:val="center"/>
              <w:ind w:left="482"/>
              <w:spacing w:after="0"/>
              <w:rPr>
                <w:sz w:val="20"/>
                <w:szCs w:val="20"/>
                <w:color w:val="auto"/>
              </w:rPr>
            </w:pPr>
            <w:r>
              <w:rPr>
                <w:rFonts w:ascii="Arial" w:cs="Arial" w:eastAsia="Arial" w:hAnsi="Arial"/>
                <w:sz w:val="14"/>
                <w:szCs w:val="14"/>
                <w:b w:val="1"/>
                <w:bCs w:val="1"/>
                <w:color w:val="009FE3"/>
              </w:rPr>
              <w:t>Banking and Finance</w:t>
            </w:r>
          </w:p>
        </w:tc>
      </w:tr>
      <w:tr>
        <w:trPr>
          <w:trHeight w:val="196"/>
        </w:trPr>
        <w:tc>
          <w:tcPr>
            <w:tcW w:w="32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Director</w:t>
            </w:r>
          </w:p>
        </w:tc>
        <w:tc>
          <w:tcPr>
            <w:tcW w:w="1740" w:type="dxa"/>
            <w:vAlign w:val="bottom"/>
            <w:tcBorders>
              <w:bottom w:val="single" w:sz="8" w:color="009FE3"/>
              <w:right w:val="single" w:sz="8" w:color="E8EAEB"/>
            </w:tcBorders>
          </w:tcPr>
          <w:p>
            <w:pPr>
              <w:jc w:val="center"/>
              <w:ind w:left="440"/>
              <w:spacing w:after="0"/>
              <w:rPr>
                <w:sz w:val="20"/>
                <w:szCs w:val="20"/>
                <w:color w:val="auto"/>
              </w:rPr>
            </w:pPr>
            <w:r>
              <w:rPr>
                <w:rFonts w:ascii="Arial" w:cs="Arial" w:eastAsia="Arial" w:hAnsi="Arial"/>
                <w:sz w:val="14"/>
                <w:szCs w:val="14"/>
                <w:b w:val="1"/>
                <w:bCs w:val="1"/>
                <w:color w:val="009FE3"/>
              </w:rPr>
              <w:t>Audit Committee</w:t>
            </w:r>
          </w:p>
        </w:tc>
        <w:tc>
          <w:tcPr>
            <w:tcW w:w="1880" w:type="dxa"/>
            <w:vAlign w:val="bottom"/>
            <w:tcBorders>
              <w:bottom w:val="single" w:sz="8" w:color="009FE3"/>
              <w:right w:val="single" w:sz="8" w:color="E8EAEB"/>
            </w:tcBorders>
          </w:tcPr>
          <w:p>
            <w:pPr>
              <w:jc w:val="center"/>
              <w:ind w:left="462"/>
              <w:spacing w:after="0"/>
              <w:rPr>
                <w:sz w:val="20"/>
                <w:szCs w:val="20"/>
                <w:color w:val="auto"/>
              </w:rPr>
            </w:pPr>
            <w:r>
              <w:rPr>
                <w:rFonts w:ascii="Arial" w:cs="Arial" w:eastAsia="Arial" w:hAnsi="Arial"/>
                <w:sz w:val="14"/>
                <w:szCs w:val="14"/>
                <w:b w:val="1"/>
                <w:bCs w:val="1"/>
                <w:color w:val="009FE3"/>
              </w:rPr>
              <w:t>Committee</w:t>
            </w:r>
          </w:p>
        </w:tc>
        <w:tc>
          <w:tcPr>
            <w:tcW w:w="2160" w:type="dxa"/>
            <w:vAlign w:val="bottom"/>
            <w:tcBorders>
              <w:bottom w:val="single" w:sz="8" w:color="009FE3"/>
              <w:right w:val="single" w:sz="8" w:color="E8EAEB"/>
            </w:tcBorders>
          </w:tcPr>
          <w:p>
            <w:pPr>
              <w:jc w:val="center"/>
              <w:ind w:left="463"/>
              <w:spacing w:after="0"/>
              <w:rPr>
                <w:sz w:val="20"/>
                <w:szCs w:val="20"/>
                <w:color w:val="auto"/>
              </w:rPr>
            </w:pPr>
            <w:r>
              <w:rPr>
                <w:rFonts w:ascii="Arial" w:cs="Arial" w:eastAsia="Arial" w:hAnsi="Arial"/>
                <w:sz w:val="14"/>
                <w:szCs w:val="14"/>
                <w:b w:val="1"/>
                <w:bCs w:val="1"/>
                <w:color w:val="009FE3"/>
              </w:rPr>
              <w:t>Committee</w:t>
            </w:r>
          </w:p>
        </w:tc>
        <w:tc>
          <w:tcPr>
            <w:tcW w:w="2040" w:type="dxa"/>
            <w:vAlign w:val="bottom"/>
            <w:tcBorders>
              <w:bottom w:val="single" w:sz="8" w:color="009FE3"/>
            </w:tcBorders>
          </w:tcPr>
          <w:p>
            <w:pPr>
              <w:jc w:val="center"/>
              <w:ind w:left="462"/>
              <w:spacing w:after="0"/>
              <w:rPr>
                <w:sz w:val="20"/>
                <w:szCs w:val="20"/>
                <w:color w:val="auto"/>
              </w:rPr>
            </w:pPr>
            <w:r>
              <w:rPr>
                <w:rFonts w:ascii="Arial" w:cs="Arial" w:eastAsia="Arial" w:hAnsi="Arial"/>
                <w:sz w:val="14"/>
                <w:szCs w:val="14"/>
                <w:b w:val="1"/>
                <w:bCs w:val="1"/>
                <w:color w:val="009FE3"/>
              </w:rPr>
              <w:t>Committee</w:t>
            </w: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740" w:type="dxa"/>
            <w:vAlign w:val="bottom"/>
            <w:tcBorders>
              <w:bottom w:val="single" w:sz="8" w:color="E8EAEB"/>
              <w:right w:val="single" w:sz="8" w:color="E8EAEB"/>
            </w:tcBorders>
          </w:tcPr>
          <w:p>
            <w:pPr>
              <w:spacing w:after="0"/>
              <w:rPr>
                <w:sz w:val="21"/>
                <w:szCs w:val="21"/>
                <w:color w:val="auto"/>
              </w:rPr>
            </w:pPr>
          </w:p>
        </w:tc>
        <w:tc>
          <w:tcPr>
            <w:tcW w:w="1880" w:type="dxa"/>
            <w:vAlign w:val="bottom"/>
            <w:tcBorders>
              <w:bottom w:val="single" w:sz="8" w:color="E8EAEB"/>
              <w:right w:val="single" w:sz="8" w:color="E8EAEB"/>
            </w:tcBorders>
          </w:tcPr>
          <w:p>
            <w:pPr>
              <w:spacing w:after="0"/>
              <w:rPr>
                <w:sz w:val="21"/>
                <w:szCs w:val="21"/>
                <w:color w:val="auto"/>
              </w:rPr>
            </w:pPr>
          </w:p>
        </w:tc>
        <w:tc>
          <w:tcPr>
            <w:tcW w:w="2160" w:type="dxa"/>
            <w:vAlign w:val="bottom"/>
            <w:tcBorders>
              <w:bottom w:val="single" w:sz="8" w:color="E8EAEB"/>
              <w:right w:val="single" w:sz="8" w:color="E8EAEB"/>
            </w:tcBorders>
          </w:tcPr>
          <w:p>
            <w:pPr>
              <w:spacing w:after="0"/>
              <w:rPr>
                <w:sz w:val="21"/>
                <w:szCs w:val="21"/>
                <w:color w:val="auto"/>
              </w:rPr>
            </w:pPr>
          </w:p>
        </w:tc>
        <w:tc>
          <w:tcPr>
            <w:tcW w:w="2040" w:type="dxa"/>
            <w:vAlign w:val="bottom"/>
            <w:tcBorders>
              <w:bottom w:val="single" w:sz="8" w:color="E8EAEB"/>
            </w:tcBorders>
          </w:tcPr>
          <w:p>
            <w:pPr>
              <w:jc w:val="center"/>
              <w:ind w:left="482"/>
              <w:spacing w:after="0"/>
              <w:rPr>
                <w:sz w:val="20"/>
                <w:szCs w:val="20"/>
                <w:color w:val="auto"/>
              </w:rPr>
            </w:pPr>
            <w:r>
              <w:rPr>
                <w:rFonts w:ascii="Arial" w:cs="Arial" w:eastAsia="Arial" w:hAnsi="Arial"/>
                <w:sz w:val="16"/>
                <w:szCs w:val="16"/>
                <w:color w:val="202E39"/>
              </w:rPr>
              <w:t>Member</w:t>
            </w: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740" w:type="dxa"/>
            <w:vAlign w:val="bottom"/>
            <w:tcBorders>
              <w:bottom w:val="single" w:sz="8" w:color="E8EAEB"/>
              <w:right w:val="single" w:sz="8" w:color="E8EAEB"/>
            </w:tcBorders>
          </w:tcPr>
          <w:p>
            <w:pPr>
              <w:spacing w:after="0"/>
              <w:rPr>
                <w:sz w:val="21"/>
                <w:szCs w:val="21"/>
                <w:color w:val="auto"/>
              </w:rPr>
            </w:pPr>
          </w:p>
        </w:tc>
        <w:tc>
          <w:tcPr>
            <w:tcW w:w="1880" w:type="dxa"/>
            <w:vAlign w:val="bottom"/>
            <w:tcBorders>
              <w:bottom w:val="single" w:sz="8" w:color="E8EAEB"/>
              <w:right w:val="single" w:sz="8" w:color="E8EAEB"/>
            </w:tcBorders>
          </w:tcPr>
          <w:p>
            <w:pPr>
              <w:spacing w:after="0"/>
              <w:rPr>
                <w:sz w:val="21"/>
                <w:szCs w:val="21"/>
                <w:color w:val="auto"/>
              </w:rPr>
            </w:pPr>
          </w:p>
        </w:tc>
        <w:tc>
          <w:tcPr>
            <w:tcW w:w="2160" w:type="dxa"/>
            <w:vAlign w:val="bottom"/>
            <w:tcBorders>
              <w:bottom w:val="single" w:sz="8" w:color="E8EAEB"/>
              <w:right w:val="single" w:sz="8" w:color="E8EAEB"/>
            </w:tcBorders>
          </w:tcPr>
          <w:p>
            <w:pPr>
              <w:spacing w:after="0"/>
              <w:rPr>
                <w:sz w:val="21"/>
                <w:szCs w:val="21"/>
                <w:color w:val="auto"/>
              </w:rPr>
            </w:pPr>
          </w:p>
        </w:tc>
        <w:tc>
          <w:tcPr>
            <w:tcW w:w="2040" w:type="dxa"/>
            <w:vAlign w:val="bottom"/>
            <w:tcBorders>
              <w:bottom w:val="single" w:sz="8" w:color="E8EAEB"/>
            </w:tcBorders>
          </w:tcPr>
          <w:p>
            <w:pPr>
              <w:jc w:val="center"/>
              <w:ind w:left="482"/>
              <w:spacing w:after="0"/>
              <w:rPr>
                <w:sz w:val="20"/>
                <w:szCs w:val="20"/>
                <w:color w:val="auto"/>
              </w:rPr>
            </w:pPr>
            <w:r>
              <w:rPr>
                <w:rFonts w:ascii="Arial" w:cs="Arial" w:eastAsia="Arial" w:hAnsi="Arial"/>
                <w:sz w:val="16"/>
                <w:szCs w:val="16"/>
                <w:color w:val="202E39"/>
              </w:rPr>
              <w:t>Member</w:t>
            </w: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Frank J. Biondi, Jr.</w:t>
            </w:r>
          </w:p>
        </w:tc>
        <w:tc>
          <w:tcPr>
            <w:tcW w:w="1740" w:type="dxa"/>
            <w:vAlign w:val="bottom"/>
            <w:tcBorders>
              <w:bottom w:val="single" w:sz="8" w:color="E8EAEB"/>
              <w:right w:val="single" w:sz="8" w:color="E8EAEB"/>
            </w:tcBorders>
          </w:tcPr>
          <w:p>
            <w:pPr>
              <w:jc w:val="center"/>
              <w:ind w:left="440"/>
              <w:spacing w:after="0"/>
              <w:rPr>
                <w:sz w:val="20"/>
                <w:szCs w:val="20"/>
                <w:color w:val="auto"/>
              </w:rPr>
            </w:pPr>
            <w:r>
              <w:rPr>
                <w:rFonts w:ascii="Arial" w:cs="Arial" w:eastAsia="Arial" w:hAnsi="Arial"/>
                <w:sz w:val="16"/>
                <w:szCs w:val="16"/>
                <w:color w:val="202E39"/>
                <w:w w:val="98"/>
              </w:rPr>
              <w:t>Member</w:t>
            </w:r>
          </w:p>
        </w:tc>
        <w:tc>
          <w:tcPr>
            <w:tcW w:w="1880" w:type="dxa"/>
            <w:vAlign w:val="bottom"/>
            <w:tcBorders>
              <w:bottom w:val="single" w:sz="8" w:color="E8EAEB"/>
              <w:right w:val="single" w:sz="8" w:color="E8EAEB"/>
            </w:tcBorders>
          </w:tcPr>
          <w:p>
            <w:pPr>
              <w:jc w:val="center"/>
              <w:ind w:left="442"/>
              <w:spacing w:after="0"/>
              <w:rPr>
                <w:sz w:val="20"/>
                <w:szCs w:val="20"/>
                <w:color w:val="auto"/>
              </w:rPr>
            </w:pPr>
            <w:r>
              <w:rPr>
                <w:rFonts w:ascii="Arial" w:cs="Arial" w:eastAsia="Arial" w:hAnsi="Arial"/>
                <w:sz w:val="16"/>
                <w:szCs w:val="16"/>
                <w:color w:val="202E39"/>
              </w:rPr>
              <w:t>Member</w:t>
            </w:r>
          </w:p>
        </w:tc>
        <w:tc>
          <w:tcPr>
            <w:tcW w:w="2160" w:type="dxa"/>
            <w:vAlign w:val="bottom"/>
            <w:tcBorders>
              <w:bottom w:val="single" w:sz="8" w:color="E8EAEB"/>
              <w:right w:val="single" w:sz="8" w:color="E8EAEB"/>
            </w:tcBorders>
          </w:tcPr>
          <w:p>
            <w:pPr>
              <w:spacing w:after="0"/>
              <w:rPr>
                <w:sz w:val="21"/>
                <w:szCs w:val="21"/>
                <w:color w:val="auto"/>
              </w:rPr>
            </w:pPr>
          </w:p>
        </w:tc>
        <w:tc>
          <w:tcPr>
            <w:tcW w:w="2040" w:type="dxa"/>
            <w:vAlign w:val="bottom"/>
            <w:tcBorders>
              <w:bottom w:val="single" w:sz="8" w:color="E8EAEB"/>
            </w:tcBorders>
          </w:tcPr>
          <w:p>
            <w:pPr>
              <w:jc w:val="center"/>
              <w:ind w:left="462"/>
              <w:spacing w:after="0"/>
              <w:rPr>
                <w:sz w:val="20"/>
                <w:szCs w:val="20"/>
                <w:color w:val="auto"/>
              </w:rPr>
            </w:pPr>
            <w:r>
              <w:rPr>
                <w:rFonts w:ascii="Arial" w:cs="Arial" w:eastAsia="Arial" w:hAnsi="Arial"/>
                <w:sz w:val="16"/>
                <w:szCs w:val="16"/>
                <w:color w:val="202E39"/>
                <w:w w:val="99"/>
              </w:rPr>
              <w:t>Chair</w:t>
            </w: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Robert Johnson</w:t>
            </w:r>
          </w:p>
        </w:tc>
        <w:tc>
          <w:tcPr>
            <w:tcW w:w="1740" w:type="dxa"/>
            <w:vAlign w:val="bottom"/>
            <w:tcBorders>
              <w:bottom w:val="single" w:sz="8" w:color="E8EAEB"/>
              <w:right w:val="single" w:sz="8" w:color="E8EAEB"/>
            </w:tcBorders>
          </w:tcPr>
          <w:p>
            <w:pPr>
              <w:jc w:val="center"/>
              <w:ind w:left="440"/>
              <w:spacing w:after="0"/>
              <w:rPr>
                <w:sz w:val="20"/>
                <w:szCs w:val="20"/>
                <w:color w:val="auto"/>
              </w:rPr>
            </w:pPr>
            <w:r>
              <w:rPr>
                <w:rFonts w:ascii="Arial" w:cs="Arial" w:eastAsia="Arial" w:hAnsi="Arial"/>
                <w:sz w:val="16"/>
                <w:szCs w:val="16"/>
                <w:color w:val="202E39"/>
                <w:w w:val="98"/>
              </w:rPr>
              <w:t>Member</w:t>
            </w:r>
          </w:p>
        </w:tc>
        <w:tc>
          <w:tcPr>
            <w:tcW w:w="1880" w:type="dxa"/>
            <w:vAlign w:val="bottom"/>
            <w:tcBorders>
              <w:bottom w:val="single" w:sz="8" w:color="E8EAEB"/>
              <w:right w:val="single" w:sz="8" w:color="E8EAEB"/>
            </w:tcBorders>
          </w:tcPr>
          <w:p>
            <w:pPr>
              <w:spacing w:after="0"/>
              <w:rPr>
                <w:sz w:val="21"/>
                <w:szCs w:val="21"/>
                <w:color w:val="auto"/>
              </w:rPr>
            </w:pPr>
          </w:p>
        </w:tc>
        <w:tc>
          <w:tcPr>
            <w:tcW w:w="2160" w:type="dxa"/>
            <w:vAlign w:val="bottom"/>
            <w:tcBorders>
              <w:bottom w:val="single" w:sz="8" w:color="E8EAEB"/>
              <w:right w:val="single" w:sz="8" w:color="E8EAEB"/>
            </w:tcBorders>
          </w:tcPr>
          <w:p>
            <w:pPr>
              <w:jc w:val="center"/>
              <w:ind w:left="463"/>
              <w:spacing w:after="0"/>
              <w:rPr>
                <w:sz w:val="20"/>
                <w:szCs w:val="20"/>
                <w:color w:val="auto"/>
              </w:rPr>
            </w:pPr>
            <w:r>
              <w:rPr>
                <w:rFonts w:ascii="Arial" w:cs="Arial" w:eastAsia="Arial" w:hAnsi="Arial"/>
                <w:sz w:val="16"/>
                <w:szCs w:val="16"/>
                <w:color w:val="202E39"/>
                <w:w w:val="99"/>
              </w:rPr>
              <w:t>Chair</w:t>
            </w:r>
          </w:p>
        </w:tc>
        <w:tc>
          <w:tcPr>
            <w:tcW w:w="2040" w:type="dxa"/>
            <w:vAlign w:val="bottom"/>
            <w:tcBorders>
              <w:bottom w:val="single" w:sz="8" w:color="E8EAEB"/>
            </w:tcBorders>
          </w:tcPr>
          <w:p>
            <w:pPr>
              <w:spacing w:after="0"/>
              <w:rPr>
                <w:sz w:val="21"/>
                <w:szCs w:val="21"/>
                <w:color w:val="auto"/>
              </w:rPr>
            </w:pP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B. Allen Lay</w:t>
            </w:r>
          </w:p>
        </w:tc>
        <w:tc>
          <w:tcPr>
            <w:tcW w:w="1740" w:type="dxa"/>
            <w:vAlign w:val="bottom"/>
            <w:tcBorders>
              <w:bottom w:val="single" w:sz="8" w:color="E8EAEB"/>
              <w:right w:val="single" w:sz="8" w:color="E8EAEB"/>
            </w:tcBorders>
          </w:tcPr>
          <w:p>
            <w:pPr>
              <w:jc w:val="center"/>
              <w:ind w:left="440"/>
              <w:spacing w:after="0"/>
              <w:rPr>
                <w:sz w:val="20"/>
                <w:szCs w:val="20"/>
                <w:color w:val="auto"/>
              </w:rPr>
            </w:pPr>
            <w:r>
              <w:rPr>
                <w:rFonts w:ascii="Arial" w:cs="Arial" w:eastAsia="Arial" w:hAnsi="Arial"/>
                <w:sz w:val="16"/>
                <w:szCs w:val="16"/>
                <w:color w:val="202E39"/>
                <w:w w:val="98"/>
              </w:rPr>
              <w:t>Member</w:t>
            </w:r>
          </w:p>
        </w:tc>
        <w:tc>
          <w:tcPr>
            <w:tcW w:w="1880" w:type="dxa"/>
            <w:vAlign w:val="bottom"/>
            <w:tcBorders>
              <w:bottom w:val="single" w:sz="8" w:color="E8EAEB"/>
              <w:right w:val="single" w:sz="8" w:color="E8EAEB"/>
            </w:tcBorders>
          </w:tcPr>
          <w:p>
            <w:pPr>
              <w:spacing w:after="0"/>
              <w:rPr>
                <w:sz w:val="21"/>
                <w:szCs w:val="21"/>
                <w:color w:val="auto"/>
              </w:rPr>
            </w:pPr>
          </w:p>
        </w:tc>
        <w:tc>
          <w:tcPr>
            <w:tcW w:w="2160" w:type="dxa"/>
            <w:vAlign w:val="bottom"/>
            <w:tcBorders>
              <w:bottom w:val="single" w:sz="8" w:color="E8EAEB"/>
              <w:right w:val="single" w:sz="8" w:color="E8EAEB"/>
            </w:tcBorders>
          </w:tcPr>
          <w:p>
            <w:pPr>
              <w:spacing w:after="0"/>
              <w:rPr>
                <w:sz w:val="21"/>
                <w:szCs w:val="21"/>
                <w:color w:val="auto"/>
              </w:rPr>
            </w:pPr>
          </w:p>
        </w:tc>
        <w:tc>
          <w:tcPr>
            <w:tcW w:w="2040" w:type="dxa"/>
            <w:vAlign w:val="bottom"/>
            <w:tcBorders>
              <w:bottom w:val="single" w:sz="8" w:color="E8EAEB"/>
            </w:tcBorders>
          </w:tcPr>
          <w:p>
            <w:pPr>
              <w:jc w:val="center"/>
              <w:ind w:left="482"/>
              <w:spacing w:after="0"/>
              <w:rPr>
                <w:sz w:val="20"/>
                <w:szCs w:val="20"/>
                <w:color w:val="auto"/>
              </w:rPr>
            </w:pPr>
            <w:r>
              <w:rPr>
                <w:rFonts w:ascii="Arial" w:cs="Arial" w:eastAsia="Arial" w:hAnsi="Arial"/>
                <w:sz w:val="16"/>
                <w:szCs w:val="16"/>
                <w:color w:val="202E39"/>
              </w:rPr>
              <w:t>Member</w:t>
            </w: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Jeffrey Nash</w:t>
            </w:r>
          </w:p>
        </w:tc>
        <w:tc>
          <w:tcPr>
            <w:tcW w:w="1740" w:type="dxa"/>
            <w:vAlign w:val="bottom"/>
            <w:tcBorders>
              <w:bottom w:val="single" w:sz="8" w:color="E8EAEB"/>
              <w:right w:val="single" w:sz="8" w:color="E8EAEB"/>
            </w:tcBorders>
          </w:tcPr>
          <w:p>
            <w:pPr>
              <w:jc w:val="center"/>
              <w:ind w:left="440"/>
              <w:spacing w:after="0"/>
              <w:rPr>
                <w:sz w:val="20"/>
                <w:szCs w:val="20"/>
                <w:color w:val="auto"/>
              </w:rPr>
            </w:pPr>
            <w:r>
              <w:rPr>
                <w:rFonts w:ascii="Arial" w:cs="Arial" w:eastAsia="Arial" w:hAnsi="Arial"/>
                <w:sz w:val="16"/>
                <w:szCs w:val="16"/>
                <w:color w:val="202E39"/>
                <w:w w:val="98"/>
              </w:rPr>
              <w:t>Member</w:t>
            </w:r>
          </w:p>
        </w:tc>
        <w:tc>
          <w:tcPr>
            <w:tcW w:w="1880" w:type="dxa"/>
            <w:vAlign w:val="bottom"/>
            <w:tcBorders>
              <w:bottom w:val="single" w:sz="8" w:color="E8EAEB"/>
              <w:right w:val="single" w:sz="8" w:color="E8EAEB"/>
            </w:tcBorders>
          </w:tcPr>
          <w:p>
            <w:pPr>
              <w:jc w:val="center"/>
              <w:ind w:left="442"/>
              <w:spacing w:after="0"/>
              <w:rPr>
                <w:sz w:val="20"/>
                <w:szCs w:val="20"/>
                <w:color w:val="auto"/>
              </w:rPr>
            </w:pPr>
            <w:r>
              <w:rPr>
                <w:rFonts w:ascii="Arial" w:cs="Arial" w:eastAsia="Arial" w:hAnsi="Arial"/>
                <w:sz w:val="16"/>
                <w:szCs w:val="16"/>
                <w:color w:val="202E39"/>
              </w:rPr>
              <w:t>Chair</w:t>
            </w:r>
          </w:p>
        </w:tc>
        <w:tc>
          <w:tcPr>
            <w:tcW w:w="2160" w:type="dxa"/>
            <w:vAlign w:val="bottom"/>
            <w:tcBorders>
              <w:bottom w:val="single" w:sz="8" w:color="E8EAEB"/>
              <w:right w:val="single" w:sz="8" w:color="E8EAEB"/>
            </w:tcBorders>
          </w:tcPr>
          <w:p>
            <w:pPr>
              <w:spacing w:after="0"/>
              <w:rPr>
                <w:sz w:val="21"/>
                <w:szCs w:val="21"/>
                <w:color w:val="auto"/>
              </w:rPr>
            </w:pPr>
          </w:p>
        </w:tc>
        <w:tc>
          <w:tcPr>
            <w:tcW w:w="2040" w:type="dxa"/>
            <w:vAlign w:val="bottom"/>
            <w:tcBorders>
              <w:bottom w:val="single" w:sz="8" w:color="E8EAEB"/>
            </w:tcBorders>
          </w:tcPr>
          <w:p>
            <w:pPr>
              <w:spacing w:after="0"/>
              <w:rPr>
                <w:sz w:val="21"/>
                <w:szCs w:val="21"/>
                <w:color w:val="auto"/>
              </w:rPr>
            </w:pP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Sean Pak (1)</w:t>
            </w:r>
          </w:p>
        </w:tc>
        <w:tc>
          <w:tcPr>
            <w:tcW w:w="1740" w:type="dxa"/>
            <w:vAlign w:val="bottom"/>
            <w:tcBorders>
              <w:bottom w:val="single" w:sz="8" w:color="E8EAEB"/>
              <w:right w:val="single" w:sz="8" w:color="E8EAEB"/>
            </w:tcBorders>
          </w:tcPr>
          <w:p>
            <w:pPr>
              <w:spacing w:after="0"/>
              <w:rPr>
                <w:sz w:val="21"/>
                <w:szCs w:val="21"/>
                <w:color w:val="auto"/>
              </w:rPr>
            </w:pPr>
          </w:p>
        </w:tc>
        <w:tc>
          <w:tcPr>
            <w:tcW w:w="1880" w:type="dxa"/>
            <w:vAlign w:val="bottom"/>
            <w:tcBorders>
              <w:bottom w:val="single" w:sz="8" w:color="E8EAEB"/>
              <w:right w:val="single" w:sz="8" w:color="E8EAEB"/>
            </w:tcBorders>
          </w:tcPr>
          <w:p>
            <w:pPr>
              <w:spacing w:after="0"/>
              <w:rPr>
                <w:sz w:val="21"/>
                <w:szCs w:val="21"/>
                <w:color w:val="auto"/>
              </w:rPr>
            </w:pPr>
          </w:p>
        </w:tc>
        <w:tc>
          <w:tcPr>
            <w:tcW w:w="2160" w:type="dxa"/>
            <w:vAlign w:val="bottom"/>
            <w:tcBorders>
              <w:bottom w:val="single" w:sz="8" w:color="E8EAEB"/>
              <w:right w:val="single" w:sz="8" w:color="E8EAEB"/>
            </w:tcBorders>
          </w:tcPr>
          <w:p>
            <w:pPr>
              <w:spacing w:after="0"/>
              <w:rPr>
                <w:sz w:val="21"/>
                <w:szCs w:val="21"/>
                <w:color w:val="auto"/>
              </w:rPr>
            </w:pPr>
          </w:p>
        </w:tc>
        <w:tc>
          <w:tcPr>
            <w:tcW w:w="2040" w:type="dxa"/>
            <w:vAlign w:val="bottom"/>
            <w:tcBorders>
              <w:bottom w:val="single" w:sz="8" w:color="E8EAEB"/>
            </w:tcBorders>
          </w:tcPr>
          <w:p>
            <w:pPr>
              <w:spacing w:after="0"/>
              <w:rPr>
                <w:sz w:val="21"/>
                <w:szCs w:val="21"/>
                <w:color w:val="auto"/>
              </w:rPr>
            </w:pP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Varsha Rao</w:t>
            </w:r>
          </w:p>
        </w:tc>
        <w:tc>
          <w:tcPr>
            <w:tcW w:w="1740" w:type="dxa"/>
            <w:vAlign w:val="bottom"/>
            <w:tcBorders>
              <w:bottom w:val="single" w:sz="8" w:color="E8EAEB"/>
              <w:right w:val="single" w:sz="8" w:color="E8EAEB"/>
            </w:tcBorders>
          </w:tcPr>
          <w:p>
            <w:pPr>
              <w:spacing w:after="0"/>
              <w:rPr>
                <w:sz w:val="21"/>
                <w:szCs w:val="21"/>
                <w:color w:val="auto"/>
              </w:rPr>
            </w:pPr>
          </w:p>
        </w:tc>
        <w:tc>
          <w:tcPr>
            <w:tcW w:w="1880" w:type="dxa"/>
            <w:vAlign w:val="bottom"/>
            <w:tcBorders>
              <w:bottom w:val="single" w:sz="8" w:color="E8EAEB"/>
              <w:right w:val="single" w:sz="8" w:color="E8EAEB"/>
            </w:tcBorders>
          </w:tcPr>
          <w:p>
            <w:pPr>
              <w:jc w:val="center"/>
              <w:ind w:left="442"/>
              <w:spacing w:after="0"/>
              <w:rPr>
                <w:sz w:val="20"/>
                <w:szCs w:val="20"/>
                <w:color w:val="auto"/>
              </w:rPr>
            </w:pPr>
            <w:r>
              <w:rPr>
                <w:rFonts w:ascii="Arial" w:cs="Arial" w:eastAsia="Arial" w:hAnsi="Arial"/>
                <w:sz w:val="16"/>
                <w:szCs w:val="16"/>
                <w:color w:val="202E39"/>
              </w:rPr>
              <w:t>Member</w:t>
            </w:r>
          </w:p>
        </w:tc>
        <w:tc>
          <w:tcPr>
            <w:tcW w:w="2160" w:type="dxa"/>
            <w:vAlign w:val="bottom"/>
            <w:tcBorders>
              <w:bottom w:val="single" w:sz="8" w:color="E8EAEB"/>
              <w:right w:val="single" w:sz="8" w:color="E8EAEB"/>
            </w:tcBorders>
          </w:tcPr>
          <w:p>
            <w:pPr>
              <w:spacing w:after="0"/>
              <w:rPr>
                <w:sz w:val="21"/>
                <w:szCs w:val="21"/>
                <w:color w:val="auto"/>
              </w:rPr>
            </w:pPr>
          </w:p>
        </w:tc>
        <w:tc>
          <w:tcPr>
            <w:tcW w:w="2040" w:type="dxa"/>
            <w:vAlign w:val="bottom"/>
            <w:tcBorders>
              <w:bottom w:val="single" w:sz="8" w:color="E8EAEB"/>
            </w:tcBorders>
          </w:tcPr>
          <w:p>
            <w:pPr>
              <w:spacing w:after="0"/>
              <w:rPr>
                <w:sz w:val="21"/>
                <w:szCs w:val="21"/>
                <w:color w:val="auto"/>
              </w:rPr>
            </w:pP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John Stenbit</w:t>
            </w:r>
          </w:p>
        </w:tc>
        <w:tc>
          <w:tcPr>
            <w:tcW w:w="1740" w:type="dxa"/>
            <w:vAlign w:val="bottom"/>
            <w:tcBorders>
              <w:bottom w:val="single" w:sz="8" w:color="E8EAEB"/>
              <w:right w:val="single" w:sz="8" w:color="E8EAEB"/>
            </w:tcBorders>
          </w:tcPr>
          <w:p>
            <w:pPr>
              <w:spacing w:after="0"/>
              <w:rPr>
                <w:sz w:val="21"/>
                <w:szCs w:val="21"/>
                <w:color w:val="auto"/>
              </w:rPr>
            </w:pPr>
          </w:p>
        </w:tc>
        <w:tc>
          <w:tcPr>
            <w:tcW w:w="1880" w:type="dxa"/>
            <w:vAlign w:val="bottom"/>
            <w:tcBorders>
              <w:bottom w:val="single" w:sz="8" w:color="E8EAEB"/>
              <w:right w:val="single" w:sz="8" w:color="E8EAEB"/>
            </w:tcBorders>
          </w:tcPr>
          <w:p>
            <w:pPr>
              <w:jc w:val="center"/>
              <w:ind w:left="442"/>
              <w:spacing w:after="0"/>
              <w:rPr>
                <w:sz w:val="20"/>
                <w:szCs w:val="20"/>
                <w:color w:val="auto"/>
              </w:rPr>
            </w:pPr>
            <w:r>
              <w:rPr>
                <w:rFonts w:ascii="Arial" w:cs="Arial" w:eastAsia="Arial" w:hAnsi="Arial"/>
                <w:sz w:val="16"/>
                <w:szCs w:val="16"/>
                <w:color w:val="202E39"/>
              </w:rPr>
              <w:t>Member</w:t>
            </w:r>
          </w:p>
        </w:tc>
        <w:tc>
          <w:tcPr>
            <w:tcW w:w="2160" w:type="dxa"/>
            <w:vAlign w:val="bottom"/>
            <w:tcBorders>
              <w:bottom w:val="single" w:sz="8" w:color="E8EAEB"/>
              <w:right w:val="single" w:sz="8" w:color="E8EAEB"/>
            </w:tcBorders>
          </w:tcPr>
          <w:p>
            <w:pPr>
              <w:jc w:val="center"/>
              <w:ind w:left="463"/>
              <w:spacing w:after="0"/>
              <w:rPr>
                <w:sz w:val="20"/>
                <w:szCs w:val="20"/>
                <w:color w:val="auto"/>
              </w:rPr>
            </w:pPr>
            <w:r>
              <w:rPr>
                <w:rFonts w:ascii="Arial" w:cs="Arial" w:eastAsia="Arial" w:hAnsi="Arial"/>
                <w:sz w:val="16"/>
                <w:szCs w:val="16"/>
                <w:color w:val="202E39"/>
                <w:w w:val="98"/>
              </w:rPr>
              <w:t>Member</w:t>
            </w:r>
          </w:p>
        </w:tc>
        <w:tc>
          <w:tcPr>
            <w:tcW w:w="2040" w:type="dxa"/>
            <w:vAlign w:val="bottom"/>
            <w:tcBorders>
              <w:bottom w:val="single" w:sz="8" w:color="E8EAEB"/>
            </w:tcBorders>
          </w:tcPr>
          <w:p>
            <w:pPr>
              <w:spacing w:after="0"/>
              <w:rPr>
                <w:sz w:val="21"/>
                <w:szCs w:val="21"/>
                <w:color w:val="auto"/>
              </w:rPr>
            </w:pPr>
          </w:p>
        </w:tc>
      </w:tr>
      <w:tr>
        <w:trPr>
          <w:trHeight w:val="250"/>
        </w:trPr>
        <w:tc>
          <w:tcPr>
            <w:tcW w:w="32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Harvey White</w:t>
            </w:r>
          </w:p>
        </w:tc>
        <w:tc>
          <w:tcPr>
            <w:tcW w:w="1740" w:type="dxa"/>
            <w:vAlign w:val="bottom"/>
            <w:tcBorders>
              <w:bottom w:val="single" w:sz="8" w:color="009FE3"/>
              <w:right w:val="single" w:sz="8" w:color="E8EAEB"/>
            </w:tcBorders>
          </w:tcPr>
          <w:p>
            <w:pPr>
              <w:jc w:val="center"/>
              <w:ind w:left="440"/>
              <w:spacing w:after="0"/>
              <w:rPr>
                <w:sz w:val="20"/>
                <w:szCs w:val="20"/>
                <w:color w:val="auto"/>
              </w:rPr>
            </w:pPr>
            <w:r>
              <w:rPr>
                <w:rFonts w:ascii="Arial" w:cs="Arial" w:eastAsia="Arial" w:hAnsi="Arial"/>
                <w:sz w:val="16"/>
                <w:szCs w:val="16"/>
                <w:color w:val="202E39"/>
                <w:w w:val="99"/>
              </w:rPr>
              <w:t>Chair</w:t>
            </w:r>
          </w:p>
        </w:tc>
        <w:tc>
          <w:tcPr>
            <w:tcW w:w="1880" w:type="dxa"/>
            <w:vAlign w:val="bottom"/>
            <w:tcBorders>
              <w:bottom w:val="single" w:sz="8" w:color="009FE3"/>
              <w:right w:val="single" w:sz="8" w:color="E8EAEB"/>
            </w:tcBorders>
          </w:tcPr>
          <w:p>
            <w:pPr>
              <w:jc w:val="center"/>
              <w:ind w:left="442"/>
              <w:spacing w:after="0"/>
              <w:rPr>
                <w:sz w:val="20"/>
                <w:szCs w:val="20"/>
                <w:color w:val="auto"/>
              </w:rPr>
            </w:pPr>
            <w:r>
              <w:rPr>
                <w:rFonts w:ascii="Arial" w:cs="Arial" w:eastAsia="Arial" w:hAnsi="Arial"/>
                <w:sz w:val="16"/>
                <w:szCs w:val="16"/>
                <w:color w:val="202E39"/>
              </w:rPr>
              <w:t>Member</w:t>
            </w:r>
          </w:p>
        </w:tc>
        <w:tc>
          <w:tcPr>
            <w:tcW w:w="2160" w:type="dxa"/>
            <w:vAlign w:val="bottom"/>
            <w:tcBorders>
              <w:bottom w:val="single" w:sz="8" w:color="009FE3"/>
              <w:right w:val="single" w:sz="8" w:color="E8EAEB"/>
            </w:tcBorders>
          </w:tcPr>
          <w:p>
            <w:pPr>
              <w:jc w:val="center"/>
              <w:ind w:left="463"/>
              <w:spacing w:after="0"/>
              <w:rPr>
                <w:sz w:val="20"/>
                <w:szCs w:val="20"/>
                <w:color w:val="auto"/>
              </w:rPr>
            </w:pPr>
            <w:r>
              <w:rPr>
                <w:rFonts w:ascii="Arial" w:cs="Arial" w:eastAsia="Arial" w:hAnsi="Arial"/>
                <w:sz w:val="16"/>
                <w:szCs w:val="16"/>
                <w:color w:val="202E39"/>
                <w:w w:val="98"/>
              </w:rPr>
              <w:t>Member</w:t>
            </w:r>
          </w:p>
        </w:tc>
        <w:tc>
          <w:tcPr>
            <w:tcW w:w="2040" w:type="dxa"/>
            <w:vAlign w:val="bottom"/>
            <w:tcBorders>
              <w:bottom w:val="single" w:sz="8" w:color="009FE3"/>
            </w:tcBorders>
          </w:tcPr>
          <w:p>
            <w:pPr>
              <w:spacing w:after="0"/>
              <w:rPr>
                <w:sz w:val="21"/>
                <w:szCs w:val="21"/>
                <w:color w:val="auto"/>
              </w:rPr>
            </w:pPr>
          </w:p>
        </w:tc>
      </w:tr>
      <w:tr>
        <w:trPr>
          <w:trHeight w:val="250"/>
        </w:trPr>
        <w:tc>
          <w:tcPr>
            <w:tcW w:w="32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Number of Meetings in Fiscal Year 2018</w:t>
            </w:r>
          </w:p>
        </w:tc>
        <w:tc>
          <w:tcPr>
            <w:tcW w:w="1740" w:type="dxa"/>
            <w:vAlign w:val="bottom"/>
            <w:tcBorders>
              <w:bottom w:val="single" w:sz="8" w:color="009FE3"/>
              <w:right w:val="single" w:sz="8" w:color="E8EAEB"/>
            </w:tcBorders>
          </w:tcPr>
          <w:p>
            <w:pPr>
              <w:jc w:val="center"/>
              <w:ind w:left="440"/>
              <w:spacing w:after="0"/>
              <w:rPr>
                <w:sz w:val="20"/>
                <w:szCs w:val="20"/>
                <w:color w:val="auto"/>
              </w:rPr>
            </w:pPr>
            <w:r>
              <w:rPr>
                <w:rFonts w:ascii="Arial" w:cs="Arial" w:eastAsia="Arial" w:hAnsi="Arial"/>
                <w:sz w:val="16"/>
                <w:szCs w:val="16"/>
                <w:color w:val="202E39"/>
              </w:rPr>
              <w:t>5</w:t>
            </w:r>
          </w:p>
        </w:tc>
        <w:tc>
          <w:tcPr>
            <w:tcW w:w="1880" w:type="dxa"/>
            <w:vAlign w:val="bottom"/>
            <w:tcBorders>
              <w:bottom w:val="single" w:sz="8" w:color="009FE3"/>
              <w:right w:val="single" w:sz="8" w:color="E8EAEB"/>
            </w:tcBorders>
          </w:tcPr>
          <w:p>
            <w:pPr>
              <w:jc w:val="center"/>
              <w:ind w:left="462"/>
              <w:spacing w:after="0"/>
              <w:rPr>
                <w:sz w:val="20"/>
                <w:szCs w:val="20"/>
                <w:color w:val="auto"/>
              </w:rPr>
            </w:pPr>
            <w:r>
              <w:rPr>
                <w:rFonts w:ascii="Arial" w:cs="Arial" w:eastAsia="Arial" w:hAnsi="Arial"/>
                <w:sz w:val="16"/>
                <w:szCs w:val="16"/>
                <w:color w:val="202E39"/>
              </w:rPr>
              <w:t>10</w:t>
            </w:r>
          </w:p>
        </w:tc>
        <w:tc>
          <w:tcPr>
            <w:tcW w:w="2160" w:type="dxa"/>
            <w:vAlign w:val="bottom"/>
            <w:tcBorders>
              <w:bottom w:val="single" w:sz="8" w:color="009FE3"/>
              <w:right w:val="single" w:sz="8" w:color="E8EAEB"/>
            </w:tcBorders>
          </w:tcPr>
          <w:p>
            <w:pPr>
              <w:jc w:val="center"/>
              <w:ind w:left="463"/>
              <w:spacing w:after="0"/>
              <w:rPr>
                <w:sz w:val="20"/>
                <w:szCs w:val="20"/>
                <w:color w:val="auto"/>
              </w:rPr>
            </w:pPr>
            <w:r>
              <w:rPr>
                <w:rFonts w:ascii="Arial" w:cs="Arial" w:eastAsia="Arial" w:hAnsi="Arial"/>
                <w:sz w:val="16"/>
                <w:szCs w:val="16"/>
                <w:color w:val="202E39"/>
              </w:rPr>
              <w:t>2</w:t>
            </w:r>
          </w:p>
        </w:tc>
        <w:tc>
          <w:tcPr>
            <w:tcW w:w="2040" w:type="dxa"/>
            <w:vAlign w:val="bottom"/>
            <w:tcBorders>
              <w:bottom w:val="single" w:sz="8" w:color="009FE3"/>
            </w:tcBorders>
          </w:tcPr>
          <w:p>
            <w:pPr>
              <w:jc w:val="center"/>
              <w:ind w:left="462"/>
              <w:spacing w:after="0"/>
              <w:rPr>
                <w:sz w:val="20"/>
                <w:szCs w:val="20"/>
                <w:color w:val="auto"/>
              </w:rPr>
            </w:pPr>
            <w:r>
              <w:rPr>
                <w:rFonts w:ascii="Arial" w:cs="Arial" w:eastAsia="Arial" w:hAnsi="Arial"/>
                <w:sz w:val="16"/>
                <w:szCs w:val="16"/>
                <w:color w:val="202E39"/>
              </w:rPr>
              <w:t>2</w:t>
            </w:r>
          </w:p>
        </w:tc>
      </w:tr>
    </w:tbl>
    <w:p>
      <w:pPr>
        <w:spacing w:after="0" w:line="126" w:lineRule="exact"/>
        <w:rPr>
          <w:sz w:val="20"/>
          <w:szCs w:val="20"/>
          <w:color w:val="auto"/>
        </w:rPr>
      </w:pPr>
    </w:p>
    <w:p>
      <w:pPr>
        <w:ind w:left="520" w:hanging="316"/>
        <w:spacing w:after="0"/>
        <w:tabs>
          <w:tab w:leader="none" w:pos="520" w:val="left"/>
        </w:tabs>
        <w:numPr>
          <w:ilvl w:val="0"/>
          <w:numId w:val="9"/>
        </w:numPr>
        <w:rPr>
          <w:rFonts w:ascii="Arial" w:cs="Arial" w:eastAsia="Arial" w:hAnsi="Arial"/>
          <w:sz w:val="14"/>
          <w:szCs w:val="14"/>
          <w:color w:val="202E39"/>
        </w:rPr>
      </w:pPr>
      <w:r>
        <w:rPr>
          <w:rFonts w:ascii="Arial" w:cs="Arial" w:eastAsia="Arial" w:hAnsi="Arial"/>
          <w:sz w:val="14"/>
          <w:szCs w:val="14"/>
          <w:color w:val="202E39"/>
        </w:rPr>
        <w:t>Mr. Pak was appointed as a director on January 8, 2018.</w:t>
      </w:r>
    </w:p>
    <w:p>
      <w:pPr>
        <w:spacing w:after="0" w:line="194" w:lineRule="exact"/>
        <w:rPr>
          <w:sz w:val="20"/>
          <w:szCs w:val="20"/>
          <w:color w:val="auto"/>
        </w:rPr>
      </w:pPr>
    </w:p>
    <w:p>
      <w:pPr>
        <w:ind w:left="200" w:right="80"/>
        <w:spacing w:after="0" w:line="254" w:lineRule="auto"/>
        <w:rPr>
          <w:sz w:val="20"/>
          <w:szCs w:val="20"/>
          <w:color w:val="auto"/>
        </w:rPr>
      </w:pPr>
      <w:r>
        <w:rPr>
          <w:rFonts w:ascii="Arial" w:cs="Arial" w:eastAsia="Arial" w:hAnsi="Arial"/>
          <w:sz w:val="16"/>
          <w:szCs w:val="16"/>
          <w:b w:val="1"/>
          <w:bCs w:val="1"/>
          <w:i w:val="1"/>
          <w:iCs w:val="1"/>
          <w:color w:val="009FE3"/>
        </w:rPr>
        <w:t xml:space="preserve">Audit Committee. </w:t>
      </w:r>
      <w:r>
        <w:rPr>
          <w:rFonts w:ascii="Arial" w:cs="Arial" w:eastAsia="Arial" w:hAnsi="Arial"/>
          <w:sz w:val="16"/>
          <w:szCs w:val="16"/>
          <w:color w:val="202E39"/>
        </w:rPr>
        <w:t>The Audit Committee reviews the professional services provided by our independent registered public accounting firm, the</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that may be brought to the attention of the Audit Committee. The Board of Directors has determined that each of the members of our Audit Committee is an “audit committee financial expert” as defined by the rules of the SEC. The responsibilities and activities of the Audit Committee are described in greater detail in the Audit Committee Report.</w:t>
      </w:r>
    </w:p>
    <w:p>
      <w:pPr>
        <w:spacing w:after="0" w:line="74" w:lineRule="exact"/>
        <w:rPr>
          <w:sz w:val="20"/>
          <w:szCs w:val="20"/>
          <w:color w:val="auto"/>
        </w:rPr>
      </w:pPr>
    </w:p>
    <w:p>
      <w:pPr>
        <w:ind w:left="200" w:right="120"/>
        <w:spacing w:after="0" w:line="252" w:lineRule="auto"/>
        <w:rPr>
          <w:sz w:val="20"/>
          <w:szCs w:val="20"/>
          <w:color w:val="auto"/>
        </w:rPr>
      </w:pPr>
      <w:r>
        <w:rPr>
          <w:rFonts w:ascii="Arial" w:cs="Arial" w:eastAsia="Arial" w:hAnsi="Arial"/>
          <w:sz w:val="16"/>
          <w:szCs w:val="16"/>
          <w:b w:val="1"/>
          <w:bCs w:val="1"/>
          <w:i w:val="1"/>
          <w:iCs w:val="1"/>
          <w:color w:val="009FE3"/>
        </w:rPr>
        <w:t xml:space="preserve">Compensation and Human Resources Committee. </w:t>
      </w:r>
      <w:r>
        <w:rPr>
          <w:rFonts w:ascii="Arial" w:cs="Arial" w:eastAsia="Arial" w:hAnsi="Arial"/>
          <w:sz w:val="16"/>
          <w:szCs w:val="16"/>
          <w:color w:val="202E39"/>
        </w:rPr>
        <w:t>The Compensation and Human Resources Committee is responsible for designing and evaluating</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Viasat’s compensation plans, policies and programs, including the compensation of our executive officers. In carrying out these responsibilities, the Compensation and Human Resources Committee is responsible for advising and consulting with the officers regarding managerial personnel and development, and for reviewing and, as appropriate, recommending to the Board of Directors, policies, practices and procedures relating to the compensation of non-employee directors, executive officers and other managerial employees. The objectives of the Compensation and Human Resources Committee are to encourage high performance, promote accountability and assure that employee interests are aligned with the interests of our stockholders. For additional information concerning the role and responsibilities of the Compensation and Human Resources Committee, see the Compensation Discussion and Analysis section of this proxy statement.</w:t>
      </w:r>
    </w:p>
    <w:p>
      <w:pPr>
        <w:spacing w:after="0" w:line="75" w:lineRule="exact"/>
        <w:rPr>
          <w:sz w:val="20"/>
          <w:szCs w:val="20"/>
          <w:color w:val="auto"/>
        </w:rPr>
      </w:pPr>
    </w:p>
    <w:p>
      <w:pPr>
        <w:ind w:left="200" w:right="40"/>
        <w:spacing w:after="0" w:line="259" w:lineRule="auto"/>
        <w:rPr>
          <w:sz w:val="20"/>
          <w:szCs w:val="20"/>
          <w:color w:val="auto"/>
        </w:rPr>
      </w:pPr>
      <w:r>
        <w:rPr>
          <w:rFonts w:ascii="Arial" w:cs="Arial" w:eastAsia="Arial" w:hAnsi="Arial"/>
          <w:sz w:val="16"/>
          <w:szCs w:val="16"/>
          <w:b w:val="1"/>
          <w:bCs w:val="1"/>
          <w:i w:val="1"/>
          <w:iCs w:val="1"/>
          <w:color w:val="009FE3"/>
        </w:rPr>
        <w:t xml:space="preserve">Nomination, Evaluation and Corporate Governance Committee. </w:t>
      </w:r>
      <w:r>
        <w:rPr>
          <w:rFonts w:ascii="Arial" w:cs="Arial" w:eastAsia="Arial" w:hAnsi="Arial"/>
          <w:sz w:val="16"/>
          <w:szCs w:val="16"/>
          <w:color w:val="202E39"/>
        </w:rPr>
        <w:t>The Nomination, Evaluation and Corporate Governance Committee is responsible for</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developing and recommending to the Board a set of corporate governance guidelines and principles, providing oversight of the process for the self-assessment by the Board and each of its committees, reviewing and recommending nominees for election as directors and committee members, conducting the evaluation of our Chief Executive Officer, and advising the Board with respect to Board and committee composition.</w:t>
      </w:r>
    </w:p>
    <w:p>
      <w:pPr>
        <w:spacing w:after="0" w:line="116" w:lineRule="exact"/>
        <w:rPr>
          <w:sz w:val="20"/>
          <w:szCs w:val="20"/>
          <w:color w:val="auto"/>
        </w:rPr>
      </w:pPr>
    </w:p>
    <w:tbl>
      <w:tblPr>
        <w:tblLayout w:type="fixed"/>
        <w:tblInd w:w="916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7</w:t>
            </w:r>
          </w:p>
        </w:tc>
      </w:tr>
    </w:tbl>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CORPORATE GOVERNANCE PRINCIPLES AND BOARD MATTERS </w:t>
      </w:r>
      <w:r>
        <w:rPr>
          <w:rFonts w:ascii="Arial" w:cs="Arial" w:eastAsia="Arial" w:hAnsi="Arial"/>
          <w:sz w:val="14"/>
          <w:szCs w:val="14"/>
          <w:color w:val="009FE3"/>
        </w:rPr>
        <w:t>• Director Nomination Process</w:t>
      </w:r>
    </w:p>
    <w:p>
      <w:pPr>
        <w:spacing w:after="0" w:line="127" w:lineRule="exact"/>
        <w:rPr>
          <w:sz w:val="20"/>
          <w:szCs w:val="20"/>
          <w:color w:val="auto"/>
        </w:rPr>
      </w:pPr>
    </w:p>
    <w:p>
      <w:pPr>
        <w:jc w:val="both"/>
        <w:ind w:left="200" w:right="280"/>
        <w:spacing w:after="0" w:line="266" w:lineRule="auto"/>
        <w:rPr>
          <w:sz w:val="20"/>
          <w:szCs w:val="20"/>
          <w:color w:val="auto"/>
        </w:rPr>
      </w:pPr>
      <w:r>
        <w:rPr>
          <w:rFonts w:ascii="Arial" w:cs="Arial" w:eastAsia="Arial" w:hAnsi="Arial"/>
          <w:sz w:val="16"/>
          <w:szCs w:val="16"/>
          <w:b w:val="1"/>
          <w:bCs w:val="1"/>
          <w:i w:val="1"/>
          <w:iCs w:val="1"/>
          <w:color w:val="009FE3"/>
        </w:rPr>
        <w:t xml:space="preserve">Banking and Finance Committee. </w:t>
      </w:r>
      <w:r>
        <w:rPr>
          <w:rFonts w:ascii="Arial" w:cs="Arial" w:eastAsia="Arial" w:hAnsi="Arial"/>
          <w:sz w:val="16"/>
          <w:szCs w:val="16"/>
          <w:color w:val="202E39"/>
        </w:rPr>
        <w:t>The Banking and Finance Committee oversees certain aspects of corporate finance for the company, and reviews</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and makes recommendations to the Board about the company’s financial affairs and policies, including short and long-term financing plans, objectives and principles, borrowings or the issuance of debt and equity securities.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Director Nomination Process</w:t>
      </w:r>
    </w:p>
    <w:p>
      <w:pPr>
        <w:spacing w:after="0" w:line="145" w:lineRule="exact"/>
        <w:rPr>
          <w:sz w:val="20"/>
          <w:szCs w:val="20"/>
          <w:color w:val="auto"/>
        </w:rPr>
      </w:pPr>
    </w:p>
    <w:p>
      <w:pPr>
        <w:ind w:left="200" w:right="60"/>
        <w:spacing w:after="0" w:line="248" w:lineRule="auto"/>
        <w:rPr>
          <w:sz w:val="20"/>
          <w:szCs w:val="20"/>
          <w:color w:val="auto"/>
        </w:rPr>
      </w:pPr>
      <w:r>
        <w:rPr>
          <w:rFonts w:ascii="Arial" w:cs="Arial" w:eastAsia="Arial" w:hAnsi="Arial"/>
          <w:sz w:val="16"/>
          <w:szCs w:val="16"/>
          <w:color w:val="202E39"/>
        </w:rPr>
        <w:t>The Nomination, Evaluation and Corporate Governance Committee is responsible for reviewing and assessing the appropriate skills and characteristics required of Board members in the context of the current size and membership of the Board. This assessment includes a consideration of personal and professional integrity, experience in corporate management, experience in our industry, experience as a board member of other publicly-held companies, diversity of expertise, demographic diversity, practical and mature business judgment, and with respect to current directors, performance on the Viasat Board. These factors, and any other qualifications considered useful by the Nomination, Evaluation and Corporate Governance Committee, are reviewed in the context of an assessment of the perceived needs of the Board at a particular point in time. As a result, the priorities and emphasis of the Nomination, Evaluation and Corporate Governance Committee with regard to these factors may change from time to time to take into account changes in our business and other trends, as well as the portfolio of skills and experience of current and prospective Board members.</w:t>
      </w:r>
    </w:p>
    <w:p>
      <w:pPr>
        <w:spacing w:after="0" w:line="100" w:lineRule="exact"/>
        <w:rPr>
          <w:sz w:val="20"/>
          <w:szCs w:val="20"/>
          <w:color w:val="auto"/>
        </w:rPr>
      </w:pPr>
    </w:p>
    <w:p>
      <w:pPr>
        <w:ind w:left="200" w:right="100"/>
        <w:spacing w:after="0" w:line="248" w:lineRule="auto"/>
        <w:rPr>
          <w:sz w:val="20"/>
          <w:szCs w:val="20"/>
          <w:color w:val="auto"/>
        </w:rPr>
      </w:pPr>
      <w:r>
        <w:rPr>
          <w:rFonts w:ascii="Arial" w:cs="Arial" w:eastAsia="Arial" w:hAnsi="Arial"/>
          <w:sz w:val="16"/>
          <w:szCs w:val="16"/>
          <w:color w:val="202E39"/>
        </w:rPr>
        <w:t>In recommending candidates for election to the Board of Directors, the Nomination, Evaluation and Corporate Governance Committee considers nominees recommended by directors, management and stockholders using the same criteria to evaluate all candidates. The Nomination, Evaluation and Corporate Governance Committee reviews each candidate’s qualifications, including whether a candidate possesses any of the specific qualities and skills desirable in certain members of the Board. Evaluations of candidates generally involve a review of background materials, internal discussions and interviews with selected candidates as appropriate. Upon selection of a qualified candidate, the Nomination, Evaluation and Corporate Governance Committee recommends the candidate for consideration by the full Board of Directors. The Nomination, Evaluation and Corporate Governance Committee may engage consultants or third party search firms to assist in identifying and evaluating potential nominees.</w:t>
      </w:r>
    </w:p>
    <w:p>
      <w:pPr>
        <w:spacing w:after="0" w:line="101"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The Nomination, Evaluation and Corporate Governance Committee will consider candidates recommended by any stockholder who has held our common stock for at least one year and who holds a minimum of 1% of our outstanding shares. When submitting candidates for nomination, stockholders must follow the notice procedures and provide the information specified in the section titled Other Matters. In addition, the recommendation must include the following: (1) the name and address of the stockholder and the beneficial owner (if any) on whose behalf the nomination is proposed, (2) a detailed resume of the nominee, and the signed consent of the nominee to serve if elected, (3) the stockholder’s reason for making the nomination, including an explanation of why the stockholder believes the nominee is qualified for service on our Board, (4) proof of the number of shares of our common stock owned by the record owner and the beneficial owner (if any) on whose behalf the record owner is proposing the nominee, (5) a description of any arrangements or understandings between the stockholder, the nominee and any other person regarding the nomination, (6) a description of any material interest of the stockholder and the beneficial owner (if any) on whose behalf the nomination is proposed, and (7) information regarding the nominee that would be required to be included in our proxy statement by the rules of the SEC, including the nominee’s age, business experience, directorships, and involvement in legal proceedings during the past ten years.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Communications with the Board</w:t>
      </w:r>
    </w:p>
    <w:p>
      <w:pPr>
        <w:spacing w:after="0" w:line="145" w:lineRule="exact"/>
        <w:rPr>
          <w:sz w:val="20"/>
          <w:szCs w:val="20"/>
          <w:color w:val="auto"/>
        </w:rPr>
      </w:pPr>
    </w:p>
    <w:p>
      <w:pPr>
        <w:ind w:left="200" w:right="20"/>
        <w:spacing w:after="0" w:line="249" w:lineRule="auto"/>
        <w:rPr>
          <w:sz w:val="20"/>
          <w:szCs w:val="20"/>
          <w:color w:val="auto"/>
        </w:rPr>
      </w:pPr>
      <w:r>
        <w:rPr>
          <w:rFonts w:ascii="Arial" w:cs="Arial" w:eastAsia="Arial" w:hAnsi="Arial"/>
          <w:sz w:val="16"/>
          <w:szCs w:val="16"/>
          <w:color w:val="202E39"/>
        </w:rPr>
        <w:t>Any stockholder wishing to communicate with any of our directors regarding corporate matters may write to the director, c/o General Counsel, Viasat, Inc., 6155 El Camino Real, Carlsbad, California 92009. The General Counsel will forward such communications to each member of our Board of Directors; provided that, if in the opinion of the General Counsel it would be inappropriate to send a particular stockholder communication to a specific director, such communication will only be sent to the remaining directors.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86360</wp:posOffset>
            </wp:positionV>
            <wp:extent cx="42862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PROPOSAL 1:</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Election of Directors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200" w:right="160"/>
        <w:spacing w:after="0" w:line="249" w:lineRule="auto"/>
        <w:rPr>
          <w:sz w:val="20"/>
          <w:szCs w:val="20"/>
          <w:color w:val="auto"/>
        </w:rPr>
      </w:pPr>
      <w:r>
        <w:rPr>
          <w:rFonts w:ascii="Arial" w:cs="Arial" w:eastAsia="Arial" w:hAnsi="Arial"/>
          <w:sz w:val="16"/>
          <w:szCs w:val="16"/>
          <w:color w:val="202E39"/>
        </w:rPr>
        <w:t>The authorized number of directors is presently ten. In accordance with our certificate of incorporation, we divide our Board of Directors into three classes, with each class consisting, as nearly as may be possible, of one-third of the total number of directors. We elect one class of directors to serve a three-year term at each annual meeting of stockholders. At this year’s annual meeting of stockholders, we will elect three Class I directors to hold office until the 2021 annual meeting. At next year’s annual meeting of stockholders, we will elect four Class II directors to hold office until the 2022 annual meeting, and the following year, we will elect three Class III directors to hold office until the 2023 annual meeting. Thereafter, elections will continue in a similar manner at subsequent annual meetings. Each elected director will continue to serve until his or her successor is duly elected or appointed.</w:t>
      </w:r>
    </w:p>
    <w:p>
      <w:pPr>
        <w:spacing w:after="0" w:line="97" w:lineRule="exact"/>
        <w:rPr>
          <w:sz w:val="20"/>
          <w:szCs w:val="20"/>
          <w:color w:val="auto"/>
        </w:rPr>
      </w:pPr>
    </w:p>
    <w:p>
      <w:pPr>
        <w:ind w:left="200" w:right="80"/>
        <w:spacing w:after="0" w:line="249" w:lineRule="auto"/>
        <w:rPr>
          <w:sz w:val="20"/>
          <w:szCs w:val="20"/>
          <w:color w:val="auto"/>
        </w:rPr>
      </w:pPr>
      <w:r>
        <w:rPr>
          <w:rFonts w:ascii="Arial" w:cs="Arial" w:eastAsia="Arial" w:hAnsi="Arial"/>
          <w:sz w:val="16"/>
          <w:szCs w:val="16"/>
          <w:color w:val="202E39"/>
        </w:rPr>
        <w:t xml:space="preserve">The Board of Directors unanimously nominated Frank J. Biondi, Jr., Robert Johnson and John Stenbit as Class I nominees for election to the Board. Unless proxy cards are otherwise marked, the persons named as proxies will vote all proxies received </w:t>
      </w:r>
      <w:r>
        <w:rPr>
          <w:rFonts w:ascii="Arial" w:cs="Arial" w:eastAsia="Arial" w:hAnsi="Arial"/>
          <w:sz w:val="16"/>
          <w:szCs w:val="16"/>
          <w:b w:val="1"/>
          <w:bCs w:val="1"/>
          <w:color w:val="202E39"/>
        </w:rPr>
        <w:t>“FOR”</w:t>
      </w:r>
      <w:r>
        <w:rPr>
          <w:rFonts w:ascii="Arial" w:cs="Arial" w:eastAsia="Arial" w:hAnsi="Arial"/>
          <w:sz w:val="16"/>
          <w:szCs w:val="16"/>
          <w:color w:val="202E39"/>
        </w:rPr>
        <w:t xml:space="preserve"> the election of Mr. Biondi, Mr. Johnson and Mr. Stenbit.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w:t>
      </w:r>
    </w:p>
    <w:p>
      <w:pPr>
        <w:spacing w:after="0" w:line="97" w:lineRule="exact"/>
        <w:rPr>
          <w:sz w:val="20"/>
          <w:szCs w:val="20"/>
          <w:color w:val="auto"/>
        </w:rPr>
      </w:pPr>
    </w:p>
    <w:p>
      <w:pPr>
        <w:ind w:left="200" w:right="420"/>
        <w:spacing w:after="0" w:line="253" w:lineRule="auto"/>
        <w:rPr>
          <w:sz w:val="20"/>
          <w:szCs w:val="20"/>
          <w:color w:val="auto"/>
        </w:rPr>
      </w:pPr>
      <w:r>
        <w:rPr>
          <w:rFonts w:ascii="Arial" w:cs="Arial" w:eastAsia="Arial" w:hAnsi="Arial"/>
          <w:sz w:val="16"/>
          <w:szCs w:val="16"/>
          <w:color w:val="202E39"/>
        </w:rPr>
        <w:t>The following table sets forth for each nominee to be elected at the annual meeting and for each director whose term of office will extend beyond the annual meeting, the age of each nominee or director, the positions currently held by each nominee or director with Viasat, the year in which each nominee’s or director’s current term will expire, and the class of director of each nominee or director.</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64"/>
        </w:trPr>
        <w:tc>
          <w:tcPr>
            <w:tcW w:w="2760" w:type="dxa"/>
            <w:vAlign w:val="bottom"/>
            <w:tcBorders>
              <w:top w:val="single" w:sz="8" w:color="E8EAEB"/>
              <w:bottom w:val="single" w:sz="8" w:color="009FE3"/>
              <w:right w:val="single" w:sz="8" w:color="E8EAEB"/>
            </w:tcBorders>
          </w:tcPr>
          <w:p>
            <w:pPr>
              <w:ind w:left="60"/>
              <w:spacing w:after="0"/>
              <w:rPr>
                <w:sz w:val="20"/>
                <w:szCs w:val="20"/>
                <w:color w:val="auto"/>
              </w:rPr>
            </w:pPr>
            <w:r>
              <w:rPr>
                <w:rFonts w:ascii="Arial" w:cs="Arial" w:eastAsia="Arial" w:hAnsi="Arial"/>
                <w:sz w:val="16"/>
                <w:szCs w:val="16"/>
                <w:b w:val="1"/>
                <w:bCs w:val="1"/>
                <w:color w:val="009FE3"/>
              </w:rPr>
              <w:t>Name</w:t>
            </w:r>
          </w:p>
        </w:tc>
        <w:tc>
          <w:tcPr>
            <w:tcW w:w="780" w:type="dxa"/>
            <w:vAlign w:val="bottom"/>
            <w:tcBorders>
              <w:top w:val="single" w:sz="8" w:color="E8EAEB"/>
              <w:bottom w:val="single" w:sz="8" w:color="009FE3"/>
              <w:right w:val="single" w:sz="8" w:color="E8EAEB"/>
            </w:tcBorders>
          </w:tcPr>
          <w:p>
            <w:pPr>
              <w:jc w:val="center"/>
              <w:ind w:left="279"/>
              <w:spacing w:after="0"/>
              <w:rPr>
                <w:sz w:val="20"/>
                <w:szCs w:val="20"/>
                <w:color w:val="auto"/>
              </w:rPr>
            </w:pPr>
            <w:r>
              <w:rPr>
                <w:rFonts w:ascii="Arial" w:cs="Arial" w:eastAsia="Arial" w:hAnsi="Arial"/>
                <w:sz w:val="16"/>
                <w:szCs w:val="16"/>
                <w:b w:val="1"/>
                <w:bCs w:val="1"/>
                <w:color w:val="009FE3"/>
                <w:w w:val="99"/>
              </w:rPr>
              <w:t>Age</w:t>
            </w:r>
          </w:p>
        </w:tc>
        <w:tc>
          <w:tcPr>
            <w:tcW w:w="5160" w:type="dxa"/>
            <w:vAlign w:val="bottom"/>
            <w:tcBorders>
              <w:top w:val="single" w:sz="8" w:color="E8EAEB"/>
              <w:bottom w:val="single" w:sz="8" w:color="009FE3"/>
              <w:right w:val="single" w:sz="8" w:color="E8EAEB"/>
            </w:tcBorders>
          </w:tcPr>
          <w:p>
            <w:pPr>
              <w:ind w:left="2000"/>
              <w:spacing w:after="0"/>
              <w:rPr>
                <w:sz w:val="20"/>
                <w:szCs w:val="20"/>
                <w:color w:val="auto"/>
              </w:rPr>
            </w:pPr>
            <w:r>
              <w:rPr>
                <w:rFonts w:ascii="Arial" w:cs="Arial" w:eastAsia="Arial" w:hAnsi="Arial"/>
                <w:sz w:val="16"/>
                <w:szCs w:val="16"/>
                <w:b w:val="1"/>
                <w:bCs w:val="1"/>
                <w:color w:val="009FE3"/>
              </w:rPr>
              <w:t>Position with Viasat</w:t>
            </w:r>
          </w:p>
        </w:tc>
        <w:tc>
          <w:tcPr>
            <w:tcW w:w="1460" w:type="dxa"/>
            <w:vAlign w:val="bottom"/>
            <w:tcBorders>
              <w:top w:val="single" w:sz="8" w:color="E8EAEB"/>
              <w:bottom w:val="single" w:sz="8" w:color="009FE3"/>
              <w:right w:val="single" w:sz="8" w:color="E8EAEB"/>
            </w:tcBorders>
          </w:tcPr>
          <w:p>
            <w:pPr>
              <w:jc w:val="center"/>
              <w:ind w:left="280"/>
              <w:spacing w:after="0"/>
              <w:rPr>
                <w:sz w:val="20"/>
                <w:szCs w:val="20"/>
                <w:color w:val="auto"/>
              </w:rPr>
            </w:pPr>
            <w:r>
              <w:rPr>
                <w:rFonts w:ascii="Arial" w:cs="Arial" w:eastAsia="Arial" w:hAnsi="Arial"/>
                <w:sz w:val="16"/>
                <w:szCs w:val="16"/>
                <w:b w:val="1"/>
                <w:bCs w:val="1"/>
                <w:color w:val="009FE3"/>
              </w:rPr>
              <w:t>Term Expires</w:t>
            </w:r>
          </w:p>
        </w:tc>
        <w:tc>
          <w:tcPr>
            <w:tcW w:w="340" w:type="dxa"/>
            <w:vAlign w:val="bottom"/>
            <w:tcBorders>
              <w:top w:val="single" w:sz="8" w:color="E8EAEB"/>
              <w:bottom w:val="single" w:sz="8" w:color="009FE3"/>
            </w:tcBorders>
          </w:tcPr>
          <w:p>
            <w:pPr>
              <w:spacing w:after="0"/>
              <w:rPr>
                <w:sz w:val="22"/>
                <w:szCs w:val="22"/>
                <w:color w:val="auto"/>
              </w:rPr>
            </w:pPr>
          </w:p>
        </w:tc>
        <w:tc>
          <w:tcPr>
            <w:tcW w:w="520" w:type="dxa"/>
            <w:vAlign w:val="bottom"/>
            <w:tcBorders>
              <w:top w:val="single" w:sz="8" w:color="E8EAEB"/>
              <w:bottom w:val="single" w:sz="8" w:color="009FE3"/>
            </w:tcBorders>
          </w:tcPr>
          <w:p>
            <w:pPr>
              <w:jc w:val="center"/>
              <w:spacing w:after="0"/>
              <w:rPr>
                <w:sz w:val="20"/>
                <w:szCs w:val="20"/>
                <w:color w:val="auto"/>
              </w:rPr>
            </w:pPr>
            <w:r>
              <w:rPr>
                <w:rFonts w:ascii="Arial" w:cs="Arial" w:eastAsia="Arial" w:hAnsi="Arial"/>
                <w:sz w:val="16"/>
                <w:szCs w:val="16"/>
                <w:b w:val="1"/>
                <w:bCs w:val="1"/>
                <w:color w:val="009FE3"/>
              </w:rPr>
              <w:t>Class</w:t>
            </w:r>
          </w:p>
        </w:tc>
      </w:tr>
      <w:tr>
        <w:trPr>
          <w:trHeight w:val="250"/>
        </w:trPr>
        <w:tc>
          <w:tcPr>
            <w:tcW w:w="2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780" w:type="dxa"/>
            <w:vAlign w:val="bottom"/>
            <w:tcBorders>
              <w:bottom w:val="single" w:sz="8" w:color="E8EAEB"/>
              <w:right w:val="single" w:sz="8" w:color="E8EAEB"/>
            </w:tcBorders>
          </w:tcPr>
          <w:p>
            <w:pPr>
              <w:jc w:val="center"/>
              <w:ind w:left="279"/>
              <w:spacing w:after="0"/>
              <w:rPr>
                <w:sz w:val="20"/>
                <w:szCs w:val="20"/>
                <w:color w:val="auto"/>
              </w:rPr>
            </w:pPr>
            <w:r>
              <w:rPr>
                <w:rFonts w:ascii="Arial" w:cs="Arial" w:eastAsia="Arial" w:hAnsi="Arial"/>
                <w:sz w:val="16"/>
                <w:szCs w:val="16"/>
                <w:color w:val="202E39"/>
              </w:rPr>
              <w:t>63</w:t>
            </w:r>
          </w:p>
        </w:tc>
        <w:tc>
          <w:tcPr>
            <w:tcW w:w="5160" w:type="dxa"/>
            <w:vAlign w:val="bottom"/>
            <w:tcBorders>
              <w:bottom w:val="single" w:sz="8" w:color="E8EAEB"/>
              <w:right w:val="single" w:sz="8" w:color="E8EAEB"/>
            </w:tcBorders>
          </w:tcPr>
          <w:p>
            <w:pPr>
              <w:ind w:left="400"/>
              <w:spacing w:after="0"/>
              <w:rPr>
                <w:sz w:val="20"/>
                <w:szCs w:val="20"/>
                <w:color w:val="auto"/>
              </w:rPr>
            </w:pPr>
            <w:r>
              <w:rPr>
                <w:rFonts w:ascii="Arial" w:cs="Arial" w:eastAsia="Arial" w:hAnsi="Arial"/>
                <w:sz w:val="16"/>
                <w:szCs w:val="16"/>
                <w:color w:val="202E39"/>
              </w:rPr>
              <w:t>Chairman and Chief Executive Officer</w:t>
            </w:r>
          </w:p>
        </w:tc>
        <w:tc>
          <w:tcPr>
            <w:tcW w:w="1460" w:type="dxa"/>
            <w:vAlign w:val="bottom"/>
            <w:tcBorders>
              <w:bottom w:val="single" w:sz="8" w:color="E8EAEB"/>
              <w:right w:val="single" w:sz="8" w:color="E8EAEB"/>
            </w:tcBorders>
          </w:tcPr>
          <w:p>
            <w:pPr>
              <w:jc w:val="center"/>
              <w:ind w:left="300"/>
              <w:spacing w:after="0"/>
              <w:rPr>
                <w:sz w:val="20"/>
                <w:szCs w:val="20"/>
                <w:color w:val="auto"/>
              </w:rPr>
            </w:pPr>
            <w:r>
              <w:rPr>
                <w:rFonts w:ascii="Arial" w:cs="Arial" w:eastAsia="Arial" w:hAnsi="Arial"/>
                <w:sz w:val="16"/>
                <w:szCs w:val="16"/>
                <w:color w:val="202E39"/>
              </w:rPr>
              <w:t>2020</w:t>
            </w:r>
          </w:p>
        </w:tc>
        <w:tc>
          <w:tcPr>
            <w:tcW w:w="340" w:type="dxa"/>
            <w:vAlign w:val="bottom"/>
            <w:tcBorders>
              <w:bottom w:val="single" w:sz="8" w:color="E8EAEB"/>
            </w:tcBorders>
          </w:tcPr>
          <w:p>
            <w:pPr>
              <w:spacing w:after="0"/>
              <w:rPr>
                <w:sz w:val="21"/>
                <w:szCs w:val="21"/>
                <w:color w:val="auto"/>
              </w:rPr>
            </w:pPr>
          </w:p>
        </w:tc>
        <w:tc>
          <w:tcPr>
            <w:tcW w:w="52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89"/>
              </w:rPr>
              <w:t>III</w:t>
            </w:r>
          </w:p>
        </w:tc>
      </w:tr>
      <w:tr>
        <w:trPr>
          <w:trHeight w:val="250"/>
        </w:trPr>
        <w:tc>
          <w:tcPr>
            <w:tcW w:w="2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780" w:type="dxa"/>
            <w:vAlign w:val="bottom"/>
            <w:tcBorders>
              <w:bottom w:val="single" w:sz="8" w:color="E8EAEB"/>
              <w:right w:val="single" w:sz="8" w:color="E8EAEB"/>
            </w:tcBorders>
          </w:tcPr>
          <w:p>
            <w:pPr>
              <w:jc w:val="center"/>
              <w:ind w:left="279"/>
              <w:spacing w:after="0"/>
              <w:rPr>
                <w:sz w:val="20"/>
                <w:szCs w:val="20"/>
                <w:color w:val="auto"/>
              </w:rPr>
            </w:pPr>
            <w:r>
              <w:rPr>
                <w:rFonts w:ascii="Arial" w:cs="Arial" w:eastAsia="Arial" w:hAnsi="Arial"/>
                <w:sz w:val="16"/>
                <w:szCs w:val="16"/>
                <w:color w:val="202E39"/>
              </w:rPr>
              <w:t>60</w:t>
            </w:r>
          </w:p>
        </w:tc>
        <w:tc>
          <w:tcPr>
            <w:tcW w:w="5160" w:type="dxa"/>
            <w:vAlign w:val="bottom"/>
            <w:tcBorders>
              <w:bottom w:val="single" w:sz="8" w:color="E8EAEB"/>
              <w:right w:val="single" w:sz="8" w:color="E8EAEB"/>
            </w:tcBorders>
          </w:tcPr>
          <w:p>
            <w:pPr>
              <w:ind w:left="400"/>
              <w:spacing w:after="0"/>
              <w:rPr>
                <w:sz w:val="20"/>
                <w:szCs w:val="20"/>
                <w:color w:val="auto"/>
              </w:rPr>
            </w:pPr>
            <w:r>
              <w:rPr>
                <w:rFonts w:ascii="Arial" w:cs="Arial" w:eastAsia="Arial" w:hAnsi="Arial"/>
                <w:sz w:val="16"/>
                <w:szCs w:val="16"/>
                <w:color w:val="202E39"/>
              </w:rPr>
              <w:t>Director, President and Chief Operating Officer</w:t>
            </w:r>
          </w:p>
        </w:tc>
        <w:tc>
          <w:tcPr>
            <w:tcW w:w="1460" w:type="dxa"/>
            <w:vAlign w:val="bottom"/>
            <w:tcBorders>
              <w:bottom w:val="single" w:sz="8" w:color="E8EAEB"/>
              <w:right w:val="single" w:sz="8" w:color="E8EAEB"/>
            </w:tcBorders>
          </w:tcPr>
          <w:p>
            <w:pPr>
              <w:jc w:val="center"/>
              <w:ind w:left="300"/>
              <w:spacing w:after="0"/>
              <w:rPr>
                <w:sz w:val="20"/>
                <w:szCs w:val="20"/>
                <w:color w:val="auto"/>
              </w:rPr>
            </w:pPr>
            <w:r>
              <w:rPr>
                <w:rFonts w:ascii="Arial" w:cs="Arial" w:eastAsia="Arial" w:hAnsi="Arial"/>
                <w:sz w:val="16"/>
                <w:szCs w:val="16"/>
                <w:color w:val="202E39"/>
              </w:rPr>
              <w:t>2019</w:t>
            </w:r>
          </w:p>
        </w:tc>
        <w:tc>
          <w:tcPr>
            <w:tcW w:w="340" w:type="dxa"/>
            <w:vAlign w:val="bottom"/>
            <w:tcBorders>
              <w:bottom w:val="single" w:sz="8" w:color="E8EAEB"/>
            </w:tcBorders>
          </w:tcPr>
          <w:p>
            <w:pPr>
              <w:spacing w:after="0"/>
              <w:rPr>
                <w:sz w:val="21"/>
                <w:szCs w:val="21"/>
                <w:color w:val="auto"/>
              </w:rPr>
            </w:pPr>
          </w:p>
        </w:tc>
        <w:tc>
          <w:tcPr>
            <w:tcW w:w="52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89"/>
              </w:rPr>
              <w:t>II</w:t>
            </w:r>
          </w:p>
        </w:tc>
      </w:tr>
      <w:tr>
        <w:trPr>
          <w:trHeight w:val="250"/>
        </w:trPr>
        <w:tc>
          <w:tcPr>
            <w:tcW w:w="2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Frank J. Biondi, Jr.</w:t>
            </w:r>
          </w:p>
        </w:tc>
        <w:tc>
          <w:tcPr>
            <w:tcW w:w="780" w:type="dxa"/>
            <w:vAlign w:val="bottom"/>
            <w:tcBorders>
              <w:bottom w:val="single" w:sz="8" w:color="E8EAEB"/>
              <w:right w:val="single" w:sz="8" w:color="E8EAEB"/>
            </w:tcBorders>
          </w:tcPr>
          <w:p>
            <w:pPr>
              <w:jc w:val="center"/>
              <w:ind w:left="279"/>
              <w:spacing w:after="0"/>
              <w:rPr>
                <w:sz w:val="20"/>
                <w:szCs w:val="20"/>
                <w:color w:val="auto"/>
              </w:rPr>
            </w:pPr>
            <w:r>
              <w:rPr>
                <w:rFonts w:ascii="Arial" w:cs="Arial" w:eastAsia="Arial" w:hAnsi="Arial"/>
                <w:sz w:val="16"/>
                <w:szCs w:val="16"/>
                <w:color w:val="202E39"/>
              </w:rPr>
              <w:t>73</w:t>
            </w:r>
          </w:p>
        </w:tc>
        <w:tc>
          <w:tcPr>
            <w:tcW w:w="5160" w:type="dxa"/>
            <w:vAlign w:val="bottom"/>
            <w:tcBorders>
              <w:bottom w:val="single" w:sz="8" w:color="E8EAEB"/>
              <w:right w:val="single" w:sz="8" w:color="E8EAEB"/>
            </w:tcBorders>
          </w:tcPr>
          <w:p>
            <w:pPr>
              <w:ind w:left="400"/>
              <w:spacing w:after="0"/>
              <w:rPr>
                <w:sz w:val="20"/>
                <w:szCs w:val="20"/>
                <w:color w:val="auto"/>
              </w:rPr>
            </w:pPr>
            <w:r>
              <w:rPr>
                <w:rFonts w:ascii="Arial" w:cs="Arial" w:eastAsia="Arial" w:hAnsi="Arial"/>
                <w:sz w:val="16"/>
                <w:szCs w:val="16"/>
                <w:color w:val="202E39"/>
              </w:rPr>
              <w:t>Director</w:t>
            </w:r>
          </w:p>
        </w:tc>
        <w:tc>
          <w:tcPr>
            <w:tcW w:w="1460" w:type="dxa"/>
            <w:vAlign w:val="bottom"/>
            <w:tcBorders>
              <w:bottom w:val="single" w:sz="8" w:color="E8EAEB"/>
              <w:right w:val="single" w:sz="8" w:color="E8EAEB"/>
            </w:tcBorders>
          </w:tcPr>
          <w:p>
            <w:pPr>
              <w:jc w:val="center"/>
              <w:ind w:left="300"/>
              <w:spacing w:after="0"/>
              <w:rPr>
                <w:sz w:val="20"/>
                <w:szCs w:val="20"/>
                <w:color w:val="auto"/>
              </w:rPr>
            </w:pPr>
            <w:r>
              <w:rPr>
                <w:rFonts w:ascii="Arial" w:cs="Arial" w:eastAsia="Arial" w:hAnsi="Arial"/>
                <w:sz w:val="16"/>
                <w:szCs w:val="16"/>
                <w:color w:val="202E39"/>
              </w:rPr>
              <w:t>2018</w:t>
            </w:r>
          </w:p>
        </w:tc>
        <w:tc>
          <w:tcPr>
            <w:tcW w:w="340" w:type="dxa"/>
            <w:vAlign w:val="bottom"/>
            <w:tcBorders>
              <w:bottom w:val="single" w:sz="8" w:color="E8EAEB"/>
            </w:tcBorders>
          </w:tcPr>
          <w:p>
            <w:pPr>
              <w:spacing w:after="0"/>
              <w:rPr>
                <w:sz w:val="21"/>
                <w:szCs w:val="21"/>
                <w:color w:val="auto"/>
              </w:rPr>
            </w:pPr>
          </w:p>
        </w:tc>
        <w:tc>
          <w:tcPr>
            <w:tcW w:w="52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88"/>
              </w:rPr>
              <w:t>I</w:t>
            </w:r>
          </w:p>
        </w:tc>
      </w:tr>
      <w:tr>
        <w:trPr>
          <w:trHeight w:val="250"/>
        </w:trPr>
        <w:tc>
          <w:tcPr>
            <w:tcW w:w="2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Robert Johnson</w:t>
            </w:r>
          </w:p>
        </w:tc>
        <w:tc>
          <w:tcPr>
            <w:tcW w:w="780" w:type="dxa"/>
            <w:vAlign w:val="bottom"/>
            <w:tcBorders>
              <w:bottom w:val="single" w:sz="8" w:color="E8EAEB"/>
              <w:right w:val="single" w:sz="8" w:color="E8EAEB"/>
            </w:tcBorders>
          </w:tcPr>
          <w:p>
            <w:pPr>
              <w:jc w:val="center"/>
              <w:ind w:left="279"/>
              <w:spacing w:after="0"/>
              <w:rPr>
                <w:sz w:val="20"/>
                <w:szCs w:val="20"/>
                <w:color w:val="auto"/>
              </w:rPr>
            </w:pPr>
            <w:r>
              <w:rPr>
                <w:rFonts w:ascii="Arial" w:cs="Arial" w:eastAsia="Arial" w:hAnsi="Arial"/>
                <w:sz w:val="16"/>
                <w:szCs w:val="16"/>
                <w:color w:val="202E39"/>
              </w:rPr>
              <w:t>68</w:t>
            </w:r>
          </w:p>
        </w:tc>
        <w:tc>
          <w:tcPr>
            <w:tcW w:w="5160" w:type="dxa"/>
            <w:vAlign w:val="bottom"/>
            <w:tcBorders>
              <w:bottom w:val="single" w:sz="8" w:color="E8EAEB"/>
              <w:right w:val="single" w:sz="8" w:color="E8EAEB"/>
            </w:tcBorders>
          </w:tcPr>
          <w:p>
            <w:pPr>
              <w:ind w:left="400"/>
              <w:spacing w:after="0"/>
              <w:rPr>
                <w:sz w:val="20"/>
                <w:szCs w:val="20"/>
                <w:color w:val="auto"/>
              </w:rPr>
            </w:pPr>
            <w:r>
              <w:rPr>
                <w:rFonts w:ascii="Arial" w:cs="Arial" w:eastAsia="Arial" w:hAnsi="Arial"/>
                <w:sz w:val="16"/>
                <w:szCs w:val="16"/>
                <w:color w:val="202E39"/>
              </w:rPr>
              <w:t>Director</w:t>
            </w:r>
          </w:p>
        </w:tc>
        <w:tc>
          <w:tcPr>
            <w:tcW w:w="1460" w:type="dxa"/>
            <w:vAlign w:val="bottom"/>
            <w:tcBorders>
              <w:bottom w:val="single" w:sz="8" w:color="E8EAEB"/>
              <w:right w:val="single" w:sz="8" w:color="E8EAEB"/>
            </w:tcBorders>
          </w:tcPr>
          <w:p>
            <w:pPr>
              <w:jc w:val="center"/>
              <w:ind w:left="300"/>
              <w:spacing w:after="0"/>
              <w:rPr>
                <w:sz w:val="20"/>
                <w:szCs w:val="20"/>
                <w:color w:val="auto"/>
              </w:rPr>
            </w:pPr>
            <w:r>
              <w:rPr>
                <w:rFonts w:ascii="Arial" w:cs="Arial" w:eastAsia="Arial" w:hAnsi="Arial"/>
                <w:sz w:val="16"/>
                <w:szCs w:val="16"/>
                <w:color w:val="202E39"/>
              </w:rPr>
              <w:t>2018</w:t>
            </w:r>
          </w:p>
        </w:tc>
        <w:tc>
          <w:tcPr>
            <w:tcW w:w="340" w:type="dxa"/>
            <w:vAlign w:val="bottom"/>
            <w:tcBorders>
              <w:bottom w:val="single" w:sz="8" w:color="E8EAEB"/>
            </w:tcBorders>
          </w:tcPr>
          <w:p>
            <w:pPr>
              <w:spacing w:after="0"/>
              <w:rPr>
                <w:sz w:val="21"/>
                <w:szCs w:val="21"/>
                <w:color w:val="auto"/>
              </w:rPr>
            </w:pPr>
          </w:p>
        </w:tc>
        <w:tc>
          <w:tcPr>
            <w:tcW w:w="52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88"/>
              </w:rPr>
              <w:t>I</w:t>
            </w:r>
          </w:p>
        </w:tc>
      </w:tr>
      <w:tr>
        <w:trPr>
          <w:trHeight w:val="250"/>
        </w:trPr>
        <w:tc>
          <w:tcPr>
            <w:tcW w:w="2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B. Allen Lay</w:t>
            </w:r>
          </w:p>
        </w:tc>
        <w:tc>
          <w:tcPr>
            <w:tcW w:w="780" w:type="dxa"/>
            <w:vAlign w:val="bottom"/>
            <w:tcBorders>
              <w:bottom w:val="single" w:sz="8" w:color="E8EAEB"/>
              <w:right w:val="single" w:sz="8" w:color="E8EAEB"/>
            </w:tcBorders>
          </w:tcPr>
          <w:p>
            <w:pPr>
              <w:jc w:val="center"/>
              <w:ind w:left="279"/>
              <w:spacing w:after="0"/>
              <w:rPr>
                <w:sz w:val="20"/>
                <w:szCs w:val="20"/>
                <w:color w:val="auto"/>
              </w:rPr>
            </w:pPr>
            <w:r>
              <w:rPr>
                <w:rFonts w:ascii="Arial" w:cs="Arial" w:eastAsia="Arial" w:hAnsi="Arial"/>
                <w:sz w:val="16"/>
                <w:szCs w:val="16"/>
                <w:color w:val="202E39"/>
              </w:rPr>
              <w:t>83</w:t>
            </w:r>
          </w:p>
        </w:tc>
        <w:tc>
          <w:tcPr>
            <w:tcW w:w="5160" w:type="dxa"/>
            <w:vAlign w:val="bottom"/>
            <w:tcBorders>
              <w:bottom w:val="single" w:sz="8" w:color="E8EAEB"/>
              <w:right w:val="single" w:sz="8" w:color="E8EAEB"/>
            </w:tcBorders>
          </w:tcPr>
          <w:p>
            <w:pPr>
              <w:ind w:left="400"/>
              <w:spacing w:after="0"/>
              <w:rPr>
                <w:sz w:val="20"/>
                <w:szCs w:val="20"/>
                <w:color w:val="auto"/>
              </w:rPr>
            </w:pPr>
            <w:r>
              <w:rPr>
                <w:rFonts w:ascii="Arial" w:cs="Arial" w:eastAsia="Arial" w:hAnsi="Arial"/>
                <w:sz w:val="16"/>
                <w:szCs w:val="16"/>
                <w:color w:val="202E39"/>
              </w:rPr>
              <w:t>Director</w:t>
            </w:r>
          </w:p>
        </w:tc>
        <w:tc>
          <w:tcPr>
            <w:tcW w:w="1460" w:type="dxa"/>
            <w:vAlign w:val="bottom"/>
            <w:tcBorders>
              <w:bottom w:val="single" w:sz="8" w:color="E8EAEB"/>
              <w:right w:val="single" w:sz="8" w:color="E8EAEB"/>
            </w:tcBorders>
          </w:tcPr>
          <w:p>
            <w:pPr>
              <w:jc w:val="center"/>
              <w:ind w:left="300"/>
              <w:spacing w:after="0"/>
              <w:rPr>
                <w:sz w:val="20"/>
                <w:szCs w:val="20"/>
                <w:color w:val="auto"/>
              </w:rPr>
            </w:pPr>
            <w:r>
              <w:rPr>
                <w:rFonts w:ascii="Arial" w:cs="Arial" w:eastAsia="Arial" w:hAnsi="Arial"/>
                <w:sz w:val="16"/>
                <w:szCs w:val="16"/>
                <w:color w:val="202E39"/>
              </w:rPr>
              <w:t>2019</w:t>
            </w:r>
          </w:p>
        </w:tc>
        <w:tc>
          <w:tcPr>
            <w:tcW w:w="340" w:type="dxa"/>
            <w:vAlign w:val="bottom"/>
            <w:tcBorders>
              <w:bottom w:val="single" w:sz="8" w:color="E8EAEB"/>
            </w:tcBorders>
          </w:tcPr>
          <w:p>
            <w:pPr>
              <w:spacing w:after="0"/>
              <w:rPr>
                <w:sz w:val="21"/>
                <w:szCs w:val="21"/>
                <w:color w:val="auto"/>
              </w:rPr>
            </w:pPr>
          </w:p>
        </w:tc>
        <w:tc>
          <w:tcPr>
            <w:tcW w:w="52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89"/>
              </w:rPr>
              <w:t>II</w:t>
            </w:r>
          </w:p>
        </w:tc>
      </w:tr>
      <w:tr>
        <w:trPr>
          <w:trHeight w:val="250"/>
        </w:trPr>
        <w:tc>
          <w:tcPr>
            <w:tcW w:w="2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Jeffrey Nash</w:t>
            </w:r>
          </w:p>
        </w:tc>
        <w:tc>
          <w:tcPr>
            <w:tcW w:w="780" w:type="dxa"/>
            <w:vAlign w:val="bottom"/>
            <w:tcBorders>
              <w:bottom w:val="single" w:sz="8" w:color="E8EAEB"/>
              <w:right w:val="single" w:sz="8" w:color="E8EAEB"/>
            </w:tcBorders>
          </w:tcPr>
          <w:p>
            <w:pPr>
              <w:jc w:val="center"/>
              <w:ind w:left="279"/>
              <w:spacing w:after="0"/>
              <w:rPr>
                <w:sz w:val="20"/>
                <w:szCs w:val="20"/>
                <w:color w:val="auto"/>
              </w:rPr>
            </w:pPr>
            <w:r>
              <w:rPr>
                <w:rFonts w:ascii="Arial" w:cs="Arial" w:eastAsia="Arial" w:hAnsi="Arial"/>
                <w:sz w:val="16"/>
                <w:szCs w:val="16"/>
                <w:color w:val="202E39"/>
              </w:rPr>
              <w:t>70</w:t>
            </w:r>
          </w:p>
        </w:tc>
        <w:tc>
          <w:tcPr>
            <w:tcW w:w="5160" w:type="dxa"/>
            <w:vAlign w:val="bottom"/>
            <w:tcBorders>
              <w:bottom w:val="single" w:sz="8" w:color="E8EAEB"/>
              <w:right w:val="single" w:sz="8" w:color="E8EAEB"/>
            </w:tcBorders>
          </w:tcPr>
          <w:p>
            <w:pPr>
              <w:ind w:left="400"/>
              <w:spacing w:after="0"/>
              <w:rPr>
                <w:sz w:val="20"/>
                <w:szCs w:val="20"/>
                <w:color w:val="auto"/>
              </w:rPr>
            </w:pPr>
            <w:r>
              <w:rPr>
                <w:rFonts w:ascii="Arial" w:cs="Arial" w:eastAsia="Arial" w:hAnsi="Arial"/>
                <w:sz w:val="16"/>
                <w:szCs w:val="16"/>
                <w:color w:val="202E39"/>
              </w:rPr>
              <w:t>Director</w:t>
            </w:r>
          </w:p>
        </w:tc>
        <w:tc>
          <w:tcPr>
            <w:tcW w:w="1460" w:type="dxa"/>
            <w:vAlign w:val="bottom"/>
            <w:tcBorders>
              <w:bottom w:val="single" w:sz="8" w:color="E8EAEB"/>
              <w:right w:val="single" w:sz="8" w:color="E8EAEB"/>
            </w:tcBorders>
          </w:tcPr>
          <w:p>
            <w:pPr>
              <w:jc w:val="center"/>
              <w:ind w:left="300"/>
              <w:spacing w:after="0"/>
              <w:rPr>
                <w:sz w:val="20"/>
                <w:szCs w:val="20"/>
                <w:color w:val="auto"/>
              </w:rPr>
            </w:pPr>
            <w:r>
              <w:rPr>
                <w:rFonts w:ascii="Arial" w:cs="Arial" w:eastAsia="Arial" w:hAnsi="Arial"/>
                <w:sz w:val="16"/>
                <w:szCs w:val="16"/>
                <w:color w:val="202E39"/>
              </w:rPr>
              <w:t>2019</w:t>
            </w:r>
          </w:p>
        </w:tc>
        <w:tc>
          <w:tcPr>
            <w:tcW w:w="340" w:type="dxa"/>
            <w:vAlign w:val="bottom"/>
            <w:tcBorders>
              <w:bottom w:val="single" w:sz="8" w:color="E8EAEB"/>
            </w:tcBorders>
          </w:tcPr>
          <w:p>
            <w:pPr>
              <w:spacing w:after="0"/>
              <w:rPr>
                <w:sz w:val="21"/>
                <w:szCs w:val="21"/>
                <w:color w:val="auto"/>
              </w:rPr>
            </w:pPr>
          </w:p>
        </w:tc>
        <w:tc>
          <w:tcPr>
            <w:tcW w:w="52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89"/>
              </w:rPr>
              <w:t>II</w:t>
            </w:r>
          </w:p>
        </w:tc>
      </w:tr>
      <w:tr>
        <w:trPr>
          <w:trHeight w:val="250"/>
        </w:trPr>
        <w:tc>
          <w:tcPr>
            <w:tcW w:w="2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Sean Pak</w:t>
            </w:r>
          </w:p>
        </w:tc>
        <w:tc>
          <w:tcPr>
            <w:tcW w:w="780" w:type="dxa"/>
            <w:vAlign w:val="bottom"/>
            <w:tcBorders>
              <w:bottom w:val="single" w:sz="8" w:color="E8EAEB"/>
              <w:right w:val="single" w:sz="8" w:color="E8EAEB"/>
            </w:tcBorders>
          </w:tcPr>
          <w:p>
            <w:pPr>
              <w:jc w:val="center"/>
              <w:ind w:left="279"/>
              <w:spacing w:after="0"/>
              <w:rPr>
                <w:sz w:val="20"/>
                <w:szCs w:val="20"/>
                <w:color w:val="auto"/>
              </w:rPr>
            </w:pPr>
            <w:r>
              <w:rPr>
                <w:rFonts w:ascii="Arial" w:cs="Arial" w:eastAsia="Arial" w:hAnsi="Arial"/>
                <w:sz w:val="16"/>
                <w:szCs w:val="16"/>
                <w:color w:val="202E39"/>
              </w:rPr>
              <w:t>45</w:t>
            </w:r>
          </w:p>
        </w:tc>
        <w:tc>
          <w:tcPr>
            <w:tcW w:w="5160" w:type="dxa"/>
            <w:vAlign w:val="bottom"/>
            <w:tcBorders>
              <w:bottom w:val="single" w:sz="8" w:color="E8EAEB"/>
              <w:right w:val="single" w:sz="8" w:color="E8EAEB"/>
            </w:tcBorders>
          </w:tcPr>
          <w:p>
            <w:pPr>
              <w:ind w:left="400"/>
              <w:spacing w:after="0"/>
              <w:rPr>
                <w:sz w:val="20"/>
                <w:szCs w:val="20"/>
                <w:color w:val="auto"/>
              </w:rPr>
            </w:pPr>
            <w:r>
              <w:rPr>
                <w:rFonts w:ascii="Arial" w:cs="Arial" w:eastAsia="Arial" w:hAnsi="Arial"/>
                <w:sz w:val="16"/>
                <w:szCs w:val="16"/>
                <w:color w:val="202E39"/>
              </w:rPr>
              <w:t>Director</w:t>
            </w:r>
          </w:p>
        </w:tc>
        <w:tc>
          <w:tcPr>
            <w:tcW w:w="1460" w:type="dxa"/>
            <w:vAlign w:val="bottom"/>
            <w:tcBorders>
              <w:bottom w:val="single" w:sz="8" w:color="E8EAEB"/>
              <w:right w:val="single" w:sz="8" w:color="E8EAEB"/>
            </w:tcBorders>
          </w:tcPr>
          <w:p>
            <w:pPr>
              <w:jc w:val="center"/>
              <w:ind w:left="300"/>
              <w:spacing w:after="0"/>
              <w:rPr>
                <w:sz w:val="20"/>
                <w:szCs w:val="20"/>
                <w:color w:val="auto"/>
              </w:rPr>
            </w:pPr>
            <w:r>
              <w:rPr>
                <w:rFonts w:ascii="Arial" w:cs="Arial" w:eastAsia="Arial" w:hAnsi="Arial"/>
                <w:sz w:val="16"/>
                <w:szCs w:val="16"/>
                <w:color w:val="202E39"/>
              </w:rPr>
              <w:t>2019</w:t>
            </w:r>
          </w:p>
        </w:tc>
        <w:tc>
          <w:tcPr>
            <w:tcW w:w="340" w:type="dxa"/>
            <w:vAlign w:val="bottom"/>
            <w:tcBorders>
              <w:bottom w:val="single" w:sz="8" w:color="E8EAEB"/>
            </w:tcBorders>
          </w:tcPr>
          <w:p>
            <w:pPr>
              <w:spacing w:after="0"/>
              <w:rPr>
                <w:sz w:val="21"/>
                <w:szCs w:val="21"/>
                <w:color w:val="auto"/>
              </w:rPr>
            </w:pPr>
          </w:p>
        </w:tc>
        <w:tc>
          <w:tcPr>
            <w:tcW w:w="52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89"/>
              </w:rPr>
              <w:t>II</w:t>
            </w:r>
          </w:p>
        </w:tc>
      </w:tr>
      <w:tr>
        <w:trPr>
          <w:trHeight w:val="250"/>
        </w:trPr>
        <w:tc>
          <w:tcPr>
            <w:tcW w:w="2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Varsha Rao</w:t>
            </w:r>
          </w:p>
        </w:tc>
        <w:tc>
          <w:tcPr>
            <w:tcW w:w="780" w:type="dxa"/>
            <w:vAlign w:val="bottom"/>
            <w:tcBorders>
              <w:bottom w:val="single" w:sz="8" w:color="E8EAEB"/>
              <w:right w:val="single" w:sz="8" w:color="E8EAEB"/>
            </w:tcBorders>
          </w:tcPr>
          <w:p>
            <w:pPr>
              <w:jc w:val="center"/>
              <w:ind w:left="279"/>
              <w:spacing w:after="0"/>
              <w:rPr>
                <w:sz w:val="20"/>
                <w:szCs w:val="20"/>
                <w:color w:val="auto"/>
              </w:rPr>
            </w:pPr>
            <w:r>
              <w:rPr>
                <w:rFonts w:ascii="Arial" w:cs="Arial" w:eastAsia="Arial" w:hAnsi="Arial"/>
                <w:sz w:val="16"/>
                <w:szCs w:val="16"/>
                <w:color w:val="202E39"/>
              </w:rPr>
              <w:t>48</w:t>
            </w:r>
          </w:p>
        </w:tc>
        <w:tc>
          <w:tcPr>
            <w:tcW w:w="5160" w:type="dxa"/>
            <w:vAlign w:val="bottom"/>
            <w:tcBorders>
              <w:bottom w:val="single" w:sz="8" w:color="E8EAEB"/>
              <w:right w:val="single" w:sz="8" w:color="E8EAEB"/>
            </w:tcBorders>
          </w:tcPr>
          <w:p>
            <w:pPr>
              <w:ind w:left="400"/>
              <w:spacing w:after="0"/>
              <w:rPr>
                <w:sz w:val="20"/>
                <w:szCs w:val="20"/>
                <w:color w:val="auto"/>
              </w:rPr>
            </w:pPr>
            <w:r>
              <w:rPr>
                <w:rFonts w:ascii="Arial" w:cs="Arial" w:eastAsia="Arial" w:hAnsi="Arial"/>
                <w:sz w:val="16"/>
                <w:szCs w:val="16"/>
                <w:color w:val="202E39"/>
              </w:rPr>
              <w:t>Director</w:t>
            </w:r>
          </w:p>
        </w:tc>
        <w:tc>
          <w:tcPr>
            <w:tcW w:w="1460" w:type="dxa"/>
            <w:vAlign w:val="bottom"/>
            <w:tcBorders>
              <w:bottom w:val="single" w:sz="8" w:color="E8EAEB"/>
              <w:right w:val="single" w:sz="8" w:color="E8EAEB"/>
            </w:tcBorders>
          </w:tcPr>
          <w:p>
            <w:pPr>
              <w:jc w:val="center"/>
              <w:ind w:left="300"/>
              <w:spacing w:after="0"/>
              <w:rPr>
                <w:sz w:val="20"/>
                <w:szCs w:val="20"/>
                <w:color w:val="auto"/>
              </w:rPr>
            </w:pPr>
            <w:r>
              <w:rPr>
                <w:rFonts w:ascii="Arial" w:cs="Arial" w:eastAsia="Arial" w:hAnsi="Arial"/>
                <w:sz w:val="16"/>
                <w:szCs w:val="16"/>
                <w:color w:val="202E39"/>
              </w:rPr>
              <w:t>2020</w:t>
            </w:r>
          </w:p>
        </w:tc>
        <w:tc>
          <w:tcPr>
            <w:tcW w:w="340" w:type="dxa"/>
            <w:vAlign w:val="bottom"/>
            <w:tcBorders>
              <w:bottom w:val="single" w:sz="8" w:color="E8EAEB"/>
            </w:tcBorders>
          </w:tcPr>
          <w:p>
            <w:pPr>
              <w:spacing w:after="0"/>
              <w:rPr>
                <w:sz w:val="21"/>
                <w:szCs w:val="21"/>
                <w:color w:val="auto"/>
              </w:rPr>
            </w:pPr>
          </w:p>
        </w:tc>
        <w:tc>
          <w:tcPr>
            <w:tcW w:w="52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89"/>
              </w:rPr>
              <w:t>III</w:t>
            </w:r>
          </w:p>
        </w:tc>
      </w:tr>
      <w:tr>
        <w:trPr>
          <w:trHeight w:val="250"/>
        </w:trPr>
        <w:tc>
          <w:tcPr>
            <w:tcW w:w="2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John Stenbit</w:t>
            </w:r>
          </w:p>
        </w:tc>
        <w:tc>
          <w:tcPr>
            <w:tcW w:w="780" w:type="dxa"/>
            <w:vAlign w:val="bottom"/>
            <w:tcBorders>
              <w:bottom w:val="single" w:sz="8" w:color="E8EAEB"/>
              <w:right w:val="single" w:sz="8" w:color="E8EAEB"/>
            </w:tcBorders>
          </w:tcPr>
          <w:p>
            <w:pPr>
              <w:jc w:val="center"/>
              <w:ind w:left="279"/>
              <w:spacing w:after="0"/>
              <w:rPr>
                <w:sz w:val="20"/>
                <w:szCs w:val="20"/>
                <w:color w:val="auto"/>
              </w:rPr>
            </w:pPr>
            <w:r>
              <w:rPr>
                <w:rFonts w:ascii="Arial" w:cs="Arial" w:eastAsia="Arial" w:hAnsi="Arial"/>
                <w:sz w:val="16"/>
                <w:szCs w:val="16"/>
                <w:color w:val="202E39"/>
              </w:rPr>
              <w:t>78</w:t>
            </w:r>
          </w:p>
        </w:tc>
        <w:tc>
          <w:tcPr>
            <w:tcW w:w="5160" w:type="dxa"/>
            <w:vAlign w:val="bottom"/>
            <w:tcBorders>
              <w:bottom w:val="single" w:sz="8" w:color="E8EAEB"/>
              <w:right w:val="single" w:sz="8" w:color="E8EAEB"/>
            </w:tcBorders>
          </w:tcPr>
          <w:p>
            <w:pPr>
              <w:ind w:left="400"/>
              <w:spacing w:after="0"/>
              <w:rPr>
                <w:sz w:val="20"/>
                <w:szCs w:val="20"/>
                <w:color w:val="auto"/>
              </w:rPr>
            </w:pPr>
            <w:r>
              <w:rPr>
                <w:rFonts w:ascii="Arial" w:cs="Arial" w:eastAsia="Arial" w:hAnsi="Arial"/>
                <w:sz w:val="16"/>
                <w:szCs w:val="16"/>
                <w:color w:val="202E39"/>
              </w:rPr>
              <w:t>Director</w:t>
            </w:r>
          </w:p>
        </w:tc>
        <w:tc>
          <w:tcPr>
            <w:tcW w:w="1460" w:type="dxa"/>
            <w:vAlign w:val="bottom"/>
            <w:tcBorders>
              <w:bottom w:val="single" w:sz="8" w:color="E8EAEB"/>
              <w:right w:val="single" w:sz="8" w:color="E8EAEB"/>
            </w:tcBorders>
          </w:tcPr>
          <w:p>
            <w:pPr>
              <w:jc w:val="center"/>
              <w:ind w:left="300"/>
              <w:spacing w:after="0"/>
              <w:rPr>
                <w:sz w:val="20"/>
                <w:szCs w:val="20"/>
                <w:color w:val="auto"/>
              </w:rPr>
            </w:pPr>
            <w:r>
              <w:rPr>
                <w:rFonts w:ascii="Arial" w:cs="Arial" w:eastAsia="Arial" w:hAnsi="Arial"/>
                <w:sz w:val="16"/>
                <w:szCs w:val="16"/>
                <w:color w:val="202E39"/>
              </w:rPr>
              <w:t>2018</w:t>
            </w:r>
          </w:p>
        </w:tc>
        <w:tc>
          <w:tcPr>
            <w:tcW w:w="340" w:type="dxa"/>
            <w:vAlign w:val="bottom"/>
            <w:tcBorders>
              <w:bottom w:val="single" w:sz="8" w:color="E8EAEB"/>
            </w:tcBorders>
          </w:tcPr>
          <w:p>
            <w:pPr>
              <w:spacing w:after="0"/>
              <w:rPr>
                <w:sz w:val="21"/>
                <w:szCs w:val="21"/>
                <w:color w:val="auto"/>
              </w:rPr>
            </w:pPr>
          </w:p>
        </w:tc>
        <w:tc>
          <w:tcPr>
            <w:tcW w:w="52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88"/>
              </w:rPr>
              <w:t>I</w:t>
            </w:r>
          </w:p>
        </w:tc>
      </w:tr>
      <w:tr>
        <w:trPr>
          <w:trHeight w:val="250"/>
        </w:trPr>
        <w:tc>
          <w:tcPr>
            <w:tcW w:w="27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Harvey White</w:t>
            </w:r>
          </w:p>
        </w:tc>
        <w:tc>
          <w:tcPr>
            <w:tcW w:w="780" w:type="dxa"/>
            <w:vAlign w:val="bottom"/>
            <w:tcBorders>
              <w:bottom w:val="single" w:sz="8" w:color="009FE3"/>
              <w:right w:val="single" w:sz="8" w:color="E8EAEB"/>
            </w:tcBorders>
          </w:tcPr>
          <w:p>
            <w:pPr>
              <w:jc w:val="center"/>
              <w:ind w:left="279"/>
              <w:spacing w:after="0"/>
              <w:rPr>
                <w:sz w:val="20"/>
                <w:szCs w:val="20"/>
                <w:color w:val="auto"/>
              </w:rPr>
            </w:pPr>
            <w:r>
              <w:rPr>
                <w:rFonts w:ascii="Arial" w:cs="Arial" w:eastAsia="Arial" w:hAnsi="Arial"/>
                <w:sz w:val="16"/>
                <w:szCs w:val="16"/>
                <w:color w:val="202E39"/>
              </w:rPr>
              <w:t>84</w:t>
            </w:r>
          </w:p>
        </w:tc>
        <w:tc>
          <w:tcPr>
            <w:tcW w:w="5160" w:type="dxa"/>
            <w:vAlign w:val="bottom"/>
            <w:tcBorders>
              <w:bottom w:val="single" w:sz="8" w:color="009FE3"/>
              <w:right w:val="single" w:sz="8" w:color="E8EAEB"/>
            </w:tcBorders>
          </w:tcPr>
          <w:p>
            <w:pPr>
              <w:ind w:left="400"/>
              <w:spacing w:after="0"/>
              <w:rPr>
                <w:sz w:val="20"/>
                <w:szCs w:val="20"/>
                <w:color w:val="auto"/>
              </w:rPr>
            </w:pPr>
            <w:r>
              <w:rPr>
                <w:rFonts w:ascii="Arial" w:cs="Arial" w:eastAsia="Arial" w:hAnsi="Arial"/>
                <w:sz w:val="16"/>
                <w:szCs w:val="16"/>
                <w:color w:val="202E39"/>
              </w:rPr>
              <w:t>Director</w:t>
            </w:r>
          </w:p>
        </w:tc>
        <w:tc>
          <w:tcPr>
            <w:tcW w:w="1460" w:type="dxa"/>
            <w:vAlign w:val="bottom"/>
            <w:tcBorders>
              <w:bottom w:val="single" w:sz="8" w:color="009FE3"/>
              <w:right w:val="single" w:sz="8" w:color="E8EAEB"/>
            </w:tcBorders>
          </w:tcPr>
          <w:p>
            <w:pPr>
              <w:jc w:val="center"/>
              <w:ind w:left="300"/>
              <w:spacing w:after="0"/>
              <w:rPr>
                <w:sz w:val="20"/>
                <w:szCs w:val="20"/>
                <w:color w:val="auto"/>
              </w:rPr>
            </w:pPr>
            <w:r>
              <w:rPr>
                <w:rFonts w:ascii="Arial" w:cs="Arial" w:eastAsia="Arial" w:hAnsi="Arial"/>
                <w:sz w:val="16"/>
                <w:szCs w:val="16"/>
                <w:color w:val="202E39"/>
              </w:rPr>
              <w:t>2020</w:t>
            </w:r>
          </w:p>
        </w:tc>
        <w:tc>
          <w:tcPr>
            <w:tcW w:w="340" w:type="dxa"/>
            <w:vAlign w:val="bottom"/>
            <w:tcBorders>
              <w:bottom w:val="single" w:sz="8" w:color="009FE3"/>
            </w:tcBorders>
          </w:tcPr>
          <w:p>
            <w:pPr>
              <w:spacing w:after="0"/>
              <w:rPr>
                <w:sz w:val="21"/>
                <w:szCs w:val="21"/>
                <w:color w:val="auto"/>
              </w:rPr>
            </w:pPr>
          </w:p>
        </w:tc>
        <w:tc>
          <w:tcPr>
            <w:tcW w:w="520" w:type="dxa"/>
            <w:vAlign w:val="bottom"/>
            <w:tcBorders>
              <w:bottom w:val="single" w:sz="8" w:color="009FE3"/>
            </w:tcBorders>
          </w:tcPr>
          <w:p>
            <w:pPr>
              <w:jc w:val="center"/>
              <w:spacing w:after="0"/>
              <w:rPr>
                <w:sz w:val="20"/>
                <w:szCs w:val="20"/>
                <w:color w:val="auto"/>
              </w:rPr>
            </w:pPr>
            <w:r>
              <w:rPr>
                <w:rFonts w:ascii="Arial" w:cs="Arial" w:eastAsia="Arial" w:hAnsi="Arial"/>
                <w:sz w:val="16"/>
                <w:szCs w:val="16"/>
                <w:color w:val="202E39"/>
                <w:w w:val="89"/>
              </w:rPr>
              <w:t>III</w:t>
            </w:r>
          </w:p>
        </w:tc>
      </w:tr>
      <w:tr>
        <w:trPr>
          <w:trHeight w:val="326"/>
        </w:trPr>
        <w:tc>
          <w:tcPr>
            <w:tcW w:w="2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202E39"/>
              </w:rPr>
              <w:t>9</w:t>
            </w:r>
          </w:p>
        </w:tc>
      </w:tr>
    </w:tbl>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PROPOSAL 1 </w:t>
      </w:r>
      <w:r>
        <w:rPr>
          <w:rFonts w:ascii="Arial" w:cs="Arial" w:eastAsia="Arial" w:hAnsi="Arial"/>
          <w:sz w:val="14"/>
          <w:szCs w:val="14"/>
          <w:color w:val="009FE3"/>
        </w:rPr>
        <w:t>• Election of Directors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202E39"/>
        </w:rPr>
        <w:t>Class I Directors Nominated for Election at this Annual Meeting</w:t>
      </w:r>
    </w:p>
    <w:p>
      <w:pPr>
        <w:sectPr>
          <w:pgSz w:w="11900" w:h="16838" w:orient="portrait"/>
          <w:cols w:equalWidth="0" w:num="1">
            <w:col w:w="11220"/>
          </w:cols>
          <w:pgMar w:left="240" w:top="459" w:right="439" w:bottom="1440" w:gutter="0" w:footer="0" w:header="0"/>
        </w:sectPr>
      </w:pPr>
    </w:p>
    <w:p>
      <w:pPr>
        <w:spacing w:after="0" w:line="262" w:lineRule="exact"/>
        <w:rPr>
          <w:sz w:val="20"/>
          <w:szCs w:val="20"/>
          <w:color w:val="auto"/>
        </w:rPr>
      </w:pPr>
    </w:p>
    <w:p>
      <w:pPr>
        <w:ind w:left="820"/>
        <w:spacing w:after="0"/>
        <w:rPr>
          <w:sz w:val="20"/>
          <w:szCs w:val="20"/>
          <w:color w:val="auto"/>
        </w:rPr>
      </w:pPr>
      <w:r>
        <w:rPr>
          <w:rFonts w:ascii="Arial" w:cs="Arial" w:eastAsia="Arial" w:hAnsi="Arial"/>
          <w:sz w:val="21"/>
          <w:szCs w:val="21"/>
          <w:color w:val="202E39"/>
        </w:rPr>
        <w:t>Frank J. Biondi, Jr.</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2015</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202E39"/>
        </w:rPr>
        <w:t>Frank J. Biondi, Jr. has served as a director of Viasat since 2015. Mr. Biondi currently serves as Senior Managing Director of WaterView Advisors LLC, a private equity fund specializing in media, a position he has held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-240030</wp:posOffset>
            </wp:positionV>
            <wp:extent cx="5368290" cy="1809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68290" cy="1809750"/>
                    </a:xfrm>
                    <a:prstGeom prst="rect">
                      <a:avLst/>
                    </a:prstGeom>
                    <a:noFill/>
                  </pic:spPr>
                </pic:pic>
              </a:graphicData>
            </a:graphic>
          </wp:anchor>
        </w:drawing>
      </w:r>
    </w:p>
    <w:p>
      <w:pPr>
        <w:ind w:right="100"/>
        <w:spacing w:after="0" w:line="248" w:lineRule="auto"/>
        <w:rPr>
          <w:sz w:val="20"/>
          <w:szCs w:val="20"/>
          <w:color w:val="auto"/>
        </w:rPr>
      </w:pPr>
      <w:r>
        <w:rPr>
          <w:rFonts w:ascii="Arial" w:cs="Arial" w:eastAsia="Arial" w:hAnsi="Arial"/>
          <w:sz w:val="16"/>
          <w:szCs w:val="16"/>
          <w:color w:val="202E39"/>
        </w:rPr>
        <w:t>1999. Prior to joining WaterView Advisors, Mr. Biondi was Chairman and CEO of Universal Studios from 1996 through 1998, served as President and CEO of Viacom Inc. from 1987 to 1996, and served as Chairman and CEO of Coca Cola Television and an Executive Vice President of the Entertainment Business Sector of the Coca Cola Company from 1985 through 1987. Mr. Biondi currently serves on the board of directors of The Madison Square Garden Company (NYSE: MSG). Mr. Biondi previously served on the boards of directors of Amgen, Inc., from 2002 until 2017, of Seagate Technology PLC from 2005 to 2017, of Cablevision Systems Corporation from 2005 until 2016, of RealD Inc. from 2010 until 2016, of Hasbro, Inc. from 2002 until 2015, of Yahoo! Inc. from 2008 until 2010, and of Harrah’s Entertainment from 2002 to 2008. He is a graduate of Princeton University and earned an M.B.A. degree from Harvard University.</w:t>
      </w:r>
    </w:p>
    <w:p>
      <w:pPr>
        <w:spacing w:after="0" w:line="112"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009FE3"/>
        </w:rPr>
        <w:t xml:space="preserve">Mr. Biondi provides our Board with leadership expertise and expansive board experience </w:t>
      </w:r>
      <w:r>
        <w:rPr>
          <w:rFonts w:ascii="Arial" w:cs="Arial" w:eastAsia="Arial" w:hAnsi="Arial"/>
          <w:sz w:val="16"/>
          <w:szCs w:val="16"/>
          <w:color w:val="202E39"/>
        </w:rPr>
        <w:t>resulting from his top</w:t>
      </w:r>
      <w:r>
        <w:rPr>
          <w:rFonts w:ascii="Arial" w:cs="Arial" w:eastAsia="Arial" w:hAnsi="Arial"/>
          <w:sz w:val="16"/>
          <w:szCs w:val="16"/>
          <w:color w:val="009FE3"/>
        </w:rPr>
        <w:t xml:space="preserve"> </w:t>
      </w:r>
      <w:r>
        <w:rPr>
          <w:rFonts w:ascii="Arial" w:cs="Arial" w:eastAsia="Arial" w:hAnsi="Arial"/>
          <w:sz w:val="16"/>
          <w:szCs w:val="16"/>
          <w:color w:val="202E39"/>
        </w:rPr>
        <w:t>executive and director roles at various corporations in the television and entertainment industries.</w:t>
      </w:r>
    </w:p>
    <w:p>
      <w:pPr>
        <w:spacing w:after="0" w:line="200" w:lineRule="exact"/>
        <w:rPr>
          <w:sz w:val="20"/>
          <w:szCs w:val="20"/>
          <w:color w:val="auto"/>
        </w:rPr>
      </w:pPr>
    </w:p>
    <w:p>
      <w:pPr>
        <w:sectPr>
          <w:pgSz w:w="11900" w:h="16838" w:orient="portrait"/>
          <w:cols w:equalWidth="0" w:num="2">
            <w:col w:w="2600" w:space="280"/>
            <w:col w:w="8340"/>
          </w:cols>
          <w:pgMar w:left="240" w:top="459" w:right="439" w:bottom="1440" w:gutter="0" w:footer="0" w:header="0"/>
          <w:type w:val="continuous"/>
        </w:sectPr>
      </w:pPr>
    </w:p>
    <w:p>
      <w:pPr>
        <w:spacing w:after="0" w:line="284" w:lineRule="exact"/>
        <w:rPr>
          <w:sz w:val="20"/>
          <w:szCs w:val="20"/>
          <w:color w:val="auto"/>
        </w:rPr>
      </w:pPr>
    </w:p>
    <w:p>
      <w:pPr>
        <w:ind w:left="1080"/>
        <w:spacing w:after="0"/>
        <w:rPr>
          <w:sz w:val="20"/>
          <w:szCs w:val="20"/>
          <w:color w:val="auto"/>
        </w:rPr>
      </w:pPr>
      <w:r>
        <w:rPr>
          <w:rFonts w:ascii="Arial" w:cs="Arial" w:eastAsia="Arial" w:hAnsi="Arial"/>
          <w:sz w:val="21"/>
          <w:szCs w:val="21"/>
          <w:color w:val="202E39"/>
        </w:rPr>
        <w:t>Robert Johnson</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1986</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249" w:lineRule="auto"/>
        <w:rPr>
          <w:sz w:val="20"/>
          <w:szCs w:val="20"/>
          <w:color w:val="auto"/>
        </w:rPr>
      </w:pPr>
      <w:r>
        <w:rPr>
          <w:rFonts w:ascii="Arial" w:cs="Arial" w:eastAsia="Arial" w:hAnsi="Arial"/>
          <w:sz w:val="16"/>
          <w:szCs w:val="16"/>
          <w:color w:val="202E39"/>
        </w:rPr>
        <w:t>Robert Johnson has been a director of Viasat since 1986. Mr. Johnson has worked in the venture capital industry since 1980, and has acted as an independent investor and served on the board of directors of a number of entrepreneurial companies since 1983. Mr. Johnson has also taught classes at the Stanford Graduate School of Business, Stanford Department of Engineering, Caltech, UCLA Anderson School of Management and the Claremont Graduate School. Mr. Johnson earned B.S. and M.S. degrees in Electrical Engineering from Stanford University, and M.B.A. and D.B.A. degrees from the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-727710</wp:posOffset>
            </wp:positionV>
            <wp:extent cx="5368290" cy="1209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68290" cy="1209040"/>
                    </a:xfrm>
                    <a:prstGeom prst="rect">
                      <a:avLst/>
                    </a:prstGeom>
                    <a:noFill/>
                  </pic:spPr>
                </pic:pic>
              </a:graphicData>
            </a:graphic>
          </wp:anchor>
        </w:drawing>
      </w:r>
    </w:p>
    <w:p>
      <w:pPr>
        <w:spacing w:after="0" w:line="91"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009FE3"/>
        </w:rPr>
        <w:t xml:space="preserve">Mr. Johnson provides our Board with significant business and corporate finance expertise </w:t>
      </w:r>
      <w:r>
        <w:rPr>
          <w:rFonts w:ascii="Arial" w:cs="Arial" w:eastAsia="Arial" w:hAnsi="Arial"/>
          <w:sz w:val="16"/>
          <w:szCs w:val="16"/>
          <w:color w:val="202E39"/>
        </w:rPr>
        <w:t>as a result of his role as</w:t>
      </w:r>
      <w:r>
        <w:rPr>
          <w:rFonts w:ascii="Arial" w:cs="Arial" w:eastAsia="Arial" w:hAnsi="Arial"/>
          <w:sz w:val="16"/>
          <w:szCs w:val="16"/>
          <w:color w:val="009FE3"/>
        </w:rPr>
        <w:t xml:space="preserve"> </w:t>
      </w:r>
      <w:r>
        <w:rPr>
          <w:rFonts w:ascii="Arial" w:cs="Arial" w:eastAsia="Arial" w:hAnsi="Arial"/>
          <w:sz w:val="16"/>
          <w:szCs w:val="16"/>
          <w:color w:val="202E39"/>
        </w:rPr>
        <w:t>an investor in companies in various industries.</w:t>
      </w:r>
    </w:p>
    <w:p>
      <w:pPr>
        <w:spacing w:after="0" w:line="200" w:lineRule="exact"/>
        <w:rPr>
          <w:sz w:val="20"/>
          <w:szCs w:val="20"/>
          <w:color w:val="auto"/>
        </w:rPr>
      </w:pPr>
    </w:p>
    <w:p>
      <w:pPr>
        <w:sectPr>
          <w:pgSz w:w="11900" w:h="16838" w:orient="portrait"/>
          <w:cols w:equalWidth="0" w:num="2">
            <w:col w:w="2600" w:space="280"/>
            <w:col w:w="8340"/>
          </w:cols>
          <w:pgMar w:left="240" w:top="459" w:right="439" w:bottom="1440" w:gutter="0" w:footer="0" w:header="0"/>
          <w:type w:val="continuous"/>
        </w:sectPr>
      </w:pPr>
    </w:p>
    <w:p>
      <w:pPr>
        <w:spacing w:after="0" w:line="284" w:lineRule="exact"/>
        <w:rPr>
          <w:sz w:val="20"/>
          <w:szCs w:val="20"/>
          <w:color w:val="auto"/>
        </w:rPr>
      </w:pPr>
    </w:p>
    <w:p>
      <w:pPr>
        <w:ind w:left="1400"/>
        <w:spacing w:after="0"/>
        <w:rPr>
          <w:sz w:val="20"/>
          <w:szCs w:val="20"/>
          <w:color w:val="auto"/>
        </w:rPr>
      </w:pPr>
      <w:r>
        <w:rPr>
          <w:rFonts w:ascii="Arial" w:cs="Arial" w:eastAsia="Arial" w:hAnsi="Arial"/>
          <w:sz w:val="21"/>
          <w:szCs w:val="21"/>
          <w:color w:val="202E39"/>
        </w:rPr>
        <w:t>John Stenbit</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1794510</wp:posOffset>
            </wp:positionV>
            <wp:extent cx="42862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247" w:lineRule="auto"/>
        <w:rPr>
          <w:sz w:val="20"/>
          <w:szCs w:val="20"/>
          <w:color w:val="auto"/>
        </w:rPr>
      </w:pPr>
      <w:r>
        <w:rPr>
          <w:rFonts w:ascii="Arial" w:cs="Arial" w:eastAsia="Arial" w:hAnsi="Arial"/>
          <w:sz w:val="16"/>
          <w:szCs w:val="16"/>
          <w:color w:val="202E39"/>
        </w:rPr>
        <w:t>John Stenbit has been a director of Viasat since 2004, and is a consultant for various government and commercial clients. From 2001 to his retirement in 2004, Mr. Stenbit served as the Assistant Secretary of Defense for Command, Control, Communications, and Intelligence, or C3I, and later as Assistant Secretary of Defense of Networks and Information Integration / Department of Defense Chief Information Officer, the C3I successor organization. From 1977 to 2001, Mr. Stenbit worked for TRW, Inc., retiring as Executive Vice President. Mr. Stenbit was a Fulbright Fellow and Aerospace Corporation Fellow at the Technische Hogeschool, Einhoven, Netherlands. Mr. Stenbit has chaired the Science Advisory Panel for the Administrator of the Federal Aviation Administration and to the Director of the Central Intelligence Agency. He also has significant expertise and perspective as a member of the boards of directors of private and public companies in various industries. Mr. Stenbit currently serves on the boards of directors of Loral Space &amp; Communications Inc. (Nasdaq: LORL) and DGI Holdings Inc., a private corporation. Mr. Stenbit previously served as a director of Cogent, Inc., SM&amp;A Corporation and SI International, Inc., as a member of the Advisory Board of the National Security Agency, and as a consultant to the Science Advisory Group of the U.S. Strategic Command.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-1443355</wp:posOffset>
            </wp:positionV>
            <wp:extent cx="5368290" cy="21697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68290" cy="2169795"/>
                    </a:xfrm>
                    <a:prstGeom prst="rect">
                      <a:avLst/>
                    </a:prstGeom>
                    <a:noFill/>
                  </pic:spPr>
                </pic:pic>
              </a:graphicData>
            </a:graphic>
          </wp:anchor>
        </w:drawing>
      </w:r>
    </w:p>
    <w:p>
      <w:pPr>
        <w:spacing w:after="0" w:line="287"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009FE3"/>
        </w:rPr>
        <w:t xml:space="preserve">Mr. Stenbit provides our Board with significant technological, defense and national security expertise </w:t>
      </w:r>
      <w:r>
        <w:rPr>
          <w:rFonts w:ascii="Arial" w:cs="Arial" w:eastAsia="Arial" w:hAnsi="Arial"/>
          <w:sz w:val="16"/>
          <w:szCs w:val="16"/>
          <w:color w:val="202E39"/>
        </w:rPr>
        <w:t>as a result of</w:t>
      </w:r>
      <w:r>
        <w:rPr>
          <w:rFonts w:ascii="Arial" w:cs="Arial" w:eastAsia="Arial" w:hAnsi="Arial"/>
          <w:sz w:val="16"/>
          <w:szCs w:val="16"/>
          <w:color w:val="009FE3"/>
        </w:rPr>
        <w:t xml:space="preserve"> </w:t>
      </w:r>
      <w:r>
        <w:rPr>
          <w:rFonts w:ascii="Arial" w:cs="Arial" w:eastAsia="Arial" w:hAnsi="Arial"/>
          <w:sz w:val="16"/>
          <w:szCs w:val="16"/>
          <w:color w:val="202E39"/>
        </w:rPr>
        <w:t>his distinguished career of corporate and government service focused on the communications, aerospace and satellite fields.</w:t>
      </w:r>
    </w:p>
    <w:p>
      <w:pPr>
        <w:spacing w:after="0" w:line="200" w:lineRule="exact"/>
        <w:rPr>
          <w:sz w:val="20"/>
          <w:szCs w:val="20"/>
          <w:color w:val="auto"/>
        </w:rPr>
      </w:pPr>
    </w:p>
    <w:p>
      <w:pPr>
        <w:sectPr>
          <w:pgSz w:w="11900" w:h="16838" w:orient="portrait"/>
          <w:cols w:equalWidth="0" w:num="2">
            <w:col w:w="2600" w:space="280"/>
            <w:col w:w="8340"/>
          </w:cols>
          <w:pgMar w:left="240" w:top="459" w:right="439" w:bottom="1440" w:gutter="0" w:footer="0" w:header="0"/>
          <w:type w:val="continuous"/>
        </w:sect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10</w:t>
      </w:r>
    </w:p>
    <w:p>
      <w:pPr>
        <w:sectPr>
          <w:pgSz w:w="11900" w:h="16838" w:orient="portrait"/>
          <w:cols w:equalWidth="0" w:num="1">
            <w:col w:w="11220"/>
          </w:cols>
          <w:pgMar w:left="24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1 • </w:t>
      </w:r>
      <w:r>
        <w:rPr>
          <w:rFonts w:ascii="Arial" w:cs="Arial" w:eastAsia="Arial" w:hAnsi="Arial"/>
          <w:sz w:val="14"/>
          <w:szCs w:val="14"/>
          <w:color w:val="202E39"/>
        </w:rPr>
        <w:t>Election of Directors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Class II Directors with Terms Expiring in 2019</w:t>
      </w:r>
    </w:p>
    <w:p>
      <w:pPr>
        <w:sectPr>
          <w:pgSz w:w="11900" w:h="16838" w:orient="portrait"/>
          <w:cols w:equalWidth="0" w:num="1">
            <w:col w:w="11220"/>
          </w:cols>
          <w:pgMar w:left="240" w:top="459" w:right="439" w:bottom="1440" w:gutter="0" w:footer="0" w:header="0"/>
        </w:sectPr>
      </w:pPr>
    </w:p>
    <w:p>
      <w:pPr>
        <w:spacing w:after="0" w:line="129" w:lineRule="exact"/>
        <w:rPr>
          <w:sz w:val="20"/>
          <w:szCs w:val="20"/>
          <w:color w:val="auto"/>
        </w:rPr>
      </w:pPr>
    </w:p>
    <w:p>
      <w:pPr>
        <w:ind w:left="680"/>
        <w:spacing w:after="0"/>
        <w:rPr>
          <w:sz w:val="20"/>
          <w:szCs w:val="20"/>
          <w:color w:val="auto"/>
        </w:rPr>
      </w:pPr>
      <w:r>
        <w:rPr>
          <w:rFonts w:ascii="Arial" w:cs="Arial" w:eastAsia="Arial" w:hAnsi="Arial"/>
          <w:sz w:val="21"/>
          <w:szCs w:val="21"/>
          <w:color w:val="202E39"/>
        </w:rPr>
        <w:t>Richard Baldridge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40"/>
        <w:spacing w:after="0"/>
        <w:rPr>
          <w:sz w:val="20"/>
          <w:szCs w:val="20"/>
          <w:color w:val="auto"/>
        </w:rPr>
      </w:pPr>
      <w:r>
        <w:rPr>
          <w:rFonts w:ascii="Arial" w:cs="Arial" w:eastAsia="Arial" w:hAnsi="Arial"/>
          <w:sz w:val="21"/>
          <w:szCs w:val="21"/>
          <w:color w:val="202E39"/>
        </w:rPr>
        <w:t>B. Allen Lay</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40"/>
        <w:spacing w:after="0"/>
        <w:rPr>
          <w:sz w:val="20"/>
          <w:szCs w:val="20"/>
          <w:color w:val="auto"/>
        </w:rPr>
      </w:pPr>
      <w:r>
        <w:rPr>
          <w:rFonts w:ascii="Arial" w:cs="Arial" w:eastAsia="Arial" w:hAnsi="Arial"/>
          <w:sz w:val="21"/>
          <w:szCs w:val="21"/>
          <w:color w:val="202E39"/>
        </w:rPr>
        <w:t>Dr. Jeffrey Nash</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1987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22"/>
          <w:szCs w:val="22"/>
          <w:color w:val="202E39"/>
        </w:rPr>
        <w:t>Sean Pak</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2018</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260"/>
        <w:spacing w:after="0" w:line="246" w:lineRule="auto"/>
        <w:rPr>
          <w:sz w:val="20"/>
          <w:szCs w:val="20"/>
          <w:color w:val="auto"/>
        </w:rPr>
      </w:pPr>
      <w:r>
        <w:rPr>
          <w:rFonts w:ascii="Arial" w:cs="Arial" w:eastAsia="Arial" w:hAnsi="Arial"/>
          <w:sz w:val="16"/>
          <w:szCs w:val="16"/>
          <w:color w:val="202E39"/>
        </w:rPr>
        <w:t>Richard Baldridge has been a director of Viasat since 2016. Mr. Baldridge joined Viasat in April 1999, serving as our Executive Vice President, Chief Financial Officer and Chief Operating Officer from 2000 and as our Executive Vice President and Chief Operating Officer from 2002. Mr. Baldridge assumed his current role as President and Chief Operating Officer in 2003. Mr. Baldridge was elected to the Board of Directors of Viasat in 2016.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-479425</wp:posOffset>
            </wp:positionV>
            <wp:extent cx="5505450" cy="1878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05450" cy="1878330"/>
                    </a:xfrm>
                    <a:prstGeom prst="rect">
                      <a:avLst/>
                    </a:prstGeom>
                    <a:noFill/>
                  </pic:spPr>
                </pic:pic>
              </a:graphicData>
            </a:graphic>
          </wp:anchor>
        </w:drawing>
      </w:r>
    </w:p>
    <w:p>
      <w:pPr>
        <w:ind w:right="40"/>
        <w:spacing w:after="0" w:line="246" w:lineRule="auto"/>
        <w:rPr>
          <w:sz w:val="20"/>
          <w:szCs w:val="20"/>
          <w:color w:val="auto"/>
        </w:rPr>
      </w:pPr>
      <w:r>
        <w:rPr>
          <w:rFonts w:ascii="Arial" w:cs="Arial" w:eastAsia="Arial" w:hAnsi="Arial"/>
          <w:sz w:val="16"/>
          <w:szCs w:val="16"/>
          <w:color w:val="202E39"/>
        </w:rPr>
        <w:t>Mr. Baldridge serves as a director of Ducommun Incorporated (NYSE: DCO),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January 1998 to April 1999. From June 1994 to December 1997,</w:t>
      </w:r>
    </w:p>
    <w:p>
      <w:pPr>
        <w:spacing w:after="0" w:line="2"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202E39"/>
        </w:rPr>
        <w:t>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10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009FE3"/>
        </w:rPr>
        <w:t xml:space="preserve">Mr. Baldridge provides our Board with significant operational and financial expertise </w:t>
      </w:r>
      <w:r>
        <w:rPr>
          <w:rFonts w:ascii="Arial" w:cs="Arial" w:eastAsia="Arial" w:hAnsi="Arial"/>
          <w:sz w:val="16"/>
          <w:szCs w:val="16"/>
          <w:color w:val="202E39"/>
        </w:rPr>
        <w:t>based on his roles at Viasat and</w:t>
      </w:r>
      <w:r>
        <w:rPr>
          <w:rFonts w:ascii="Arial" w:cs="Arial" w:eastAsia="Arial" w:hAnsi="Arial"/>
          <w:sz w:val="16"/>
          <w:szCs w:val="16"/>
          <w:color w:val="009FE3"/>
        </w:rPr>
        <w:t xml:space="preserve"> </w:t>
      </w:r>
      <w:r>
        <w:rPr>
          <w:rFonts w:ascii="Arial" w:cs="Arial" w:eastAsia="Arial" w:hAnsi="Arial"/>
          <w:sz w:val="16"/>
          <w:szCs w:val="16"/>
          <w:color w:val="202E39"/>
        </w:rPr>
        <w:t>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260350</wp:posOffset>
            </wp:positionV>
            <wp:extent cx="5505450" cy="127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05450" cy="1277620"/>
                    </a:xfrm>
                    <a:prstGeom prst="rect">
                      <a:avLst/>
                    </a:prstGeom>
                    <a:noFill/>
                  </pic:spPr>
                </pic:pic>
              </a:graphicData>
            </a:graphic>
          </wp:anchor>
        </w:drawing>
      </w:r>
    </w:p>
    <w:p>
      <w:pPr>
        <w:spacing w:after="0" w:line="392"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202E39"/>
        </w:rPr>
        <w:t>B. Allen Lay has been a director of Viasat since 1996. From 1983 to 2001, he was a General Partner of Southern California Ventures, a venture capital company. From 2001 to the present, he has acted as a consultant to the venture capital industry. Mr. Lay also has significant expertise and perspective as a member of the boards of directors of companies in various industries, including software and hardware. Mr. Lay formerly served as the President and Chief Operating Officer of CADO Systems, Inc., and Chief Executive Officer of Meridian Data Inc. and Westbrae Natural Inc. He has served on a number of boards of directors of both private and public companies, and currently serves on the board of directors of Carley Lamps, LLC.</w:t>
      </w:r>
    </w:p>
    <w:p>
      <w:pPr>
        <w:spacing w:after="0" w:line="114"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009FE3"/>
        </w:rPr>
        <w:t xml:space="preserve">Mr. Lay provides our Board with significant business and financial expertise </w:t>
      </w:r>
      <w:r>
        <w:rPr>
          <w:rFonts w:ascii="Arial" w:cs="Arial" w:eastAsia="Arial" w:hAnsi="Arial"/>
          <w:sz w:val="16"/>
          <w:szCs w:val="16"/>
          <w:color w:val="202E39"/>
        </w:rPr>
        <w:t>due to his background as an investor in</w:t>
      </w:r>
      <w:r>
        <w:rPr>
          <w:rFonts w:ascii="Arial" w:cs="Arial" w:eastAsia="Arial" w:hAnsi="Arial"/>
          <w:sz w:val="16"/>
          <w:szCs w:val="16"/>
          <w:color w:val="009FE3"/>
        </w:rPr>
        <w:t xml:space="preserve"> </w:t>
      </w:r>
      <w:r>
        <w:rPr>
          <w:rFonts w:ascii="Arial" w:cs="Arial" w:eastAsia="Arial" w:hAnsi="Arial"/>
          <w:sz w:val="16"/>
          <w:szCs w:val="16"/>
          <w:color w:val="202E39"/>
        </w:rPr>
        <w:t>companies in various fields.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260350</wp:posOffset>
            </wp:positionV>
            <wp:extent cx="5505450" cy="13976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05450" cy="1397635"/>
                    </a:xfrm>
                    <a:prstGeom prst="rect">
                      <a:avLst/>
                    </a:prstGeom>
                    <a:noFill/>
                  </pic:spPr>
                </pic:pic>
              </a:graphicData>
            </a:graphic>
          </wp:anchor>
        </w:drawing>
      </w:r>
    </w:p>
    <w:p>
      <w:pPr>
        <w:spacing w:after="0" w:line="392" w:lineRule="exact"/>
        <w:rPr>
          <w:sz w:val="20"/>
          <w:szCs w:val="20"/>
          <w:color w:val="auto"/>
        </w:rPr>
      </w:pPr>
    </w:p>
    <w:p>
      <w:pPr>
        <w:spacing w:after="0" w:line="248" w:lineRule="auto"/>
        <w:rPr>
          <w:sz w:val="20"/>
          <w:szCs w:val="20"/>
          <w:color w:val="auto"/>
        </w:rPr>
      </w:pPr>
      <w:r>
        <w:rPr>
          <w:rFonts w:ascii="Arial" w:cs="Arial" w:eastAsia="Arial" w:hAnsi="Arial"/>
          <w:sz w:val="16"/>
          <w:szCs w:val="16"/>
          <w:color w:val="202E39"/>
        </w:rPr>
        <w:t>Dr. Jeffrey Nash has been a director of Viasat since 1987. Dr. Nash also brings expertise and perspective to our Board from his past service on the boards of directors of private and public companies in multiple technology sectors, including defense and space hardware, consumer electronics, data storage technology, systems analysis and software. After co-founding and managing the growth and sale of start-up companies to Ball Corporation and Conner Peripherals, Inc. (acquired by Seagate Technology, Inc.), Dr. Nash served as a senior R&amp;D executive for both firms. He holds B.S., M.S. and Ph.D. degrees in Engineering, Control Systems, Operations Research and Large-Scale Systems Engineering from UCLA.</w:t>
      </w:r>
    </w:p>
    <w:p>
      <w:pPr>
        <w:spacing w:after="0" w:line="114"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009FE3"/>
        </w:rPr>
        <w:t xml:space="preserve">Dr. Nash provides our Board with industry expertise </w:t>
      </w:r>
      <w:r>
        <w:rPr>
          <w:rFonts w:ascii="Arial" w:cs="Arial" w:eastAsia="Arial" w:hAnsi="Arial"/>
          <w:sz w:val="16"/>
          <w:szCs w:val="16"/>
          <w:color w:val="202E39"/>
        </w:rPr>
        <w:t>based on his experience as a spacecraft and missile navigation</w:t>
      </w:r>
      <w:r>
        <w:rPr>
          <w:rFonts w:ascii="Arial" w:cs="Arial" w:eastAsia="Arial" w:hAnsi="Arial"/>
          <w:sz w:val="16"/>
          <w:szCs w:val="16"/>
          <w:color w:val="009FE3"/>
        </w:rPr>
        <w:t xml:space="preserve"> </w:t>
      </w:r>
      <w:r>
        <w:rPr>
          <w:rFonts w:ascii="Arial" w:cs="Arial" w:eastAsia="Arial" w:hAnsi="Arial"/>
          <w:sz w:val="16"/>
          <w:szCs w:val="16"/>
          <w:color w:val="202E39"/>
        </w:rPr>
        <w:t>systems engineer, and with operational and financial expertise gained since 1975 in roles as founder, executive, venture investor, and consultant to high technology companies across diverse fields.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264160</wp:posOffset>
            </wp:positionV>
            <wp:extent cx="5505450" cy="127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05450" cy="1277620"/>
                    </a:xfrm>
                    <a:prstGeom prst="rect">
                      <a:avLst/>
                    </a:prstGeom>
                    <a:noFill/>
                  </pic:spPr>
                </pic:pic>
              </a:graphicData>
            </a:graphic>
          </wp:anchor>
        </w:drawing>
      </w:r>
    </w:p>
    <w:p>
      <w:pPr>
        <w:spacing w:after="0" w:line="39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202E39"/>
        </w:rPr>
        <w:t>Sean Pak has been a director of Viasat since January 2018. Mr. Pak has been a partner at Quinn Emanuel Urquhart &amp; Sullivan LLP since 2009, and he currently serves as the Co-Chair of its National Intellectual Property Litigation Practice and Co-Managing Partner of the San Francisco office. From 2002 to 2009, Mr. Pak was an attorney at Latham &amp; Watkins LLP, and previously worked in engineering roles at Intel Corporation and the Massachusetts Institute of Technology (MIT) Artificial Intelligence Laboratory. He is a litigator with extensive experience litigating patents, trade secrets, copyrights and other intellectual property. Mr. Pak received a J.D. degree (</w:t>
      </w:r>
      <w:r>
        <w:rPr>
          <w:rFonts w:ascii="Arial" w:cs="Arial" w:eastAsia="Arial" w:hAnsi="Arial"/>
          <w:sz w:val="16"/>
          <w:szCs w:val="16"/>
          <w:i w:val="1"/>
          <w:iCs w:val="1"/>
          <w:color w:val="202E39"/>
        </w:rPr>
        <w:t>cum laude</w:t>
      </w:r>
      <w:r>
        <w:rPr>
          <w:rFonts w:ascii="Arial" w:cs="Arial" w:eastAsia="Arial" w:hAnsi="Arial"/>
          <w:sz w:val="16"/>
          <w:szCs w:val="16"/>
          <w:color w:val="202E39"/>
        </w:rPr>
        <w:t>) from Harvard Law School, and B.S. and M. Eng. Degrees in Electrical Engineering and Computer Science from MIT.</w:t>
      </w:r>
    </w:p>
    <w:p>
      <w:pPr>
        <w:spacing w:after="0" w:line="114" w:lineRule="exact"/>
        <w:rPr>
          <w:sz w:val="20"/>
          <w:szCs w:val="20"/>
          <w:color w:val="auto"/>
        </w:rPr>
      </w:pPr>
    </w:p>
    <w:p>
      <w:pPr>
        <w:jc w:val="both"/>
        <w:ind w:right="220"/>
        <w:spacing w:after="0" w:line="260" w:lineRule="auto"/>
        <w:rPr>
          <w:sz w:val="20"/>
          <w:szCs w:val="20"/>
          <w:color w:val="auto"/>
        </w:rPr>
      </w:pPr>
      <w:r>
        <w:rPr>
          <w:rFonts w:ascii="Arial" w:cs="Arial" w:eastAsia="Arial" w:hAnsi="Arial"/>
          <w:sz w:val="16"/>
          <w:szCs w:val="16"/>
          <w:color w:val="009FE3"/>
        </w:rPr>
        <w:t xml:space="preserve">Mr. Pak provides our Board with significant expertise </w:t>
      </w:r>
      <w:r>
        <w:rPr>
          <w:rFonts w:ascii="Arial" w:cs="Arial" w:eastAsia="Arial" w:hAnsi="Arial"/>
          <w:sz w:val="16"/>
          <w:szCs w:val="16"/>
          <w:color w:val="202E39"/>
        </w:rPr>
        <w:t>in intellectual property development, strategy and enforcement,</w:t>
      </w:r>
      <w:r>
        <w:rPr>
          <w:rFonts w:ascii="Arial" w:cs="Arial" w:eastAsia="Arial" w:hAnsi="Arial"/>
          <w:sz w:val="16"/>
          <w:szCs w:val="16"/>
          <w:color w:val="009FE3"/>
        </w:rPr>
        <w:t xml:space="preserve"> </w:t>
      </w:r>
      <w:r>
        <w:rPr>
          <w:rFonts w:ascii="Arial" w:cs="Arial" w:eastAsia="Arial" w:hAnsi="Arial"/>
          <w:sz w:val="16"/>
          <w:szCs w:val="16"/>
          <w:color w:val="202E39"/>
        </w:rPr>
        <w:t>along with technological and engineering expertise in satellite systems, electrical engineering and computer science.</w:t>
      </w:r>
    </w:p>
    <w:p>
      <w:pPr>
        <w:spacing w:after="0" w:line="200" w:lineRule="exact"/>
        <w:rPr>
          <w:sz w:val="20"/>
          <w:szCs w:val="20"/>
          <w:color w:val="auto"/>
        </w:rPr>
      </w:pPr>
    </w:p>
    <w:p>
      <w:pPr>
        <w:sectPr>
          <w:pgSz w:w="11900" w:h="16838" w:orient="portrait"/>
          <w:cols w:equalWidth="0" w:num="2">
            <w:col w:w="2400" w:space="260"/>
            <w:col w:w="8560"/>
          </w:cols>
          <w:pgMar w:left="240" w:top="459" w:right="439" w:bottom="1440" w:gutter="0" w:footer="0" w:header="0"/>
          <w:type w:val="continuous"/>
        </w:sectPr>
      </w:pPr>
    </w:p>
    <w:p>
      <w:pPr>
        <w:spacing w:after="0" w:line="102"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11</w:t>
            </w:r>
          </w:p>
        </w:tc>
      </w:tr>
    </w:tbl>
    <w:p>
      <w:pPr>
        <w:sectPr>
          <w:pgSz w:w="11900" w:h="16838" w:orient="portrait"/>
          <w:cols w:equalWidth="0" w:num="1">
            <w:col w:w="11220"/>
          </w:cols>
          <w:pgMar w:left="24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PROPOSAL 1 </w:t>
      </w:r>
      <w:r>
        <w:rPr>
          <w:rFonts w:ascii="Arial" w:cs="Arial" w:eastAsia="Arial" w:hAnsi="Arial"/>
          <w:sz w:val="14"/>
          <w:szCs w:val="14"/>
          <w:color w:val="009FE3"/>
        </w:rPr>
        <w:t>• Election of Directors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202E39"/>
        </w:rPr>
        <w:t>Class III Directors with Terms Expiring in 2020</w:t>
      </w:r>
    </w:p>
    <w:p>
      <w:pPr>
        <w:sectPr>
          <w:pgSz w:w="11900" w:h="16838" w:orient="portrait"/>
          <w:cols w:equalWidth="0" w:num="1">
            <w:col w:w="11200"/>
          </w:cols>
          <w:pgMar w:left="240" w:top="459" w:right="459" w:bottom="1440" w:gutter="0" w:footer="0" w:header="0"/>
        </w:sectPr>
      </w:pPr>
    </w:p>
    <w:p>
      <w:pPr>
        <w:spacing w:after="0" w:line="262" w:lineRule="exact"/>
        <w:rPr>
          <w:sz w:val="20"/>
          <w:szCs w:val="20"/>
          <w:color w:val="auto"/>
        </w:rPr>
      </w:pPr>
    </w:p>
    <w:p>
      <w:pPr>
        <w:ind w:left="1140"/>
        <w:spacing w:after="0"/>
        <w:rPr>
          <w:sz w:val="20"/>
          <w:szCs w:val="20"/>
          <w:color w:val="auto"/>
        </w:rPr>
      </w:pPr>
      <w:r>
        <w:rPr>
          <w:rFonts w:ascii="Arial" w:cs="Arial" w:eastAsia="Arial" w:hAnsi="Arial"/>
          <w:sz w:val="21"/>
          <w:szCs w:val="21"/>
          <w:color w:val="202E39"/>
        </w:rPr>
        <w:t>Mark Dankberg</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1986</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202E39"/>
        </w:rPr>
        <w:t>Mark Dankberg is a founder of Viasat and has served as Chairman of the Board and Chief Executive Officer since its inception in May 1986. Mr. Dankberg also serves on the boards of Minnetronix, Inc., a privately-held medical device and design company, and Lytx, Inc., a privately-held company that provides fleet safety management solutions. In addition, Mr. Dankberg was elected to the Rice University Board of Trustees in 2013, and was a member of the board of directors of REMEC, Inc. from 1999 to 2010.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-966470</wp:posOffset>
            </wp:positionV>
            <wp:extent cx="5368290" cy="14490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68290" cy="1449070"/>
                    </a:xfrm>
                    <a:prstGeom prst="rect">
                      <a:avLst/>
                    </a:prstGeom>
                    <a:noFill/>
                  </pic:spPr>
                </pic:pic>
              </a:graphicData>
            </a:graphic>
          </wp:anchor>
        </w:drawing>
      </w:r>
    </w:p>
    <w:p>
      <w:pPr>
        <w:spacing w:after="0" w:line="93"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009FE3"/>
        </w:rPr>
        <w:t xml:space="preserve">Mr. Dankberg provides our Board with significant operational, business and technological expertise </w:t>
      </w:r>
      <w:r>
        <w:rPr>
          <w:rFonts w:ascii="Arial" w:cs="Arial" w:eastAsia="Arial" w:hAnsi="Arial"/>
          <w:sz w:val="16"/>
          <w:szCs w:val="16"/>
          <w:color w:val="202E39"/>
        </w:rPr>
        <w:t>in the satellite</w:t>
      </w:r>
      <w:r>
        <w:rPr>
          <w:rFonts w:ascii="Arial" w:cs="Arial" w:eastAsia="Arial" w:hAnsi="Arial"/>
          <w:sz w:val="16"/>
          <w:szCs w:val="16"/>
          <w:color w:val="009FE3"/>
        </w:rPr>
        <w:t xml:space="preserve"> </w:t>
      </w:r>
      <w:r>
        <w:rPr>
          <w:rFonts w:ascii="Arial" w:cs="Arial" w:eastAsia="Arial" w:hAnsi="Arial"/>
          <w:sz w:val="16"/>
          <w:szCs w:val="16"/>
          <w:color w:val="202E39"/>
        </w:rPr>
        <w:t>and communications industry, and intimate knowledge of the issues facing our management.</w:t>
      </w:r>
    </w:p>
    <w:p>
      <w:pPr>
        <w:spacing w:after="0" w:line="200" w:lineRule="exact"/>
        <w:rPr>
          <w:sz w:val="20"/>
          <w:szCs w:val="20"/>
          <w:color w:val="auto"/>
        </w:rPr>
      </w:pPr>
    </w:p>
    <w:p>
      <w:pPr>
        <w:sectPr>
          <w:pgSz w:w="11900" w:h="16838" w:orient="portrait"/>
          <w:cols w:equalWidth="0" w:num="2">
            <w:col w:w="2600" w:space="280"/>
            <w:col w:w="8320"/>
          </w:cols>
          <w:pgMar w:left="240" w:top="459" w:right="459" w:bottom="1440" w:gutter="0" w:footer="0" w:header="0"/>
          <w:type w:val="continuous"/>
        </w:sectPr>
      </w:pPr>
    </w:p>
    <w:p>
      <w:pPr>
        <w:spacing w:after="0" w:line="284" w:lineRule="exact"/>
        <w:rPr>
          <w:sz w:val="20"/>
          <w:szCs w:val="20"/>
          <w:color w:val="auto"/>
        </w:rPr>
      </w:pPr>
    </w:p>
    <w:p>
      <w:pPr>
        <w:ind w:left="1480"/>
        <w:spacing w:after="0"/>
        <w:rPr>
          <w:sz w:val="20"/>
          <w:szCs w:val="20"/>
          <w:color w:val="auto"/>
        </w:rPr>
      </w:pPr>
      <w:r>
        <w:rPr>
          <w:rFonts w:ascii="Arial" w:cs="Arial" w:eastAsia="Arial" w:hAnsi="Arial"/>
          <w:sz w:val="21"/>
          <w:szCs w:val="21"/>
          <w:color w:val="202E39"/>
        </w:rPr>
        <w:t>Varsha Rao</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2017</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248" w:lineRule="auto"/>
        <w:rPr>
          <w:sz w:val="20"/>
          <w:szCs w:val="20"/>
          <w:color w:val="auto"/>
        </w:rPr>
      </w:pPr>
      <w:r>
        <w:rPr>
          <w:rFonts w:ascii="Arial" w:cs="Arial" w:eastAsia="Arial" w:hAnsi="Arial"/>
          <w:sz w:val="16"/>
          <w:szCs w:val="16"/>
          <w:color w:val="202E39"/>
        </w:rPr>
        <w:t>Varsha Rao has been a director of Viasat since 2017. Ms. Rao has served as Chief Operating Officer of Clover Health Inc., a health insurance technology company, since September 2017. From 2013 to 2016, Ms. Rao served as the Head of Global Operations at Airbnb, Inc., a global travel marketplace. From 2011 to 2013, she served as the Senior Vice President International of LivingSocial, Inc. (owned by Groupon), an online marketplace for daily deals. From 2008 to 2011, Ms. Rao served as the Chief Executive Officer of SingTel Digital Media Pte Ltd., an online search and lifestyle portal and wholly-owned subsidiary of SingTel. From 2004 to 2008, she served as Vice President and General Manager of OldNavy.com, an e-commerce division of Gap, Inc. She also previously founded and sold Eve.com, an online beauty retailer, and served as an Engagement Manager at McKinsey &amp; Co., a consulting company. Ms. Rao earned a B.A. degree in Mathematics and a B.S. degree in Economics from the University of Pennsylvania, and an M.B.A. degree from the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-1207770</wp:posOffset>
            </wp:positionV>
            <wp:extent cx="5368290" cy="1689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68290" cy="1689735"/>
                    </a:xfrm>
                    <a:prstGeom prst="rect">
                      <a:avLst/>
                    </a:prstGeom>
                    <a:noFill/>
                  </pic:spPr>
                </pic:pic>
              </a:graphicData>
            </a:graphic>
          </wp:anchor>
        </w:drawing>
      </w:r>
    </w:p>
    <w:p>
      <w:pPr>
        <w:spacing w:after="0" w:line="91" w:lineRule="exact"/>
        <w:rPr>
          <w:sz w:val="20"/>
          <w:szCs w:val="20"/>
          <w:color w:val="auto"/>
        </w:rPr>
      </w:pPr>
    </w:p>
    <w:p>
      <w:pPr>
        <w:spacing w:after="0" w:line="260" w:lineRule="auto"/>
        <w:rPr>
          <w:sz w:val="20"/>
          <w:szCs w:val="20"/>
          <w:color w:val="auto"/>
        </w:rPr>
      </w:pPr>
      <w:r>
        <w:rPr>
          <w:rFonts w:ascii="Arial" w:cs="Arial" w:eastAsia="Arial" w:hAnsi="Arial"/>
          <w:sz w:val="16"/>
          <w:szCs w:val="16"/>
          <w:color w:val="009FE3"/>
        </w:rPr>
        <w:t xml:space="preserve">Ms. Rao provides our Board with significant international e-commerce, media and telecommunications expertise </w:t>
      </w:r>
      <w:r>
        <w:rPr>
          <w:rFonts w:ascii="Arial" w:cs="Arial" w:eastAsia="Arial" w:hAnsi="Arial"/>
          <w:sz w:val="16"/>
          <w:szCs w:val="16"/>
          <w:color w:val="202E39"/>
        </w:rPr>
        <w:t>due</w:t>
      </w:r>
      <w:r>
        <w:rPr>
          <w:rFonts w:ascii="Arial" w:cs="Arial" w:eastAsia="Arial" w:hAnsi="Arial"/>
          <w:sz w:val="16"/>
          <w:szCs w:val="16"/>
          <w:color w:val="009FE3"/>
        </w:rPr>
        <w:t xml:space="preserve"> </w:t>
      </w:r>
      <w:r>
        <w:rPr>
          <w:rFonts w:ascii="Arial" w:cs="Arial" w:eastAsia="Arial" w:hAnsi="Arial"/>
          <w:sz w:val="16"/>
          <w:szCs w:val="16"/>
          <w:color w:val="202E39"/>
        </w:rPr>
        <w:t>to her background and leadership roles focused on those disciplines at various companies.</w:t>
      </w:r>
    </w:p>
    <w:p>
      <w:pPr>
        <w:spacing w:after="0" w:line="200" w:lineRule="exact"/>
        <w:rPr>
          <w:sz w:val="20"/>
          <w:szCs w:val="20"/>
          <w:color w:val="auto"/>
        </w:rPr>
      </w:pPr>
    </w:p>
    <w:p>
      <w:pPr>
        <w:sectPr>
          <w:pgSz w:w="11900" w:h="16838" w:orient="portrait"/>
          <w:cols w:equalWidth="0" w:num="2">
            <w:col w:w="2600" w:space="280"/>
            <w:col w:w="8320"/>
          </w:cols>
          <w:pgMar w:left="240" w:top="459" w:right="459" w:bottom="1440" w:gutter="0" w:footer="0" w:header="0"/>
          <w:type w:val="continuous"/>
        </w:sectPr>
      </w:pPr>
    </w:p>
    <w:p>
      <w:pPr>
        <w:spacing w:after="0" w:line="284" w:lineRule="exact"/>
        <w:rPr>
          <w:sz w:val="20"/>
          <w:szCs w:val="20"/>
          <w:color w:val="auto"/>
        </w:rPr>
      </w:pPr>
    </w:p>
    <w:p>
      <w:pPr>
        <w:ind w:left="1320"/>
        <w:spacing w:after="0"/>
        <w:rPr>
          <w:sz w:val="20"/>
          <w:szCs w:val="20"/>
          <w:color w:val="auto"/>
        </w:rPr>
      </w:pPr>
      <w:r>
        <w:rPr>
          <w:rFonts w:ascii="Arial" w:cs="Arial" w:eastAsia="Arial" w:hAnsi="Arial"/>
          <w:sz w:val="21"/>
          <w:szCs w:val="21"/>
          <w:color w:val="202E39"/>
        </w:rPr>
        <w:t>Harvey White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2005</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202E39"/>
        </w:rPr>
        <w:t>Harvey White has been a director of Viasat since 2005. Since 2004, Mr. White has served as Chairman of (SHW)2 Enterprises, a privately-held firm that consults primarily in the wireless communications field. Prior to (SHW)2 Enterprises, Mr. White founded Leap Wireless International, Inc. in 1998 and was its Chairman and Chief Executive Officer until 2004. Prior to Leap, he was a co-founder of QUALCOMM Incorporated (Nasdaq: QCOM) in 1985 where he held various positions including director, President, Chief Operating Officer and Vice Chairman. He served as a director, Executive Vice President and Chief Operating Officer of Linkabit Corporation from 1978 to 1985. Mr. White currently serves on the board of directors of the Brain Corporation, a private robotics software company, and CycloPure, Inc., a private micro-pollutants chemistry company. He previously served on the board of directors of Applied Micro Circuits Corporation (Nasdaq: AMCC) and Motive, Inc. Mr. White attended West Virginia Wesleyan College and Marshall University where he earned a B.A. degree in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-1207770</wp:posOffset>
            </wp:positionV>
            <wp:extent cx="5368290" cy="1689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68290" cy="1689735"/>
                    </a:xfrm>
                    <a:prstGeom prst="rect">
                      <a:avLst/>
                    </a:prstGeom>
                    <a:noFill/>
                  </pic:spPr>
                </pic:pic>
              </a:graphicData>
            </a:graphic>
          </wp:anchor>
        </w:drawing>
      </w:r>
    </w:p>
    <w:p>
      <w:pPr>
        <w:spacing w:after="0" w:line="9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009FE3"/>
        </w:rPr>
        <w:t xml:space="preserve">Mr. White provides our Board with significant first-hand operational, management and leadership experience </w:t>
      </w:r>
      <w:r>
        <w:rPr>
          <w:rFonts w:ascii="Arial" w:cs="Arial" w:eastAsia="Arial" w:hAnsi="Arial"/>
          <w:sz w:val="16"/>
          <w:szCs w:val="16"/>
          <w:color w:val="202E39"/>
        </w:rPr>
        <w:t>as an</w:t>
      </w:r>
      <w:r>
        <w:rPr>
          <w:rFonts w:ascii="Arial" w:cs="Arial" w:eastAsia="Arial" w:hAnsi="Arial"/>
          <w:sz w:val="16"/>
          <w:szCs w:val="16"/>
          <w:color w:val="009FE3"/>
        </w:rPr>
        <w:t xml:space="preserve"> </w:t>
      </w:r>
      <w:r>
        <w:rPr>
          <w:rFonts w:ascii="Arial" w:cs="Arial" w:eastAsia="Arial" w:hAnsi="Arial"/>
          <w:sz w:val="16"/>
          <w:szCs w:val="16"/>
          <w:color w:val="202E39"/>
        </w:rPr>
        <w:t>executive of large, complex global organizations in the technology industry.</w:t>
      </w:r>
    </w:p>
    <w:p>
      <w:pPr>
        <w:spacing w:after="0" w:line="200" w:lineRule="exact"/>
        <w:rPr>
          <w:sz w:val="20"/>
          <w:szCs w:val="20"/>
          <w:color w:val="auto"/>
        </w:rPr>
      </w:pPr>
    </w:p>
    <w:p>
      <w:pPr>
        <w:sectPr>
          <w:pgSz w:w="11900" w:h="16838" w:orient="portrait"/>
          <w:cols w:equalWidth="0" w:num="2">
            <w:col w:w="2600" w:space="280"/>
            <w:col w:w="8320"/>
          </w:cols>
          <w:pgMar w:left="240" w:top="459" w:right="459" w:bottom="1440" w:gutter="0" w:footer="0" w:header="0"/>
          <w:type w:val="continuous"/>
        </w:sect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election of Mr. Biondi, Mr. Johnson and Mr. Stenbit.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109220</wp:posOffset>
            </wp:positionV>
            <wp:extent cx="42862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12</w:t>
      </w:r>
    </w:p>
    <w:p>
      <w:pPr>
        <w:sectPr>
          <w:pgSz w:w="11900" w:h="16838" w:orient="portrait"/>
          <w:cols w:equalWidth="0" w:num="1">
            <w:col w:w="11200"/>
          </w:cols>
          <w:pgMar w:left="240" w:top="459"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PROPOSAL 2:</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Ratification of Appointment of Independent Registered Public Accounting Firm</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200" w:right="160"/>
        <w:spacing w:after="0" w:line="251" w:lineRule="auto"/>
        <w:rPr>
          <w:sz w:val="20"/>
          <w:szCs w:val="20"/>
          <w:color w:val="auto"/>
        </w:rPr>
      </w:pPr>
      <w:r>
        <w:rPr>
          <w:rFonts w:ascii="Arial" w:cs="Arial" w:eastAsia="Arial" w:hAnsi="Arial"/>
          <w:sz w:val="16"/>
          <w:szCs w:val="16"/>
          <w:color w:val="202E39"/>
        </w:rPr>
        <w:t>The Audit Committee has selected PricewaterhouseCoopers LLP as Viasat’s independent registered public accounting firm for our fiscal year ending March 31, 2019.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w:t>
      </w:r>
    </w:p>
    <w:p>
      <w:pPr>
        <w:spacing w:after="0" w:line="95" w:lineRule="exact"/>
        <w:rPr>
          <w:sz w:val="20"/>
          <w:szCs w:val="20"/>
          <w:color w:val="auto"/>
        </w:rPr>
      </w:pPr>
    </w:p>
    <w:p>
      <w:pPr>
        <w:ind w:left="200" w:right="100"/>
        <w:spacing w:after="0" w:line="249" w:lineRule="auto"/>
        <w:rPr>
          <w:sz w:val="20"/>
          <w:szCs w:val="20"/>
          <w:color w:val="auto"/>
        </w:rPr>
      </w:pPr>
      <w:r>
        <w:rPr>
          <w:rFonts w:ascii="Arial" w:cs="Arial" w:eastAsia="Arial" w:hAnsi="Arial"/>
          <w:sz w:val="16"/>
          <w:szCs w:val="16"/>
          <w:color w:val="202E39"/>
        </w:rPr>
        <w:t>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w:t>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Principal Accountant Fees and Services</w:t>
      </w:r>
    </w:p>
    <w:p>
      <w:pPr>
        <w:spacing w:after="0" w:line="124" w:lineRule="exact"/>
        <w:rPr>
          <w:sz w:val="20"/>
          <w:szCs w:val="20"/>
          <w:color w:val="auto"/>
        </w:rPr>
      </w:pPr>
    </w:p>
    <w:p>
      <w:pPr>
        <w:ind w:left="200" w:right="240"/>
        <w:spacing w:after="0" w:line="260" w:lineRule="auto"/>
        <w:rPr>
          <w:sz w:val="20"/>
          <w:szCs w:val="20"/>
          <w:color w:val="auto"/>
        </w:rPr>
      </w:pPr>
      <w:r>
        <w:rPr>
          <w:rFonts w:ascii="Arial" w:cs="Arial" w:eastAsia="Arial" w:hAnsi="Arial"/>
          <w:sz w:val="16"/>
          <w:szCs w:val="16"/>
          <w:color w:val="202E39"/>
        </w:rPr>
        <w:t>The following is a summary of the fees billed by PricewaterhouseCoopers for professional services rendered for the fiscal years ended March 31, 2018 and March 31, 2017:</w:t>
      </w:r>
    </w:p>
    <w:p>
      <w:pPr>
        <w:spacing w:after="0" w:line="201" w:lineRule="exact"/>
        <w:rPr>
          <w:sz w:val="20"/>
          <w:szCs w:val="20"/>
          <w:color w:val="auto"/>
        </w:rPr>
      </w:pPr>
    </w:p>
    <w:tbl>
      <w:tblPr>
        <w:tblLayout w:type="fixed"/>
        <w:tblInd w:w="1080" w:type="dxa"/>
        <w:tblCellMar>
          <w:top w:w="0" w:type="dxa"/>
          <w:left w:w="0" w:type="dxa"/>
          <w:bottom w:w="0" w:type="dxa"/>
          <w:right w:w="0" w:type="dxa"/>
        </w:tblCellMar>
      </w:tblPr>
      <w:tr>
        <w:trPr>
          <w:trHeight w:val="243"/>
        </w:trPr>
        <w:tc>
          <w:tcPr>
            <w:tcW w:w="3900" w:type="dxa"/>
            <w:vAlign w:val="bottom"/>
            <w:tcBorders>
              <w:top w:val="single" w:sz="8" w:color="E8EAEB"/>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Fee Category</w:t>
            </w:r>
          </w:p>
        </w:tc>
        <w:tc>
          <w:tcPr>
            <w:tcW w:w="2680" w:type="dxa"/>
            <w:vAlign w:val="bottom"/>
            <w:tcBorders>
              <w:top w:val="single" w:sz="8" w:color="E8EAEB"/>
              <w:bottom w:val="single" w:sz="8" w:color="009FE3"/>
              <w:right w:val="single" w:sz="8" w:color="E8EAEB"/>
            </w:tcBorders>
          </w:tcPr>
          <w:p>
            <w:pPr>
              <w:jc w:val="right"/>
              <w:ind w:right="700"/>
              <w:spacing w:after="0"/>
              <w:rPr>
                <w:sz w:val="20"/>
                <w:szCs w:val="20"/>
                <w:color w:val="auto"/>
              </w:rPr>
            </w:pPr>
            <w:r>
              <w:rPr>
                <w:rFonts w:ascii="Arial" w:cs="Arial" w:eastAsia="Arial" w:hAnsi="Arial"/>
                <w:sz w:val="14"/>
                <w:szCs w:val="14"/>
                <w:b w:val="1"/>
                <w:bCs w:val="1"/>
                <w:color w:val="009FE3"/>
              </w:rPr>
              <w:t>FY 2018 Fees ($)</w:t>
            </w:r>
          </w:p>
        </w:tc>
        <w:tc>
          <w:tcPr>
            <w:tcW w:w="2680" w:type="dxa"/>
            <w:vAlign w:val="bottom"/>
            <w:tcBorders>
              <w:top w:val="single" w:sz="8" w:color="E8EAEB"/>
              <w:bottom w:val="single" w:sz="8" w:color="009FE3"/>
            </w:tcBorders>
          </w:tcPr>
          <w:p>
            <w:pPr>
              <w:jc w:val="right"/>
              <w:ind w:right="700"/>
              <w:spacing w:after="0"/>
              <w:rPr>
                <w:sz w:val="20"/>
                <w:szCs w:val="20"/>
                <w:color w:val="auto"/>
              </w:rPr>
            </w:pPr>
            <w:r>
              <w:rPr>
                <w:rFonts w:ascii="Arial" w:cs="Arial" w:eastAsia="Arial" w:hAnsi="Arial"/>
                <w:sz w:val="14"/>
                <w:szCs w:val="14"/>
                <w:b w:val="1"/>
                <w:bCs w:val="1"/>
                <w:color w:val="009FE3"/>
              </w:rPr>
              <w:t>FY 2017 Fees ($)</w:t>
            </w:r>
          </w:p>
        </w:tc>
      </w:tr>
      <w:tr>
        <w:trPr>
          <w:trHeight w:val="244"/>
        </w:trPr>
        <w:tc>
          <w:tcPr>
            <w:tcW w:w="39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Audit Fees</w:t>
            </w:r>
          </w:p>
        </w:tc>
        <w:tc>
          <w:tcPr>
            <w:tcW w:w="2680" w:type="dxa"/>
            <w:vAlign w:val="bottom"/>
            <w:tcBorders>
              <w:bottom w:val="single" w:sz="8" w:color="E8EAEB"/>
              <w:right w:val="single" w:sz="8" w:color="E8EAEB"/>
            </w:tcBorders>
          </w:tcPr>
          <w:p>
            <w:pPr>
              <w:jc w:val="right"/>
              <w:ind w:right="120"/>
              <w:spacing w:after="0"/>
              <w:rPr>
                <w:sz w:val="20"/>
                <w:szCs w:val="20"/>
                <w:color w:val="auto"/>
              </w:rPr>
            </w:pPr>
            <w:r>
              <w:rPr>
                <w:rFonts w:ascii="Arial" w:cs="Arial" w:eastAsia="Arial" w:hAnsi="Arial"/>
                <w:sz w:val="16"/>
                <w:szCs w:val="16"/>
                <w:color w:val="202E39"/>
              </w:rPr>
              <w:t>2,920,389</w:t>
            </w:r>
          </w:p>
        </w:tc>
        <w:tc>
          <w:tcPr>
            <w:tcW w:w="2680" w:type="dxa"/>
            <w:vAlign w:val="bottom"/>
            <w:tcBorders>
              <w:bottom w:val="single" w:sz="8" w:color="E8EAEB"/>
            </w:tcBorders>
          </w:tcPr>
          <w:p>
            <w:pPr>
              <w:jc w:val="right"/>
              <w:ind w:right="100"/>
              <w:spacing w:after="0"/>
              <w:rPr>
                <w:sz w:val="20"/>
                <w:szCs w:val="20"/>
                <w:color w:val="auto"/>
              </w:rPr>
            </w:pPr>
            <w:r>
              <w:rPr>
                <w:rFonts w:ascii="Arial" w:cs="Arial" w:eastAsia="Arial" w:hAnsi="Arial"/>
                <w:sz w:val="16"/>
                <w:szCs w:val="16"/>
                <w:color w:val="202E39"/>
              </w:rPr>
              <w:t>2,776,094</w:t>
            </w:r>
          </w:p>
        </w:tc>
      </w:tr>
      <w:tr>
        <w:trPr>
          <w:trHeight w:val="250"/>
        </w:trPr>
        <w:tc>
          <w:tcPr>
            <w:tcW w:w="39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Audit-Related Fees</w:t>
            </w:r>
          </w:p>
        </w:tc>
        <w:tc>
          <w:tcPr>
            <w:tcW w:w="2680" w:type="dxa"/>
            <w:vAlign w:val="bottom"/>
            <w:tcBorders>
              <w:bottom w:val="single" w:sz="8" w:color="E8EAEB"/>
              <w:right w:val="single" w:sz="8" w:color="E8EAEB"/>
            </w:tcBorders>
          </w:tcPr>
          <w:p>
            <w:pPr>
              <w:jc w:val="right"/>
              <w:ind w:right="120"/>
              <w:spacing w:after="0"/>
              <w:rPr>
                <w:sz w:val="20"/>
                <w:szCs w:val="20"/>
                <w:color w:val="auto"/>
              </w:rPr>
            </w:pPr>
            <w:r>
              <w:rPr>
                <w:rFonts w:ascii="Arial" w:cs="Arial" w:eastAsia="Arial" w:hAnsi="Arial"/>
                <w:sz w:val="16"/>
                <w:szCs w:val="16"/>
                <w:color w:val="202E39"/>
              </w:rPr>
              <w:t>377,699</w:t>
            </w:r>
          </w:p>
        </w:tc>
        <w:tc>
          <w:tcPr>
            <w:tcW w:w="2680" w:type="dxa"/>
            <w:vAlign w:val="bottom"/>
            <w:tcBorders>
              <w:bottom w:val="single" w:sz="8" w:color="E8EAEB"/>
            </w:tcBorders>
          </w:tcPr>
          <w:p>
            <w:pPr>
              <w:jc w:val="right"/>
              <w:ind w:right="180"/>
              <w:spacing w:after="0"/>
              <w:rPr>
                <w:sz w:val="20"/>
                <w:szCs w:val="20"/>
                <w:color w:val="auto"/>
              </w:rPr>
            </w:pPr>
            <w:r>
              <w:rPr>
                <w:rFonts w:ascii="Arial" w:cs="Arial" w:eastAsia="Arial" w:hAnsi="Arial"/>
                <w:sz w:val="16"/>
                <w:szCs w:val="16"/>
                <w:color w:val="202E39"/>
              </w:rPr>
              <w:t>—</w:t>
            </w:r>
          </w:p>
        </w:tc>
      </w:tr>
      <w:tr>
        <w:trPr>
          <w:trHeight w:val="250"/>
        </w:trPr>
        <w:tc>
          <w:tcPr>
            <w:tcW w:w="39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Tax Fees</w:t>
            </w:r>
          </w:p>
        </w:tc>
        <w:tc>
          <w:tcPr>
            <w:tcW w:w="2680" w:type="dxa"/>
            <w:vAlign w:val="bottom"/>
            <w:tcBorders>
              <w:bottom w:val="single" w:sz="8" w:color="E8EAEB"/>
              <w:right w:val="single" w:sz="8" w:color="E8EAEB"/>
            </w:tcBorders>
          </w:tcPr>
          <w:p>
            <w:pPr>
              <w:jc w:val="right"/>
              <w:ind w:right="120"/>
              <w:spacing w:after="0"/>
              <w:rPr>
                <w:sz w:val="20"/>
                <w:szCs w:val="20"/>
                <w:color w:val="auto"/>
              </w:rPr>
            </w:pPr>
            <w:r>
              <w:rPr>
                <w:rFonts w:ascii="Arial" w:cs="Arial" w:eastAsia="Arial" w:hAnsi="Arial"/>
                <w:sz w:val="16"/>
                <w:szCs w:val="16"/>
                <w:color w:val="202E39"/>
              </w:rPr>
              <w:t>40,855</w:t>
            </w:r>
          </w:p>
        </w:tc>
        <w:tc>
          <w:tcPr>
            <w:tcW w:w="2680" w:type="dxa"/>
            <w:vAlign w:val="bottom"/>
            <w:tcBorders>
              <w:bottom w:val="single" w:sz="8" w:color="E8EAEB"/>
            </w:tcBorders>
          </w:tcPr>
          <w:p>
            <w:pPr>
              <w:jc w:val="right"/>
              <w:ind w:right="100"/>
              <w:spacing w:after="0"/>
              <w:rPr>
                <w:sz w:val="20"/>
                <w:szCs w:val="20"/>
                <w:color w:val="auto"/>
              </w:rPr>
            </w:pPr>
            <w:r>
              <w:rPr>
                <w:rFonts w:ascii="Arial" w:cs="Arial" w:eastAsia="Arial" w:hAnsi="Arial"/>
                <w:sz w:val="16"/>
                <w:szCs w:val="16"/>
                <w:color w:val="202E39"/>
              </w:rPr>
              <w:t>28,356</w:t>
            </w:r>
          </w:p>
        </w:tc>
      </w:tr>
      <w:tr>
        <w:trPr>
          <w:trHeight w:val="250"/>
        </w:trPr>
        <w:tc>
          <w:tcPr>
            <w:tcW w:w="39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All Other Fees</w:t>
            </w:r>
          </w:p>
        </w:tc>
        <w:tc>
          <w:tcPr>
            <w:tcW w:w="2680" w:type="dxa"/>
            <w:vAlign w:val="bottom"/>
            <w:tcBorders>
              <w:bottom w:val="single" w:sz="8" w:color="009FE3"/>
              <w:right w:val="single" w:sz="8" w:color="E8EAEB"/>
            </w:tcBorders>
          </w:tcPr>
          <w:p>
            <w:pPr>
              <w:jc w:val="right"/>
              <w:ind w:right="120"/>
              <w:spacing w:after="0"/>
              <w:rPr>
                <w:sz w:val="20"/>
                <w:szCs w:val="20"/>
                <w:color w:val="auto"/>
              </w:rPr>
            </w:pPr>
            <w:r>
              <w:rPr>
                <w:rFonts w:ascii="Arial" w:cs="Arial" w:eastAsia="Arial" w:hAnsi="Arial"/>
                <w:sz w:val="16"/>
                <w:szCs w:val="16"/>
                <w:color w:val="202E39"/>
              </w:rPr>
              <w:t>42,994</w:t>
            </w:r>
          </w:p>
        </w:tc>
        <w:tc>
          <w:tcPr>
            <w:tcW w:w="2680" w:type="dxa"/>
            <w:vAlign w:val="bottom"/>
            <w:tcBorders>
              <w:bottom w:val="single" w:sz="8" w:color="009FE3"/>
            </w:tcBorders>
          </w:tcPr>
          <w:p>
            <w:pPr>
              <w:jc w:val="right"/>
              <w:ind w:right="100"/>
              <w:spacing w:after="0"/>
              <w:rPr>
                <w:sz w:val="20"/>
                <w:szCs w:val="20"/>
                <w:color w:val="auto"/>
              </w:rPr>
            </w:pPr>
            <w:r>
              <w:rPr>
                <w:rFonts w:ascii="Arial" w:cs="Arial" w:eastAsia="Arial" w:hAnsi="Arial"/>
                <w:sz w:val="16"/>
                <w:szCs w:val="16"/>
                <w:color w:val="202E39"/>
              </w:rPr>
              <w:t>44,699</w:t>
            </w:r>
          </w:p>
        </w:tc>
      </w:tr>
      <w:tr>
        <w:trPr>
          <w:trHeight w:val="250"/>
        </w:trPr>
        <w:tc>
          <w:tcPr>
            <w:tcW w:w="39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Total Fees</w:t>
            </w:r>
          </w:p>
        </w:tc>
        <w:tc>
          <w:tcPr>
            <w:tcW w:w="2680" w:type="dxa"/>
            <w:vAlign w:val="bottom"/>
            <w:tcBorders>
              <w:bottom w:val="single" w:sz="8" w:color="009FE3"/>
              <w:right w:val="single" w:sz="8" w:color="E8EAEB"/>
            </w:tcBorders>
          </w:tcPr>
          <w:p>
            <w:pPr>
              <w:jc w:val="right"/>
              <w:ind w:right="120"/>
              <w:spacing w:after="0"/>
              <w:rPr>
                <w:sz w:val="20"/>
                <w:szCs w:val="20"/>
                <w:color w:val="auto"/>
              </w:rPr>
            </w:pPr>
            <w:r>
              <w:rPr>
                <w:rFonts w:ascii="Arial" w:cs="Arial" w:eastAsia="Arial" w:hAnsi="Arial"/>
                <w:sz w:val="16"/>
                <w:szCs w:val="16"/>
                <w:color w:val="202E39"/>
              </w:rPr>
              <w:t>3,381,937</w:t>
            </w:r>
          </w:p>
        </w:tc>
        <w:tc>
          <w:tcPr>
            <w:tcW w:w="2680" w:type="dxa"/>
            <w:vAlign w:val="bottom"/>
            <w:tcBorders>
              <w:bottom w:val="single" w:sz="8" w:color="009FE3"/>
            </w:tcBorders>
          </w:tcPr>
          <w:p>
            <w:pPr>
              <w:jc w:val="right"/>
              <w:ind w:right="100"/>
              <w:spacing w:after="0"/>
              <w:rPr>
                <w:sz w:val="20"/>
                <w:szCs w:val="20"/>
                <w:color w:val="auto"/>
              </w:rPr>
            </w:pPr>
            <w:r>
              <w:rPr>
                <w:rFonts w:ascii="Arial" w:cs="Arial" w:eastAsia="Arial" w:hAnsi="Arial"/>
                <w:sz w:val="16"/>
                <w:szCs w:val="16"/>
                <w:color w:val="202E39"/>
              </w:rPr>
              <w:t>2,849,149</w:t>
            </w:r>
          </w:p>
        </w:tc>
      </w:tr>
    </w:tbl>
    <w:p>
      <w:pPr>
        <w:spacing w:after="0" w:line="94" w:lineRule="exact"/>
        <w:rPr>
          <w:sz w:val="20"/>
          <w:szCs w:val="20"/>
          <w:color w:val="auto"/>
        </w:rPr>
      </w:pPr>
    </w:p>
    <w:p>
      <w:pPr>
        <w:ind w:left="200" w:right="40"/>
        <w:spacing w:after="0" w:line="264" w:lineRule="auto"/>
        <w:rPr>
          <w:sz w:val="20"/>
          <w:szCs w:val="20"/>
          <w:color w:val="auto"/>
        </w:rPr>
      </w:pPr>
      <w:r>
        <w:rPr>
          <w:rFonts w:ascii="Arial" w:cs="Arial" w:eastAsia="Arial" w:hAnsi="Arial"/>
          <w:sz w:val="16"/>
          <w:szCs w:val="16"/>
          <w:i w:val="1"/>
          <w:iCs w:val="1"/>
          <w:color w:val="009FE3"/>
        </w:rPr>
        <w:t xml:space="preserve">Audit Fees. </w:t>
      </w:r>
      <w:r>
        <w:rPr>
          <w:rFonts w:ascii="Arial" w:cs="Arial" w:eastAsia="Arial" w:hAnsi="Arial"/>
          <w:sz w:val="16"/>
          <w:szCs w:val="16"/>
          <w:color w:val="202E39"/>
        </w:rPr>
        <w:t>This category includes the audit of our annual consolidated financial statements and the audit of our internal control over financial reporting,</w:t>
      </w:r>
      <w:r>
        <w:rPr>
          <w:rFonts w:ascii="Arial" w:cs="Arial" w:eastAsia="Arial" w:hAnsi="Arial"/>
          <w:sz w:val="16"/>
          <w:szCs w:val="16"/>
          <w:i w:val="1"/>
          <w:iCs w:val="1"/>
          <w:color w:val="009FE3"/>
        </w:rPr>
        <w:t xml:space="preserve"> </w:t>
      </w:r>
      <w:r>
        <w:rPr>
          <w:rFonts w:ascii="Arial" w:cs="Arial" w:eastAsia="Arial" w:hAnsi="Arial"/>
          <w:sz w:val="16"/>
          <w:szCs w:val="16"/>
          <w:color w:val="202E39"/>
        </w:rPr>
        <w:t>review of financial statements included in our Form 10-Q quarterly reports, and services that are normally provided by the independent registered public accounting firm in connection with statutory and regulatory filings or engagements.</w:t>
      </w:r>
    </w:p>
    <w:p>
      <w:pPr>
        <w:spacing w:after="0" w:line="68" w:lineRule="exact"/>
        <w:rPr>
          <w:sz w:val="20"/>
          <w:szCs w:val="20"/>
          <w:color w:val="auto"/>
        </w:rPr>
      </w:pPr>
    </w:p>
    <w:p>
      <w:pPr>
        <w:ind w:left="200" w:right="20"/>
        <w:spacing w:after="0" w:line="264" w:lineRule="auto"/>
        <w:rPr>
          <w:sz w:val="20"/>
          <w:szCs w:val="20"/>
          <w:color w:val="auto"/>
        </w:rPr>
      </w:pPr>
      <w:r>
        <w:rPr>
          <w:rFonts w:ascii="Arial" w:cs="Arial" w:eastAsia="Arial" w:hAnsi="Arial"/>
          <w:sz w:val="16"/>
          <w:szCs w:val="16"/>
          <w:i w:val="1"/>
          <w:iCs w:val="1"/>
          <w:color w:val="009FE3"/>
        </w:rPr>
        <w:t xml:space="preserve">Audit-Related Fees. </w:t>
      </w:r>
      <w:r>
        <w:rPr>
          <w:rFonts w:ascii="Arial" w:cs="Arial" w:eastAsia="Arial" w:hAnsi="Arial"/>
          <w:sz w:val="16"/>
          <w:szCs w:val="16"/>
          <w:color w:val="202E39"/>
        </w:rPr>
        <w:t>This category consists of assurance and related services provided by PricewaterhouseCoopers that are reasonably related to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 of the audit or review of our consolidated financial statements, and are not reported above as Audit Fees. These services include accounting consultations in connection with acquisitions, and consultations concerning financial accounting and reporting standards.</w:t>
      </w:r>
    </w:p>
    <w:p>
      <w:pPr>
        <w:spacing w:after="0" w:line="68" w:lineRule="exact"/>
        <w:rPr>
          <w:sz w:val="20"/>
          <w:szCs w:val="20"/>
          <w:color w:val="auto"/>
        </w:rPr>
      </w:pPr>
    </w:p>
    <w:p>
      <w:pPr>
        <w:ind w:left="200" w:right="120"/>
        <w:spacing w:after="0" w:line="264" w:lineRule="auto"/>
        <w:rPr>
          <w:sz w:val="20"/>
          <w:szCs w:val="20"/>
          <w:color w:val="auto"/>
        </w:rPr>
      </w:pPr>
      <w:r>
        <w:rPr>
          <w:rFonts w:ascii="Arial" w:cs="Arial" w:eastAsia="Arial" w:hAnsi="Arial"/>
          <w:sz w:val="16"/>
          <w:szCs w:val="16"/>
          <w:i w:val="1"/>
          <w:iCs w:val="1"/>
          <w:color w:val="009FE3"/>
        </w:rPr>
        <w:t xml:space="preserve">Tax Fees. </w:t>
      </w:r>
      <w:r>
        <w:rPr>
          <w:rFonts w:ascii="Arial" w:cs="Arial" w:eastAsia="Arial" w:hAnsi="Arial"/>
          <w:sz w:val="16"/>
          <w:szCs w:val="16"/>
          <w:color w:val="202E39"/>
        </w:rPr>
        <w:t>This category consists of professional services rendered by PricewaterhouseCoopers, primarily in connection with tax compliance, tax</w:t>
      </w:r>
      <w:r>
        <w:rPr>
          <w:rFonts w:ascii="Arial" w:cs="Arial" w:eastAsia="Arial" w:hAnsi="Arial"/>
          <w:sz w:val="16"/>
          <w:szCs w:val="16"/>
          <w:i w:val="1"/>
          <w:iCs w:val="1"/>
          <w:color w:val="009FE3"/>
        </w:rPr>
        <w:t xml:space="preserve"> </w:t>
      </w:r>
      <w:r>
        <w:rPr>
          <w:rFonts w:ascii="Arial" w:cs="Arial" w:eastAsia="Arial" w:hAnsi="Arial"/>
          <w:sz w:val="16"/>
          <w:szCs w:val="16"/>
          <w:color w:val="202E39"/>
        </w:rPr>
        <w:t>planning and tax advice activities. These services include assistance with the preparation of tax returns, claims for refunds, value added tax compliance, and consultations on state, local and international tax matters.</w:t>
      </w:r>
    </w:p>
    <w:p>
      <w:pPr>
        <w:spacing w:after="0" w:line="68" w:lineRule="exact"/>
        <w:rPr>
          <w:sz w:val="20"/>
          <w:szCs w:val="20"/>
          <w:color w:val="auto"/>
        </w:rPr>
      </w:pPr>
    </w:p>
    <w:p>
      <w:pPr>
        <w:ind w:left="200" w:right="540"/>
        <w:spacing w:after="0" w:line="281" w:lineRule="auto"/>
        <w:rPr>
          <w:sz w:val="20"/>
          <w:szCs w:val="20"/>
          <w:color w:val="auto"/>
        </w:rPr>
      </w:pPr>
      <w:r>
        <w:rPr>
          <w:rFonts w:ascii="Arial" w:cs="Arial" w:eastAsia="Arial" w:hAnsi="Arial"/>
          <w:sz w:val="16"/>
          <w:szCs w:val="16"/>
          <w:i w:val="1"/>
          <w:iCs w:val="1"/>
          <w:color w:val="009FE3"/>
        </w:rPr>
        <w:t xml:space="preserve">All Other Fees. </w:t>
      </w:r>
      <w:r>
        <w:rPr>
          <w:rFonts w:ascii="Arial" w:cs="Arial" w:eastAsia="Arial" w:hAnsi="Arial"/>
          <w:sz w:val="16"/>
          <w:szCs w:val="16"/>
          <w:color w:val="202E39"/>
        </w:rPr>
        <w:t>This category consists of fees for products and services other than the services reported above, including fees for subscription to</w:t>
      </w:r>
      <w:r>
        <w:rPr>
          <w:rFonts w:ascii="Arial" w:cs="Arial" w:eastAsia="Arial" w:hAnsi="Arial"/>
          <w:sz w:val="16"/>
          <w:szCs w:val="16"/>
          <w:i w:val="1"/>
          <w:iCs w:val="1"/>
          <w:color w:val="009FE3"/>
        </w:rPr>
        <w:t xml:space="preserve"> </w:t>
      </w:r>
      <w:r>
        <w:rPr>
          <w:rFonts w:ascii="Arial" w:cs="Arial" w:eastAsia="Arial" w:hAnsi="Arial"/>
          <w:sz w:val="16"/>
          <w:szCs w:val="16"/>
          <w:color w:val="202E39"/>
        </w:rPr>
        <w:t>PricewaterhouseCoopers’ online research tool.</w:t>
      </w:r>
    </w:p>
    <w:p>
      <w:pPr>
        <w:spacing w:after="0" w:line="97"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13</w:t>
            </w:r>
          </w:p>
        </w:tc>
      </w:tr>
    </w:tbl>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PROPOSAL 2 </w:t>
      </w:r>
      <w:r>
        <w:rPr>
          <w:rFonts w:ascii="Arial" w:cs="Arial" w:eastAsia="Arial" w:hAnsi="Arial"/>
          <w:sz w:val="14"/>
          <w:szCs w:val="14"/>
          <w:color w:val="009FE3"/>
        </w:rPr>
        <w:t>• Ratification of Appointment of Independent Registered Public Accounting Firm</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Pre-Approval Policy of the Audit Committee</w:t>
      </w:r>
    </w:p>
    <w:p>
      <w:pPr>
        <w:spacing w:after="0" w:line="124"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fiscal year 2018, the fees paid to PricewaterhouseCoopers shown in the table above were pre-approved in accordance with this policy.</w:t>
      </w:r>
    </w:p>
    <w:p>
      <w:pPr>
        <w:spacing w:after="0" w:line="3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200" w:right="680"/>
        <w:spacing w:after="0" w:line="286" w:lineRule="auto"/>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ratification of the appointment of PricewaterhouseCoopers as Viasat’s independent registered public accounting firm for fiscal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67310</wp:posOffset>
            </wp:positionV>
            <wp:extent cx="42862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PROPOSAL 3:</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Advisory Vote On Executive Compensation</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200" w:right="200"/>
        <w:spacing w:after="0" w:line="250" w:lineRule="auto"/>
        <w:rPr>
          <w:sz w:val="20"/>
          <w:szCs w:val="20"/>
          <w:color w:val="auto"/>
        </w:rPr>
      </w:pPr>
      <w:r>
        <w:rPr>
          <w:rFonts w:ascii="Arial" w:cs="Arial" w:eastAsia="Arial" w:hAnsi="Arial"/>
          <w:sz w:val="16"/>
          <w:szCs w:val="16"/>
          <w:color w:val="202E39"/>
        </w:rPr>
        <w:t>We are providing Viasat stockholders with an opportunity to cast an advisory vote to endorse or not endorse the compensation of our Named Executive Officers (identified in the Summary Compensation Table) as disclosed in this proxy statement in accordance with the SEC’s compensation disclosure rules. This proposal, commonly known as a “say-on-pay” proposal, gives our stockholders the opportunity to express their views on the design and effectiveness of our executive compensation program. This vote is not intended to address any specific item of compensation, but rather the overall compensation of our Named Executive Officers and the compensation philosophy, policies and practices described in this proxy statement.</w:t>
      </w:r>
    </w:p>
    <w:p>
      <w:pPr>
        <w:spacing w:after="0" w:line="95" w:lineRule="exact"/>
        <w:rPr>
          <w:sz w:val="20"/>
          <w:szCs w:val="20"/>
          <w:color w:val="auto"/>
        </w:rPr>
      </w:pPr>
    </w:p>
    <w:p>
      <w:pPr>
        <w:ind w:left="200" w:right="20"/>
        <w:spacing w:after="0" w:line="249" w:lineRule="auto"/>
        <w:rPr>
          <w:sz w:val="20"/>
          <w:szCs w:val="20"/>
          <w:color w:val="auto"/>
        </w:rPr>
      </w:pPr>
      <w:r>
        <w:rPr>
          <w:rFonts w:ascii="Arial" w:cs="Arial" w:eastAsia="Arial" w:hAnsi="Arial"/>
          <w:sz w:val="16"/>
          <w:szCs w:val="16"/>
          <w:color w:val="202E39"/>
        </w:rPr>
        <w:t>At our last annual meeting of stockholders held in September 2017, a majority of the votes cast on the say-on-pay proposal were voted in favor of the proposal. Our Board of Directors believes this affirms stockholders’ support of Viasat’s approach to executive compensation. During fiscal year 2018, we engaged in conversations with stockholders representing more than a majority of our total outstanding shares to proactively understand their perspectives on our compensation philosophy and to address any concerns. Following those discussions, we implemented a performance-based equity program to further align executive compensation with long-term stockholder interests. For more information on the introduction of our performance-based equity program, see the Compensation Discussion and Analysis section of this proxy statement.</w:t>
      </w:r>
    </w:p>
    <w:p>
      <w:pPr>
        <w:spacing w:after="0" w:line="97" w:lineRule="exact"/>
        <w:rPr>
          <w:sz w:val="20"/>
          <w:szCs w:val="20"/>
          <w:color w:val="auto"/>
        </w:rPr>
      </w:pPr>
    </w:p>
    <w:p>
      <w:pPr>
        <w:ind w:left="200" w:right="60"/>
        <w:spacing w:after="0" w:line="248" w:lineRule="auto"/>
        <w:rPr>
          <w:sz w:val="20"/>
          <w:szCs w:val="20"/>
          <w:color w:val="auto"/>
        </w:rPr>
      </w:pPr>
      <w:r>
        <w:rPr>
          <w:rFonts w:ascii="Arial" w:cs="Arial" w:eastAsia="Arial" w:hAnsi="Arial"/>
          <w:sz w:val="16"/>
          <w:szCs w:val="16"/>
          <w:color w:val="202E39"/>
        </w:rPr>
        <w:t>Consistent with Viasat’s compensation philosophy described more fully in the Compensation Discussion and Analysis section of this proxy statement, our executive compensation program has been designed to encourage high performance, promote accountability and align the interests of our executive officers with the interests of our stockholders by linking a substantial portion of their total direct compensation to our performance. The program is designed to reward superior performance and provide financial consequences for underperformance. The program is also designed to attract, retain and motivate a talented team of executive officers with superior ability, experience and leadership to grow our business and build stockholder value. We urge our stockholders to read the Compensation Discussion and Analysis section of this proxy statement, which describes in more detail how our compensation policies and procedures operate and are designed to achieve our compensation objectives, as well as the Summary Compensation Table and other related compensation tables and disclosure, which provide detailed information on the compensation of our Named Executive Officers. We believe that our executive compensation program fulfills these objectives and that the compensation of our Named Executive Officers is instrumental in contributing to Viasat’s long-term success.</w:t>
      </w:r>
    </w:p>
    <w:p>
      <w:pPr>
        <w:spacing w:after="0" w:line="98"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202E39"/>
        </w:rPr>
        <w:t>We request stockholder approval, on an advisory basis, of the compensation of Viasat’s Named Executive Officers, as disclosed in Viasat’s proxy statement for the 2018 annual meeting of stockholders pursuant to the compensation disclosure rules of the SEC, including the Compensation Discussion and Analysis, the Summary Compensation Table and the other related compensation tables and disclosure.</w:t>
      </w:r>
    </w:p>
    <w:p>
      <w:pPr>
        <w:spacing w:after="0" w:line="93" w:lineRule="exact"/>
        <w:rPr>
          <w:sz w:val="20"/>
          <w:szCs w:val="20"/>
          <w:color w:val="auto"/>
        </w:rPr>
      </w:pPr>
    </w:p>
    <w:p>
      <w:pPr>
        <w:ind w:left="200" w:right="360"/>
        <w:spacing w:after="0" w:line="260" w:lineRule="auto"/>
        <w:rPr>
          <w:sz w:val="20"/>
          <w:szCs w:val="20"/>
          <w:color w:val="auto"/>
        </w:rPr>
      </w:pPr>
      <w:r>
        <w:rPr>
          <w:rFonts w:ascii="Arial" w:cs="Arial" w:eastAsia="Arial" w:hAnsi="Arial"/>
          <w:sz w:val="16"/>
          <w:szCs w:val="16"/>
          <w:color w:val="202E39"/>
        </w:rPr>
        <w:t>While this advisory vote is non-binding, our Board of Directors values the opinions that our stockholders express in their votes and will, as a matter of good corporate practice, take into account the outcome of the vote when considering future compensation decisions.</w:t>
      </w:r>
    </w:p>
    <w:p>
      <w:pPr>
        <w:spacing w:after="0" w:line="88" w:lineRule="exact"/>
        <w:rPr>
          <w:sz w:val="20"/>
          <w:szCs w:val="20"/>
          <w:color w:val="auto"/>
        </w:rPr>
      </w:pPr>
    </w:p>
    <w:p>
      <w:pPr>
        <w:jc w:val="both"/>
        <w:ind w:left="200" w:right="80"/>
        <w:spacing w:after="0" w:line="253" w:lineRule="auto"/>
        <w:rPr>
          <w:sz w:val="20"/>
          <w:szCs w:val="20"/>
          <w:color w:val="auto"/>
        </w:rPr>
      </w:pPr>
      <w:r>
        <w:rPr>
          <w:rFonts w:ascii="Arial" w:cs="Arial" w:eastAsia="Arial" w:hAnsi="Arial"/>
          <w:sz w:val="16"/>
          <w:szCs w:val="16"/>
          <w:color w:val="202E39"/>
        </w:rPr>
        <w:t>Consistent with the preference of our stockholders as reflected in our prior non-binding advisory vote on the frequency of future say-on-pay votes, we will continue to hold a say-on-pay advisory vote on an annual basis unless otherwise disclosed. Following this year’s advisory vote, the next scheduled say-on-pay advisory vote will take place at our 2019 annual meeting of stockholders.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jc w:val="both"/>
        <w:ind w:left="200" w:right="60"/>
        <w:spacing w:after="0" w:line="286" w:lineRule="auto"/>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approval of the compensation of the Named Executive Officers as disclosed in this proxy statement.</w:t>
      </w:r>
    </w:p>
    <w:p>
      <w:pPr>
        <w:spacing w:after="0" w:line="93"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15</w:t>
            </w:r>
          </w:p>
        </w:tc>
      </w:tr>
    </w:tbl>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PROPOSAL 4:</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Amendment and Restatement of The 1996 Equity Participation Plan</w:t>
      </w:r>
    </w:p>
    <w:p>
      <w:pPr>
        <w:spacing w:after="0" w:line="34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202E39"/>
        </w:rPr>
        <w:t>We are requesting that our stockholders approve the amendment and restatement of our existing 1996 Equity Participation Plan, or the Equity Plan. In this proxy statement, we sometimes refer to the proposed amended and restated 1996 Equity Participation Plan as the Restated Equity Plan. On June 19, 2018, our Board of Directors approved the Restated Equity Plan, subject to stockholder approval at the annual meeting. The Restated Equity Plan will become effective on the day of the annual meeting, assuming approval of this Proposal 4 by our stockholders.</w:t>
      </w:r>
    </w:p>
    <w:p>
      <w:pPr>
        <w:spacing w:after="0" w:line="79" w:lineRule="exact"/>
        <w:rPr>
          <w:sz w:val="20"/>
          <w:szCs w:val="20"/>
          <w:color w:val="auto"/>
        </w:rPr>
      </w:pPr>
    </w:p>
    <w:p>
      <w:pPr>
        <w:ind w:left="200"/>
        <w:spacing w:after="0"/>
        <w:tabs>
          <w:tab w:leader="none" w:pos="2900" w:val="left"/>
        </w:tabs>
        <w:rPr>
          <w:sz w:val="20"/>
          <w:szCs w:val="20"/>
          <w:color w:val="auto"/>
        </w:rPr>
      </w:pPr>
      <w:r>
        <w:rPr>
          <w:rFonts w:ascii="Arial" w:cs="Arial" w:eastAsia="Arial" w:hAnsi="Arial"/>
          <w:sz w:val="16"/>
          <w:szCs w:val="16"/>
          <w:i w:val="1"/>
          <w:iCs w:val="1"/>
          <w:color w:val="009FE3"/>
        </w:rPr>
        <w:t>Summary of Material Amendments.</w:t>
      </w:r>
      <w:r>
        <w:rPr>
          <w:sz w:val="20"/>
          <w:szCs w:val="20"/>
          <w:color w:val="auto"/>
        </w:rPr>
        <w:tab/>
      </w:r>
      <w:r>
        <w:rPr>
          <w:rFonts w:ascii="Arial" w:cs="Arial" w:eastAsia="Arial" w:hAnsi="Arial"/>
          <w:sz w:val="16"/>
          <w:szCs w:val="16"/>
          <w:color w:val="202E39"/>
        </w:rPr>
        <w:t>The Restated Equity Plan will implement the following material changes:</w:t>
      </w:r>
    </w:p>
    <w:p>
      <w:pPr>
        <w:spacing w:after="0" w:line="127" w:lineRule="exact"/>
        <w:rPr>
          <w:sz w:val="20"/>
          <w:szCs w:val="20"/>
          <w:color w:val="auto"/>
        </w:rPr>
      </w:pPr>
    </w:p>
    <w:p>
      <w:pPr>
        <w:ind w:left="640" w:right="140" w:hanging="220"/>
        <w:spacing w:after="0" w:line="255" w:lineRule="auto"/>
        <w:tabs>
          <w:tab w:leader="none" w:pos="640" w:val="left"/>
        </w:tabs>
        <w:numPr>
          <w:ilvl w:val="0"/>
          <w:numId w:val="10"/>
        </w:numPr>
        <w:rPr>
          <w:rFonts w:ascii="Arial" w:cs="Arial" w:eastAsia="Arial" w:hAnsi="Arial"/>
          <w:sz w:val="16"/>
          <w:szCs w:val="16"/>
          <w:color w:val="009FE3"/>
        </w:rPr>
      </w:pPr>
      <w:r>
        <w:rPr>
          <w:rFonts w:ascii="Arial" w:cs="Arial" w:eastAsia="Arial" w:hAnsi="Arial"/>
          <w:sz w:val="16"/>
          <w:szCs w:val="16"/>
          <w:i w:val="1"/>
          <w:iCs w:val="1"/>
          <w:color w:val="202E39"/>
        </w:rPr>
        <w:t xml:space="preserve">Increase in Share Reserve. </w:t>
      </w:r>
      <w:r>
        <w:rPr>
          <w:rFonts w:ascii="Arial" w:cs="Arial" w:eastAsia="Arial" w:hAnsi="Arial"/>
          <w:sz w:val="16"/>
          <w:szCs w:val="16"/>
          <w:color w:val="202E39"/>
        </w:rPr>
        <w:t>If approved by the stockholders, the Restated Equity Plan will provide for an increase of 2,800,000 shares over the</w:t>
      </w:r>
      <w:r>
        <w:rPr>
          <w:rFonts w:ascii="Arial" w:cs="Arial" w:eastAsia="Arial" w:hAnsi="Arial"/>
          <w:sz w:val="16"/>
          <w:szCs w:val="16"/>
          <w:i w:val="1"/>
          <w:iCs w:val="1"/>
          <w:color w:val="202E39"/>
        </w:rPr>
        <w:t xml:space="preserve"> </w:t>
      </w:r>
      <w:r>
        <w:rPr>
          <w:rFonts w:ascii="Arial" w:cs="Arial" w:eastAsia="Arial" w:hAnsi="Arial"/>
          <w:sz w:val="16"/>
          <w:szCs w:val="16"/>
          <w:color w:val="202E39"/>
        </w:rPr>
        <w:t>number of shares of common stock currently available for issuance under the Equity Plan. As of June 29, 2018, approximately 1,909,065 shares remained available for issuance under the Equity Plan, which is insufficient to meet our forecasted needs during the next year. After carefully forecasting our anticipated employee growth rate for the next few years, we believe that this increase will be sufficient for at least one years’ worth of equity-based grants under our current compensation program.</w:t>
      </w:r>
    </w:p>
    <w:p>
      <w:pPr>
        <w:spacing w:after="0" w:line="35" w:lineRule="exact"/>
        <w:rPr>
          <w:rFonts w:ascii="Arial" w:cs="Arial" w:eastAsia="Arial" w:hAnsi="Arial"/>
          <w:sz w:val="16"/>
          <w:szCs w:val="16"/>
          <w:color w:val="009FE3"/>
        </w:rPr>
      </w:pPr>
    </w:p>
    <w:p>
      <w:pPr>
        <w:ind w:left="640" w:right="100" w:hanging="220"/>
        <w:spacing w:after="0" w:line="281" w:lineRule="auto"/>
        <w:tabs>
          <w:tab w:leader="none" w:pos="640" w:val="left"/>
        </w:tabs>
        <w:numPr>
          <w:ilvl w:val="0"/>
          <w:numId w:val="10"/>
        </w:numPr>
        <w:rPr>
          <w:rFonts w:ascii="Arial" w:cs="Arial" w:eastAsia="Arial" w:hAnsi="Arial"/>
          <w:sz w:val="16"/>
          <w:szCs w:val="16"/>
          <w:color w:val="009FE3"/>
        </w:rPr>
      </w:pPr>
      <w:r>
        <w:rPr>
          <w:rFonts w:ascii="Arial" w:cs="Arial" w:eastAsia="Arial" w:hAnsi="Arial"/>
          <w:sz w:val="16"/>
          <w:szCs w:val="16"/>
          <w:i w:val="1"/>
          <w:iCs w:val="1"/>
          <w:color w:val="202E39"/>
        </w:rPr>
        <w:t xml:space="preserve">Extension of Time Period for Granting Incentive Stock Options. </w:t>
      </w:r>
      <w:r>
        <w:rPr>
          <w:rFonts w:ascii="Arial" w:cs="Arial" w:eastAsia="Arial" w:hAnsi="Arial"/>
          <w:sz w:val="16"/>
          <w:szCs w:val="16"/>
          <w:color w:val="202E39"/>
        </w:rPr>
        <w:t>The Restated Equity Plan will permit the granting of stock options that are intended</w:t>
      </w:r>
      <w:r>
        <w:rPr>
          <w:rFonts w:ascii="Arial" w:cs="Arial" w:eastAsia="Arial" w:hAnsi="Arial"/>
          <w:sz w:val="16"/>
          <w:szCs w:val="16"/>
          <w:i w:val="1"/>
          <w:iCs w:val="1"/>
          <w:color w:val="202E39"/>
        </w:rPr>
        <w:t xml:space="preserve"> </w:t>
      </w:r>
      <w:r>
        <w:rPr>
          <w:rFonts w:ascii="Arial" w:cs="Arial" w:eastAsia="Arial" w:hAnsi="Arial"/>
          <w:sz w:val="16"/>
          <w:szCs w:val="16"/>
          <w:color w:val="202E39"/>
        </w:rPr>
        <w:t>to qualify as incentive stock options, or ISOs, as defined under Section 422 of the Code, through June 19, 2028.</w:t>
      </w:r>
    </w:p>
    <w:p>
      <w:pPr>
        <w:spacing w:after="0" w:line="14" w:lineRule="exact"/>
        <w:rPr>
          <w:rFonts w:ascii="Arial" w:cs="Arial" w:eastAsia="Arial" w:hAnsi="Arial"/>
          <w:sz w:val="16"/>
          <w:szCs w:val="16"/>
          <w:color w:val="009FE3"/>
        </w:rPr>
      </w:pPr>
    </w:p>
    <w:p>
      <w:pPr>
        <w:ind w:left="640" w:right="40" w:hanging="220"/>
        <w:spacing w:after="0" w:line="255" w:lineRule="auto"/>
        <w:tabs>
          <w:tab w:leader="none" w:pos="640" w:val="left"/>
        </w:tabs>
        <w:numPr>
          <w:ilvl w:val="0"/>
          <w:numId w:val="10"/>
        </w:numPr>
        <w:rPr>
          <w:rFonts w:ascii="Arial" w:cs="Arial" w:eastAsia="Arial" w:hAnsi="Arial"/>
          <w:sz w:val="16"/>
          <w:szCs w:val="16"/>
          <w:color w:val="009FE3"/>
        </w:rPr>
      </w:pPr>
      <w:r>
        <w:rPr>
          <w:rFonts w:ascii="Arial" w:cs="Arial" w:eastAsia="Arial" w:hAnsi="Arial"/>
          <w:sz w:val="16"/>
          <w:szCs w:val="16"/>
          <w:i w:val="1"/>
          <w:iCs w:val="1"/>
          <w:color w:val="202E39"/>
        </w:rPr>
        <w:t>Removal of 162(m) Provisions</w:t>
      </w:r>
      <w:r>
        <w:rPr>
          <w:rFonts w:ascii="Arial" w:cs="Arial" w:eastAsia="Arial" w:hAnsi="Arial"/>
          <w:sz w:val="16"/>
          <w:szCs w:val="16"/>
          <w:color w:val="202E39"/>
        </w:rPr>
        <w:t>. Section 162(m) of the Internal Revenue Code, or the Code, prior to the Tax Cuts and Jobs Act of 2017, or the</w:t>
      </w:r>
      <w:r>
        <w:rPr>
          <w:rFonts w:ascii="Arial" w:cs="Arial" w:eastAsia="Arial" w:hAnsi="Arial"/>
          <w:sz w:val="16"/>
          <w:szCs w:val="16"/>
          <w:i w:val="1"/>
          <w:iCs w:val="1"/>
          <w:color w:val="202E39"/>
        </w:rPr>
        <w:t xml:space="preserve"> </w:t>
      </w:r>
      <w:r>
        <w:rPr>
          <w:rFonts w:ascii="Arial" w:cs="Arial" w:eastAsia="Arial" w:hAnsi="Arial"/>
          <w:sz w:val="16"/>
          <w:szCs w:val="16"/>
          <w:color w:val="202E39"/>
        </w:rPr>
        <w:t>TCJA, allowed performance-based compensation that met certain requirements to be tax deductible regardless of amount. This qualified performance based compensation exception was repealed as part of the TCJA. We have removed certain provisions from the Restated Equity Plan which were otherwise required for awards to qualify as performance-based compensation under the Section 162(m) exception prior to its repeal. Awards granted prior to November 2, 2017 may be grandfathered under the old law subject to certain limited transition relief.</w:t>
      </w:r>
    </w:p>
    <w:p>
      <w:pPr>
        <w:spacing w:after="0" w:line="35" w:lineRule="exact"/>
        <w:rPr>
          <w:rFonts w:ascii="Arial" w:cs="Arial" w:eastAsia="Arial" w:hAnsi="Arial"/>
          <w:sz w:val="16"/>
          <w:szCs w:val="16"/>
          <w:color w:val="009FE3"/>
        </w:rPr>
      </w:pPr>
    </w:p>
    <w:p>
      <w:pPr>
        <w:ind w:left="640" w:right="80" w:hanging="220"/>
        <w:spacing w:after="0" w:line="251" w:lineRule="auto"/>
        <w:tabs>
          <w:tab w:leader="none" w:pos="640" w:val="left"/>
        </w:tabs>
        <w:numPr>
          <w:ilvl w:val="0"/>
          <w:numId w:val="10"/>
        </w:numPr>
        <w:rPr>
          <w:rFonts w:ascii="Arial" w:cs="Arial" w:eastAsia="Arial" w:hAnsi="Arial"/>
          <w:sz w:val="16"/>
          <w:szCs w:val="16"/>
          <w:color w:val="009FE3"/>
        </w:rPr>
      </w:pPr>
      <w:r>
        <w:rPr>
          <w:rFonts w:ascii="Arial" w:cs="Arial" w:eastAsia="Arial" w:hAnsi="Arial"/>
          <w:sz w:val="16"/>
          <w:szCs w:val="16"/>
          <w:i w:val="1"/>
          <w:iCs w:val="1"/>
          <w:color w:val="202E39"/>
        </w:rPr>
        <w:t>Increase in Annual Award Limits</w:t>
      </w:r>
      <w:r>
        <w:rPr>
          <w:rFonts w:ascii="Arial" w:cs="Arial" w:eastAsia="Arial" w:hAnsi="Arial"/>
          <w:sz w:val="16"/>
          <w:szCs w:val="16"/>
          <w:color w:val="202E39"/>
        </w:rPr>
        <w:t>. The Restated Equity Plan increases the limits on the number of shares of common stock subject to awards that</w:t>
      </w:r>
      <w:r>
        <w:rPr>
          <w:rFonts w:ascii="Arial" w:cs="Arial" w:eastAsia="Arial" w:hAnsi="Arial"/>
          <w:sz w:val="16"/>
          <w:szCs w:val="16"/>
          <w:i w:val="1"/>
          <w:iCs w:val="1"/>
          <w:color w:val="202E39"/>
        </w:rPr>
        <w:t xml:space="preserve"> </w:t>
      </w:r>
      <w:r>
        <w:rPr>
          <w:rFonts w:ascii="Arial" w:cs="Arial" w:eastAsia="Arial" w:hAnsi="Arial"/>
          <w:sz w:val="16"/>
          <w:szCs w:val="16"/>
          <w:color w:val="202E39"/>
        </w:rPr>
        <w:t>may be granted to any one individual per fiscal year. Under the Restated Equity Plan, not more than 1,000,000 shares may be subject to options or stock appreciation rights for any one individual per fiscal year (increased from 500,000 shares under the Equity Plan). The Restated Equity Plan also has an individual award limit of 300,000 shares per fiscal year for grants of restricted stock, performance awards, dividend equivalents, restricted stock units and stock payments except for grants made upon initial service of an employee, which have an award limit of 600,000 shares (which limits were 150,000 and 300,000 shares, respectively, under the Equity Plan). In addition, the maximum aggregate amount of cash that may be paid in cash to any one person during any fiscal year with respect to one or more awards initially payable in cash shall be $5,000,000 (which limit was $1,000,000 under the Equity Plan).</w:t>
      </w:r>
    </w:p>
    <w:p>
      <w:pPr>
        <w:spacing w:after="0" w:line="81" w:lineRule="exact"/>
        <w:rPr>
          <w:sz w:val="20"/>
          <w:szCs w:val="20"/>
          <w:color w:val="auto"/>
        </w:rPr>
      </w:pPr>
    </w:p>
    <w:p>
      <w:pPr>
        <w:ind w:left="200"/>
        <w:spacing w:after="0"/>
        <w:tabs>
          <w:tab w:leader="none" w:pos="2920" w:val="left"/>
        </w:tabs>
        <w:rPr>
          <w:sz w:val="20"/>
          <w:szCs w:val="20"/>
          <w:color w:val="auto"/>
        </w:rPr>
      </w:pPr>
      <w:r>
        <w:rPr>
          <w:rFonts w:ascii="Arial" w:cs="Arial" w:eastAsia="Arial" w:hAnsi="Arial"/>
          <w:sz w:val="16"/>
          <w:szCs w:val="16"/>
          <w:i w:val="1"/>
          <w:iCs w:val="1"/>
          <w:color w:val="009FE3"/>
        </w:rPr>
        <w:t>Stockholder Approval Requirement.</w:t>
      </w:r>
      <w:r>
        <w:rPr>
          <w:sz w:val="20"/>
          <w:szCs w:val="20"/>
          <w:color w:val="auto"/>
        </w:rPr>
        <w:tab/>
      </w:r>
      <w:r>
        <w:rPr>
          <w:rFonts w:ascii="Arial" w:cs="Arial" w:eastAsia="Arial" w:hAnsi="Arial"/>
          <w:sz w:val="16"/>
          <w:szCs w:val="16"/>
          <w:color w:val="202E39"/>
        </w:rPr>
        <w:t>In general, stockholder approval of the Restated Equity Plan will implement the foregoing changes while</w:t>
      </w:r>
    </w:p>
    <w:p>
      <w:pPr>
        <w:spacing w:after="0" w:line="21" w:lineRule="exact"/>
        <w:rPr>
          <w:sz w:val="20"/>
          <w:szCs w:val="20"/>
          <w:color w:val="auto"/>
        </w:rPr>
      </w:pPr>
    </w:p>
    <w:p>
      <w:pPr>
        <w:ind w:left="200" w:right="60" w:firstLine="4"/>
        <w:spacing w:after="0" w:line="260" w:lineRule="auto"/>
        <w:tabs>
          <w:tab w:leader="none" w:pos="443" w:val="left"/>
        </w:tabs>
        <w:numPr>
          <w:ilvl w:val="0"/>
          <w:numId w:val="11"/>
        </w:numPr>
        <w:rPr>
          <w:rFonts w:ascii="Arial" w:cs="Arial" w:eastAsia="Arial" w:hAnsi="Arial"/>
          <w:sz w:val="16"/>
          <w:szCs w:val="16"/>
          <w:color w:val="202E39"/>
        </w:rPr>
      </w:pPr>
      <w:r>
        <w:rPr>
          <w:rFonts w:ascii="Arial" w:cs="Arial" w:eastAsia="Arial" w:hAnsi="Arial"/>
          <w:sz w:val="16"/>
          <w:szCs w:val="16"/>
          <w:color w:val="202E39"/>
        </w:rPr>
        <w:t>complying with the terms of the Equity Plan regarding amendments, (2) meeting the stockholder approval requirements of Nasdaq, and (3) preserving our ability to grant stock options under the Restated Equity Plan that are intended to qualify as ISOs.</w:t>
      </w:r>
    </w:p>
    <w:p>
      <w:pPr>
        <w:spacing w:after="0" w:line="88" w:lineRule="exact"/>
        <w:rPr>
          <w:sz w:val="20"/>
          <w:szCs w:val="20"/>
          <w:color w:val="auto"/>
        </w:rPr>
      </w:pPr>
    </w:p>
    <w:p>
      <w:pPr>
        <w:ind w:left="200" w:right="80"/>
        <w:spacing w:after="0" w:line="253" w:lineRule="auto"/>
        <w:rPr>
          <w:sz w:val="20"/>
          <w:szCs w:val="20"/>
          <w:color w:val="auto"/>
        </w:rPr>
      </w:pPr>
      <w:r>
        <w:rPr>
          <w:rFonts w:ascii="Arial" w:cs="Arial" w:eastAsia="Arial" w:hAnsi="Arial"/>
          <w:sz w:val="16"/>
          <w:szCs w:val="16"/>
          <w:color w:val="202E39"/>
        </w:rPr>
        <w:t>If this Proposal 4 is not approved, the Restated Equity Plan will not become effective, the existing Equity Plan will continue in full force and effect, and we may continue to grant awards under the Equity Plan, subject to its terms, conditions and limitations, using the shares of our common stock available for issuance thereunder.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202E39"/>
        </w:rPr>
        <w:t>The Board recommends that you vote “FOR” the Restated Equity Plan.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Why You Should Vote for the Restated Equity Plan</w:t>
      </w:r>
    </w:p>
    <w:p>
      <w:pPr>
        <w:spacing w:after="0" w:line="108"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i w:val="1"/>
          <w:iCs w:val="1"/>
          <w:color w:val="009FE3"/>
        </w:rPr>
        <w:t xml:space="preserve">Equity Incentive Awards Are an Important Part of Our Compensation Philosophy. </w:t>
      </w:r>
      <w:r>
        <w:rPr>
          <w:rFonts w:ascii="Arial" w:cs="Arial" w:eastAsia="Arial" w:hAnsi="Arial"/>
          <w:sz w:val="16"/>
          <w:szCs w:val="16"/>
          <w:color w:val="202E39"/>
        </w:rPr>
        <w:t>Our equity compensation plans are critical to our ongoing effort to</w:t>
      </w:r>
      <w:r>
        <w:rPr>
          <w:rFonts w:ascii="Arial" w:cs="Arial" w:eastAsia="Arial" w:hAnsi="Arial"/>
          <w:sz w:val="16"/>
          <w:szCs w:val="16"/>
          <w:i w:val="1"/>
          <w:iCs w:val="1"/>
          <w:color w:val="009FE3"/>
        </w:rPr>
        <w:t xml:space="preserve"> </w:t>
      </w:r>
      <w:r>
        <w:rPr>
          <w:rFonts w:ascii="Arial" w:cs="Arial" w:eastAsia="Arial" w:hAnsi="Arial"/>
          <w:sz w:val="16"/>
          <w:szCs w:val="16"/>
          <w:color w:val="202E39"/>
        </w:rPr>
        <w:t>build stockholder value. As discussed in the Compensation Discussion and Analysis section of this proxy statement, equity incentive awards are central to our compensation program. Our Board of Directors and its Compensation and Human Resources Committee believe that our ability to grant equity incentive awards to new and existing employees, non-employee directors and eligible consultants has helped us attract, retain and motivate world-class talent. Historically, we have primarily granted stock options and restricted stock unit awards because these forms of equity compensation provide a strong retention value and incentive for our employees to work to grow the business and build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84455</wp:posOffset>
            </wp:positionV>
            <wp:extent cx="42862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80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47"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202E39"/>
        </w:rPr>
        <w:t>stockholder value, and are attractive to employees who share the entrepreneurial spirit that has made Viasat a success. Beginning in fiscal year 2018, our executive officers received a combination of restricted stock units and performance-based stock options as we believe the form of these awards continues to drive strong retention value while promoting further alignment with stockholder interests by motivating them to achieve superior performance results.</w:t>
      </w:r>
    </w:p>
    <w:p>
      <w:pPr>
        <w:spacing w:after="0" w:line="93" w:lineRule="exact"/>
        <w:rPr>
          <w:sz w:val="20"/>
          <w:szCs w:val="20"/>
          <w:color w:val="auto"/>
        </w:rPr>
      </w:pPr>
    </w:p>
    <w:p>
      <w:pPr>
        <w:ind w:left="200" w:right="400"/>
        <w:spacing w:after="0" w:line="253" w:lineRule="auto"/>
        <w:rPr>
          <w:sz w:val="20"/>
          <w:szCs w:val="20"/>
          <w:color w:val="auto"/>
        </w:rPr>
      </w:pPr>
      <w:r>
        <w:rPr>
          <w:rFonts w:ascii="Arial" w:cs="Arial" w:eastAsia="Arial" w:hAnsi="Arial"/>
          <w:sz w:val="16"/>
          <w:szCs w:val="16"/>
          <w:color w:val="202E39"/>
        </w:rPr>
        <w:t>We believe our strategy is working. During the last two years, our employee turnover rate, inclusive of both voluntary and involuntary turnover, has averaged 7.9%, which is much lower than the annual 20.9% employee turnover rate for similar industries as reported in the Q1 2018 Radford Trends Report.</w:t>
      </w:r>
    </w:p>
    <w:p>
      <w:pPr>
        <w:spacing w:after="0" w:line="93" w:lineRule="exact"/>
        <w:rPr>
          <w:sz w:val="20"/>
          <w:szCs w:val="20"/>
          <w:color w:val="auto"/>
        </w:rPr>
      </w:pPr>
    </w:p>
    <w:p>
      <w:pPr>
        <w:ind w:left="200" w:right="40"/>
        <w:spacing w:after="0" w:line="251" w:lineRule="auto"/>
        <w:rPr>
          <w:sz w:val="20"/>
          <w:szCs w:val="20"/>
          <w:color w:val="auto"/>
        </w:rPr>
      </w:pPr>
      <w:r>
        <w:rPr>
          <w:rFonts w:ascii="Arial" w:cs="Arial" w:eastAsia="Arial" w:hAnsi="Arial"/>
          <w:sz w:val="16"/>
          <w:szCs w:val="16"/>
          <w:color w:val="202E39"/>
        </w:rPr>
        <w:t>Also, our equity incentive program is broad-based, which has worked to build stockholder value by attracting and retaining extraordinarily talented employees. We believe we must continue to offer a competitive equity compensation plan in order to attract and motivate the world-class talent necessary for our continued growth and success. As of June 29, 2018, 47.7% of our employees held outstanding equity awards and all eight of our non-employee directors held outstanding equity awards.</w:t>
      </w:r>
    </w:p>
    <w:p>
      <w:pPr>
        <w:spacing w:after="0" w:line="79" w:lineRule="exact"/>
        <w:rPr>
          <w:sz w:val="20"/>
          <w:szCs w:val="20"/>
          <w:color w:val="auto"/>
        </w:rPr>
      </w:pPr>
    </w:p>
    <w:p>
      <w:pPr>
        <w:ind w:left="200" w:right="20"/>
        <w:spacing w:after="0" w:line="252" w:lineRule="auto"/>
        <w:rPr>
          <w:sz w:val="20"/>
          <w:szCs w:val="20"/>
          <w:color w:val="auto"/>
        </w:rPr>
      </w:pPr>
      <w:r>
        <w:rPr>
          <w:rFonts w:ascii="Arial" w:cs="Arial" w:eastAsia="Arial" w:hAnsi="Arial"/>
          <w:sz w:val="16"/>
          <w:szCs w:val="16"/>
          <w:i w:val="1"/>
          <w:iCs w:val="1"/>
          <w:color w:val="009FE3"/>
        </w:rPr>
        <w:t xml:space="preserve">The Equity Plan Will No Longer Have Shares Available for Grant. </w:t>
      </w:r>
      <w:r>
        <w:rPr>
          <w:rFonts w:ascii="Arial" w:cs="Arial" w:eastAsia="Arial" w:hAnsi="Arial"/>
          <w:sz w:val="16"/>
          <w:szCs w:val="16"/>
          <w:color w:val="202E39"/>
        </w:rPr>
        <w:t>Under our current forecasts, the Equity Plan will run out of shares available for grant</w:t>
      </w:r>
      <w:r>
        <w:rPr>
          <w:rFonts w:ascii="Arial" w:cs="Arial" w:eastAsia="Arial" w:hAnsi="Arial"/>
          <w:sz w:val="16"/>
          <w:szCs w:val="16"/>
          <w:i w:val="1"/>
          <w:iCs w:val="1"/>
          <w:color w:val="009FE3"/>
        </w:rPr>
        <w:t xml:space="preserve"> </w:t>
      </w:r>
      <w:r>
        <w:rPr>
          <w:rFonts w:ascii="Arial" w:cs="Arial" w:eastAsia="Arial" w:hAnsi="Arial"/>
          <w:sz w:val="16"/>
          <w:szCs w:val="16"/>
          <w:color w:val="202E39"/>
        </w:rPr>
        <w:t>in less than one year, and we will not be able to continue to grant equity to our employees, non-employee directors and consultants unless our stockholders approve the Restated Equity Plan. This assumes we continue to grant awards consistent with our historical usage and current practices, as reflected in our historical burn rate discussed below. While we could increase cash compensation if we are unable to grant equity incentives, we anticipate that we will have difficulty attracting, retaining and motivating our employees if we are unable to grant equity awards to them. Equity-based grants are a more effective compensation vehicle than cash at a growth-oriented, entrepreneurial company because they align employee and stockholder interests, while minimizing impact on current income and cash flow.</w:t>
      </w:r>
    </w:p>
    <w:p>
      <w:pPr>
        <w:spacing w:after="0" w:line="79" w:lineRule="exact"/>
        <w:rPr>
          <w:sz w:val="20"/>
          <w:szCs w:val="20"/>
          <w:color w:val="auto"/>
        </w:rPr>
      </w:pPr>
    </w:p>
    <w:p>
      <w:pPr>
        <w:ind w:left="200" w:right="40"/>
        <w:spacing w:after="0" w:line="253" w:lineRule="auto"/>
        <w:rPr>
          <w:sz w:val="20"/>
          <w:szCs w:val="20"/>
          <w:color w:val="auto"/>
        </w:rPr>
      </w:pPr>
      <w:r>
        <w:rPr>
          <w:rFonts w:ascii="Arial" w:cs="Arial" w:eastAsia="Arial" w:hAnsi="Arial"/>
          <w:sz w:val="16"/>
          <w:szCs w:val="16"/>
          <w:i w:val="1"/>
          <w:iCs w:val="1"/>
          <w:color w:val="009FE3"/>
        </w:rPr>
        <w:t xml:space="preserve">We Manage Our Equity Incentive Award Use Carefully. </w:t>
      </w:r>
      <w:r>
        <w:rPr>
          <w:rFonts w:ascii="Arial" w:cs="Arial" w:eastAsia="Arial" w:hAnsi="Arial"/>
          <w:sz w:val="16"/>
          <w:szCs w:val="16"/>
          <w:color w:val="202E39"/>
        </w:rPr>
        <w:t>We manage our long-term stockholder dilution by limiting the number of equity awards granted</w:t>
      </w:r>
      <w:r>
        <w:rPr>
          <w:rFonts w:ascii="Arial" w:cs="Arial" w:eastAsia="Arial" w:hAnsi="Arial"/>
          <w:sz w:val="16"/>
          <w:szCs w:val="16"/>
          <w:i w:val="1"/>
          <w:iCs w:val="1"/>
          <w:color w:val="009FE3"/>
        </w:rPr>
        <w:t xml:space="preserve"> </w:t>
      </w:r>
      <w:r>
        <w:rPr>
          <w:rFonts w:ascii="Arial" w:cs="Arial" w:eastAsia="Arial" w:hAnsi="Arial"/>
          <w:sz w:val="16"/>
          <w:szCs w:val="16"/>
          <w:color w:val="202E39"/>
        </w:rPr>
        <w:t>annually. The Compensation and Human Resources Committee carefully monitors our total dilution and equity expense to ensure that we maximize stockholder value by granting only the appropriate number of equity awards necessary to attract, reward and retain our talented employees. The following table summarizes the equity awards outstanding and shares of our common stock available for grant under our existing Equity Plan and the Viasat, Inc. Employee Stock Purchase Plan, or the ESPP, in each case as of June 29, 2018, and the proposed increase in shares authorized for issuance under the Restated Equity Plan: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Equity Compensation Plans as of June 29, 2018</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6620" w:type="dxa"/>
            <w:vAlign w:val="bottom"/>
            <w:tcBorders>
              <w:top w:val="single" w:sz="8" w:color="E8EAEB"/>
              <w:right w:val="single" w:sz="8" w:color="E8EAEB"/>
            </w:tcBorders>
          </w:tcPr>
          <w:p>
            <w:pPr>
              <w:spacing w:after="0"/>
              <w:rPr>
                <w:sz w:val="17"/>
                <w:szCs w:val="17"/>
                <w:color w:val="auto"/>
              </w:rPr>
            </w:pPr>
          </w:p>
        </w:tc>
        <w:tc>
          <w:tcPr>
            <w:tcW w:w="1520" w:type="dxa"/>
            <w:vAlign w:val="bottom"/>
            <w:tcBorders>
              <w:top w:val="single" w:sz="8" w:color="E8EAEB"/>
              <w:right w:val="single" w:sz="8" w:color="E8EAEB"/>
            </w:tcBorders>
          </w:tcPr>
          <w:p>
            <w:pPr>
              <w:spacing w:after="0"/>
              <w:rPr>
                <w:sz w:val="17"/>
                <w:szCs w:val="17"/>
                <w:color w:val="auto"/>
              </w:rPr>
            </w:pPr>
          </w:p>
        </w:tc>
        <w:tc>
          <w:tcPr>
            <w:tcW w:w="108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As a % of</w:t>
            </w:r>
          </w:p>
        </w:tc>
        <w:tc>
          <w:tcPr>
            <w:tcW w:w="420" w:type="dxa"/>
            <w:vAlign w:val="bottom"/>
            <w:tcBorders>
              <w:top w:val="single" w:sz="8" w:color="E8EAEB"/>
            </w:tcBorders>
          </w:tcPr>
          <w:p>
            <w:pPr>
              <w:spacing w:after="0"/>
              <w:rPr>
                <w:sz w:val="17"/>
                <w:szCs w:val="17"/>
                <w:color w:val="auto"/>
              </w:rPr>
            </w:pPr>
          </w:p>
        </w:tc>
        <w:tc>
          <w:tcPr>
            <w:tcW w:w="1380" w:type="dxa"/>
            <w:vAlign w:val="bottom"/>
            <w:tcBorders>
              <w:top w:val="single" w:sz="8" w:color="E8EAEB"/>
            </w:tcBorders>
          </w:tcPr>
          <w:p>
            <w:pPr>
              <w:spacing w:after="0"/>
              <w:rPr>
                <w:sz w:val="17"/>
                <w:szCs w:val="17"/>
                <w:color w:val="auto"/>
              </w:rPr>
            </w:pPr>
          </w:p>
        </w:tc>
      </w:tr>
      <w:tr>
        <w:trPr>
          <w:trHeight w:val="162"/>
        </w:trPr>
        <w:tc>
          <w:tcPr>
            <w:tcW w:w="6620" w:type="dxa"/>
            <w:vAlign w:val="bottom"/>
            <w:tcBorders>
              <w:right w:val="single" w:sz="8" w:color="E8EAEB"/>
            </w:tcBorders>
          </w:tcPr>
          <w:p>
            <w:pPr>
              <w:spacing w:after="0"/>
              <w:rPr>
                <w:sz w:val="14"/>
                <w:szCs w:val="14"/>
                <w:color w:val="auto"/>
              </w:rPr>
            </w:pPr>
          </w:p>
        </w:tc>
        <w:tc>
          <w:tcPr>
            <w:tcW w:w="1520" w:type="dxa"/>
            <w:vAlign w:val="bottom"/>
            <w:tcBorders>
              <w:right w:val="single" w:sz="8" w:color="E8EAEB"/>
            </w:tcBorders>
          </w:tcPr>
          <w:p>
            <w:pPr>
              <w:jc w:val="right"/>
              <w:ind w:right="341"/>
              <w:spacing w:after="0"/>
              <w:rPr>
                <w:sz w:val="20"/>
                <w:szCs w:val="20"/>
                <w:color w:val="auto"/>
              </w:rPr>
            </w:pPr>
            <w:r>
              <w:rPr>
                <w:rFonts w:ascii="Arial" w:cs="Arial" w:eastAsia="Arial" w:hAnsi="Arial"/>
                <w:sz w:val="14"/>
                <w:szCs w:val="14"/>
                <w:b w:val="1"/>
                <w:bCs w:val="1"/>
                <w:color w:val="009FE3"/>
              </w:rPr>
              <w:t>Number of</w:t>
            </w: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Shares</w:t>
            </w:r>
          </w:p>
        </w:tc>
        <w:tc>
          <w:tcPr>
            <w:tcW w:w="420" w:type="dxa"/>
            <w:vAlign w:val="bottom"/>
          </w:tcPr>
          <w:p>
            <w:pPr>
              <w:spacing w:after="0"/>
              <w:rPr>
                <w:sz w:val="14"/>
                <w:szCs w:val="14"/>
                <w:color w:val="auto"/>
              </w:rPr>
            </w:pPr>
          </w:p>
        </w:tc>
        <w:tc>
          <w:tcPr>
            <w:tcW w:w="1380" w:type="dxa"/>
            <w:vAlign w:val="bottom"/>
          </w:tcPr>
          <w:p>
            <w:pPr>
              <w:jc w:val="right"/>
              <w:ind w:right="622"/>
              <w:spacing w:after="0"/>
              <w:rPr>
                <w:sz w:val="20"/>
                <w:szCs w:val="20"/>
                <w:color w:val="auto"/>
              </w:rPr>
            </w:pPr>
            <w:r>
              <w:rPr>
                <w:rFonts w:ascii="Arial" w:cs="Arial" w:eastAsia="Arial" w:hAnsi="Arial"/>
                <w:sz w:val="14"/>
                <w:szCs w:val="14"/>
                <w:b w:val="1"/>
                <w:bCs w:val="1"/>
                <w:color w:val="009FE3"/>
              </w:rPr>
              <w:t>Dollar</w:t>
            </w:r>
          </w:p>
        </w:tc>
      </w:tr>
      <w:tr>
        <w:trPr>
          <w:trHeight w:val="196"/>
        </w:trPr>
        <w:tc>
          <w:tcPr>
            <w:tcW w:w="6620" w:type="dxa"/>
            <w:vAlign w:val="bottom"/>
            <w:tcBorders>
              <w:bottom w:val="single" w:sz="8" w:color="009FE3"/>
              <w:right w:val="single" w:sz="8" w:color="E8EAEB"/>
            </w:tcBorders>
          </w:tcPr>
          <w:p>
            <w:pPr>
              <w:spacing w:after="0"/>
              <w:rPr>
                <w:sz w:val="17"/>
                <w:szCs w:val="17"/>
                <w:color w:val="auto"/>
              </w:rPr>
            </w:pPr>
          </w:p>
        </w:tc>
        <w:tc>
          <w:tcPr>
            <w:tcW w:w="1520" w:type="dxa"/>
            <w:vAlign w:val="bottom"/>
            <w:tcBorders>
              <w:bottom w:val="single" w:sz="8" w:color="009FE3"/>
              <w:right w:val="single" w:sz="8" w:color="E8EAEB"/>
            </w:tcBorders>
          </w:tcPr>
          <w:p>
            <w:pPr>
              <w:jc w:val="right"/>
              <w:ind w:right="461"/>
              <w:spacing w:after="0"/>
              <w:rPr>
                <w:sz w:val="20"/>
                <w:szCs w:val="20"/>
                <w:color w:val="auto"/>
              </w:rPr>
            </w:pPr>
            <w:r>
              <w:rPr>
                <w:rFonts w:ascii="Arial" w:cs="Arial" w:eastAsia="Arial" w:hAnsi="Arial"/>
                <w:sz w:val="14"/>
                <w:szCs w:val="14"/>
                <w:b w:val="1"/>
                <w:bCs w:val="1"/>
                <w:color w:val="009FE3"/>
              </w:rPr>
              <w:t>Shares</w:t>
            </w:r>
          </w:p>
        </w:tc>
        <w:tc>
          <w:tcPr>
            <w:tcW w:w="10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Outstanding (1)</w:t>
            </w:r>
          </w:p>
        </w:tc>
        <w:tc>
          <w:tcPr>
            <w:tcW w:w="420" w:type="dxa"/>
            <w:vAlign w:val="bottom"/>
            <w:tcBorders>
              <w:bottom w:val="single" w:sz="8" w:color="009FE3"/>
            </w:tcBorders>
          </w:tcPr>
          <w:p>
            <w:pPr>
              <w:spacing w:after="0"/>
              <w:rPr>
                <w:sz w:val="17"/>
                <w:szCs w:val="17"/>
                <w:color w:val="auto"/>
              </w:rPr>
            </w:pPr>
          </w:p>
        </w:tc>
        <w:tc>
          <w:tcPr>
            <w:tcW w:w="1380" w:type="dxa"/>
            <w:vAlign w:val="bottom"/>
            <w:tcBorders>
              <w:bottom w:val="single" w:sz="8" w:color="009FE3"/>
            </w:tcBorders>
          </w:tcPr>
          <w:p>
            <w:pPr>
              <w:jc w:val="right"/>
              <w:ind w:right="542"/>
              <w:spacing w:after="0"/>
              <w:rPr>
                <w:sz w:val="20"/>
                <w:szCs w:val="20"/>
                <w:color w:val="auto"/>
              </w:rPr>
            </w:pPr>
            <w:r>
              <w:rPr>
                <w:rFonts w:ascii="Arial" w:cs="Arial" w:eastAsia="Arial" w:hAnsi="Arial"/>
                <w:sz w:val="14"/>
                <w:szCs w:val="14"/>
                <w:b w:val="1"/>
                <w:bCs w:val="1"/>
                <w:color w:val="009FE3"/>
              </w:rPr>
              <w:t>Value (2)</w:t>
            </w:r>
          </w:p>
        </w:tc>
      </w:tr>
      <w:tr>
        <w:trPr>
          <w:trHeight w:val="250"/>
        </w:trPr>
        <w:tc>
          <w:tcPr>
            <w:tcW w:w="66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b w:val="1"/>
                <w:bCs w:val="1"/>
                <w:i w:val="1"/>
                <w:iCs w:val="1"/>
                <w:color w:val="202E39"/>
              </w:rPr>
              <w:t>Equity Plan</w:t>
            </w:r>
          </w:p>
        </w:tc>
        <w:tc>
          <w:tcPr>
            <w:tcW w:w="1520" w:type="dxa"/>
            <w:vAlign w:val="bottom"/>
            <w:tcBorders>
              <w:bottom w:val="single" w:sz="8" w:color="E8EAEB"/>
              <w:right w:val="single" w:sz="8" w:color="E8EAEB"/>
            </w:tcBorders>
          </w:tcPr>
          <w:p>
            <w:pPr>
              <w:spacing w:after="0"/>
              <w:rPr>
                <w:sz w:val="21"/>
                <w:szCs w:val="21"/>
                <w:color w:val="auto"/>
              </w:rPr>
            </w:pPr>
          </w:p>
        </w:tc>
        <w:tc>
          <w:tcPr>
            <w:tcW w:w="1080" w:type="dxa"/>
            <w:vAlign w:val="bottom"/>
            <w:tcBorders>
              <w:bottom w:val="single" w:sz="8" w:color="E8EAEB"/>
              <w:right w:val="single" w:sz="8" w:color="E8EAEB"/>
            </w:tcBorders>
          </w:tcPr>
          <w:p>
            <w:pPr>
              <w:spacing w:after="0"/>
              <w:rPr>
                <w:sz w:val="21"/>
                <w:szCs w:val="21"/>
                <w:color w:val="auto"/>
              </w:rPr>
            </w:pPr>
          </w:p>
        </w:tc>
        <w:tc>
          <w:tcPr>
            <w:tcW w:w="420" w:type="dxa"/>
            <w:vAlign w:val="bottom"/>
            <w:tcBorders>
              <w:bottom w:val="single" w:sz="8" w:color="E8EAEB"/>
            </w:tcBorders>
          </w:tcPr>
          <w:p>
            <w:pPr>
              <w:spacing w:after="0"/>
              <w:rPr>
                <w:sz w:val="21"/>
                <w:szCs w:val="21"/>
                <w:color w:val="auto"/>
              </w:rPr>
            </w:pPr>
          </w:p>
        </w:tc>
        <w:tc>
          <w:tcPr>
            <w:tcW w:w="1380" w:type="dxa"/>
            <w:vAlign w:val="bottom"/>
            <w:tcBorders>
              <w:bottom w:val="single" w:sz="8" w:color="E8EAEB"/>
            </w:tcBorders>
          </w:tcPr>
          <w:p>
            <w:pPr>
              <w:spacing w:after="0"/>
              <w:rPr>
                <w:sz w:val="21"/>
                <w:szCs w:val="21"/>
                <w:color w:val="auto"/>
              </w:rPr>
            </w:pPr>
          </w:p>
        </w:tc>
      </w:tr>
      <w:tr>
        <w:trPr>
          <w:trHeight w:val="250"/>
        </w:trPr>
        <w:tc>
          <w:tcPr>
            <w:tcW w:w="66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Options outstanding (3)</w:t>
            </w:r>
          </w:p>
        </w:tc>
        <w:tc>
          <w:tcPr>
            <w:tcW w:w="152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2,256,900</w:t>
            </w:r>
          </w:p>
        </w:tc>
        <w:tc>
          <w:tcPr>
            <w:tcW w:w="10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3.8%</w:t>
            </w:r>
          </w:p>
        </w:tc>
        <w:tc>
          <w:tcPr>
            <w:tcW w:w="420" w:type="dxa"/>
            <w:vAlign w:val="bottom"/>
            <w:tcBorders>
              <w:bottom w:val="single" w:sz="8" w:color="E8EAEB"/>
            </w:tcBorders>
          </w:tcPr>
          <w:p>
            <w:pPr>
              <w:jc w:val="right"/>
              <w:ind w:right="79"/>
              <w:spacing w:after="0"/>
              <w:rPr>
                <w:sz w:val="20"/>
                <w:szCs w:val="20"/>
                <w:color w:val="auto"/>
              </w:rPr>
            </w:pPr>
            <w:r>
              <w:rPr>
                <w:rFonts w:ascii="Arial" w:cs="Arial" w:eastAsia="Arial" w:hAnsi="Arial"/>
                <w:sz w:val="16"/>
                <w:szCs w:val="16"/>
                <w:color w:val="202E39"/>
              </w:rPr>
              <w:t>$</w:t>
            </w:r>
          </w:p>
        </w:tc>
        <w:tc>
          <w:tcPr>
            <w:tcW w:w="138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148,323,468</w:t>
            </w:r>
          </w:p>
        </w:tc>
      </w:tr>
      <w:tr>
        <w:trPr>
          <w:trHeight w:val="250"/>
        </w:trPr>
        <w:tc>
          <w:tcPr>
            <w:tcW w:w="662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6"/>
                <w:szCs w:val="16"/>
                <w:color w:val="202E39"/>
              </w:rPr>
              <w:t>Weighted average exercise price of outstanding options</w:t>
            </w:r>
          </w:p>
        </w:tc>
        <w:tc>
          <w:tcPr>
            <w:tcW w:w="152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$63.98</w:t>
            </w:r>
          </w:p>
        </w:tc>
        <w:tc>
          <w:tcPr>
            <w:tcW w:w="1080" w:type="dxa"/>
            <w:vAlign w:val="bottom"/>
            <w:tcBorders>
              <w:bottom w:val="single" w:sz="8" w:color="E8EAEB"/>
              <w:right w:val="single" w:sz="8" w:color="E8EAEB"/>
            </w:tcBorders>
          </w:tcPr>
          <w:p>
            <w:pPr>
              <w:spacing w:after="0"/>
              <w:rPr>
                <w:sz w:val="21"/>
                <w:szCs w:val="21"/>
                <w:color w:val="auto"/>
              </w:rPr>
            </w:pPr>
          </w:p>
        </w:tc>
        <w:tc>
          <w:tcPr>
            <w:tcW w:w="420" w:type="dxa"/>
            <w:vAlign w:val="bottom"/>
            <w:tcBorders>
              <w:bottom w:val="single" w:sz="8" w:color="E8EAEB"/>
            </w:tcBorders>
          </w:tcPr>
          <w:p>
            <w:pPr>
              <w:spacing w:after="0"/>
              <w:rPr>
                <w:sz w:val="21"/>
                <w:szCs w:val="21"/>
                <w:color w:val="auto"/>
              </w:rPr>
            </w:pPr>
          </w:p>
        </w:tc>
        <w:tc>
          <w:tcPr>
            <w:tcW w:w="1380" w:type="dxa"/>
            <w:vAlign w:val="bottom"/>
            <w:tcBorders>
              <w:bottom w:val="single" w:sz="8" w:color="E8EAEB"/>
            </w:tcBorders>
          </w:tcPr>
          <w:p>
            <w:pPr>
              <w:spacing w:after="0"/>
              <w:rPr>
                <w:sz w:val="21"/>
                <w:szCs w:val="21"/>
                <w:color w:val="auto"/>
              </w:rPr>
            </w:pPr>
          </w:p>
        </w:tc>
      </w:tr>
      <w:tr>
        <w:trPr>
          <w:trHeight w:val="250"/>
        </w:trPr>
        <w:tc>
          <w:tcPr>
            <w:tcW w:w="662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6"/>
                <w:szCs w:val="16"/>
                <w:color w:val="202E39"/>
              </w:rPr>
              <w:t>Weighted average remaining term of outstanding options</w:t>
            </w:r>
          </w:p>
        </w:tc>
        <w:tc>
          <w:tcPr>
            <w:tcW w:w="152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3.38 years</w:t>
            </w:r>
          </w:p>
        </w:tc>
        <w:tc>
          <w:tcPr>
            <w:tcW w:w="1080" w:type="dxa"/>
            <w:vAlign w:val="bottom"/>
            <w:tcBorders>
              <w:bottom w:val="single" w:sz="8" w:color="E8EAEB"/>
              <w:right w:val="single" w:sz="8" w:color="E8EAEB"/>
            </w:tcBorders>
          </w:tcPr>
          <w:p>
            <w:pPr>
              <w:spacing w:after="0"/>
              <w:rPr>
                <w:sz w:val="21"/>
                <w:szCs w:val="21"/>
                <w:color w:val="auto"/>
              </w:rPr>
            </w:pPr>
          </w:p>
        </w:tc>
        <w:tc>
          <w:tcPr>
            <w:tcW w:w="420" w:type="dxa"/>
            <w:vAlign w:val="bottom"/>
            <w:tcBorders>
              <w:bottom w:val="single" w:sz="8" w:color="E8EAEB"/>
            </w:tcBorders>
          </w:tcPr>
          <w:p>
            <w:pPr>
              <w:spacing w:after="0"/>
              <w:rPr>
                <w:sz w:val="21"/>
                <w:szCs w:val="21"/>
                <w:color w:val="auto"/>
              </w:rPr>
            </w:pPr>
          </w:p>
        </w:tc>
        <w:tc>
          <w:tcPr>
            <w:tcW w:w="1380" w:type="dxa"/>
            <w:vAlign w:val="bottom"/>
            <w:tcBorders>
              <w:bottom w:val="single" w:sz="8" w:color="E8EAEB"/>
            </w:tcBorders>
          </w:tcPr>
          <w:p>
            <w:pPr>
              <w:spacing w:after="0"/>
              <w:rPr>
                <w:sz w:val="21"/>
                <w:szCs w:val="21"/>
                <w:color w:val="auto"/>
              </w:rPr>
            </w:pPr>
          </w:p>
        </w:tc>
      </w:tr>
      <w:tr>
        <w:trPr>
          <w:trHeight w:val="250"/>
        </w:trPr>
        <w:tc>
          <w:tcPr>
            <w:tcW w:w="66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Restricted stock units outstanding</w:t>
            </w:r>
          </w:p>
        </w:tc>
        <w:tc>
          <w:tcPr>
            <w:tcW w:w="152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2,804,702</w:t>
            </w:r>
          </w:p>
        </w:tc>
        <w:tc>
          <w:tcPr>
            <w:tcW w:w="10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4.7%</w:t>
            </w:r>
          </w:p>
        </w:tc>
        <w:tc>
          <w:tcPr>
            <w:tcW w:w="420" w:type="dxa"/>
            <w:vAlign w:val="bottom"/>
            <w:tcBorders>
              <w:bottom w:val="single" w:sz="8" w:color="E8EAEB"/>
            </w:tcBorders>
          </w:tcPr>
          <w:p>
            <w:pPr>
              <w:jc w:val="right"/>
              <w:ind w:right="79"/>
              <w:spacing w:after="0"/>
              <w:rPr>
                <w:sz w:val="20"/>
                <w:szCs w:val="20"/>
                <w:color w:val="auto"/>
              </w:rPr>
            </w:pPr>
            <w:r>
              <w:rPr>
                <w:rFonts w:ascii="Arial" w:cs="Arial" w:eastAsia="Arial" w:hAnsi="Arial"/>
                <w:sz w:val="16"/>
                <w:szCs w:val="16"/>
                <w:color w:val="202E39"/>
              </w:rPr>
              <w:t>$</w:t>
            </w:r>
          </w:p>
        </w:tc>
        <w:tc>
          <w:tcPr>
            <w:tcW w:w="138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184,325,015</w:t>
            </w:r>
          </w:p>
        </w:tc>
      </w:tr>
      <w:tr>
        <w:trPr>
          <w:trHeight w:val="250"/>
        </w:trPr>
        <w:tc>
          <w:tcPr>
            <w:tcW w:w="66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Shares available for grant (4)</w:t>
            </w:r>
          </w:p>
        </w:tc>
        <w:tc>
          <w:tcPr>
            <w:tcW w:w="152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1,909,065</w:t>
            </w:r>
          </w:p>
        </w:tc>
        <w:tc>
          <w:tcPr>
            <w:tcW w:w="10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3.2%</w:t>
            </w:r>
          </w:p>
        </w:tc>
        <w:tc>
          <w:tcPr>
            <w:tcW w:w="420" w:type="dxa"/>
            <w:vAlign w:val="bottom"/>
            <w:tcBorders>
              <w:bottom w:val="single" w:sz="8" w:color="E8EAEB"/>
            </w:tcBorders>
          </w:tcPr>
          <w:p>
            <w:pPr>
              <w:jc w:val="right"/>
              <w:ind w:right="79"/>
              <w:spacing w:after="0"/>
              <w:rPr>
                <w:sz w:val="20"/>
                <w:szCs w:val="20"/>
                <w:color w:val="auto"/>
              </w:rPr>
            </w:pPr>
            <w:r>
              <w:rPr>
                <w:rFonts w:ascii="Arial" w:cs="Arial" w:eastAsia="Arial" w:hAnsi="Arial"/>
                <w:sz w:val="16"/>
                <w:szCs w:val="16"/>
                <w:color w:val="202E39"/>
              </w:rPr>
              <w:t>$</w:t>
            </w:r>
          </w:p>
        </w:tc>
        <w:tc>
          <w:tcPr>
            <w:tcW w:w="138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125,463,752</w:t>
            </w:r>
          </w:p>
        </w:tc>
      </w:tr>
      <w:tr>
        <w:trPr>
          <w:trHeight w:val="231"/>
        </w:trPr>
        <w:tc>
          <w:tcPr>
            <w:tcW w:w="66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Proposed increase in shares available for future issuance under Restated Equity Plan</w:t>
            </w:r>
          </w:p>
        </w:tc>
        <w:tc>
          <w:tcPr>
            <w:tcW w:w="1520" w:type="dxa"/>
            <w:vAlign w:val="bottom"/>
            <w:tcBorders>
              <w:right w:val="single" w:sz="8" w:color="E8EAEB"/>
            </w:tcBorders>
          </w:tcPr>
          <w:p>
            <w:pPr>
              <w:spacing w:after="0"/>
              <w:rPr>
                <w:sz w:val="20"/>
                <w:szCs w:val="20"/>
                <w:color w:val="auto"/>
              </w:rPr>
            </w:pPr>
          </w:p>
        </w:tc>
        <w:tc>
          <w:tcPr>
            <w:tcW w:w="1080" w:type="dxa"/>
            <w:vAlign w:val="bottom"/>
            <w:tcBorders>
              <w:right w:val="single" w:sz="8" w:color="E8EAEB"/>
            </w:tcBorders>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8"/>
        </w:trPr>
        <w:tc>
          <w:tcPr>
            <w:tcW w:w="66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(over existing share reserve under Equity Plan)</w:t>
            </w:r>
          </w:p>
        </w:tc>
        <w:tc>
          <w:tcPr>
            <w:tcW w:w="152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2,800,000</w:t>
            </w:r>
          </w:p>
        </w:tc>
        <w:tc>
          <w:tcPr>
            <w:tcW w:w="10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4.7%</w:t>
            </w:r>
          </w:p>
        </w:tc>
        <w:tc>
          <w:tcPr>
            <w:tcW w:w="420" w:type="dxa"/>
            <w:vAlign w:val="bottom"/>
            <w:tcBorders>
              <w:bottom w:val="single" w:sz="8" w:color="E8EAEB"/>
            </w:tcBorders>
          </w:tcPr>
          <w:p>
            <w:pPr>
              <w:jc w:val="right"/>
              <w:ind w:right="79"/>
              <w:spacing w:after="0"/>
              <w:rPr>
                <w:sz w:val="20"/>
                <w:szCs w:val="20"/>
                <w:color w:val="auto"/>
              </w:rPr>
            </w:pPr>
            <w:r>
              <w:rPr>
                <w:rFonts w:ascii="Arial" w:cs="Arial" w:eastAsia="Arial" w:hAnsi="Arial"/>
                <w:sz w:val="16"/>
                <w:szCs w:val="16"/>
                <w:color w:val="202E39"/>
              </w:rPr>
              <w:t>$</w:t>
            </w:r>
          </w:p>
        </w:tc>
        <w:tc>
          <w:tcPr>
            <w:tcW w:w="138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184,016,000</w:t>
            </w:r>
          </w:p>
        </w:tc>
      </w:tr>
      <w:tr>
        <w:trPr>
          <w:trHeight w:val="250"/>
        </w:trPr>
        <w:tc>
          <w:tcPr>
            <w:tcW w:w="66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b w:val="1"/>
                <w:bCs w:val="1"/>
                <w:i w:val="1"/>
                <w:iCs w:val="1"/>
                <w:color w:val="202E39"/>
              </w:rPr>
              <w:t>Employee Stock Purchase Plan</w:t>
            </w:r>
          </w:p>
        </w:tc>
        <w:tc>
          <w:tcPr>
            <w:tcW w:w="1520" w:type="dxa"/>
            <w:vAlign w:val="bottom"/>
            <w:tcBorders>
              <w:bottom w:val="single" w:sz="8" w:color="E8EAEB"/>
              <w:right w:val="single" w:sz="8" w:color="E8EAEB"/>
            </w:tcBorders>
          </w:tcPr>
          <w:p>
            <w:pPr>
              <w:spacing w:after="0"/>
              <w:rPr>
                <w:sz w:val="21"/>
                <w:szCs w:val="21"/>
                <w:color w:val="auto"/>
              </w:rPr>
            </w:pPr>
          </w:p>
        </w:tc>
        <w:tc>
          <w:tcPr>
            <w:tcW w:w="1080" w:type="dxa"/>
            <w:vAlign w:val="bottom"/>
            <w:tcBorders>
              <w:bottom w:val="single" w:sz="8" w:color="E8EAEB"/>
              <w:right w:val="single" w:sz="8" w:color="E8EAEB"/>
            </w:tcBorders>
          </w:tcPr>
          <w:p>
            <w:pPr>
              <w:spacing w:after="0"/>
              <w:rPr>
                <w:sz w:val="21"/>
                <w:szCs w:val="21"/>
                <w:color w:val="auto"/>
              </w:rPr>
            </w:pPr>
          </w:p>
        </w:tc>
        <w:tc>
          <w:tcPr>
            <w:tcW w:w="420" w:type="dxa"/>
            <w:vAlign w:val="bottom"/>
            <w:tcBorders>
              <w:bottom w:val="single" w:sz="8" w:color="E8EAEB"/>
            </w:tcBorders>
          </w:tcPr>
          <w:p>
            <w:pPr>
              <w:spacing w:after="0"/>
              <w:rPr>
                <w:sz w:val="21"/>
                <w:szCs w:val="21"/>
                <w:color w:val="auto"/>
              </w:rPr>
            </w:pPr>
          </w:p>
        </w:tc>
        <w:tc>
          <w:tcPr>
            <w:tcW w:w="1380" w:type="dxa"/>
            <w:vAlign w:val="bottom"/>
            <w:tcBorders>
              <w:bottom w:val="single" w:sz="8" w:color="E8EAEB"/>
            </w:tcBorders>
          </w:tcPr>
          <w:p>
            <w:pPr>
              <w:spacing w:after="0"/>
              <w:rPr>
                <w:sz w:val="21"/>
                <w:szCs w:val="21"/>
                <w:color w:val="auto"/>
              </w:rPr>
            </w:pPr>
          </w:p>
        </w:tc>
      </w:tr>
      <w:tr>
        <w:trPr>
          <w:trHeight w:val="250"/>
        </w:trPr>
        <w:tc>
          <w:tcPr>
            <w:tcW w:w="66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Shares available for grant</w:t>
            </w:r>
          </w:p>
        </w:tc>
        <w:tc>
          <w:tcPr>
            <w:tcW w:w="1520" w:type="dxa"/>
            <w:vAlign w:val="bottom"/>
            <w:tcBorders>
              <w:bottom w:val="single" w:sz="8" w:color="009FE3"/>
              <w:right w:val="single" w:sz="8" w:color="E8EAEB"/>
            </w:tcBorders>
          </w:tcPr>
          <w:p>
            <w:pPr>
              <w:jc w:val="right"/>
              <w:ind w:right="121"/>
              <w:spacing w:after="0"/>
              <w:rPr>
                <w:sz w:val="20"/>
                <w:szCs w:val="20"/>
                <w:color w:val="auto"/>
              </w:rPr>
            </w:pPr>
            <w:r>
              <w:rPr>
                <w:rFonts w:ascii="Arial" w:cs="Arial" w:eastAsia="Arial" w:hAnsi="Arial"/>
                <w:sz w:val="16"/>
                <w:szCs w:val="16"/>
                <w:color w:val="202E39"/>
              </w:rPr>
              <w:t>645,552</w:t>
            </w:r>
          </w:p>
        </w:tc>
        <w:tc>
          <w:tcPr>
            <w:tcW w:w="10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6"/>
                <w:szCs w:val="16"/>
                <w:color w:val="202E39"/>
                <w:w w:val="98"/>
              </w:rPr>
              <w:t>1.1%</w:t>
            </w:r>
          </w:p>
        </w:tc>
        <w:tc>
          <w:tcPr>
            <w:tcW w:w="420" w:type="dxa"/>
            <w:vAlign w:val="bottom"/>
            <w:tcBorders>
              <w:bottom w:val="single" w:sz="8" w:color="009FE3"/>
            </w:tcBorders>
          </w:tcPr>
          <w:p>
            <w:pPr>
              <w:jc w:val="right"/>
              <w:ind w:right="79"/>
              <w:spacing w:after="0"/>
              <w:rPr>
                <w:sz w:val="20"/>
                <w:szCs w:val="20"/>
                <w:color w:val="auto"/>
              </w:rPr>
            </w:pPr>
            <w:r>
              <w:rPr>
                <w:rFonts w:ascii="Arial" w:cs="Arial" w:eastAsia="Arial" w:hAnsi="Arial"/>
                <w:sz w:val="16"/>
                <w:szCs w:val="16"/>
                <w:color w:val="202E39"/>
              </w:rPr>
              <w:t>$</w:t>
            </w:r>
          </w:p>
        </w:tc>
        <w:tc>
          <w:tcPr>
            <w:tcW w:w="1380" w:type="dxa"/>
            <w:vAlign w:val="bottom"/>
            <w:tcBorders>
              <w:bottom w:val="single" w:sz="8" w:color="009FE3"/>
            </w:tcBorders>
          </w:tcPr>
          <w:p>
            <w:pPr>
              <w:jc w:val="right"/>
              <w:ind w:right="122"/>
              <w:spacing w:after="0"/>
              <w:rPr>
                <w:sz w:val="20"/>
                <w:szCs w:val="20"/>
                <w:color w:val="auto"/>
              </w:rPr>
            </w:pPr>
            <w:r>
              <w:rPr>
                <w:rFonts w:ascii="Arial" w:cs="Arial" w:eastAsia="Arial" w:hAnsi="Arial"/>
                <w:sz w:val="16"/>
                <w:szCs w:val="16"/>
                <w:color w:val="202E39"/>
              </w:rPr>
              <w:t>42,425,677</w:t>
            </w:r>
          </w:p>
        </w:tc>
      </w:tr>
    </w:tbl>
    <w:p>
      <w:pPr>
        <w:spacing w:after="0" w:line="126" w:lineRule="exact"/>
        <w:rPr>
          <w:sz w:val="20"/>
          <w:szCs w:val="20"/>
          <w:color w:val="auto"/>
        </w:rPr>
      </w:pPr>
    </w:p>
    <w:p>
      <w:pPr>
        <w:ind w:left="520" w:hanging="316"/>
        <w:spacing w:after="0"/>
        <w:tabs>
          <w:tab w:leader="none" w:pos="520" w:val="left"/>
        </w:tabs>
        <w:numPr>
          <w:ilvl w:val="0"/>
          <w:numId w:val="12"/>
        </w:numPr>
        <w:rPr>
          <w:rFonts w:ascii="Arial" w:cs="Arial" w:eastAsia="Arial" w:hAnsi="Arial"/>
          <w:sz w:val="14"/>
          <w:szCs w:val="14"/>
          <w:color w:val="202E39"/>
        </w:rPr>
      </w:pPr>
      <w:r>
        <w:rPr>
          <w:rFonts w:ascii="Arial" w:cs="Arial" w:eastAsia="Arial" w:hAnsi="Arial"/>
          <w:sz w:val="14"/>
          <w:szCs w:val="14"/>
          <w:color w:val="202E39"/>
        </w:rPr>
        <w:t>Based on 59,527,520 shares of Viasat common stock outstanding as of June 29, 2018.</w:t>
      </w:r>
    </w:p>
    <w:p>
      <w:pPr>
        <w:spacing w:after="0" w:line="68" w:lineRule="exact"/>
        <w:rPr>
          <w:rFonts w:ascii="Arial" w:cs="Arial" w:eastAsia="Arial" w:hAnsi="Arial"/>
          <w:sz w:val="14"/>
          <w:szCs w:val="14"/>
          <w:color w:val="202E39"/>
        </w:rPr>
      </w:pPr>
    </w:p>
    <w:p>
      <w:pPr>
        <w:ind w:left="520" w:hanging="316"/>
        <w:spacing w:after="0"/>
        <w:tabs>
          <w:tab w:leader="none" w:pos="520" w:val="left"/>
        </w:tabs>
        <w:numPr>
          <w:ilvl w:val="0"/>
          <w:numId w:val="12"/>
        </w:numPr>
        <w:rPr>
          <w:rFonts w:ascii="Arial" w:cs="Arial" w:eastAsia="Arial" w:hAnsi="Arial"/>
          <w:sz w:val="14"/>
          <w:szCs w:val="14"/>
          <w:color w:val="202E39"/>
        </w:rPr>
      </w:pPr>
      <w:r>
        <w:rPr>
          <w:rFonts w:ascii="Arial" w:cs="Arial" w:eastAsia="Arial" w:hAnsi="Arial"/>
          <w:sz w:val="14"/>
          <w:szCs w:val="14"/>
          <w:color w:val="202E39"/>
        </w:rPr>
        <w:t>Based on the closing price per share of Viasat common stock on June 29, 2018 ($65.72).</w:t>
      </w:r>
    </w:p>
    <w:p>
      <w:pPr>
        <w:spacing w:after="0" w:line="68" w:lineRule="exact"/>
        <w:rPr>
          <w:rFonts w:ascii="Arial" w:cs="Arial" w:eastAsia="Arial" w:hAnsi="Arial"/>
          <w:sz w:val="14"/>
          <w:szCs w:val="14"/>
          <w:color w:val="202E39"/>
        </w:rPr>
      </w:pPr>
    </w:p>
    <w:p>
      <w:pPr>
        <w:ind w:left="520" w:right="400" w:hanging="316"/>
        <w:spacing w:after="0" w:line="258" w:lineRule="auto"/>
        <w:tabs>
          <w:tab w:leader="none" w:pos="520" w:val="left"/>
        </w:tabs>
        <w:numPr>
          <w:ilvl w:val="0"/>
          <w:numId w:val="12"/>
        </w:numPr>
        <w:rPr>
          <w:rFonts w:ascii="Arial" w:cs="Arial" w:eastAsia="Arial" w:hAnsi="Arial"/>
          <w:sz w:val="14"/>
          <w:szCs w:val="14"/>
          <w:color w:val="202E39"/>
        </w:rPr>
      </w:pPr>
      <w:r>
        <w:rPr>
          <w:rFonts w:ascii="Arial" w:cs="Arial" w:eastAsia="Arial" w:hAnsi="Arial"/>
          <w:sz w:val="14"/>
          <w:szCs w:val="14"/>
          <w:color w:val="202E39"/>
        </w:rPr>
        <w:t>Includes 497,500 performance-based stock options granted in November 2017 (based on “target” level of performance). Performance-based stock options may be eligible to vest at 175% of the “target” award levels at “maximum” performance.</w:t>
      </w:r>
    </w:p>
    <w:p>
      <w:pPr>
        <w:spacing w:after="0" w:line="45" w:lineRule="exact"/>
        <w:rPr>
          <w:rFonts w:ascii="Arial" w:cs="Arial" w:eastAsia="Arial" w:hAnsi="Arial"/>
          <w:sz w:val="14"/>
          <w:szCs w:val="14"/>
          <w:color w:val="202E39"/>
        </w:rPr>
      </w:pPr>
    </w:p>
    <w:p>
      <w:pPr>
        <w:ind w:left="520" w:right="100" w:hanging="316"/>
        <w:spacing w:after="0" w:line="258" w:lineRule="auto"/>
        <w:tabs>
          <w:tab w:leader="none" w:pos="520" w:val="left"/>
        </w:tabs>
        <w:numPr>
          <w:ilvl w:val="0"/>
          <w:numId w:val="12"/>
        </w:numPr>
        <w:rPr>
          <w:rFonts w:ascii="Arial" w:cs="Arial" w:eastAsia="Arial" w:hAnsi="Arial"/>
          <w:sz w:val="14"/>
          <w:szCs w:val="14"/>
          <w:color w:val="202E39"/>
        </w:rPr>
      </w:pPr>
      <w:r>
        <w:rPr>
          <w:rFonts w:ascii="Arial" w:cs="Arial" w:eastAsia="Arial" w:hAnsi="Arial"/>
          <w:sz w:val="14"/>
          <w:szCs w:val="14"/>
          <w:color w:val="202E39"/>
        </w:rPr>
        <w:t>For purposes of calculating the shares that remain available for grant under the Equity Plan, each “full value” award is counted using the applicable ratio as specified in the Equity Plan and performance-based stock options are calculated assuming “maximum” performance.</w:t>
      </w:r>
    </w:p>
    <w:p>
      <w:pPr>
        <w:spacing w:after="0" w:line="83" w:lineRule="exact"/>
        <w:rPr>
          <w:sz w:val="20"/>
          <w:szCs w:val="20"/>
          <w:color w:val="auto"/>
        </w:rPr>
      </w:pPr>
    </w:p>
    <w:p>
      <w:pPr>
        <w:ind w:left="200" w:right="280"/>
        <w:spacing w:after="0" w:line="250" w:lineRule="auto"/>
        <w:rPr>
          <w:sz w:val="20"/>
          <w:szCs w:val="20"/>
          <w:color w:val="auto"/>
        </w:rPr>
      </w:pPr>
      <w:r>
        <w:rPr>
          <w:rFonts w:ascii="Arial" w:cs="Arial" w:eastAsia="Arial" w:hAnsi="Arial"/>
          <w:sz w:val="16"/>
          <w:szCs w:val="16"/>
          <w:color w:val="202E39"/>
        </w:rPr>
        <w:t>In fiscal years 2018, 2017 and 2016, our annual gross burn rates under the Equity Plan were 2.94%, 3.17% and 3.29%, respectively (calculated by dividing (1) the number of shares subject to equity awards granted during the applicable fiscal year by (2) the weighted-average number of shares outstanding during such fiscal year). If we multiply each “full-value award” by a multiplier of 2.50 (consistent with the methodology employed by certain proxy advisory firms), the “adjusted” annual gross burn rates under the Equity Plan would be 5.08%, 6.60% and 6.86% for fiscal years 2018, 2017 and 2016, respectively. Our three-</w:t>
      </w:r>
    </w:p>
    <w:p>
      <w:pPr>
        <w:spacing w:after="0" w:line="121"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17</w:t>
            </w:r>
          </w:p>
        </w:tc>
      </w:tr>
    </w:tbl>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1996 Equity Participation Plan</w:t>
      </w:r>
    </w:p>
    <w:p>
      <w:pPr>
        <w:spacing w:after="0" w:line="147" w:lineRule="exact"/>
        <w:rPr>
          <w:sz w:val="20"/>
          <w:szCs w:val="20"/>
          <w:color w:val="auto"/>
        </w:rPr>
      </w:pPr>
    </w:p>
    <w:p>
      <w:pPr>
        <w:ind w:left="200" w:right="100"/>
        <w:spacing w:after="0" w:line="250" w:lineRule="auto"/>
        <w:rPr>
          <w:sz w:val="20"/>
          <w:szCs w:val="20"/>
          <w:color w:val="auto"/>
        </w:rPr>
      </w:pPr>
      <w:r>
        <w:rPr>
          <w:rFonts w:ascii="Arial" w:cs="Arial" w:eastAsia="Arial" w:hAnsi="Arial"/>
          <w:sz w:val="16"/>
          <w:szCs w:val="16"/>
          <w:color w:val="202E39"/>
        </w:rPr>
        <w:t>year average “adjusted” gross burn rate of 6.18% during this period approximates the applicable ISS burn rate benchmark of 6.16% for non-S&amp;P 500, Russell 3000 Technology Hardware and Equipment companies. As permitted under the burn rate calculation policy published by ISS, the foregoing burn rate calculations exclude the performance-based stock options granted during fiscal year 2018. In fiscal year 2018, we issued performance-based stock options to purchase an aggregate of 497,500 shares of our common stock at “target” performance, which represents 0.85% of the weighted-average number of shares outstanding during fiscal year 2018.</w:t>
      </w:r>
    </w:p>
    <w:p>
      <w:pPr>
        <w:spacing w:after="0" w:line="95" w:lineRule="exact"/>
        <w:rPr>
          <w:sz w:val="20"/>
          <w:szCs w:val="20"/>
          <w:color w:val="auto"/>
        </w:rPr>
      </w:pPr>
    </w:p>
    <w:p>
      <w:pPr>
        <w:ind w:left="200" w:right="40"/>
        <w:spacing w:after="0" w:line="250" w:lineRule="auto"/>
        <w:rPr>
          <w:sz w:val="20"/>
          <w:szCs w:val="20"/>
          <w:color w:val="auto"/>
        </w:rPr>
      </w:pPr>
      <w:r>
        <w:rPr>
          <w:rFonts w:ascii="Arial" w:cs="Arial" w:eastAsia="Arial" w:hAnsi="Arial"/>
          <w:sz w:val="16"/>
          <w:szCs w:val="16"/>
          <w:color w:val="202E39"/>
        </w:rPr>
        <w:t>In fiscal years 2018, 2017 and 2016, our end of year equity overhang rates for the Equity Plan were 12.35%, 9.36% and 14.25%, respectively (calculated by dividing (1) the number of shares subject to equity awards outstanding at the end of the applicable fiscal year plus the number of shares remaining available for issuance under the Equity Plan at the end of such fiscal year by (2) the number of our shares outstanding at the end of such fiscal year). If approved, the issuance of the additional 2.8 million shares to be reserved under the Restated Equity Plan would dilute the holdings of stockholders by an additional 4.70%, based on the number of shares of Viasat common stock outstanding as of June 29, 2018.</w:t>
      </w:r>
    </w:p>
    <w:p>
      <w:pPr>
        <w:spacing w:after="0" w:line="95" w:lineRule="exact"/>
        <w:rPr>
          <w:sz w:val="20"/>
          <w:szCs w:val="20"/>
          <w:color w:val="auto"/>
        </w:rPr>
      </w:pPr>
    </w:p>
    <w:p>
      <w:pPr>
        <w:ind w:left="200" w:right="40"/>
        <w:spacing w:after="0" w:line="250" w:lineRule="auto"/>
        <w:rPr>
          <w:sz w:val="20"/>
          <w:szCs w:val="20"/>
          <w:color w:val="auto"/>
        </w:rPr>
      </w:pPr>
      <w:r>
        <w:rPr>
          <w:rFonts w:ascii="Arial" w:cs="Arial" w:eastAsia="Arial" w:hAnsi="Arial"/>
          <w:sz w:val="16"/>
          <w:szCs w:val="16"/>
          <w:color w:val="202E39"/>
        </w:rPr>
        <w:t>In requesting approval of the Restated Equity Plan, we are asking stockholders for a pool of shares for at least one years’ worth of equity-based grants under our current compensation program to provide a predictable but competitive amount of equity for attracting, retaining and motivating employees, non-employee directors and consultants as we continue to grow. We cannot predict our future equity grant practices, the future price of our shares or future hiring activity with any degree of certainty at this time, and the share reserve under the Restated Equity Plan could last for a shorter or longer time. The Board of Directors will not create a subcommittee to evaluate the risks and benefits for issuing the additional authorized shares requested.</w:t>
      </w:r>
    </w:p>
    <w:p>
      <w:pPr>
        <w:spacing w:after="0" w:line="79"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i w:val="1"/>
          <w:iCs w:val="1"/>
          <w:color w:val="009FE3"/>
        </w:rPr>
        <w:t xml:space="preserve">The Restated Equity Plan Combines Compensation and Governance Best Practices. </w:t>
      </w:r>
      <w:r>
        <w:rPr>
          <w:rFonts w:ascii="Arial" w:cs="Arial" w:eastAsia="Arial" w:hAnsi="Arial"/>
          <w:sz w:val="16"/>
          <w:szCs w:val="16"/>
          <w:color w:val="202E39"/>
        </w:rPr>
        <w:t>The Restated Equity Plan includes provisions that are designed to</w:t>
      </w:r>
      <w:r>
        <w:rPr>
          <w:rFonts w:ascii="Arial" w:cs="Arial" w:eastAsia="Arial" w:hAnsi="Arial"/>
          <w:sz w:val="16"/>
          <w:szCs w:val="16"/>
          <w:i w:val="1"/>
          <w:iCs w:val="1"/>
          <w:color w:val="009FE3"/>
        </w:rPr>
        <w:t xml:space="preserve"> </w:t>
      </w:r>
      <w:r>
        <w:rPr>
          <w:rFonts w:ascii="Arial" w:cs="Arial" w:eastAsia="Arial" w:hAnsi="Arial"/>
          <w:sz w:val="16"/>
          <w:szCs w:val="16"/>
          <w:color w:val="202E39"/>
        </w:rPr>
        <w:t>protect our stockholders’ interests and to reflect corporate governance “best practices” including:</w:t>
      </w:r>
    </w:p>
    <w:p>
      <w:pPr>
        <w:spacing w:after="0" w:line="69" w:lineRule="exact"/>
        <w:rPr>
          <w:sz w:val="20"/>
          <w:szCs w:val="20"/>
          <w:color w:val="auto"/>
        </w:rPr>
      </w:pPr>
    </w:p>
    <w:p>
      <w:pPr>
        <w:ind w:left="640" w:right="500" w:hanging="220"/>
        <w:spacing w:after="0" w:line="281" w:lineRule="auto"/>
        <w:tabs>
          <w:tab w:leader="none" w:pos="640" w:val="left"/>
        </w:tabs>
        <w:numPr>
          <w:ilvl w:val="0"/>
          <w:numId w:val="13"/>
        </w:numPr>
        <w:rPr>
          <w:rFonts w:ascii="Arial" w:cs="Arial" w:eastAsia="Arial" w:hAnsi="Arial"/>
          <w:sz w:val="16"/>
          <w:szCs w:val="16"/>
          <w:color w:val="009FE3"/>
        </w:rPr>
      </w:pPr>
      <w:r>
        <w:rPr>
          <w:rFonts w:ascii="Arial" w:cs="Arial" w:eastAsia="Arial" w:hAnsi="Arial"/>
          <w:sz w:val="16"/>
          <w:szCs w:val="16"/>
          <w:i w:val="1"/>
          <w:iCs w:val="1"/>
          <w:color w:val="202E39"/>
        </w:rPr>
        <w:t xml:space="preserve">Continued broad-based eligibility for equity awards. </w:t>
      </w:r>
      <w:r>
        <w:rPr>
          <w:rFonts w:ascii="Arial" w:cs="Arial" w:eastAsia="Arial" w:hAnsi="Arial"/>
          <w:sz w:val="16"/>
          <w:szCs w:val="16"/>
          <w:color w:val="202E39"/>
        </w:rPr>
        <w:t>We grant equity awards to a significant number of our employees. By doing so, we link</w:t>
      </w:r>
      <w:r>
        <w:rPr>
          <w:rFonts w:ascii="Arial" w:cs="Arial" w:eastAsia="Arial" w:hAnsi="Arial"/>
          <w:sz w:val="16"/>
          <w:szCs w:val="16"/>
          <w:i w:val="1"/>
          <w:iCs w:val="1"/>
          <w:color w:val="202E39"/>
        </w:rPr>
        <w:t xml:space="preserve"> </w:t>
      </w:r>
      <w:r>
        <w:rPr>
          <w:rFonts w:ascii="Arial" w:cs="Arial" w:eastAsia="Arial" w:hAnsi="Arial"/>
          <w:sz w:val="16"/>
          <w:szCs w:val="16"/>
          <w:color w:val="202E39"/>
        </w:rPr>
        <w:t>employee interests with stockholder interests throughout the organization and motivate our employees to act as owners of the business.</w:t>
      </w:r>
    </w:p>
    <w:p>
      <w:pPr>
        <w:spacing w:after="0" w:line="14" w:lineRule="exact"/>
        <w:rPr>
          <w:rFonts w:ascii="Arial" w:cs="Arial" w:eastAsia="Arial" w:hAnsi="Arial"/>
          <w:sz w:val="16"/>
          <w:szCs w:val="16"/>
          <w:color w:val="009FE3"/>
        </w:rPr>
      </w:pPr>
    </w:p>
    <w:p>
      <w:pPr>
        <w:ind w:left="640" w:right="20" w:hanging="220"/>
        <w:spacing w:after="0" w:line="264" w:lineRule="auto"/>
        <w:tabs>
          <w:tab w:leader="none" w:pos="640" w:val="left"/>
        </w:tabs>
        <w:numPr>
          <w:ilvl w:val="0"/>
          <w:numId w:val="13"/>
        </w:numPr>
        <w:rPr>
          <w:rFonts w:ascii="Arial" w:cs="Arial" w:eastAsia="Arial" w:hAnsi="Arial"/>
          <w:sz w:val="16"/>
          <w:szCs w:val="16"/>
          <w:color w:val="009FE3"/>
        </w:rPr>
      </w:pPr>
      <w:r>
        <w:rPr>
          <w:rFonts w:ascii="Arial" w:cs="Arial" w:eastAsia="Arial" w:hAnsi="Arial"/>
          <w:sz w:val="16"/>
          <w:szCs w:val="16"/>
          <w:i w:val="1"/>
          <w:iCs w:val="1"/>
          <w:color w:val="202E39"/>
        </w:rPr>
        <w:t>Stockholder approval is required for additional shares</w:t>
      </w:r>
      <w:r>
        <w:rPr>
          <w:rFonts w:ascii="Arial" w:cs="Arial" w:eastAsia="Arial" w:hAnsi="Arial"/>
          <w:sz w:val="16"/>
          <w:szCs w:val="16"/>
          <w:color w:val="202E39"/>
        </w:rPr>
        <w:t>. The Restated Equity Plan does not contain an annual “evergreen” provision. The Restated</w:t>
      </w:r>
      <w:r>
        <w:rPr>
          <w:rFonts w:ascii="Arial" w:cs="Arial" w:eastAsia="Arial" w:hAnsi="Arial"/>
          <w:sz w:val="16"/>
          <w:szCs w:val="16"/>
          <w:i w:val="1"/>
          <w:iCs w:val="1"/>
          <w:color w:val="202E39"/>
        </w:rPr>
        <w:t xml:space="preserve"> </w:t>
      </w:r>
      <w:r>
        <w:rPr>
          <w:rFonts w:ascii="Arial" w:cs="Arial" w:eastAsia="Arial" w:hAnsi="Arial"/>
          <w:sz w:val="16"/>
          <w:szCs w:val="16"/>
          <w:color w:val="202E39"/>
        </w:rPr>
        <w:t>Equity Plan authorizes a fixed number of shares, so that stockholder approval is required to increase the maximum number of shares of our common stock which may be issued under the Restated Equity Plan.</w:t>
      </w:r>
    </w:p>
    <w:p>
      <w:pPr>
        <w:spacing w:after="0" w:line="27" w:lineRule="exact"/>
        <w:rPr>
          <w:rFonts w:ascii="Arial" w:cs="Arial" w:eastAsia="Arial" w:hAnsi="Arial"/>
          <w:sz w:val="16"/>
          <w:szCs w:val="16"/>
          <w:color w:val="009FE3"/>
        </w:rPr>
      </w:pPr>
    </w:p>
    <w:p>
      <w:pPr>
        <w:ind w:left="640" w:right="380" w:hanging="220"/>
        <w:spacing w:after="0" w:line="264" w:lineRule="auto"/>
        <w:tabs>
          <w:tab w:leader="none" w:pos="640" w:val="left"/>
        </w:tabs>
        <w:numPr>
          <w:ilvl w:val="0"/>
          <w:numId w:val="13"/>
        </w:numPr>
        <w:rPr>
          <w:rFonts w:ascii="Arial" w:cs="Arial" w:eastAsia="Arial" w:hAnsi="Arial"/>
          <w:sz w:val="16"/>
          <w:szCs w:val="16"/>
          <w:color w:val="009FE3"/>
        </w:rPr>
      </w:pPr>
      <w:r>
        <w:rPr>
          <w:rFonts w:ascii="Arial" w:cs="Arial" w:eastAsia="Arial" w:hAnsi="Arial"/>
          <w:sz w:val="16"/>
          <w:szCs w:val="16"/>
          <w:i w:val="1"/>
          <w:iCs w:val="1"/>
          <w:color w:val="202E39"/>
        </w:rPr>
        <w:t xml:space="preserve">No discount stock options or stock appreciation rights. </w:t>
      </w:r>
      <w:r>
        <w:rPr>
          <w:rFonts w:ascii="Arial" w:cs="Arial" w:eastAsia="Arial" w:hAnsi="Arial"/>
          <w:sz w:val="16"/>
          <w:szCs w:val="16"/>
          <w:color w:val="202E39"/>
        </w:rPr>
        <w:t>All stock options and stock appreciation rights will have an exercise price equal to or</w:t>
      </w:r>
      <w:r>
        <w:rPr>
          <w:rFonts w:ascii="Arial" w:cs="Arial" w:eastAsia="Arial" w:hAnsi="Arial"/>
          <w:sz w:val="16"/>
          <w:szCs w:val="16"/>
          <w:i w:val="1"/>
          <w:iCs w:val="1"/>
          <w:color w:val="202E39"/>
        </w:rPr>
        <w:t xml:space="preserve"> </w:t>
      </w:r>
      <w:r>
        <w:rPr>
          <w:rFonts w:ascii="Arial" w:cs="Arial" w:eastAsia="Arial" w:hAnsi="Arial"/>
          <w:sz w:val="16"/>
          <w:szCs w:val="16"/>
          <w:color w:val="202E39"/>
        </w:rPr>
        <w:t>greater than the fair market value of our common stock on the date the stock option or stock appreciation right is granted. To date we have not granted any stock appreciation rights.</w:t>
      </w:r>
    </w:p>
    <w:p>
      <w:pPr>
        <w:spacing w:after="0" w:line="27" w:lineRule="exact"/>
        <w:rPr>
          <w:rFonts w:ascii="Arial" w:cs="Arial" w:eastAsia="Arial" w:hAnsi="Arial"/>
          <w:sz w:val="16"/>
          <w:szCs w:val="16"/>
          <w:color w:val="009FE3"/>
        </w:rPr>
      </w:pPr>
    </w:p>
    <w:p>
      <w:pPr>
        <w:ind w:left="640" w:right="560" w:hanging="220"/>
        <w:spacing w:after="0" w:line="281" w:lineRule="auto"/>
        <w:tabs>
          <w:tab w:leader="none" w:pos="640" w:val="left"/>
        </w:tabs>
        <w:numPr>
          <w:ilvl w:val="0"/>
          <w:numId w:val="13"/>
        </w:numPr>
        <w:rPr>
          <w:rFonts w:ascii="Arial" w:cs="Arial" w:eastAsia="Arial" w:hAnsi="Arial"/>
          <w:sz w:val="16"/>
          <w:szCs w:val="16"/>
          <w:color w:val="009FE3"/>
        </w:rPr>
      </w:pPr>
      <w:r>
        <w:rPr>
          <w:rFonts w:ascii="Arial" w:cs="Arial" w:eastAsia="Arial" w:hAnsi="Arial"/>
          <w:sz w:val="16"/>
          <w:szCs w:val="16"/>
          <w:i w:val="1"/>
          <w:iCs w:val="1"/>
          <w:color w:val="202E39"/>
        </w:rPr>
        <w:t xml:space="preserve">Minimum vesting provision. </w:t>
      </w:r>
      <w:r>
        <w:rPr>
          <w:rFonts w:ascii="Arial" w:cs="Arial" w:eastAsia="Arial" w:hAnsi="Arial"/>
          <w:sz w:val="16"/>
          <w:szCs w:val="16"/>
          <w:color w:val="202E39"/>
        </w:rPr>
        <w:t>The Restated Equity Plan imposes a minimum one-year vesting requirement on all equity awards, with limited</w:t>
      </w:r>
      <w:r>
        <w:rPr>
          <w:rFonts w:ascii="Arial" w:cs="Arial" w:eastAsia="Arial" w:hAnsi="Arial"/>
          <w:sz w:val="16"/>
          <w:szCs w:val="16"/>
          <w:i w:val="1"/>
          <w:iCs w:val="1"/>
          <w:color w:val="202E39"/>
        </w:rPr>
        <w:t xml:space="preserve"> </w:t>
      </w:r>
      <w:r>
        <w:rPr>
          <w:rFonts w:ascii="Arial" w:cs="Arial" w:eastAsia="Arial" w:hAnsi="Arial"/>
          <w:sz w:val="16"/>
          <w:szCs w:val="16"/>
          <w:color w:val="202E39"/>
        </w:rPr>
        <w:t>exceptions.</w:t>
      </w:r>
    </w:p>
    <w:p>
      <w:pPr>
        <w:spacing w:after="0" w:line="14" w:lineRule="exact"/>
        <w:rPr>
          <w:rFonts w:ascii="Arial" w:cs="Arial" w:eastAsia="Arial" w:hAnsi="Arial"/>
          <w:sz w:val="16"/>
          <w:szCs w:val="16"/>
          <w:color w:val="009FE3"/>
        </w:rPr>
      </w:pPr>
    </w:p>
    <w:p>
      <w:pPr>
        <w:ind w:left="640" w:right="360" w:hanging="220"/>
        <w:spacing w:after="0" w:line="281" w:lineRule="auto"/>
        <w:tabs>
          <w:tab w:leader="none" w:pos="640" w:val="left"/>
        </w:tabs>
        <w:numPr>
          <w:ilvl w:val="0"/>
          <w:numId w:val="13"/>
        </w:numPr>
        <w:rPr>
          <w:rFonts w:ascii="Arial" w:cs="Arial" w:eastAsia="Arial" w:hAnsi="Arial"/>
          <w:sz w:val="16"/>
          <w:szCs w:val="16"/>
          <w:color w:val="009FE3"/>
        </w:rPr>
      </w:pPr>
      <w:r>
        <w:rPr>
          <w:rFonts w:ascii="Arial" w:cs="Arial" w:eastAsia="Arial" w:hAnsi="Arial"/>
          <w:sz w:val="16"/>
          <w:szCs w:val="16"/>
          <w:i w:val="1"/>
          <w:iCs w:val="1"/>
          <w:color w:val="202E39"/>
        </w:rPr>
        <w:t xml:space="preserve">No single-trigger vesting of awards. </w:t>
      </w:r>
      <w:r>
        <w:rPr>
          <w:rFonts w:ascii="Arial" w:cs="Arial" w:eastAsia="Arial" w:hAnsi="Arial"/>
          <w:sz w:val="16"/>
          <w:szCs w:val="16"/>
          <w:color w:val="202E39"/>
        </w:rPr>
        <w:t>The Restated Equity Plan does not have any single-trigger accelerated vesting provisions for changes in</w:t>
      </w:r>
      <w:r>
        <w:rPr>
          <w:rFonts w:ascii="Arial" w:cs="Arial" w:eastAsia="Arial" w:hAnsi="Arial"/>
          <w:sz w:val="16"/>
          <w:szCs w:val="16"/>
          <w:i w:val="1"/>
          <w:iCs w:val="1"/>
          <w:color w:val="202E39"/>
        </w:rPr>
        <w:t xml:space="preserve"> </w:t>
      </w:r>
      <w:r>
        <w:rPr>
          <w:rFonts w:ascii="Arial" w:cs="Arial" w:eastAsia="Arial" w:hAnsi="Arial"/>
          <w:sz w:val="16"/>
          <w:szCs w:val="16"/>
          <w:color w:val="202E39"/>
        </w:rPr>
        <w:t>control.</w:t>
      </w:r>
    </w:p>
    <w:p>
      <w:pPr>
        <w:spacing w:after="0" w:line="14" w:lineRule="exact"/>
        <w:rPr>
          <w:rFonts w:ascii="Arial" w:cs="Arial" w:eastAsia="Arial" w:hAnsi="Arial"/>
          <w:sz w:val="16"/>
          <w:szCs w:val="16"/>
          <w:color w:val="009FE3"/>
        </w:rPr>
      </w:pPr>
    </w:p>
    <w:p>
      <w:pPr>
        <w:ind w:left="640" w:hanging="220"/>
        <w:spacing w:after="0" w:line="255" w:lineRule="auto"/>
        <w:tabs>
          <w:tab w:leader="none" w:pos="640" w:val="left"/>
        </w:tabs>
        <w:numPr>
          <w:ilvl w:val="0"/>
          <w:numId w:val="13"/>
        </w:numPr>
        <w:rPr>
          <w:rFonts w:ascii="Arial" w:cs="Arial" w:eastAsia="Arial" w:hAnsi="Arial"/>
          <w:sz w:val="16"/>
          <w:szCs w:val="16"/>
          <w:color w:val="009FE3"/>
        </w:rPr>
      </w:pPr>
      <w:r>
        <w:rPr>
          <w:rFonts w:ascii="Arial" w:cs="Arial" w:eastAsia="Arial" w:hAnsi="Arial"/>
          <w:sz w:val="16"/>
          <w:szCs w:val="16"/>
          <w:i w:val="1"/>
          <w:iCs w:val="1"/>
          <w:color w:val="202E39"/>
        </w:rPr>
        <w:t xml:space="preserve">Limitations on awards. </w:t>
      </w:r>
      <w:r>
        <w:rPr>
          <w:rFonts w:ascii="Arial" w:cs="Arial" w:eastAsia="Arial" w:hAnsi="Arial"/>
          <w:sz w:val="16"/>
          <w:szCs w:val="16"/>
          <w:color w:val="202E39"/>
        </w:rPr>
        <w:t>Not more than 1,000,000 shares may be subject to options or stock appreciation rights for any one individual per fiscal</w:t>
      </w:r>
      <w:r>
        <w:rPr>
          <w:rFonts w:ascii="Arial" w:cs="Arial" w:eastAsia="Arial" w:hAnsi="Arial"/>
          <w:sz w:val="16"/>
          <w:szCs w:val="16"/>
          <w:i w:val="1"/>
          <w:iCs w:val="1"/>
          <w:color w:val="202E39"/>
        </w:rPr>
        <w:t xml:space="preserve"> </w:t>
      </w:r>
      <w:r>
        <w:rPr>
          <w:rFonts w:ascii="Arial" w:cs="Arial" w:eastAsia="Arial" w:hAnsi="Arial"/>
          <w:sz w:val="16"/>
          <w:szCs w:val="16"/>
          <w:color w:val="202E39"/>
        </w:rPr>
        <w:t>year. The Restated Equity Plan also has an individual award limit of 300,000 shares per fiscal year for grants of restricted stock, performance awards, dividend equivalents, restricted stock units and stock payments (except for grants made upon initial service of an employee, which have an award limit of 600,000 shares). In addition, the maximum aggregate amount of cash that may be paid in cash to any one person during any fiscal year with respect to one or more awards initially payable in cash shall be $5,000,000.</w:t>
      </w:r>
    </w:p>
    <w:p>
      <w:pPr>
        <w:spacing w:after="0" w:line="35" w:lineRule="exact"/>
        <w:rPr>
          <w:rFonts w:ascii="Arial" w:cs="Arial" w:eastAsia="Arial" w:hAnsi="Arial"/>
          <w:sz w:val="16"/>
          <w:szCs w:val="16"/>
          <w:color w:val="009FE3"/>
        </w:rPr>
      </w:pPr>
    </w:p>
    <w:p>
      <w:pPr>
        <w:ind w:left="640" w:right="140" w:hanging="220"/>
        <w:spacing w:after="0" w:line="281" w:lineRule="auto"/>
        <w:tabs>
          <w:tab w:leader="none" w:pos="640" w:val="left"/>
        </w:tabs>
        <w:numPr>
          <w:ilvl w:val="0"/>
          <w:numId w:val="13"/>
        </w:numPr>
        <w:rPr>
          <w:rFonts w:ascii="Arial" w:cs="Arial" w:eastAsia="Arial" w:hAnsi="Arial"/>
          <w:sz w:val="16"/>
          <w:szCs w:val="16"/>
          <w:color w:val="009FE3"/>
        </w:rPr>
      </w:pPr>
      <w:r>
        <w:rPr>
          <w:rFonts w:ascii="Arial" w:cs="Arial" w:eastAsia="Arial" w:hAnsi="Arial"/>
          <w:sz w:val="16"/>
          <w:szCs w:val="16"/>
          <w:i w:val="1"/>
          <w:iCs w:val="1"/>
          <w:color w:val="202E39"/>
        </w:rPr>
        <w:t xml:space="preserve">Repricing is not allowed. </w:t>
      </w:r>
      <w:r>
        <w:rPr>
          <w:rFonts w:ascii="Arial" w:cs="Arial" w:eastAsia="Arial" w:hAnsi="Arial"/>
          <w:sz w:val="16"/>
          <w:szCs w:val="16"/>
          <w:color w:val="202E39"/>
        </w:rPr>
        <w:t>The Restated Equity Plan prohibits the repricing or other exchange of underwater stock options and stock appreciation</w:t>
      </w:r>
      <w:r>
        <w:rPr>
          <w:rFonts w:ascii="Arial" w:cs="Arial" w:eastAsia="Arial" w:hAnsi="Arial"/>
          <w:sz w:val="16"/>
          <w:szCs w:val="16"/>
          <w:i w:val="1"/>
          <w:iCs w:val="1"/>
          <w:color w:val="202E39"/>
        </w:rPr>
        <w:t xml:space="preserve"> </w:t>
      </w:r>
      <w:r>
        <w:rPr>
          <w:rFonts w:ascii="Arial" w:cs="Arial" w:eastAsia="Arial" w:hAnsi="Arial"/>
          <w:sz w:val="16"/>
          <w:szCs w:val="16"/>
          <w:color w:val="202E39"/>
        </w:rPr>
        <w:t>rights for new awards or cash without prior stockholder approval.</w:t>
      </w:r>
    </w:p>
    <w:p>
      <w:pPr>
        <w:spacing w:after="0" w:line="14" w:lineRule="exact"/>
        <w:rPr>
          <w:rFonts w:ascii="Arial" w:cs="Arial" w:eastAsia="Arial" w:hAnsi="Arial"/>
          <w:sz w:val="16"/>
          <w:szCs w:val="16"/>
          <w:color w:val="009FE3"/>
        </w:rPr>
      </w:pPr>
    </w:p>
    <w:p>
      <w:pPr>
        <w:ind w:left="640" w:right="100" w:hanging="220"/>
        <w:spacing w:after="0" w:line="253" w:lineRule="auto"/>
        <w:tabs>
          <w:tab w:leader="none" w:pos="640" w:val="left"/>
        </w:tabs>
        <w:numPr>
          <w:ilvl w:val="0"/>
          <w:numId w:val="13"/>
        </w:numPr>
        <w:rPr>
          <w:rFonts w:ascii="Arial" w:cs="Arial" w:eastAsia="Arial" w:hAnsi="Arial"/>
          <w:sz w:val="16"/>
          <w:szCs w:val="16"/>
          <w:color w:val="009FE3"/>
        </w:rPr>
      </w:pPr>
      <w:r>
        <w:rPr>
          <w:rFonts w:ascii="Arial" w:cs="Arial" w:eastAsia="Arial" w:hAnsi="Arial"/>
          <w:sz w:val="16"/>
          <w:szCs w:val="16"/>
          <w:i w:val="1"/>
          <w:iCs w:val="1"/>
          <w:color w:val="202E39"/>
        </w:rPr>
        <w:t xml:space="preserve">Reasonable limit on full value awards. </w:t>
      </w:r>
      <w:r>
        <w:rPr>
          <w:rFonts w:ascii="Arial" w:cs="Arial" w:eastAsia="Arial" w:hAnsi="Arial"/>
          <w:sz w:val="16"/>
          <w:szCs w:val="16"/>
          <w:color w:val="202E39"/>
        </w:rPr>
        <w:t>For purposes of calculating the shares that remain available for issuance under the Restated Equity Plan,</w:t>
      </w:r>
      <w:r>
        <w:rPr>
          <w:rFonts w:ascii="Arial" w:cs="Arial" w:eastAsia="Arial" w:hAnsi="Arial"/>
          <w:sz w:val="16"/>
          <w:szCs w:val="16"/>
          <w:i w:val="1"/>
          <w:iCs w:val="1"/>
          <w:color w:val="202E39"/>
        </w:rPr>
        <w:t xml:space="preserve"> </w:t>
      </w:r>
      <w:r>
        <w:rPr>
          <w:rFonts w:ascii="Arial" w:cs="Arial" w:eastAsia="Arial" w:hAnsi="Arial"/>
          <w:sz w:val="16"/>
          <w:szCs w:val="16"/>
          <w:color w:val="202E39"/>
        </w:rPr>
        <w:t>grants of options and stock appreciation rights will be counted as the grant of one share for each one share actually granted, as described above. However, to protect our stockholders from potentially greater dilutive effect of full value awards, all grants of full value awards will be counted against the Restated Equity Plan’s share reserve as 2 shares for each share subject to full value awards granted prior to September 22, 2010 and subsequent to September 19, 2012, and as 2.65 shares for each share subject to full value awards granted during the period beginning on September 22, 2010 and ending on September 19, 2012.</w:t>
      </w:r>
    </w:p>
    <w:p>
      <w:pPr>
        <w:spacing w:after="0" w:line="38" w:lineRule="exact"/>
        <w:rPr>
          <w:rFonts w:ascii="Arial" w:cs="Arial" w:eastAsia="Arial" w:hAnsi="Arial"/>
          <w:sz w:val="16"/>
          <w:szCs w:val="16"/>
          <w:color w:val="009FE3"/>
        </w:rPr>
      </w:pPr>
    </w:p>
    <w:p>
      <w:pPr>
        <w:ind w:left="640" w:right="60" w:hanging="220"/>
        <w:spacing w:after="0" w:line="258" w:lineRule="auto"/>
        <w:tabs>
          <w:tab w:leader="none" w:pos="640" w:val="left"/>
        </w:tabs>
        <w:numPr>
          <w:ilvl w:val="0"/>
          <w:numId w:val="13"/>
        </w:numPr>
        <w:rPr>
          <w:rFonts w:ascii="Arial" w:cs="Arial" w:eastAsia="Arial" w:hAnsi="Arial"/>
          <w:sz w:val="16"/>
          <w:szCs w:val="16"/>
          <w:color w:val="009FE3"/>
        </w:rPr>
      </w:pPr>
      <w:r>
        <w:rPr>
          <w:rFonts w:ascii="Arial" w:cs="Arial" w:eastAsia="Arial" w:hAnsi="Arial"/>
          <w:sz w:val="16"/>
          <w:szCs w:val="16"/>
          <w:i w:val="1"/>
          <w:iCs w:val="1"/>
          <w:color w:val="202E39"/>
        </w:rPr>
        <w:t xml:space="preserve">Reasonable share counting provisions. </w:t>
      </w:r>
      <w:r>
        <w:rPr>
          <w:rFonts w:ascii="Arial" w:cs="Arial" w:eastAsia="Arial" w:hAnsi="Arial"/>
          <w:sz w:val="16"/>
          <w:szCs w:val="16"/>
          <w:color w:val="202E39"/>
        </w:rPr>
        <w:t>In general, when awards granted under the Restated Equity Plan expire or are canceled, or are settled in</w:t>
      </w:r>
      <w:r>
        <w:rPr>
          <w:rFonts w:ascii="Arial" w:cs="Arial" w:eastAsia="Arial" w:hAnsi="Arial"/>
          <w:sz w:val="16"/>
          <w:szCs w:val="16"/>
          <w:i w:val="1"/>
          <w:iCs w:val="1"/>
          <w:color w:val="202E39"/>
        </w:rPr>
        <w:t xml:space="preserve"> </w:t>
      </w:r>
      <w:r>
        <w:rPr>
          <w:rFonts w:ascii="Arial" w:cs="Arial" w:eastAsia="Arial" w:hAnsi="Arial"/>
          <w:sz w:val="16"/>
          <w:szCs w:val="16"/>
          <w:color w:val="202E39"/>
        </w:rPr>
        <w:t>cash, or when the shares subject to a full value award are forfeited by the holder or withheld or repurchased by us, including to satisfy any tax withholding obligation with respect to such full value award, the shares reserved for those awards will be returned to the share reserve and be available for future awards in an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81280</wp:posOffset>
            </wp:positionV>
            <wp:extent cx="42862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18</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80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47" w:lineRule="exact"/>
        <w:rPr>
          <w:sz w:val="20"/>
          <w:szCs w:val="20"/>
          <w:color w:val="auto"/>
        </w:rPr>
      </w:pPr>
    </w:p>
    <w:p>
      <w:pPr>
        <w:ind w:left="640" w:right="80"/>
        <w:spacing w:after="0" w:line="248" w:lineRule="auto"/>
        <w:rPr>
          <w:sz w:val="20"/>
          <w:szCs w:val="20"/>
          <w:color w:val="auto"/>
        </w:rPr>
      </w:pPr>
      <w:r>
        <w:rPr>
          <w:rFonts w:ascii="Arial" w:cs="Arial" w:eastAsia="Arial" w:hAnsi="Arial"/>
          <w:sz w:val="16"/>
          <w:szCs w:val="16"/>
          <w:color w:val="202E39"/>
        </w:rPr>
        <w:t>corresponding to the reduction in the share reserve previously made with respect to such award (provided that shares tendered by the holder or withheld by us to satisfy any tax withholding obligation with respect to a full value award at a tax withholding rate in excess of the minimum tax withholding obligation shall not be added back to the share reserve to the extent in excess of such minimum tax withholding obligation). However, the following shares will not be returned to the share reserve under the Restated Equity Plan: (1) shares of common stock that are delivered by the grantee or withheld by us as payment of the exercise price in connection with the exercise of an option or payment of the tax withholding obligation in connection with any option or stock appreciation right; (2) shares purchased on the open market with the cash proceeds from the exercise of options; and (3) shares subject to a stock appreciation right that are not issued in connection with the stock settlement of the stock appreciation right on its exercise.</w:t>
      </w:r>
    </w:p>
    <w:p>
      <w:pPr>
        <w:spacing w:after="0" w:line="43" w:lineRule="exact"/>
        <w:rPr>
          <w:sz w:val="20"/>
          <w:szCs w:val="20"/>
          <w:color w:val="auto"/>
        </w:rPr>
      </w:pPr>
    </w:p>
    <w:p>
      <w:pPr>
        <w:ind w:left="640" w:right="180" w:hanging="220"/>
        <w:spacing w:after="0" w:line="281" w:lineRule="auto"/>
        <w:tabs>
          <w:tab w:leader="none" w:pos="640" w:val="left"/>
        </w:tabs>
        <w:numPr>
          <w:ilvl w:val="0"/>
          <w:numId w:val="14"/>
        </w:numPr>
        <w:rPr>
          <w:rFonts w:ascii="Arial" w:cs="Arial" w:eastAsia="Arial" w:hAnsi="Arial"/>
          <w:sz w:val="16"/>
          <w:szCs w:val="16"/>
          <w:color w:val="009FE3"/>
        </w:rPr>
      </w:pPr>
      <w:r>
        <w:rPr>
          <w:rFonts w:ascii="Arial" w:cs="Arial" w:eastAsia="Arial" w:hAnsi="Arial"/>
          <w:sz w:val="16"/>
          <w:szCs w:val="16"/>
          <w:i w:val="1"/>
          <w:iCs w:val="1"/>
          <w:color w:val="202E39"/>
        </w:rPr>
        <w:t xml:space="preserve">Limitations on dividend and dividend equivalent payments on unvested awards. </w:t>
      </w:r>
      <w:r>
        <w:rPr>
          <w:rFonts w:ascii="Arial" w:cs="Arial" w:eastAsia="Arial" w:hAnsi="Arial"/>
          <w:sz w:val="16"/>
          <w:szCs w:val="16"/>
          <w:color w:val="202E39"/>
        </w:rPr>
        <w:t>Dividends and dividend equivalents may not be paid on awards</w:t>
      </w:r>
      <w:r>
        <w:rPr>
          <w:rFonts w:ascii="Arial" w:cs="Arial" w:eastAsia="Arial" w:hAnsi="Arial"/>
          <w:sz w:val="16"/>
          <w:szCs w:val="16"/>
          <w:i w:val="1"/>
          <w:iCs w:val="1"/>
          <w:color w:val="202E39"/>
        </w:rPr>
        <w:t xml:space="preserve"> </w:t>
      </w:r>
      <w:r>
        <w:rPr>
          <w:rFonts w:ascii="Arial" w:cs="Arial" w:eastAsia="Arial" w:hAnsi="Arial"/>
          <w:sz w:val="16"/>
          <w:szCs w:val="16"/>
          <w:color w:val="202E39"/>
        </w:rPr>
        <w:t>subject to vesting conditions unless and until such conditions are met.</w:t>
      </w:r>
    </w:p>
    <w:p>
      <w:pPr>
        <w:spacing w:after="0" w:line="14" w:lineRule="exact"/>
        <w:rPr>
          <w:rFonts w:ascii="Arial" w:cs="Arial" w:eastAsia="Arial" w:hAnsi="Arial"/>
          <w:sz w:val="16"/>
          <w:szCs w:val="16"/>
          <w:color w:val="009FE3"/>
        </w:rPr>
      </w:pPr>
    </w:p>
    <w:p>
      <w:pPr>
        <w:ind w:left="640" w:hanging="220"/>
        <w:spacing w:after="0"/>
        <w:tabs>
          <w:tab w:leader="none" w:pos="640" w:val="left"/>
        </w:tabs>
        <w:numPr>
          <w:ilvl w:val="0"/>
          <w:numId w:val="14"/>
        </w:numPr>
        <w:rPr>
          <w:rFonts w:ascii="Arial" w:cs="Arial" w:eastAsia="Arial" w:hAnsi="Arial"/>
          <w:sz w:val="16"/>
          <w:szCs w:val="16"/>
          <w:color w:val="009FE3"/>
        </w:rPr>
      </w:pPr>
      <w:r>
        <w:rPr>
          <w:rFonts w:ascii="Arial" w:cs="Arial" w:eastAsia="Arial" w:hAnsi="Arial"/>
          <w:sz w:val="16"/>
          <w:szCs w:val="16"/>
          <w:i w:val="1"/>
          <w:iCs w:val="1"/>
          <w:color w:val="202E39"/>
        </w:rPr>
        <w:t>No tax gross-ups</w:t>
      </w:r>
      <w:r>
        <w:rPr>
          <w:rFonts w:ascii="Arial" w:cs="Arial" w:eastAsia="Arial" w:hAnsi="Arial"/>
          <w:sz w:val="16"/>
          <w:szCs w:val="16"/>
          <w:color w:val="202E39"/>
        </w:rPr>
        <w:t>.  The Restated Equity Plan does not provide for any tax gross-ups.</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Summary of the Restated Equity Plan</w:t>
      </w:r>
    </w:p>
    <w:p>
      <w:pPr>
        <w:spacing w:after="0" w:line="124" w:lineRule="exact"/>
        <w:rPr>
          <w:sz w:val="20"/>
          <w:szCs w:val="20"/>
          <w:color w:val="auto"/>
        </w:rPr>
      </w:pPr>
    </w:p>
    <w:p>
      <w:pPr>
        <w:ind w:left="200" w:right="120"/>
        <w:spacing w:after="0" w:line="260" w:lineRule="auto"/>
        <w:rPr>
          <w:sz w:val="20"/>
          <w:szCs w:val="20"/>
          <w:color w:val="auto"/>
        </w:rPr>
      </w:pPr>
      <w:r>
        <w:rPr>
          <w:rFonts w:ascii="Arial" w:cs="Arial" w:eastAsia="Arial" w:hAnsi="Arial"/>
          <w:sz w:val="16"/>
          <w:szCs w:val="16"/>
          <w:color w:val="202E39"/>
        </w:rPr>
        <w:t xml:space="preserve">The following is a summary of the Restated Equity Plan. This summary does not purport to be complete and is qualified in its entirety by reference to the full text of the Restated Equity Plan, a copy of which is attached as </w:t>
      </w:r>
      <w:r>
        <w:rPr>
          <w:rFonts w:ascii="Arial" w:cs="Arial" w:eastAsia="Arial" w:hAnsi="Arial"/>
          <w:sz w:val="16"/>
          <w:szCs w:val="16"/>
          <w:i w:val="1"/>
          <w:iCs w:val="1"/>
          <w:color w:val="202E39"/>
        </w:rPr>
        <w:t>Appendix A</w:t>
      </w:r>
      <w:r>
        <w:rPr>
          <w:rFonts w:ascii="Arial" w:cs="Arial" w:eastAsia="Arial" w:hAnsi="Arial"/>
          <w:sz w:val="16"/>
          <w:szCs w:val="16"/>
          <w:color w:val="202E39"/>
        </w:rPr>
        <w:t xml:space="preserve"> to this proxy statement.</w:t>
      </w:r>
    </w:p>
    <w:p>
      <w:pPr>
        <w:spacing w:after="0" w:line="72" w:lineRule="exact"/>
        <w:rPr>
          <w:sz w:val="20"/>
          <w:szCs w:val="20"/>
          <w:color w:val="auto"/>
        </w:rPr>
      </w:pPr>
    </w:p>
    <w:p>
      <w:pPr>
        <w:ind w:left="200" w:right="220"/>
        <w:spacing w:after="0" w:line="253" w:lineRule="auto"/>
        <w:rPr>
          <w:sz w:val="20"/>
          <w:szCs w:val="20"/>
          <w:color w:val="auto"/>
        </w:rPr>
      </w:pPr>
      <w:r>
        <w:rPr>
          <w:rFonts w:ascii="Arial" w:cs="Arial" w:eastAsia="Arial" w:hAnsi="Arial"/>
          <w:sz w:val="16"/>
          <w:szCs w:val="16"/>
          <w:i w:val="1"/>
          <w:iCs w:val="1"/>
          <w:color w:val="009FE3"/>
        </w:rPr>
        <w:t xml:space="preserve">General Nature and Purpose. </w:t>
      </w:r>
      <w:r>
        <w:rPr>
          <w:rFonts w:ascii="Arial" w:cs="Arial" w:eastAsia="Arial" w:hAnsi="Arial"/>
          <w:sz w:val="16"/>
          <w:szCs w:val="16"/>
          <w:color w:val="202E39"/>
        </w:rPr>
        <w:t>The Restated Equity Plan was adopted (1) to further our growth, development and financial success by providing</w:t>
      </w:r>
      <w:r>
        <w:rPr>
          <w:rFonts w:ascii="Arial" w:cs="Arial" w:eastAsia="Arial" w:hAnsi="Arial"/>
          <w:sz w:val="16"/>
          <w:szCs w:val="16"/>
          <w:i w:val="1"/>
          <w:iCs w:val="1"/>
          <w:color w:val="009FE3"/>
        </w:rPr>
        <w:t xml:space="preserve"> </w:t>
      </w:r>
      <w:r>
        <w:rPr>
          <w:rFonts w:ascii="Arial" w:cs="Arial" w:eastAsia="Arial" w:hAnsi="Arial"/>
          <w:sz w:val="16"/>
          <w:szCs w:val="16"/>
          <w:color w:val="202E39"/>
        </w:rPr>
        <w:t>additional incentives to some of our key employees who have been or will be given responsibility for the management or administration of our business affairs, by assisting them to become owners of our capital stock and thus to benefit directly from our growth, development and financial success, and</w:t>
      </w:r>
    </w:p>
    <w:p>
      <w:pPr>
        <w:spacing w:after="0" w:line="1" w:lineRule="exact"/>
        <w:rPr>
          <w:sz w:val="20"/>
          <w:szCs w:val="20"/>
          <w:color w:val="auto"/>
        </w:rPr>
      </w:pPr>
    </w:p>
    <w:p>
      <w:pPr>
        <w:ind w:left="200" w:right="40" w:firstLine="4"/>
        <w:spacing w:after="0" w:line="250" w:lineRule="auto"/>
        <w:tabs>
          <w:tab w:leader="none" w:pos="443" w:val="left"/>
        </w:tabs>
        <w:numPr>
          <w:ilvl w:val="0"/>
          <w:numId w:val="15"/>
        </w:numPr>
        <w:rPr>
          <w:rFonts w:ascii="Arial" w:cs="Arial" w:eastAsia="Arial" w:hAnsi="Arial"/>
          <w:sz w:val="16"/>
          <w:szCs w:val="16"/>
          <w:color w:val="202E39"/>
        </w:rPr>
      </w:pPr>
      <w:r>
        <w:rPr>
          <w:rFonts w:ascii="Arial" w:cs="Arial" w:eastAsia="Arial" w:hAnsi="Arial"/>
          <w:sz w:val="16"/>
          <w:szCs w:val="16"/>
          <w:color w:val="202E39"/>
        </w:rPr>
        <w:t>to enable us to retain the services of the type of professional, technical and managerial employees considered essential to our long-range success, by providing and offering them the opportunity to become owners of our capital stock. The Restated Equity Plan provides for the grant to our executive officers, other key employees, consultants and non-employee directors of a broad variety of stock-based compensation alternatives such as non-qualified stock options, incentive stock options, restricted stock, restricted stock units, dividend equivalents, stock payments, stock appreciation rights and performance awards.</w:t>
      </w:r>
    </w:p>
    <w:p>
      <w:pPr>
        <w:spacing w:after="0" w:line="79" w:lineRule="exact"/>
        <w:rPr>
          <w:sz w:val="20"/>
          <w:szCs w:val="20"/>
          <w:color w:val="auto"/>
        </w:rPr>
      </w:pPr>
    </w:p>
    <w:p>
      <w:pPr>
        <w:ind w:left="200" w:right="80"/>
        <w:spacing w:after="0" w:line="258" w:lineRule="auto"/>
        <w:rPr>
          <w:sz w:val="20"/>
          <w:szCs w:val="20"/>
          <w:color w:val="auto"/>
        </w:rPr>
      </w:pPr>
      <w:r>
        <w:rPr>
          <w:rFonts w:ascii="Arial" w:cs="Arial" w:eastAsia="Arial" w:hAnsi="Arial"/>
          <w:sz w:val="16"/>
          <w:szCs w:val="16"/>
          <w:i w:val="1"/>
          <w:iCs w:val="1"/>
          <w:color w:val="009FE3"/>
        </w:rPr>
        <w:t xml:space="preserve">Administration. </w:t>
      </w:r>
      <w:r>
        <w:rPr>
          <w:rFonts w:ascii="Arial" w:cs="Arial" w:eastAsia="Arial" w:hAnsi="Arial"/>
          <w:sz w:val="16"/>
          <w:szCs w:val="16"/>
          <w:color w:val="202E39"/>
        </w:rPr>
        <w:t>The Compensation and Human Resources Committee of the Board of Directors will administer the Restated Equity Plan. The full Board</w:t>
      </w:r>
      <w:r>
        <w:rPr>
          <w:rFonts w:ascii="Arial" w:cs="Arial" w:eastAsia="Arial" w:hAnsi="Arial"/>
          <w:sz w:val="16"/>
          <w:szCs w:val="16"/>
          <w:i w:val="1"/>
          <w:iCs w:val="1"/>
          <w:color w:val="009FE3"/>
        </w:rPr>
        <w:t xml:space="preserve"> </w:t>
      </w:r>
      <w:r>
        <w:rPr>
          <w:rFonts w:ascii="Arial" w:cs="Arial" w:eastAsia="Arial" w:hAnsi="Arial"/>
          <w:sz w:val="16"/>
          <w:szCs w:val="16"/>
          <w:color w:val="202E39"/>
        </w:rPr>
        <w:t>of Directors will administer the Restated Equity Plan with respect to awards to non-employee directors. The Compensation and Human Resources Committee and the Board of Directors, as applicable, are referred to in this summary as the plan administrator. In addition to administering the Restated Equity Plan, the plan administrator is also authorized to adopt, amend and rescind rules relating to the administration of the Restated Equity Plan.</w:t>
      </w:r>
    </w:p>
    <w:p>
      <w:pPr>
        <w:spacing w:after="0" w:line="73" w:lineRule="exact"/>
        <w:rPr>
          <w:sz w:val="20"/>
          <w:szCs w:val="20"/>
          <w:color w:val="auto"/>
        </w:rPr>
      </w:pPr>
    </w:p>
    <w:p>
      <w:pPr>
        <w:ind w:left="200" w:right="80"/>
        <w:spacing w:after="0" w:line="250" w:lineRule="auto"/>
        <w:rPr>
          <w:sz w:val="20"/>
          <w:szCs w:val="20"/>
          <w:color w:val="auto"/>
        </w:rPr>
      </w:pPr>
      <w:r>
        <w:rPr>
          <w:rFonts w:ascii="Arial" w:cs="Arial" w:eastAsia="Arial" w:hAnsi="Arial"/>
          <w:sz w:val="16"/>
          <w:szCs w:val="16"/>
          <w:i w:val="1"/>
          <w:iCs w:val="1"/>
          <w:color w:val="009FE3"/>
        </w:rPr>
        <w:t xml:space="preserve">Shares Subject to Restated Equity Plan. </w:t>
      </w:r>
      <w:r>
        <w:rPr>
          <w:rFonts w:ascii="Arial" w:cs="Arial" w:eastAsia="Arial" w:hAnsi="Arial"/>
          <w:sz w:val="16"/>
          <w:szCs w:val="16"/>
          <w:color w:val="202E39"/>
        </w:rPr>
        <w:t>The Equity Plan currently provides for the issuance of up to 29,050,000 shares of our common stock (of which</w:t>
      </w:r>
      <w:r>
        <w:rPr>
          <w:rFonts w:ascii="Arial" w:cs="Arial" w:eastAsia="Arial" w:hAnsi="Arial"/>
          <w:sz w:val="16"/>
          <w:szCs w:val="16"/>
          <w:i w:val="1"/>
          <w:iCs w:val="1"/>
          <w:color w:val="009FE3"/>
        </w:rPr>
        <w:t xml:space="preserve"> </w:t>
      </w:r>
      <w:r>
        <w:rPr>
          <w:rFonts w:ascii="Arial" w:cs="Arial" w:eastAsia="Arial" w:hAnsi="Arial"/>
          <w:sz w:val="16"/>
          <w:szCs w:val="16"/>
          <w:color w:val="202E39"/>
        </w:rPr>
        <w:t>1,909,065 shares remain available for issuance as of June 29, 2018) and, if this Proposal 4 is approved, the Restated Equity Plan will provide for the issuance of up to 31,850,000 shares of our common stock. Under the terms of the Restated Equity Plan, the shares available for issuance may be used for all types of awards under a fungible pool formula. Pursuant to this fungible pool formula, the available share reserve will be reduced by one share for every one share subject to an option or a stock appreciation right. Full value awards will be counted against the Restated Equity Plan’s available share reserve as 2 shares for each share subject to full value awards granted prior to September 22, 2010 and subsequent to September 19, 2012, and as</w:t>
      </w:r>
    </w:p>
    <w:p>
      <w:pPr>
        <w:spacing w:after="0" w:line="1" w:lineRule="exact"/>
        <w:rPr>
          <w:sz w:val="20"/>
          <w:szCs w:val="20"/>
          <w:color w:val="auto"/>
        </w:rPr>
      </w:pPr>
    </w:p>
    <w:p>
      <w:pPr>
        <w:ind w:left="200" w:right="120"/>
        <w:spacing w:after="0" w:line="253" w:lineRule="auto"/>
        <w:rPr>
          <w:sz w:val="20"/>
          <w:szCs w:val="20"/>
          <w:color w:val="auto"/>
        </w:rPr>
      </w:pPr>
      <w:r>
        <w:rPr>
          <w:rFonts w:ascii="Arial" w:cs="Arial" w:eastAsia="Arial" w:hAnsi="Arial"/>
          <w:sz w:val="16"/>
          <w:szCs w:val="16"/>
          <w:color w:val="202E39"/>
        </w:rPr>
        <w:t>2.65 shares for each share subject to full value awards granted during the period beginning on September 22, 2010 and ending on September 19, 2012. The payment of dividend equivalents in cash in conjunction with any outstanding awards will not be counted against the shares available for issuance under the Restated Equity Plan.</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If (1) any award under the Restated Equity Plan expires or is cancelled without having been fully exercised or paid or such award is settled for cash,</w:t>
      </w:r>
    </w:p>
    <w:p>
      <w:pPr>
        <w:spacing w:after="0" w:line="5" w:lineRule="exact"/>
        <w:rPr>
          <w:sz w:val="20"/>
          <w:szCs w:val="20"/>
          <w:color w:val="auto"/>
        </w:rPr>
      </w:pPr>
    </w:p>
    <w:p>
      <w:pPr>
        <w:ind w:left="200" w:right="100" w:firstLine="4"/>
        <w:spacing w:after="0" w:line="251" w:lineRule="auto"/>
        <w:tabs>
          <w:tab w:leader="none" w:pos="443" w:val="left"/>
        </w:tabs>
        <w:numPr>
          <w:ilvl w:val="0"/>
          <w:numId w:val="16"/>
        </w:numPr>
        <w:rPr>
          <w:rFonts w:ascii="Arial" w:cs="Arial" w:eastAsia="Arial" w:hAnsi="Arial"/>
          <w:sz w:val="16"/>
          <w:szCs w:val="16"/>
          <w:color w:val="202E39"/>
        </w:rPr>
      </w:pPr>
      <w:r>
        <w:rPr>
          <w:rFonts w:ascii="Arial" w:cs="Arial" w:eastAsia="Arial" w:hAnsi="Arial"/>
          <w:sz w:val="16"/>
          <w:szCs w:val="16"/>
          <w:color w:val="202E39"/>
        </w:rPr>
        <w:t>any shares subject to a full value award are forfeited by the holder or repurchased by us, or (3) any shares are tendered by the holder or withheld by us to satisfy any tax withholding obligation with respect to a full value award, then the shares subject to such award may, to the extent of such expiration, cancellation, cash settlement, forfeiture or repurchase, be used again for new grants under the Restated Equity Plan in an amount corresponding to the reduction in the share reserve previously made with respect to such award.</w:t>
      </w:r>
    </w:p>
    <w:p>
      <w:pPr>
        <w:spacing w:after="0" w:line="95" w:lineRule="exact"/>
        <w:rPr>
          <w:sz w:val="20"/>
          <w:szCs w:val="20"/>
          <w:color w:val="auto"/>
        </w:rPr>
      </w:pPr>
    </w:p>
    <w:p>
      <w:pPr>
        <w:ind w:left="200"/>
        <w:spacing w:after="0" w:line="246" w:lineRule="auto"/>
        <w:rPr>
          <w:sz w:val="20"/>
          <w:szCs w:val="20"/>
          <w:color w:val="auto"/>
        </w:rPr>
      </w:pPr>
      <w:r>
        <w:rPr>
          <w:rFonts w:ascii="Arial" w:cs="Arial" w:eastAsia="Arial" w:hAnsi="Arial"/>
          <w:sz w:val="16"/>
          <w:szCs w:val="16"/>
          <w:color w:val="202E39"/>
        </w:rPr>
        <w:t>Notwithstanding the foregoing, the following shares will not be added to the shares authorized for grant under the Restated Equity Plan: (1) any shares tendered or withheld to satisfy the exercise price of an option or any tax withholding obligation with respect to an option or stock appreciation right, (2) any shares subject to a stock appreciation right that are not issued in connection with the stock settlement of the stock appreciation right on its exercise,</w:t>
      </w:r>
    </w:p>
    <w:p>
      <w:pPr>
        <w:spacing w:after="0" w:line="1" w:lineRule="exact"/>
        <w:rPr>
          <w:sz w:val="20"/>
          <w:szCs w:val="20"/>
          <w:color w:val="auto"/>
        </w:rPr>
      </w:pPr>
    </w:p>
    <w:p>
      <w:pPr>
        <w:ind w:left="200" w:right="60" w:firstLine="4"/>
        <w:spacing w:after="0" w:line="253" w:lineRule="auto"/>
        <w:tabs>
          <w:tab w:leader="none" w:pos="443" w:val="left"/>
        </w:tabs>
        <w:numPr>
          <w:ilvl w:val="0"/>
          <w:numId w:val="17"/>
        </w:numPr>
        <w:rPr>
          <w:rFonts w:ascii="Arial" w:cs="Arial" w:eastAsia="Arial" w:hAnsi="Arial"/>
          <w:sz w:val="16"/>
          <w:szCs w:val="16"/>
          <w:color w:val="202E39"/>
        </w:rPr>
      </w:pPr>
      <w:r>
        <w:rPr>
          <w:rFonts w:ascii="Arial" w:cs="Arial" w:eastAsia="Arial" w:hAnsi="Arial"/>
          <w:sz w:val="16"/>
          <w:szCs w:val="16"/>
          <w:color w:val="202E39"/>
        </w:rPr>
        <w:t>any shares purchased on the open market with the cash proceeds from the exercise of options, and (4) any shares tendered by the holder or withheld by us to satisfy any tax withholding obligation with respect to a full value award at a tax withholding rate in excess of the minimum tax withholding obligation, to the extent in excess of such minimum tax withholding obligation.</w:t>
      </w:r>
    </w:p>
    <w:p>
      <w:pPr>
        <w:spacing w:after="0" w:line="119"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19</w:t>
            </w:r>
          </w:p>
        </w:tc>
      </w:tr>
    </w:tbl>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1996 Equity Participation Plan</w:t>
      </w:r>
    </w:p>
    <w:p>
      <w:pPr>
        <w:spacing w:after="0" w:line="147"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The number of shares subject to the Restated Equity Plan, and the limitations on the number of shares subject to grants and awards under the Restated Equity Plan, may in the discretion of the plan administrator be adjusted to reflect changes in our capitalization or certain corporate events which are described more fully in the Restated Equity Plan, but include stock splits, recapitalizations, reorganizations and reclassifications. In the event of an equity restructuring, (1) the number and type of securities subject to each outstanding award and the grant or exercise price per share for each outstanding award, if applicable, will be proportionately adjusted, and (2) the plan administrator will make proportionate adjustments to reflect such equity restructuring with respect to the aggregate number and type of shares that may be issued under the Restated Equity Plan (including, but not limited to, adjustments of the number of shares available under the plan and the maximum number of shares which may be subject to awards to a participant during any fiscal year).</w:t>
      </w:r>
    </w:p>
    <w:p>
      <w:pPr>
        <w:spacing w:after="0" w:line="290" w:lineRule="exact"/>
        <w:rPr>
          <w:sz w:val="20"/>
          <w:szCs w:val="20"/>
          <w:color w:val="auto"/>
        </w:rPr>
      </w:pPr>
    </w:p>
    <w:p>
      <w:pPr>
        <w:ind w:left="200" w:right="180"/>
        <w:spacing w:after="0" w:line="250" w:lineRule="auto"/>
        <w:rPr>
          <w:sz w:val="20"/>
          <w:szCs w:val="20"/>
          <w:color w:val="auto"/>
        </w:rPr>
      </w:pPr>
      <w:r>
        <w:rPr>
          <w:rFonts w:ascii="Arial" w:cs="Arial" w:eastAsia="Arial" w:hAnsi="Arial"/>
          <w:sz w:val="16"/>
          <w:szCs w:val="16"/>
          <w:color w:val="202E39"/>
        </w:rPr>
        <w:t>Under the Restated Equity Plan, not more than 1,000,000 shares may be subject to options or stock appreciation rights for any one individual per fiscal year. The Restated Equity Plan also has an individual award limit of 300,000 shares per fiscal year for grants of restricted stock, performance awards, dividend equivalents, restricted stock units and stock payments (except for grants made upon initial service of an employee, which has an award limit of 600,000 shares). In addition, the maximum aggregate amount of cash that may be paid in cash to any one person during any fiscal year with respect to one or more awards initially payable in cash shall be $5,000,000.</w:t>
      </w:r>
    </w:p>
    <w:p>
      <w:pPr>
        <w:spacing w:after="0" w:line="79" w:lineRule="exact"/>
        <w:rPr>
          <w:sz w:val="20"/>
          <w:szCs w:val="20"/>
          <w:color w:val="auto"/>
        </w:rPr>
      </w:pPr>
    </w:p>
    <w:p>
      <w:pPr>
        <w:ind w:left="200" w:right="80"/>
        <w:spacing w:after="0" w:line="255" w:lineRule="auto"/>
        <w:rPr>
          <w:sz w:val="20"/>
          <w:szCs w:val="20"/>
          <w:color w:val="auto"/>
        </w:rPr>
      </w:pPr>
      <w:r>
        <w:rPr>
          <w:rFonts w:ascii="Arial" w:cs="Arial" w:eastAsia="Arial" w:hAnsi="Arial"/>
          <w:sz w:val="16"/>
          <w:szCs w:val="16"/>
          <w:i w:val="1"/>
          <w:iCs w:val="1"/>
          <w:color w:val="009FE3"/>
        </w:rPr>
        <w:t xml:space="preserve">Eligibility. </w:t>
      </w:r>
      <w:r>
        <w:rPr>
          <w:rFonts w:ascii="Arial" w:cs="Arial" w:eastAsia="Arial" w:hAnsi="Arial"/>
          <w:sz w:val="16"/>
          <w:szCs w:val="16"/>
          <w:color w:val="202E39"/>
        </w:rPr>
        <w:t>Any employee, consultant or non-employee director selected by the plan administrator is eligible to receive equity awards under the Restated</w:t>
      </w:r>
      <w:r>
        <w:rPr>
          <w:rFonts w:ascii="Arial" w:cs="Arial" w:eastAsia="Arial" w:hAnsi="Arial"/>
          <w:sz w:val="16"/>
          <w:szCs w:val="16"/>
          <w:i w:val="1"/>
          <w:iCs w:val="1"/>
          <w:color w:val="009FE3"/>
        </w:rPr>
        <w:t xml:space="preserve"> </w:t>
      </w:r>
      <w:r>
        <w:rPr>
          <w:rFonts w:ascii="Arial" w:cs="Arial" w:eastAsia="Arial" w:hAnsi="Arial"/>
          <w:sz w:val="16"/>
          <w:szCs w:val="16"/>
          <w:color w:val="202E39"/>
        </w:rPr>
        <w:t>Equity Plan. The plan administrator, in its absolute discretion, will determine (1) among the eligible participants the individuals to whom awards are to be granted, (2) the number of shares to be granted, and (3) the terms and conditions of the awards. As of June 29, 2018, outstanding equity awards have been issued to 2,481 of our approximately 5,200 employees, to one of our approximately twenty consultants, and to all eight of our non-employee directors under the Equity Plan.</w:t>
      </w:r>
    </w:p>
    <w:p>
      <w:pPr>
        <w:spacing w:after="0" w:line="76" w:lineRule="exact"/>
        <w:rPr>
          <w:sz w:val="20"/>
          <w:szCs w:val="20"/>
          <w:color w:val="auto"/>
        </w:rPr>
      </w:pPr>
    </w:p>
    <w:p>
      <w:pPr>
        <w:ind w:left="200" w:right="20"/>
        <w:spacing w:after="0" w:line="255" w:lineRule="auto"/>
        <w:rPr>
          <w:sz w:val="20"/>
          <w:szCs w:val="20"/>
          <w:color w:val="auto"/>
        </w:rPr>
      </w:pPr>
      <w:r>
        <w:rPr>
          <w:rFonts w:ascii="Arial" w:cs="Arial" w:eastAsia="Arial" w:hAnsi="Arial"/>
          <w:sz w:val="16"/>
          <w:szCs w:val="16"/>
          <w:i w:val="1"/>
          <w:iCs w:val="1"/>
          <w:color w:val="009FE3"/>
        </w:rPr>
        <w:t xml:space="preserve">Purchase Price of Optioned Shares. </w:t>
      </w:r>
      <w:r>
        <w:rPr>
          <w:rFonts w:ascii="Arial" w:cs="Arial" w:eastAsia="Arial" w:hAnsi="Arial"/>
          <w:sz w:val="16"/>
          <w:szCs w:val="16"/>
          <w:color w:val="202E39"/>
        </w:rPr>
        <w:t>The price per share of the shares subject to each option is set by the plan administrator. However, the price per</w:t>
      </w:r>
      <w:r>
        <w:rPr>
          <w:rFonts w:ascii="Arial" w:cs="Arial" w:eastAsia="Arial" w:hAnsi="Arial"/>
          <w:sz w:val="16"/>
          <w:szCs w:val="16"/>
          <w:i w:val="1"/>
          <w:iCs w:val="1"/>
          <w:color w:val="009FE3"/>
        </w:rPr>
        <w:t xml:space="preserve"> </w:t>
      </w:r>
      <w:r>
        <w:rPr>
          <w:rFonts w:ascii="Arial" w:cs="Arial" w:eastAsia="Arial" w:hAnsi="Arial"/>
          <w:sz w:val="16"/>
          <w:szCs w:val="16"/>
          <w:color w:val="202E39"/>
        </w:rPr>
        <w:t>share cannot be less than fair market value on the date the option is granted. In the case of incentive stock options granted to an individual then owning more than 10% of the total combined voting power of all classes of stock of Viasat or any subsidiary or parent corporation of Viasat, the exercise price per share for each such option cannot be less than 110% of the fair market value of a share of common stock on the date the option is granted. On June 29, 2018, the closing price of Viasat common stock on the Nasdaq Global Select Market was $65.72 per share.</w:t>
      </w:r>
    </w:p>
    <w:p>
      <w:pPr>
        <w:spacing w:after="0" w:line="76" w:lineRule="exact"/>
        <w:rPr>
          <w:sz w:val="20"/>
          <w:szCs w:val="20"/>
          <w:color w:val="auto"/>
        </w:rPr>
      </w:pPr>
    </w:p>
    <w:p>
      <w:pPr>
        <w:ind w:left="200" w:right="20"/>
        <w:spacing w:after="0" w:line="264" w:lineRule="auto"/>
        <w:rPr>
          <w:sz w:val="20"/>
          <w:szCs w:val="20"/>
          <w:color w:val="auto"/>
        </w:rPr>
      </w:pPr>
      <w:r>
        <w:rPr>
          <w:rFonts w:ascii="Arial" w:cs="Arial" w:eastAsia="Arial" w:hAnsi="Arial"/>
          <w:sz w:val="16"/>
          <w:szCs w:val="16"/>
          <w:i w:val="1"/>
          <w:iCs w:val="1"/>
          <w:color w:val="009FE3"/>
        </w:rPr>
        <w:t xml:space="preserve">Terms of Options. </w:t>
      </w:r>
      <w:r>
        <w:rPr>
          <w:rFonts w:ascii="Arial" w:cs="Arial" w:eastAsia="Arial" w:hAnsi="Arial"/>
          <w:sz w:val="16"/>
          <w:szCs w:val="16"/>
          <w:color w:val="202E39"/>
        </w:rPr>
        <w:t>The term of an option is set by the plan administrator in its discretion. However, the term of an option cannot exceed six years under</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Restated Equity Plan. In the case of incentive stock options granted to an individual then owning more than 10% of the total combined voting power of all classes of stock of Viasat, the term may not exceed five years.</w:t>
      </w:r>
    </w:p>
    <w:p>
      <w:pPr>
        <w:spacing w:after="0" w:line="68" w:lineRule="exact"/>
        <w:rPr>
          <w:sz w:val="20"/>
          <w:szCs w:val="20"/>
          <w:color w:val="auto"/>
        </w:rPr>
      </w:pPr>
    </w:p>
    <w:p>
      <w:pPr>
        <w:jc w:val="both"/>
        <w:ind w:left="200" w:right="560"/>
        <w:spacing w:after="0" w:line="264" w:lineRule="auto"/>
        <w:rPr>
          <w:sz w:val="20"/>
          <w:szCs w:val="20"/>
          <w:color w:val="auto"/>
        </w:rPr>
      </w:pPr>
      <w:r>
        <w:rPr>
          <w:rFonts w:ascii="Arial" w:cs="Arial" w:eastAsia="Arial" w:hAnsi="Arial"/>
          <w:sz w:val="16"/>
          <w:szCs w:val="16"/>
          <w:i w:val="1"/>
          <w:iCs w:val="1"/>
          <w:color w:val="009FE3"/>
        </w:rPr>
        <w:t xml:space="preserve">Exercise of Options. </w:t>
      </w:r>
      <w:r>
        <w:rPr>
          <w:rFonts w:ascii="Arial" w:cs="Arial" w:eastAsia="Arial" w:hAnsi="Arial"/>
          <w:sz w:val="16"/>
          <w:szCs w:val="16"/>
          <w:color w:val="202E39"/>
        </w:rPr>
        <w:t>Upon the exercise of an option under the Restated Equity Plan, the optionee must make full cash payment to the Corporate</w:t>
      </w:r>
      <w:r>
        <w:rPr>
          <w:rFonts w:ascii="Arial" w:cs="Arial" w:eastAsia="Arial" w:hAnsi="Arial"/>
          <w:sz w:val="16"/>
          <w:szCs w:val="16"/>
          <w:i w:val="1"/>
          <w:iCs w:val="1"/>
          <w:color w:val="009FE3"/>
        </w:rPr>
        <w:t xml:space="preserve"> </w:t>
      </w:r>
      <w:r>
        <w:rPr>
          <w:rFonts w:ascii="Arial" w:cs="Arial" w:eastAsia="Arial" w:hAnsi="Arial"/>
          <w:sz w:val="16"/>
          <w:szCs w:val="16"/>
          <w:color w:val="202E39"/>
        </w:rPr>
        <w:t>Secretary of Viasat for the shares with respect to which the option, or portion of the option, is exercised. However, the plan administrator may in its discretion allow various forms of payment, which are described in the Restated Equity Plan.</w:t>
      </w:r>
    </w:p>
    <w:p>
      <w:pPr>
        <w:spacing w:after="0" w:line="68" w:lineRule="exact"/>
        <w:rPr>
          <w:sz w:val="20"/>
          <w:szCs w:val="20"/>
          <w:color w:val="auto"/>
        </w:rPr>
      </w:pPr>
    </w:p>
    <w:p>
      <w:pPr>
        <w:ind w:left="200" w:right="80"/>
        <w:spacing w:after="0" w:line="253" w:lineRule="auto"/>
        <w:rPr>
          <w:sz w:val="20"/>
          <w:szCs w:val="20"/>
          <w:color w:val="auto"/>
        </w:rPr>
      </w:pPr>
      <w:r>
        <w:rPr>
          <w:rFonts w:ascii="Arial" w:cs="Arial" w:eastAsia="Arial" w:hAnsi="Arial"/>
          <w:sz w:val="16"/>
          <w:szCs w:val="16"/>
          <w:i w:val="1"/>
          <w:iCs w:val="1"/>
          <w:color w:val="009FE3"/>
        </w:rPr>
        <w:t xml:space="preserve">Other Stock Awards. </w:t>
      </w:r>
      <w:r>
        <w:rPr>
          <w:rFonts w:ascii="Arial" w:cs="Arial" w:eastAsia="Arial" w:hAnsi="Arial"/>
          <w:sz w:val="16"/>
          <w:szCs w:val="16"/>
          <w:color w:val="202E39"/>
        </w:rPr>
        <w:t>The Restated Equity Plan allows for various other awards including restricted stock, performance awards, dividend equivalents,</w:t>
      </w:r>
      <w:r>
        <w:rPr>
          <w:rFonts w:ascii="Arial" w:cs="Arial" w:eastAsia="Arial" w:hAnsi="Arial"/>
          <w:sz w:val="16"/>
          <w:szCs w:val="16"/>
          <w:i w:val="1"/>
          <w:iCs w:val="1"/>
          <w:color w:val="009FE3"/>
        </w:rPr>
        <w:t xml:space="preserve"> </w:t>
      </w:r>
      <w:r>
        <w:rPr>
          <w:rFonts w:ascii="Arial" w:cs="Arial" w:eastAsia="Arial" w:hAnsi="Arial"/>
          <w:sz w:val="16"/>
          <w:szCs w:val="16"/>
          <w:color w:val="202E39"/>
        </w:rPr>
        <w:t>restricted stock units, stock payments and stock appreciation rights. Except as expressly permitted by the Restated Equity Plan, awards of restricted stock will have a minimum vesting schedule of three years (except for restricted stock performance awards, which will have a minimum performance period of one year). The term of a stock appreciation right cannot exceed six years under the Restated Equity Plan and the exercise price per share of a stock appreciation right cannot be less than fair market value on the date the stock appreciation right is granted. Dividends and dividend equivalents may not be paid on awards subject to vesting conditions unless and until such conditions are met.</w:t>
      </w:r>
    </w:p>
    <w:p>
      <w:pPr>
        <w:spacing w:after="0" w:line="79" w:lineRule="exact"/>
        <w:rPr>
          <w:sz w:val="20"/>
          <w:szCs w:val="20"/>
          <w:color w:val="auto"/>
        </w:rPr>
      </w:pPr>
    </w:p>
    <w:p>
      <w:pPr>
        <w:ind w:left="200" w:right="20"/>
        <w:spacing w:after="0" w:line="255" w:lineRule="auto"/>
        <w:rPr>
          <w:sz w:val="20"/>
          <w:szCs w:val="20"/>
          <w:color w:val="auto"/>
        </w:rPr>
      </w:pPr>
      <w:r>
        <w:rPr>
          <w:rFonts w:ascii="Arial" w:cs="Arial" w:eastAsia="Arial" w:hAnsi="Arial"/>
          <w:sz w:val="16"/>
          <w:szCs w:val="16"/>
          <w:i w:val="1"/>
          <w:iCs w:val="1"/>
          <w:color w:val="009FE3"/>
        </w:rPr>
        <w:t xml:space="preserve">Director Compensation. </w:t>
      </w:r>
      <w:r>
        <w:rPr>
          <w:rFonts w:ascii="Arial" w:cs="Arial" w:eastAsia="Arial" w:hAnsi="Arial"/>
          <w:sz w:val="16"/>
          <w:szCs w:val="16"/>
          <w:color w:val="202E39"/>
        </w:rPr>
        <w:t>During the term of the Restated Equity Plan, a person who is initially elected to the Board of Directors and who is a</w:t>
      </w:r>
      <w:r>
        <w:rPr>
          <w:rFonts w:ascii="Arial" w:cs="Arial" w:eastAsia="Arial" w:hAnsi="Arial"/>
          <w:sz w:val="16"/>
          <w:szCs w:val="16"/>
          <w:i w:val="1"/>
          <w:iCs w:val="1"/>
          <w:color w:val="009FE3"/>
        </w:rPr>
        <w:t xml:space="preserve"> </w:t>
      </w:r>
      <w:r>
        <w:rPr>
          <w:rFonts w:ascii="Arial" w:cs="Arial" w:eastAsia="Arial" w:hAnsi="Arial"/>
          <w:sz w:val="16"/>
          <w:szCs w:val="16"/>
          <w:color w:val="202E39"/>
        </w:rPr>
        <w:t>non-employee director at that time is automatically granted 3,000 restricted stock units and an option to purchase 9,000 shares of common stock. At each subsequent annual meeting of stockholders, each non-employee director will automatically be granted 1,600 restricted stock units and an option to purchase 5,000 shares of common stock. The initial equity awards granted to non-employee directors vest in three equal annual installments on the first three anniversaries of the date of grant. The annual equity award grants to non-employee directors vest in full on the first anniversary of the date of grant.</w:t>
      </w:r>
    </w:p>
    <w:p>
      <w:pPr>
        <w:spacing w:after="0" w:line="76" w:lineRule="exact"/>
        <w:rPr>
          <w:sz w:val="20"/>
          <w:szCs w:val="20"/>
          <w:color w:val="auto"/>
        </w:rPr>
      </w:pPr>
    </w:p>
    <w:p>
      <w:pPr>
        <w:ind w:left="200" w:right="20"/>
        <w:spacing w:after="0" w:line="264" w:lineRule="auto"/>
        <w:rPr>
          <w:sz w:val="20"/>
          <w:szCs w:val="20"/>
          <w:color w:val="auto"/>
        </w:rPr>
      </w:pPr>
      <w:r>
        <w:rPr>
          <w:rFonts w:ascii="Arial" w:cs="Arial" w:eastAsia="Arial" w:hAnsi="Arial"/>
          <w:sz w:val="16"/>
          <w:szCs w:val="16"/>
          <w:i w:val="1"/>
          <w:iCs w:val="1"/>
          <w:color w:val="009FE3"/>
        </w:rPr>
        <w:t xml:space="preserve">Performance Criteria. </w:t>
      </w:r>
      <w:r>
        <w:rPr>
          <w:rFonts w:ascii="Arial" w:cs="Arial" w:eastAsia="Arial" w:hAnsi="Arial"/>
          <w:sz w:val="16"/>
          <w:szCs w:val="16"/>
          <w:color w:val="202E39"/>
        </w:rPr>
        <w:t>Under the Restated Equity Plan, the plan administrator may grant awards that are paid, vest or become exercisable upon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attainment of performance criteria, which may include, but are not limited to, one or more of the following business criteria with respect to us, any of which may be measured with respect to our performance or the performance of a division, business unit or an individual:</w:t>
      </w:r>
    </w:p>
    <w:p>
      <w:pPr>
        <w:spacing w:after="0" w:line="98" w:lineRule="exact"/>
        <w:rPr>
          <w:sz w:val="20"/>
          <w:szCs w:val="20"/>
          <w:color w:val="auto"/>
        </w:rPr>
      </w:pPr>
    </w:p>
    <w:p>
      <w:pPr>
        <w:ind w:left="640" w:hanging="220"/>
        <w:spacing w:after="0"/>
        <w:tabs>
          <w:tab w:leader="none" w:pos="640" w:val="left"/>
        </w:tabs>
        <w:numPr>
          <w:ilvl w:val="0"/>
          <w:numId w:val="18"/>
        </w:numPr>
        <w:rPr>
          <w:rFonts w:ascii="Arial" w:cs="Arial" w:eastAsia="Arial" w:hAnsi="Arial"/>
          <w:sz w:val="16"/>
          <w:szCs w:val="16"/>
          <w:color w:val="009FE3"/>
        </w:rPr>
      </w:pPr>
      <w:r>
        <w:rPr>
          <w:rFonts w:ascii="Arial" w:cs="Arial" w:eastAsia="Arial" w:hAnsi="Arial"/>
          <w:sz w:val="16"/>
          <w:szCs w:val="16"/>
          <w:color w:val="202E39"/>
        </w:rPr>
        <w:t>net earnings (either before or after one or more of the following: interest, taxes, depreciation and amortization),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8"/>
        </w:numPr>
        <w:rPr>
          <w:rFonts w:ascii="Arial" w:cs="Arial" w:eastAsia="Arial" w:hAnsi="Arial"/>
          <w:sz w:val="16"/>
          <w:szCs w:val="16"/>
          <w:color w:val="009FE3"/>
        </w:rPr>
      </w:pPr>
      <w:r>
        <w:rPr>
          <w:rFonts w:ascii="Arial" w:cs="Arial" w:eastAsia="Arial" w:hAnsi="Arial"/>
          <w:sz w:val="16"/>
          <w:szCs w:val="16"/>
          <w:color w:val="202E39"/>
        </w:rPr>
        <w:t>gross or net sales or revenue,</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8"/>
        </w:numPr>
        <w:rPr>
          <w:rFonts w:ascii="Arial" w:cs="Arial" w:eastAsia="Arial" w:hAnsi="Arial"/>
          <w:sz w:val="16"/>
          <w:szCs w:val="16"/>
          <w:color w:val="009FE3"/>
        </w:rPr>
      </w:pPr>
      <w:r>
        <w:rPr>
          <w:rFonts w:ascii="Arial" w:cs="Arial" w:eastAsia="Arial" w:hAnsi="Arial"/>
          <w:sz w:val="16"/>
          <w:szCs w:val="16"/>
          <w:color w:val="202E39"/>
        </w:rPr>
        <w:t>net income (either before or after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139065</wp:posOffset>
            </wp:positionV>
            <wp:extent cx="42862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47" w:lineRule="exact"/>
        <w:rPr>
          <w:sz w:val="20"/>
          <w:szCs w:val="20"/>
          <w:color w:val="auto"/>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operating earnings or profit,</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cash flow (including, but not limited to, operating cash flow and free cash flow),</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return on assets,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return on capital,</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return on stockholders’ equity,</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return on sales,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gross or net profit or operating margin,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costs,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funds from operations,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expenses,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working capital,</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earnings per share, or</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price per share of Viasat common stock.</w:t>
      </w:r>
    </w:p>
    <w:p>
      <w:pPr>
        <w:spacing w:after="0" w:line="113" w:lineRule="exact"/>
        <w:rPr>
          <w:sz w:val="20"/>
          <w:szCs w:val="20"/>
          <w:color w:val="auto"/>
        </w:rPr>
      </w:pPr>
    </w:p>
    <w:p>
      <w:pPr>
        <w:ind w:left="200" w:right="200"/>
        <w:spacing w:after="0" w:line="251" w:lineRule="auto"/>
        <w:rPr>
          <w:sz w:val="20"/>
          <w:szCs w:val="20"/>
          <w:color w:val="auto"/>
        </w:rPr>
      </w:pPr>
      <w:r>
        <w:rPr>
          <w:rFonts w:ascii="Arial" w:cs="Arial" w:eastAsia="Arial" w:hAnsi="Arial"/>
          <w:sz w:val="16"/>
          <w:szCs w:val="16"/>
          <w:color w:val="202E39"/>
        </w:rPr>
        <w:t>The plan administrator shall select the performance criteria (and any permissible objectively determinable adjustments) for each performance award for purposes of establishing the performance goal(s) applicable to such performance award for the designated performance period. With regard to a particular performance period, the plan administrator will have the discretion to select the length of the performance period, the type of performance-based awards to be granted, and the performance goals that will be used to measure the performance for the period.</w:t>
      </w:r>
    </w:p>
    <w:p>
      <w:pPr>
        <w:spacing w:after="0" w:line="79" w:lineRule="exact"/>
        <w:rPr>
          <w:sz w:val="20"/>
          <w:szCs w:val="20"/>
          <w:color w:val="auto"/>
        </w:rPr>
      </w:pPr>
    </w:p>
    <w:p>
      <w:pPr>
        <w:ind w:left="200" w:right="20"/>
        <w:spacing w:after="0" w:line="253" w:lineRule="auto"/>
        <w:rPr>
          <w:sz w:val="20"/>
          <w:szCs w:val="20"/>
          <w:color w:val="auto"/>
        </w:rPr>
      </w:pPr>
      <w:r>
        <w:rPr>
          <w:rFonts w:ascii="Arial" w:cs="Arial" w:eastAsia="Arial" w:hAnsi="Arial"/>
          <w:sz w:val="16"/>
          <w:szCs w:val="16"/>
          <w:i w:val="1"/>
          <w:iCs w:val="1"/>
          <w:color w:val="009FE3"/>
        </w:rPr>
        <w:t xml:space="preserve">Minimum Vesting Requirement. </w:t>
      </w:r>
      <w:r>
        <w:rPr>
          <w:rFonts w:ascii="Arial" w:cs="Arial" w:eastAsia="Arial" w:hAnsi="Arial"/>
          <w:sz w:val="16"/>
          <w:szCs w:val="16"/>
          <w:color w:val="202E39"/>
        </w:rPr>
        <w:t>The Restated Equity Plan contains a minimum vesting period which provides that no award agreements will provide for</w:t>
      </w:r>
      <w:r>
        <w:rPr>
          <w:rFonts w:ascii="Arial" w:cs="Arial" w:eastAsia="Arial" w:hAnsi="Arial"/>
          <w:sz w:val="16"/>
          <w:szCs w:val="16"/>
          <w:i w:val="1"/>
          <w:iCs w:val="1"/>
          <w:color w:val="009FE3"/>
        </w:rPr>
        <w:t xml:space="preserve"> </w:t>
      </w:r>
      <w:r>
        <w:rPr>
          <w:rFonts w:ascii="Arial" w:cs="Arial" w:eastAsia="Arial" w:hAnsi="Arial"/>
          <w:sz w:val="16"/>
          <w:szCs w:val="16"/>
          <w:color w:val="202E39"/>
        </w:rPr>
        <w:t>vesting of the award thereunder earlier than one year after the applicable grant date; provided, however, that the Compensation Committee may accelerate the vesting of an award in the case of a participant’s termination of service, death or disability, or a Corporate Transaction or Change in Control (each as defined in the Restated Equity Plan or in the applicable award agreement), notwithstanding such minimum vesting provisions; and provided further that, awards granted after the effective date of the Restated Equity Plan that cover, in the aggregate, no more than 5% of the shares of common stock reserved for issuance under the Restated Equity Plan may be granted without regard to such minimum vesting provisions.</w:t>
      </w:r>
    </w:p>
    <w:p>
      <w:pPr>
        <w:spacing w:after="0" w:line="79" w:lineRule="exact"/>
        <w:rPr>
          <w:sz w:val="20"/>
          <w:szCs w:val="20"/>
          <w:color w:val="auto"/>
        </w:rPr>
      </w:pPr>
    </w:p>
    <w:p>
      <w:pPr>
        <w:ind w:left="200" w:right="480"/>
        <w:spacing w:after="0" w:line="281" w:lineRule="auto"/>
        <w:rPr>
          <w:sz w:val="20"/>
          <w:szCs w:val="20"/>
          <w:color w:val="auto"/>
        </w:rPr>
      </w:pPr>
      <w:r>
        <w:rPr>
          <w:rFonts w:ascii="Arial" w:cs="Arial" w:eastAsia="Arial" w:hAnsi="Arial"/>
          <w:sz w:val="16"/>
          <w:szCs w:val="16"/>
          <w:i w:val="1"/>
          <w:iCs w:val="1"/>
          <w:color w:val="009FE3"/>
        </w:rPr>
        <w:t xml:space="preserve">No Repricing. </w:t>
      </w:r>
      <w:r>
        <w:rPr>
          <w:rFonts w:ascii="Arial" w:cs="Arial" w:eastAsia="Arial" w:hAnsi="Arial"/>
          <w:sz w:val="16"/>
          <w:szCs w:val="16"/>
          <w:color w:val="202E39"/>
        </w:rPr>
        <w:t>The Restated Equity Plan prohibits the repricing or other exchange of underwater stock options or stock appreciation rights for new</w:t>
      </w:r>
      <w:r>
        <w:rPr>
          <w:rFonts w:ascii="Arial" w:cs="Arial" w:eastAsia="Arial" w:hAnsi="Arial"/>
          <w:sz w:val="16"/>
          <w:szCs w:val="16"/>
          <w:i w:val="1"/>
          <w:iCs w:val="1"/>
          <w:color w:val="009FE3"/>
        </w:rPr>
        <w:t xml:space="preserve"> </w:t>
      </w:r>
      <w:r>
        <w:rPr>
          <w:rFonts w:ascii="Arial" w:cs="Arial" w:eastAsia="Arial" w:hAnsi="Arial"/>
          <w:sz w:val="16"/>
          <w:szCs w:val="16"/>
          <w:color w:val="202E39"/>
        </w:rPr>
        <w:t>awards or cash without prior stockholder approval.</w:t>
      </w:r>
    </w:p>
    <w:p>
      <w:pPr>
        <w:spacing w:after="0" w:line="55"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i w:val="1"/>
          <w:iCs w:val="1"/>
          <w:color w:val="009FE3"/>
        </w:rPr>
        <w:t xml:space="preserve">Amendment and Termination of the Plan. </w:t>
      </w:r>
      <w:r>
        <w:rPr>
          <w:rFonts w:ascii="Arial" w:cs="Arial" w:eastAsia="Arial" w:hAnsi="Arial"/>
          <w:sz w:val="16"/>
          <w:szCs w:val="16"/>
          <w:color w:val="202E39"/>
        </w:rPr>
        <w:t>The Restated Equity Plan may be wholly or partially amended or otherwise modified, suspended or terminated</w:t>
      </w:r>
      <w:r>
        <w:rPr>
          <w:rFonts w:ascii="Arial" w:cs="Arial" w:eastAsia="Arial" w:hAnsi="Arial"/>
          <w:sz w:val="16"/>
          <w:szCs w:val="16"/>
          <w:i w:val="1"/>
          <w:iCs w:val="1"/>
          <w:color w:val="009FE3"/>
        </w:rPr>
        <w:t xml:space="preserve"> </w:t>
      </w:r>
      <w:r>
        <w:rPr>
          <w:rFonts w:ascii="Arial" w:cs="Arial" w:eastAsia="Arial" w:hAnsi="Arial"/>
          <w:sz w:val="16"/>
          <w:szCs w:val="16"/>
          <w:color w:val="202E39"/>
        </w:rPr>
        <w:t>at any time or from time to time by the plan administrator. However, without approval of the stockholders of Viasat, (1) the Restated Equity Plan may not be amended to (a) increase the maximum number of shares issuable upon exercise of equity awards granted under the Restated Equity Plan, or</w:t>
      </w:r>
    </w:p>
    <w:p>
      <w:pPr>
        <w:spacing w:after="0" w:line="1" w:lineRule="exact"/>
        <w:rPr>
          <w:sz w:val="20"/>
          <w:szCs w:val="20"/>
          <w:color w:val="auto"/>
        </w:rPr>
      </w:pPr>
    </w:p>
    <w:p>
      <w:pPr>
        <w:ind w:left="200" w:firstLine="4"/>
        <w:spacing w:after="0" w:line="253" w:lineRule="auto"/>
        <w:tabs>
          <w:tab w:leader="none" w:pos="443" w:val="left"/>
        </w:tabs>
        <w:numPr>
          <w:ilvl w:val="0"/>
          <w:numId w:val="20"/>
        </w:numPr>
        <w:rPr>
          <w:rFonts w:ascii="Arial" w:cs="Arial" w:eastAsia="Arial" w:hAnsi="Arial"/>
          <w:sz w:val="16"/>
          <w:szCs w:val="16"/>
          <w:color w:val="202E39"/>
        </w:rPr>
      </w:pPr>
      <w:r>
        <w:rPr>
          <w:rFonts w:ascii="Arial" w:cs="Arial" w:eastAsia="Arial" w:hAnsi="Arial"/>
          <w:sz w:val="16"/>
          <w:szCs w:val="16"/>
          <w:color w:val="202E39"/>
        </w:rPr>
        <w:t>increase the annual award limits applicable to participants, and (2) no action of the plan administrator may be taken that would otherwise require stockholder approval as a matter of applicable law, regulation or rule. The Restated Equity Plan will continue until terminated by the plan administrator. No incentive stock options may be granted under the Restated Equity Plan after June 19, 2028.</w:t>
      </w:r>
    </w:p>
    <w:p>
      <w:pPr>
        <w:spacing w:after="0" w:line="77" w:lineRule="exact"/>
        <w:rPr>
          <w:sz w:val="20"/>
          <w:szCs w:val="20"/>
          <w:color w:val="auto"/>
        </w:rPr>
      </w:pPr>
    </w:p>
    <w:p>
      <w:pPr>
        <w:ind w:left="200" w:right="140"/>
        <w:spacing w:after="0" w:line="281" w:lineRule="auto"/>
        <w:rPr>
          <w:sz w:val="20"/>
          <w:szCs w:val="20"/>
          <w:color w:val="auto"/>
        </w:rPr>
      </w:pPr>
      <w:r>
        <w:rPr>
          <w:rFonts w:ascii="Arial" w:cs="Arial" w:eastAsia="Arial" w:hAnsi="Arial"/>
          <w:sz w:val="16"/>
          <w:szCs w:val="16"/>
          <w:i w:val="1"/>
          <w:iCs w:val="1"/>
          <w:color w:val="009FE3"/>
        </w:rPr>
        <w:t xml:space="preserve">Securities Laws. </w:t>
      </w:r>
      <w:r>
        <w:rPr>
          <w:rFonts w:ascii="Arial" w:cs="Arial" w:eastAsia="Arial" w:hAnsi="Arial"/>
          <w:sz w:val="16"/>
          <w:szCs w:val="16"/>
          <w:color w:val="202E39"/>
        </w:rPr>
        <w:t>The Restated Equity Plan is intended to comply with all provisions of the Securities Act of 1933, as amended, and the Securities</w:t>
      </w:r>
      <w:r>
        <w:rPr>
          <w:rFonts w:ascii="Arial" w:cs="Arial" w:eastAsia="Arial" w:hAnsi="Arial"/>
          <w:sz w:val="16"/>
          <w:szCs w:val="16"/>
          <w:i w:val="1"/>
          <w:iCs w:val="1"/>
          <w:color w:val="009FE3"/>
        </w:rPr>
        <w:t xml:space="preserve"> </w:t>
      </w:r>
      <w:r>
        <w:rPr>
          <w:rFonts w:ascii="Arial" w:cs="Arial" w:eastAsia="Arial" w:hAnsi="Arial"/>
          <w:sz w:val="16"/>
          <w:szCs w:val="16"/>
          <w:color w:val="202E39"/>
        </w:rPr>
        <w:t>Exchange Act of 1934, as amended, and any and all regulations and rules promulgated by the SEC thereunder, including, without limitation, Rule 16b-3.</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U.S. Federal Income Tax Consequences</w:t>
      </w:r>
    </w:p>
    <w:p>
      <w:pPr>
        <w:spacing w:after="0" w:line="124" w:lineRule="exact"/>
        <w:rPr>
          <w:sz w:val="20"/>
          <w:szCs w:val="20"/>
          <w:color w:val="auto"/>
        </w:rPr>
      </w:pPr>
    </w:p>
    <w:p>
      <w:pPr>
        <w:ind w:left="200" w:right="100"/>
        <w:spacing w:after="0" w:line="250" w:lineRule="auto"/>
        <w:rPr>
          <w:sz w:val="20"/>
          <w:szCs w:val="20"/>
          <w:color w:val="auto"/>
        </w:rPr>
      </w:pPr>
      <w:r>
        <w:rPr>
          <w:rFonts w:ascii="Arial" w:cs="Arial" w:eastAsia="Arial" w:hAnsi="Arial"/>
          <w:sz w:val="16"/>
          <w:szCs w:val="16"/>
          <w:color w:val="202E39"/>
        </w:rPr>
        <w:t>The following is a general discussion of the principal federal income tax considerations for both Viasat and the recipients of the various awards under the Restated Equity Plan, and is based upon the tax laws and regulations of the United States existing as of the date hereof, all of which are subject to modification at any time. The following discussion is intended for general information only. The tax consequences described below are subject to the limitations of Section 162(m) of the Code, as discussed in further detail below. Alternative minimum tax and other federal taxes and foreign, state and local income taxes are not discussed, and may vary depending on individual circumstances and from locality to locality.</w:t>
      </w:r>
    </w:p>
    <w:p>
      <w:pPr>
        <w:spacing w:after="0" w:line="95" w:lineRule="exact"/>
        <w:rPr>
          <w:sz w:val="20"/>
          <w:szCs w:val="20"/>
          <w:color w:val="auto"/>
        </w:rPr>
      </w:pPr>
    </w:p>
    <w:p>
      <w:pPr>
        <w:ind w:left="200" w:right="60"/>
        <w:spacing w:after="0" w:line="250" w:lineRule="auto"/>
        <w:rPr>
          <w:sz w:val="20"/>
          <w:szCs w:val="20"/>
          <w:color w:val="auto"/>
        </w:rPr>
      </w:pPr>
      <w:r>
        <w:rPr>
          <w:rFonts w:ascii="Arial" w:cs="Arial" w:eastAsia="Arial" w:hAnsi="Arial"/>
          <w:sz w:val="16"/>
          <w:szCs w:val="16"/>
          <w:color w:val="009FE3"/>
        </w:rPr>
        <w:t xml:space="preserve">Consequences to Employees: Incentive Stock Options. </w:t>
      </w:r>
      <w:r>
        <w:rPr>
          <w:rFonts w:ascii="Arial" w:cs="Arial" w:eastAsia="Arial" w:hAnsi="Arial"/>
          <w:sz w:val="16"/>
          <w:szCs w:val="16"/>
          <w:color w:val="202E39"/>
        </w:rPr>
        <w:t>No income is recognized for federal income tax purposes by an optionee at the time an</w:t>
      </w:r>
      <w:r>
        <w:rPr>
          <w:rFonts w:ascii="Arial" w:cs="Arial" w:eastAsia="Arial" w:hAnsi="Arial"/>
          <w:sz w:val="16"/>
          <w:szCs w:val="16"/>
          <w:color w:val="009FE3"/>
        </w:rPr>
        <w:t xml:space="preserve"> </w:t>
      </w:r>
      <w:r>
        <w:rPr>
          <w:rFonts w:ascii="Arial" w:cs="Arial" w:eastAsia="Arial" w:hAnsi="Arial"/>
          <w:sz w:val="16"/>
          <w:szCs w:val="16"/>
          <w:color w:val="202E39"/>
        </w:rPr>
        <w:t>incentive stock option is granted, and, except as discussed below, no income is recognized by an optionee upon his or her exercise of an incentive stock option. If the optionee makes no disposition of the common stock received upon exercise of an incentive stock option within two years from the date such option was granted or one year from the date the option is exercised, the optionee will recognize capital gain or loss when he or she disposes of the common stock. This gain or loss generally will be measured by the difference between the exercise price of the option and the amount</w:t>
      </w:r>
    </w:p>
    <w:p>
      <w:pPr>
        <w:spacing w:after="0" w:line="121"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21</w:t>
            </w:r>
          </w:p>
        </w:tc>
      </w:tr>
    </w:tbl>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1996 Equity Participation Plan</w:t>
      </w:r>
    </w:p>
    <w:p>
      <w:pPr>
        <w:spacing w:after="0" w:line="147"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received for the common stock at the time of disposition. The exercise of an incentive stock option will give rise to an item of adjustment that may result in alternative minimum tax liability for the optionee. If the optionee disposes of the common stock acquired upon exercise of an incentive stock option within two years after being granted the option or within one year after acquiring the common stock, any amount realized from such disqualifying disposition will be taxable as ordinary income in the year of disposition to the extent that (1) the lesser of (a) the fair market value of the shares on the date the incentive stock option was exercised or (b) the fair market value at the time of such disposition exceeds (2) the incentive stock option exercise price. Any amount realized upon disposition in excess of the fair market value of the shares on the date of exercise will be treated as long or short-term capital gain, depending upon the length of time the shares have been held.</w:t>
      </w:r>
    </w:p>
    <w:p>
      <w:pPr>
        <w:spacing w:after="0" w:line="85"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i w:val="1"/>
          <w:iCs w:val="1"/>
          <w:color w:val="009FE3"/>
        </w:rPr>
        <w:t xml:space="preserve">Consequences to Employees: Non-Qualified Stock Options. </w:t>
      </w:r>
      <w:r>
        <w:rPr>
          <w:rFonts w:ascii="Arial" w:cs="Arial" w:eastAsia="Arial" w:hAnsi="Arial"/>
          <w:sz w:val="16"/>
          <w:szCs w:val="16"/>
          <w:color w:val="202E39"/>
        </w:rPr>
        <w:t>No income is recognized for federal income tax purposes by an optionee at the time a</w:t>
      </w:r>
      <w:r>
        <w:rPr>
          <w:rFonts w:ascii="Arial" w:cs="Arial" w:eastAsia="Arial" w:hAnsi="Arial"/>
          <w:sz w:val="16"/>
          <w:szCs w:val="16"/>
          <w:i w:val="1"/>
          <w:iCs w:val="1"/>
          <w:color w:val="009FE3"/>
        </w:rPr>
        <w:t xml:space="preserve"> </w:t>
      </w:r>
      <w:r>
        <w:rPr>
          <w:rFonts w:ascii="Arial" w:cs="Arial" w:eastAsia="Arial" w:hAnsi="Arial"/>
          <w:sz w:val="16"/>
          <w:szCs w:val="16"/>
          <w:color w:val="202E39"/>
        </w:rPr>
        <w:t>non-qualified stock option is granted. In general, at the time shares of common stock are issued to an optionee pursuant to exercise of a non-qualified stock option, the optionee will recognize ordinary income equal to the excess of the fair market value of the shares on the date of exercise over the exercise price. An optionee will recognize gain or loss on the subsequent sale of common stock acquired upon exercise of a non-qualified stock option in an amount equal to the difference between the selling price and the tax basis of the common stock, which will include the price paid plus the amount included in the optionee’s income by reason of the exercise of the non-qualified stock option. Provided the shares of common stock are held as a capital asset, any gain or loss resulting from a subsequent sale will be short-term or long-term capital gain or loss depending upon the length of time the shares have been held.</w:t>
      </w:r>
    </w:p>
    <w:p>
      <w:pPr>
        <w:spacing w:after="0" w:line="81" w:lineRule="exact"/>
        <w:rPr>
          <w:sz w:val="20"/>
          <w:szCs w:val="20"/>
          <w:color w:val="auto"/>
        </w:rPr>
      </w:pPr>
    </w:p>
    <w:p>
      <w:pPr>
        <w:ind w:left="200" w:right="140"/>
        <w:spacing w:after="0" w:line="258" w:lineRule="auto"/>
        <w:rPr>
          <w:sz w:val="20"/>
          <w:szCs w:val="20"/>
          <w:color w:val="auto"/>
        </w:rPr>
      </w:pPr>
      <w:r>
        <w:rPr>
          <w:rFonts w:ascii="Arial" w:cs="Arial" w:eastAsia="Arial" w:hAnsi="Arial"/>
          <w:sz w:val="16"/>
          <w:szCs w:val="16"/>
          <w:i w:val="1"/>
          <w:iCs w:val="1"/>
          <w:color w:val="009FE3"/>
        </w:rPr>
        <w:t xml:space="preserve">Consequences to Viasat: Incentive Stock Options. </w:t>
      </w:r>
      <w:r>
        <w:rPr>
          <w:rFonts w:ascii="Arial" w:cs="Arial" w:eastAsia="Arial" w:hAnsi="Arial"/>
          <w:sz w:val="16"/>
          <w:szCs w:val="16"/>
          <w:color w:val="202E39"/>
        </w:rPr>
        <w:t>We will not be allowed a deduction for federal income tax purposes at the time of the grant or</w:t>
      </w:r>
      <w:r>
        <w:rPr>
          <w:rFonts w:ascii="Arial" w:cs="Arial" w:eastAsia="Arial" w:hAnsi="Arial"/>
          <w:sz w:val="16"/>
          <w:szCs w:val="16"/>
          <w:i w:val="1"/>
          <w:iCs w:val="1"/>
          <w:color w:val="009FE3"/>
        </w:rPr>
        <w:t xml:space="preserve"> </w:t>
      </w:r>
      <w:r>
        <w:rPr>
          <w:rFonts w:ascii="Arial" w:cs="Arial" w:eastAsia="Arial" w:hAnsi="Arial"/>
          <w:sz w:val="16"/>
          <w:szCs w:val="16"/>
          <w:color w:val="202E39"/>
        </w:rPr>
        <w:t>exercise of an incentive stock option. There are also no federal income tax consequences to us as a result of the disposition of common stock acquired upon exercise of an incentive stock option if the disposition is not a disqualifying disposition. At the time of a disqualifying disposition by an optionee, we will be entitled to a deduction for the amount received by the optionee to the extent that such amount is taxable to the optionee as ordinary income.</w:t>
      </w:r>
    </w:p>
    <w:p>
      <w:pPr>
        <w:spacing w:after="0" w:line="73" w:lineRule="exact"/>
        <w:rPr>
          <w:sz w:val="20"/>
          <w:szCs w:val="20"/>
          <w:color w:val="auto"/>
        </w:rPr>
      </w:pPr>
    </w:p>
    <w:p>
      <w:pPr>
        <w:ind w:left="200" w:right="180"/>
        <w:spacing w:after="0" w:line="281" w:lineRule="auto"/>
        <w:rPr>
          <w:sz w:val="20"/>
          <w:szCs w:val="20"/>
          <w:color w:val="auto"/>
        </w:rPr>
      </w:pPr>
      <w:r>
        <w:rPr>
          <w:rFonts w:ascii="Arial" w:cs="Arial" w:eastAsia="Arial" w:hAnsi="Arial"/>
          <w:sz w:val="16"/>
          <w:szCs w:val="16"/>
          <w:i w:val="1"/>
          <w:iCs w:val="1"/>
          <w:color w:val="009FE3"/>
        </w:rPr>
        <w:t xml:space="preserve">Consequences to Viasat: Non-Qualified Stock Options. </w:t>
      </w:r>
      <w:r>
        <w:rPr>
          <w:rFonts w:ascii="Arial" w:cs="Arial" w:eastAsia="Arial" w:hAnsi="Arial"/>
          <w:sz w:val="16"/>
          <w:szCs w:val="16"/>
          <w:color w:val="202E39"/>
        </w:rPr>
        <w:t>Generally, we will be entitled to a deduction for federal income tax purposes in the year and in</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same amount as the optionee is considered to have realized ordinary income in connection with the exercise of a non-qualified stock option.</w:t>
      </w:r>
    </w:p>
    <w:p>
      <w:pPr>
        <w:spacing w:after="0" w:line="55" w:lineRule="exact"/>
        <w:rPr>
          <w:sz w:val="20"/>
          <w:szCs w:val="20"/>
          <w:color w:val="auto"/>
        </w:rPr>
      </w:pPr>
    </w:p>
    <w:p>
      <w:pPr>
        <w:ind w:left="200" w:right="80"/>
        <w:spacing w:after="0" w:line="251" w:lineRule="auto"/>
        <w:rPr>
          <w:sz w:val="20"/>
          <w:szCs w:val="20"/>
          <w:color w:val="auto"/>
        </w:rPr>
      </w:pPr>
      <w:r>
        <w:rPr>
          <w:rFonts w:ascii="Arial" w:cs="Arial" w:eastAsia="Arial" w:hAnsi="Arial"/>
          <w:sz w:val="16"/>
          <w:szCs w:val="16"/>
          <w:i w:val="1"/>
          <w:iCs w:val="1"/>
          <w:color w:val="009FE3"/>
        </w:rPr>
        <w:t xml:space="preserve">Restricted Stock. </w:t>
      </w:r>
      <w:r>
        <w:rPr>
          <w:rFonts w:ascii="Arial" w:cs="Arial" w:eastAsia="Arial" w:hAnsi="Arial"/>
          <w:sz w:val="16"/>
          <w:szCs w:val="16"/>
          <w:color w:val="202E39"/>
        </w:rPr>
        <w:t>Generally, a participant in the Restated Equity Plan will not be taxed upon the grant or purchase of restricted stock that is subject to a</w:t>
      </w:r>
      <w:r>
        <w:rPr>
          <w:rFonts w:ascii="Arial" w:cs="Arial" w:eastAsia="Arial" w:hAnsi="Arial"/>
          <w:sz w:val="16"/>
          <w:szCs w:val="16"/>
          <w:i w:val="1"/>
          <w:iCs w:val="1"/>
          <w:color w:val="009FE3"/>
        </w:rPr>
        <w:t xml:space="preserve"> </w:t>
      </w:r>
      <w:r>
        <w:rPr>
          <w:rFonts w:ascii="Arial" w:cs="Arial" w:eastAsia="Arial" w:hAnsi="Arial"/>
          <w:sz w:val="16"/>
          <w:szCs w:val="16"/>
          <w:color w:val="202E39"/>
        </w:rPr>
        <w:t>“substantial risk of forfeiture,” within the meaning of 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Restated Equity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Section 83 of the Code. Viasat will be eligible for a tax deduction as a compensation expense at the time the participant recognizes ordinary income equal to the amount of income recognized.</w:t>
      </w:r>
    </w:p>
    <w:p>
      <w:pPr>
        <w:spacing w:after="0" w:line="81" w:lineRule="exact"/>
        <w:rPr>
          <w:sz w:val="20"/>
          <w:szCs w:val="20"/>
          <w:color w:val="auto"/>
        </w:rPr>
      </w:pPr>
    </w:p>
    <w:p>
      <w:pPr>
        <w:ind w:left="200" w:right="100"/>
        <w:spacing w:after="0" w:line="264" w:lineRule="auto"/>
        <w:rPr>
          <w:sz w:val="20"/>
          <w:szCs w:val="20"/>
          <w:color w:val="auto"/>
        </w:rPr>
      </w:pPr>
      <w:r>
        <w:rPr>
          <w:rFonts w:ascii="Arial" w:cs="Arial" w:eastAsia="Arial" w:hAnsi="Arial"/>
          <w:sz w:val="16"/>
          <w:szCs w:val="16"/>
          <w:i w:val="1"/>
          <w:iCs w:val="1"/>
          <w:color w:val="009FE3"/>
        </w:rPr>
        <w:t xml:space="preserve">Stock Appreciation Rights. </w:t>
      </w:r>
      <w:r>
        <w:rPr>
          <w:rFonts w:ascii="Arial" w:cs="Arial" w:eastAsia="Arial" w:hAnsi="Arial"/>
          <w:sz w:val="16"/>
          <w:szCs w:val="16"/>
          <w:color w:val="202E39"/>
        </w:rPr>
        <w:t>A participant will not be taxed upon the grant of a stock appreciation right. Upon the exercise of the stock appreciation right,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participant will recognize ordinary income equal to the amount of cash or the fair market value of the stock received upon exercise. At the time of exercise, Viasat will be eligible for a tax deduction as a compensation expense equal to the amount that the participant recognizes as ordinary income.</w:t>
      </w:r>
    </w:p>
    <w:p>
      <w:pPr>
        <w:spacing w:after="0" w:line="68" w:lineRule="exact"/>
        <w:rPr>
          <w:sz w:val="20"/>
          <w:szCs w:val="20"/>
          <w:color w:val="auto"/>
        </w:rPr>
      </w:pPr>
    </w:p>
    <w:p>
      <w:pPr>
        <w:ind w:left="200" w:right="20"/>
        <w:spacing w:after="0" w:line="264" w:lineRule="auto"/>
        <w:rPr>
          <w:sz w:val="20"/>
          <w:szCs w:val="20"/>
          <w:color w:val="auto"/>
        </w:rPr>
      </w:pPr>
      <w:r>
        <w:rPr>
          <w:rFonts w:ascii="Arial" w:cs="Arial" w:eastAsia="Arial" w:hAnsi="Arial"/>
          <w:sz w:val="16"/>
          <w:szCs w:val="16"/>
          <w:i w:val="1"/>
          <w:iCs w:val="1"/>
          <w:color w:val="009FE3"/>
        </w:rPr>
        <w:t xml:space="preserve">Performance Awards, Dividend Equivalents, Restricted Stock Units and Stock Payments. </w:t>
      </w:r>
      <w:r>
        <w:rPr>
          <w:rFonts w:ascii="Arial" w:cs="Arial" w:eastAsia="Arial" w:hAnsi="Arial"/>
          <w:sz w:val="16"/>
          <w:szCs w:val="16"/>
          <w:color w:val="202E39"/>
        </w:rPr>
        <w:t>A participant will have ordinary income upon receipt of stock</w:t>
      </w:r>
      <w:r>
        <w:rPr>
          <w:rFonts w:ascii="Arial" w:cs="Arial" w:eastAsia="Arial" w:hAnsi="Arial"/>
          <w:sz w:val="16"/>
          <w:szCs w:val="16"/>
          <w:i w:val="1"/>
          <w:iCs w:val="1"/>
          <w:color w:val="009FE3"/>
        </w:rPr>
        <w:t xml:space="preserve"> </w:t>
      </w:r>
      <w:r>
        <w:rPr>
          <w:rFonts w:ascii="Arial" w:cs="Arial" w:eastAsia="Arial" w:hAnsi="Arial"/>
          <w:sz w:val="16"/>
          <w:szCs w:val="16"/>
          <w:color w:val="202E39"/>
        </w:rPr>
        <w:t>or cash payable under a performance award, dividend equivalents, restricted stock units and stock payments. Viasat will be eligible for a tax deduction as a compensation expense equal to the amount of ordinary income recognized by the participant.</w:t>
      </w:r>
    </w:p>
    <w:p>
      <w:pPr>
        <w:spacing w:after="0" w:line="68" w:lineRule="exact"/>
        <w:rPr>
          <w:sz w:val="20"/>
          <w:szCs w:val="20"/>
          <w:color w:val="auto"/>
        </w:rPr>
      </w:pPr>
    </w:p>
    <w:p>
      <w:pPr>
        <w:ind w:left="200" w:right="40"/>
        <w:spacing w:after="0" w:line="250" w:lineRule="auto"/>
        <w:rPr>
          <w:sz w:val="20"/>
          <w:szCs w:val="20"/>
          <w:color w:val="auto"/>
        </w:rPr>
      </w:pPr>
      <w:r>
        <w:rPr>
          <w:rFonts w:ascii="Arial" w:cs="Arial" w:eastAsia="Arial" w:hAnsi="Arial"/>
          <w:sz w:val="16"/>
          <w:szCs w:val="16"/>
          <w:i w:val="1"/>
          <w:iCs w:val="1"/>
          <w:color w:val="009FE3"/>
        </w:rPr>
        <w:t xml:space="preserve">Section 162(m). </w:t>
      </w:r>
      <w:r>
        <w:rPr>
          <w:rFonts w:ascii="Arial" w:cs="Arial" w:eastAsia="Arial" w:hAnsi="Arial"/>
          <w:sz w:val="16"/>
          <w:szCs w:val="16"/>
          <w:color w:val="202E39"/>
        </w:rPr>
        <w:t>Under Section 162(m) of the Code, in general, income tax deductions of publicly-traded companies may be limited to the extent total</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(including base salary, annual bonus, stock option exercises and non-qualified benefits paid in 1994 and thereafter) for certain “covered employees” exceeds $1 million in any one taxable year. Prior to the TCJA, covered employees generally consisted of our chief executive officer and each of the next three highest compensated officers serving at the end of the taxable year other than our chief financial officer, and the deduction limit did not apply to certain “performance-based” compensation established by an independent compensation committee which conformed to certain restrictive conditions stated under the Code and related regulations. As part of the TCJA, the ability to rely on this exemption was, with certain limited exceptions, eliminated, and the definition of covered employees was expanded to generally include all named executive officers. Certain awards under the Equity Plan granted prior to November 2, 2017 may be grandfathered from the changes made by the TCJA under certain limited transition relief, however, for grants after that date and any grants which are not grandfathered, we will no longer be able to take a deduction for any compensation in excess of $1 million that is paid to a covered employee. There is no guarantee that any awards will be eligible for the transition relief or that we will be able to take a deduction for any compensation in excess of $1 million that is paid to a covered employee under the Equity Plan or the Restated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85090</wp:posOffset>
            </wp:positionV>
            <wp:extent cx="42862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80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New Plan Benefits</w:t>
      </w:r>
    </w:p>
    <w:p>
      <w:pPr>
        <w:spacing w:after="0" w:line="124" w:lineRule="exact"/>
        <w:rPr>
          <w:sz w:val="20"/>
          <w:szCs w:val="20"/>
          <w:color w:val="auto"/>
        </w:rPr>
      </w:pPr>
    </w:p>
    <w:p>
      <w:pPr>
        <w:ind w:left="200" w:right="20"/>
        <w:spacing w:after="0" w:line="249" w:lineRule="auto"/>
        <w:rPr>
          <w:sz w:val="20"/>
          <w:szCs w:val="20"/>
          <w:color w:val="auto"/>
        </w:rPr>
      </w:pPr>
      <w:r>
        <w:rPr>
          <w:rFonts w:ascii="Arial" w:cs="Arial" w:eastAsia="Arial" w:hAnsi="Arial"/>
          <w:sz w:val="16"/>
          <w:szCs w:val="16"/>
          <w:color w:val="202E39"/>
        </w:rPr>
        <w:t>The number of awards that an eligible individual may receive under the Restated Equity Plan is in the discretion of the Board of Directors or the Compensation and Human Resources Committee and therefore cannot be determined in advance. As noted above, the Restated Equity Plan provides for automatic grants of restricted stock unit awards and stock options to non-employee directors. Other than these automatic awards, neither the Compensation and Human Resources Committee nor the Board of Directors has made any determination to grant any awards to any persons under the Restated Equity Plan as of the date of this proxy statement. For illustrative purposes only, the following table sets forth the aggregate number of shares subject to restricted stock unit awards and stock options granted under the Equity Plan during the last fiscal year to the following individuals and groups.</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840" w:type="dxa"/>
            <w:vAlign w:val="bottom"/>
            <w:tcBorders>
              <w:top w:val="single" w:sz="8" w:color="E8EAEB"/>
              <w:right w:val="single" w:sz="8" w:color="E8EAEB"/>
            </w:tcBorders>
          </w:tcPr>
          <w:p>
            <w:pPr>
              <w:spacing w:after="0"/>
              <w:rPr>
                <w:sz w:val="17"/>
                <w:szCs w:val="17"/>
                <w:color w:val="auto"/>
              </w:rPr>
            </w:pPr>
          </w:p>
        </w:tc>
        <w:tc>
          <w:tcPr>
            <w:tcW w:w="128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 Shares</w:t>
            </w:r>
          </w:p>
        </w:tc>
        <w:tc>
          <w:tcPr>
            <w:tcW w:w="3900" w:type="dxa"/>
            <w:vAlign w:val="bottom"/>
            <w:tcBorders>
              <w:top w:val="single" w:sz="8" w:color="E8EAEB"/>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40" w:type="dxa"/>
            <w:vAlign w:val="bottom"/>
            <w:tcBorders>
              <w:right w:val="single" w:sz="8" w:color="E8EAEB"/>
            </w:tcBorders>
          </w:tcPr>
          <w:p>
            <w:pPr>
              <w:spacing w:after="0"/>
              <w:rPr>
                <w:sz w:val="14"/>
                <w:szCs w:val="14"/>
                <w:color w:val="auto"/>
              </w:rPr>
            </w:pPr>
          </w:p>
        </w:tc>
        <w:tc>
          <w:tcPr>
            <w:tcW w:w="12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Subject to</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009FE3"/>
              </w:rPr>
              <w:t>Number of Shares</w:t>
            </w:r>
          </w:p>
        </w:tc>
        <w:tc>
          <w:tcPr>
            <w:tcW w:w="0" w:type="dxa"/>
            <w:vAlign w:val="bottom"/>
          </w:tcPr>
          <w:p>
            <w:pPr>
              <w:spacing w:after="0"/>
              <w:rPr>
                <w:sz w:val="1"/>
                <w:szCs w:val="1"/>
                <w:color w:val="auto"/>
              </w:rPr>
            </w:pPr>
          </w:p>
        </w:tc>
      </w:tr>
      <w:tr>
        <w:trPr>
          <w:trHeight w:val="162"/>
        </w:trPr>
        <w:tc>
          <w:tcPr>
            <w:tcW w:w="5840" w:type="dxa"/>
            <w:vAlign w:val="bottom"/>
            <w:tcBorders>
              <w:right w:val="single" w:sz="8" w:color="E8EAEB"/>
            </w:tcBorders>
            <w:vMerge w:val="restart"/>
          </w:tcPr>
          <w:p>
            <w:pPr>
              <w:ind w:left="60"/>
              <w:spacing w:after="0"/>
              <w:rPr>
                <w:sz w:val="20"/>
                <w:szCs w:val="20"/>
                <w:color w:val="auto"/>
              </w:rPr>
            </w:pPr>
            <w:r>
              <w:rPr>
                <w:rFonts w:ascii="Arial" w:cs="Arial" w:eastAsia="Arial" w:hAnsi="Arial"/>
                <w:sz w:val="14"/>
                <w:szCs w:val="14"/>
                <w:b w:val="1"/>
                <w:bCs w:val="1"/>
                <w:color w:val="009FE3"/>
              </w:rPr>
              <w:t>Name or Group</w:t>
            </w:r>
          </w:p>
        </w:tc>
        <w:tc>
          <w:tcPr>
            <w:tcW w:w="12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Restricted Stock</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009FE3"/>
              </w:rPr>
              <w:t>Underlying Options</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009FE3"/>
              <w:right w:val="single" w:sz="8" w:color="E8EAEB"/>
            </w:tcBorders>
            <w:vMerge w:val="continue"/>
          </w:tcPr>
          <w:p>
            <w:pPr>
              <w:spacing w:after="0"/>
              <w:rPr>
                <w:sz w:val="16"/>
                <w:szCs w:val="16"/>
                <w:color w:val="auto"/>
              </w:rPr>
            </w:pPr>
          </w:p>
        </w:tc>
        <w:tc>
          <w:tcPr>
            <w:tcW w:w="12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Units Granted (#)</w:t>
            </w:r>
          </w:p>
        </w:tc>
        <w:tc>
          <w:tcPr>
            <w:tcW w:w="390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Granted (#) (1)</w:t>
            </w:r>
          </w:p>
        </w:tc>
        <w:tc>
          <w:tcPr>
            <w:tcW w:w="0" w:type="dxa"/>
            <w:vAlign w:val="bottom"/>
          </w:tcPr>
          <w:p>
            <w:pPr>
              <w:spacing w:after="0"/>
              <w:rPr>
                <w:sz w:val="1"/>
                <w:szCs w:val="1"/>
                <w:color w:val="auto"/>
              </w:rPr>
            </w:pPr>
          </w:p>
        </w:tc>
      </w:tr>
      <w:tr>
        <w:trPr>
          <w:trHeight w:val="244"/>
        </w:trPr>
        <w:tc>
          <w:tcPr>
            <w:tcW w:w="58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2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46,667</w:t>
            </w:r>
          </w:p>
        </w:tc>
        <w:tc>
          <w:tcPr>
            <w:tcW w:w="3900" w:type="dxa"/>
            <w:vAlign w:val="bottom"/>
            <w:tcBorders>
              <w:bottom w:val="single" w:sz="8" w:color="E8EAEB"/>
            </w:tcBorders>
          </w:tcPr>
          <w:p>
            <w:pPr>
              <w:jc w:val="center"/>
              <w:ind w:left="221"/>
              <w:spacing w:after="0"/>
              <w:rPr>
                <w:sz w:val="20"/>
                <w:szCs w:val="20"/>
                <w:color w:val="auto"/>
              </w:rPr>
            </w:pPr>
            <w:r>
              <w:rPr>
                <w:rFonts w:ascii="Arial" w:cs="Arial" w:eastAsia="Arial" w:hAnsi="Arial"/>
                <w:sz w:val="16"/>
                <w:szCs w:val="16"/>
                <w:color w:val="202E39"/>
              </w:rPr>
              <w:t>140,000</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2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37,500</w:t>
            </w:r>
          </w:p>
        </w:tc>
        <w:tc>
          <w:tcPr>
            <w:tcW w:w="3900" w:type="dxa"/>
            <w:vAlign w:val="bottom"/>
            <w:tcBorders>
              <w:bottom w:val="single" w:sz="8" w:color="E8EAEB"/>
            </w:tcBorders>
          </w:tcPr>
          <w:p>
            <w:pPr>
              <w:jc w:val="center"/>
              <w:ind w:left="221"/>
              <w:spacing w:after="0"/>
              <w:rPr>
                <w:sz w:val="20"/>
                <w:szCs w:val="20"/>
                <w:color w:val="auto"/>
              </w:rPr>
            </w:pPr>
            <w:r>
              <w:rPr>
                <w:rFonts w:ascii="Arial" w:cs="Arial" w:eastAsia="Arial" w:hAnsi="Arial"/>
                <w:sz w:val="16"/>
                <w:szCs w:val="16"/>
                <w:color w:val="202E39"/>
              </w:rPr>
              <w:t>112,500</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2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10,000</w:t>
            </w:r>
          </w:p>
        </w:tc>
        <w:tc>
          <w:tcPr>
            <w:tcW w:w="3900" w:type="dxa"/>
            <w:vAlign w:val="bottom"/>
            <w:tcBorders>
              <w:bottom w:val="single" w:sz="8" w:color="E8EAEB"/>
            </w:tcBorders>
          </w:tcPr>
          <w:p>
            <w:pPr>
              <w:jc w:val="center"/>
              <w:ind w:left="221"/>
              <w:spacing w:after="0"/>
              <w:rPr>
                <w:sz w:val="20"/>
                <w:szCs w:val="20"/>
                <w:color w:val="auto"/>
              </w:rPr>
            </w:pPr>
            <w:r>
              <w:rPr>
                <w:rFonts w:ascii="Arial" w:cs="Arial" w:eastAsia="Arial" w:hAnsi="Arial"/>
                <w:sz w:val="16"/>
                <w:szCs w:val="16"/>
                <w:color w:val="202E39"/>
                <w:w w:val="98"/>
              </w:rPr>
              <w:t>30,000</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Keven Lippert</w:t>
            </w:r>
          </w:p>
        </w:tc>
        <w:tc>
          <w:tcPr>
            <w:tcW w:w="12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15,000</w:t>
            </w:r>
          </w:p>
        </w:tc>
        <w:tc>
          <w:tcPr>
            <w:tcW w:w="3900" w:type="dxa"/>
            <w:vAlign w:val="bottom"/>
            <w:tcBorders>
              <w:bottom w:val="single" w:sz="8" w:color="E8EAEB"/>
            </w:tcBorders>
          </w:tcPr>
          <w:p>
            <w:pPr>
              <w:jc w:val="center"/>
              <w:ind w:left="221"/>
              <w:spacing w:after="0"/>
              <w:rPr>
                <w:sz w:val="20"/>
                <w:szCs w:val="20"/>
                <w:color w:val="auto"/>
              </w:rPr>
            </w:pPr>
            <w:r>
              <w:rPr>
                <w:rFonts w:ascii="Arial" w:cs="Arial" w:eastAsia="Arial" w:hAnsi="Arial"/>
                <w:sz w:val="16"/>
                <w:szCs w:val="16"/>
                <w:color w:val="202E39"/>
                <w:w w:val="98"/>
              </w:rPr>
              <w:t>45,000</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2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10,000</w:t>
            </w:r>
          </w:p>
        </w:tc>
        <w:tc>
          <w:tcPr>
            <w:tcW w:w="3900" w:type="dxa"/>
            <w:vAlign w:val="bottom"/>
            <w:tcBorders>
              <w:bottom w:val="single" w:sz="8" w:color="E8EAEB"/>
            </w:tcBorders>
          </w:tcPr>
          <w:p>
            <w:pPr>
              <w:jc w:val="center"/>
              <w:ind w:left="221"/>
              <w:spacing w:after="0"/>
              <w:rPr>
                <w:sz w:val="20"/>
                <w:szCs w:val="20"/>
                <w:color w:val="auto"/>
              </w:rPr>
            </w:pPr>
            <w:r>
              <w:rPr>
                <w:rFonts w:ascii="Arial" w:cs="Arial" w:eastAsia="Arial" w:hAnsi="Arial"/>
                <w:sz w:val="16"/>
                <w:szCs w:val="16"/>
                <w:color w:val="202E39"/>
                <w:w w:val="98"/>
              </w:rPr>
              <w:t>30,000</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All current executive officers, as a group (14 persons) (2)</w:t>
            </w:r>
          </w:p>
        </w:tc>
        <w:tc>
          <w:tcPr>
            <w:tcW w:w="12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170,633</w:t>
            </w:r>
          </w:p>
        </w:tc>
        <w:tc>
          <w:tcPr>
            <w:tcW w:w="3900" w:type="dxa"/>
            <w:vAlign w:val="bottom"/>
            <w:tcBorders>
              <w:bottom w:val="single" w:sz="8" w:color="E8EAEB"/>
            </w:tcBorders>
          </w:tcPr>
          <w:p>
            <w:pPr>
              <w:jc w:val="center"/>
              <w:ind w:left="221"/>
              <w:spacing w:after="0"/>
              <w:rPr>
                <w:sz w:val="20"/>
                <w:szCs w:val="20"/>
                <w:color w:val="auto"/>
              </w:rPr>
            </w:pPr>
            <w:r>
              <w:rPr>
                <w:rFonts w:ascii="Arial" w:cs="Arial" w:eastAsia="Arial" w:hAnsi="Arial"/>
                <w:sz w:val="16"/>
                <w:szCs w:val="16"/>
                <w:color w:val="202E39"/>
              </w:rPr>
              <w:t>497,500</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All current directors who are not executive officers, as a group (8 persons)</w:t>
            </w:r>
          </w:p>
        </w:tc>
        <w:tc>
          <w:tcPr>
            <w:tcW w:w="12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17,200</w:t>
            </w:r>
          </w:p>
        </w:tc>
        <w:tc>
          <w:tcPr>
            <w:tcW w:w="3900" w:type="dxa"/>
            <w:vAlign w:val="bottom"/>
            <w:tcBorders>
              <w:bottom w:val="single" w:sz="8" w:color="E8EAEB"/>
            </w:tcBorders>
          </w:tcPr>
          <w:p>
            <w:pPr>
              <w:jc w:val="center"/>
              <w:ind w:left="221"/>
              <w:spacing w:after="0"/>
              <w:rPr>
                <w:sz w:val="20"/>
                <w:szCs w:val="20"/>
                <w:color w:val="auto"/>
              </w:rPr>
            </w:pPr>
            <w:r>
              <w:rPr>
                <w:rFonts w:ascii="Arial" w:cs="Arial" w:eastAsia="Arial" w:hAnsi="Arial"/>
                <w:sz w:val="16"/>
                <w:szCs w:val="16"/>
                <w:color w:val="202E39"/>
                <w:w w:val="98"/>
              </w:rPr>
              <w:t>53,000</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All other employees, as a group</w:t>
            </w:r>
          </w:p>
        </w:tc>
        <w:tc>
          <w:tcPr>
            <w:tcW w:w="12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6"/>
                <w:szCs w:val="16"/>
                <w:color w:val="202E39"/>
              </w:rPr>
              <w:t>978,529</w:t>
            </w:r>
          </w:p>
        </w:tc>
        <w:tc>
          <w:tcPr>
            <w:tcW w:w="3900" w:type="dxa"/>
            <w:vAlign w:val="bottom"/>
            <w:tcBorders>
              <w:bottom w:val="single" w:sz="8" w:color="009FE3"/>
            </w:tcBorders>
          </w:tcPr>
          <w:p>
            <w:pPr>
              <w:ind w:left="3460"/>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20" w:right="20" w:hanging="316"/>
        <w:spacing w:after="0" w:line="253" w:lineRule="auto"/>
        <w:tabs>
          <w:tab w:leader="none" w:pos="520" w:val="left"/>
        </w:tabs>
        <w:numPr>
          <w:ilvl w:val="0"/>
          <w:numId w:val="21"/>
        </w:numPr>
        <w:rPr>
          <w:rFonts w:ascii="Arial" w:cs="Arial" w:eastAsia="Arial" w:hAnsi="Arial"/>
          <w:sz w:val="14"/>
          <w:szCs w:val="14"/>
          <w:color w:val="202E39"/>
        </w:rPr>
      </w:pPr>
      <w:r>
        <w:rPr>
          <w:rFonts w:ascii="Arial" w:cs="Arial" w:eastAsia="Arial" w:hAnsi="Arial"/>
          <w:sz w:val="14"/>
          <w:szCs w:val="14"/>
          <w:color w:val="202E39"/>
        </w:rPr>
        <w:t>For purposes of the table above, performance-based stock options are included at “target” levels. Performance-based stock options may be eligible to vest at 175% of the “target” award levels at “maximum” performance. For a more detailed discussion of the performance-based stock options, see the “Executive Compensation” section below.</w:t>
      </w:r>
    </w:p>
    <w:p>
      <w:pPr>
        <w:spacing w:after="0" w:line="214" w:lineRule="exact"/>
        <w:rPr>
          <w:rFonts w:ascii="Arial" w:cs="Arial" w:eastAsia="Arial" w:hAnsi="Arial"/>
          <w:sz w:val="14"/>
          <w:szCs w:val="14"/>
          <w:color w:val="202E39"/>
        </w:rPr>
      </w:pPr>
    </w:p>
    <w:p>
      <w:pPr>
        <w:ind w:left="520" w:hanging="316"/>
        <w:spacing w:after="0"/>
        <w:tabs>
          <w:tab w:leader="none" w:pos="520" w:val="left"/>
        </w:tabs>
        <w:numPr>
          <w:ilvl w:val="0"/>
          <w:numId w:val="21"/>
        </w:numPr>
        <w:rPr>
          <w:rFonts w:ascii="Arial" w:cs="Arial" w:eastAsia="Arial" w:hAnsi="Arial"/>
          <w:sz w:val="14"/>
          <w:szCs w:val="14"/>
          <w:color w:val="202E39"/>
        </w:rPr>
      </w:pPr>
      <w:r>
        <w:rPr>
          <w:rFonts w:ascii="Arial" w:cs="Arial" w:eastAsia="Arial" w:hAnsi="Arial"/>
          <w:sz w:val="14"/>
          <w:szCs w:val="14"/>
          <w:color w:val="202E39"/>
        </w:rPr>
        <w:t>Includes equity awards to Marc Agnew and David Ryan, who were appointed as executive officers in fiscal year 2019.</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amendment and restatement of the Equity Plan.</w:t>
      </w:r>
    </w:p>
    <w:p>
      <w:pPr>
        <w:spacing w:after="0" w:line="159"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23</w:t>
            </w:r>
          </w:p>
        </w:tc>
      </w:tr>
    </w:tbl>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OWNERSHIP OF SECURITIES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Beneficial Ownership Table</w:t>
      </w:r>
    </w:p>
    <w:p>
      <w:pPr>
        <w:spacing w:after="0" w:line="145" w:lineRule="exact"/>
        <w:rPr>
          <w:sz w:val="20"/>
          <w:szCs w:val="20"/>
          <w:color w:val="auto"/>
        </w:rPr>
      </w:pPr>
    </w:p>
    <w:p>
      <w:pPr>
        <w:ind w:left="200" w:right="80"/>
        <w:spacing w:after="0" w:line="253" w:lineRule="auto"/>
        <w:rPr>
          <w:sz w:val="20"/>
          <w:szCs w:val="20"/>
          <w:color w:val="auto"/>
        </w:rPr>
      </w:pPr>
      <w:r>
        <w:rPr>
          <w:rFonts w:ascii="Arial" w:cs="Arial" w:eastAsia="Arial" w:hAnsi="Arial"/>
          <w:sz w:val="16"/>
          <w:szCs w:val="16"/>
          <w:color w:val="202E39"/>
        </w:rPr>
        <w:t>The following table sets forth information known to us regarding the ownership of Viasat common stock as of June 29, 2018 by (1) each director, (2) each of the Named Executive Officers identified in the Summary Compensation Table, (3) all directors and executive officers of Viasat as a group, and (4) all other stockholders known by us to be beneficial owners of more than 5% of Viasat common stock.</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6600" w:type="dxa"/>
            <w:vAlign w:val="bottom"/>
            <w:tcBorders>
              <w:top w:val="single" w:sz="8" w:color="E8EAEB"/>
              <w:right w:val="single" w:sz="8" w:color="E8EAEB"/>
            </w:tcBorders>
          </w:tcPr>
          <w:p>
            <w:pPr>
              <w:spacing w:after="0"/>
              <w:rPr>
                <w:sz w:val="17"/>
                <w:szCs w:val="17"/>
                <w:color w:val="auto"/>
              </w:rPr>
            </w:pPr>
          </w:p>
        </w:tc>
        <w:tc>
          <w:tcPr>
            <w:tcW w:w="2480" w:type="dxa"/>
            <w:vAlign w:val="bottom"/>
            <w:tcBorders>
              <w:top w:val="single" w:sz="8" w:color="E8EAEB"/>
              <w:right w:val="single" w:sz="8" w:color="E8EAEB"/>
            </w:tcBorders>
            <w:gridSpan w:val="3"/>
          </w:tcPr>
          <w:p>
            <w:pPr>
              <w:jc w:val="center"/>
              <w:ind w:right="259"/>
              <w:spacing w:after="0"/>
              <w:rPr>
                <w:sz w:val="20"/>
                <w:szCs w:val="20"/>
                <w:color w:val="auto"/>
              </w:rPr>
            </w:pPr>
            <w:r>
              <w:rPr>
                <w:rFonts w:ascii="Arial" w:cs="Arial" w:eastAsia="Arial" w:hAnsi="Arial"/>
                <w:sz w:val="14"/>
                <w:szCs w:val="14"/>
                <w:b w:val="1"/>
                <w:bCs w:val="1"/>
                <w:color w:val="009FE3"/>
              </w:rPr>
              <w:t>Amount and Nature</w:t>
            </w:r>
          </w:p>
        </w:tc>
        <w:tc>
          <w:tcPr>
            <w:tcW w:w="1940" w:type="dxa"/>
            <w:vAlign w:val="bottom"/>
            <w:tcBorders>
              <w:top w:val="single" w:sz="8" w:color="E8EAEB"/>
            </w:tcBorders>
          </w:tcPr>
          <w:p>
            <w:pPr>
              <w:jc w:val="center"/>
              <w:ind w:right="60"/>
              <w:spacing w:after="0"/>
              <w:rPr>
                <w:sz w:val="20"/>
                <w:szCs w:val="20"/>
                <w:color w:val="auto"/>
              </w:rPr>
            </w:pPr>
            <w:r>
              <w:rPr>
                <w:rFonts w:ascii="Arial" w:cs="Arial" w:eastAsia="Arial" w:hAnsi="Arial"/>
                <w:sz w:val="14"/>
                <w:szCs w:val="14"/>
                <w:b w:val="1"/>
                <w:bCs w:val="1"/>
                <w:color w:val="009FE3"/>
              </w:rPr>
              <w:t>Percent Beneficial</w:t>
            </w:r>
          </w:p>
        </w:tc>
        <w:tc>
          <w:tcPr>
            <w:tcW w:w="0" w:type="dxa"/>
            <w:vAlign w:val="bottom"/>
          </w:tcPr>
          <w:p>
            <w:pPr>
              <w:spacing w:after="0"/>
              <w:rPr>
                <w:sz w:val="1"/>
                <w:szCs w:val="1"/>
                <w:color w:val="auto"/>
              </w:rPr>
            </w:pPr>
          </w:p>
        </w:tc>
      </w:tr>
      <w:tr>
        <w:trPr>
          <w:trHeight w:val="162"/>
        </w:trPr>
        <w:tc>
          <w:tcPr>
            <w:tcW w:w="6600" w:type="dxa"/>
            <w:vAlign w:val="bottom"/>
            <w:tcBorders>
              <w:right w:val="single" w:sz="8" w:color="E8EAEB"/>
            </w:tcBorders>
            <w:vMerge w:val="restart"/>
          </w:tcPr>
          <w:p>
            <w:pPr>
              <w:ind w:left="60"/>
              <w:spacing w:after="0"/>
              <w:rPr>
                <w:sz w:val="20"/>
                <w:szCs w:val="20"/>
                <w:color w:val="auto"/>
              </w:rPr>
            </w:pPr>
            <w:r>
              <w:rPr>
                <w:rFonts w:ascii="Arial" w:cs="Arial" w:eastAsia="Arial" w:hAnsi="Arial"/>
                <w:sz w:val="14"/>
                <w:szCs w:val="14"/>
                <w:b w:val="1"/>
                <w:bCs w:val="1"/>
                <w:color w:val="009FE3"/>
              </w:rPr>
              <w:t>Name of Beneficial Owner (1)</w:t>
            </w:r>
          </w:p>
        </w:tc>
        <w:tc>
          <w:tcPr>
            <w:tcW w:w="1560" w:type="dxa"/>
            <w:vAlign w:val="bottom"/>
            <w:gridSpan w:val="2"/>
          </w:tcPr>
          <w:p>
            <w:pPr>
              <w:jc w:val="center"/>
              <w:ind w:left="500"/>
              <w:spacing w:after="0"/>
              <w:rPr>
                <w:sz w:val="20"/>
                <w:szCs w:val="20"/>
                <w:color w:val="auto"/>
              </w:rPr>
            </w:pPr>
            <w:r>
              <w:rPr>
                <w:rFonts w:ascii="Arial" w:cs="Arial" w:eastAsia="Arial" w:hAnsi="Arial"/>
                <w:sz w:val="14"/>
                <w:szCs w:val="14"/>
                <w:b w:val="1"/>
                <w:bCs w:val="1"/>
                <w:color w:val="009FE3"/>
              </w:rPr>
              <w:t>of Beneficial</w:t>
            </w:r>
          </w:p>
        </w:tc>
        <w:tc>
          <w:tcPr>
            <w:tcW w:w="920" w:type="dxa"/>
            <w:vAlign w:val="bottom"/>
            <w:tcBorders>
              <w:right w:val="single" w:sz="8" w:color="E8EAEB"/>
            </w:tcBorders>
          </w:tcPr>
          <w:p>
            <w:pPr>
              <w:spacing w:after="0"/>
              <w:rPr>
                <w:sz w:val="14"/>
                <w:szCs w:val="14"/>
                <w:color w:val="auto"/>
              </w:rPr>
            </w:pPr>
          </w:p>
        </w:tc>
        <w:tc>
          <w:tcPr>
            <w:tcW w:w="1940" w:type="dxa"/>
            <w:vAlign w:val="bottom"/>
          </w:tcPr>
          <w:p>
            <w:pPr>
              <w:jc w:val="center"/>
              <w:ind w:right="40"/>
              <w:spacing w:after="0"/>
              <w:rPr>
                <w:sz w:val="20"/>
                <w:szCs w:val="20"/>
                <w:color w:val="auto"/>
              </w:rPr>
            </w:pPr>
            <w:r>
              <w:rPr>
                <w:rFonts w:ascii="Arial" w:cs="Arial" w:eastAsia="Arial" w:hAnsi="Arial"/>
                <w:sz w:val="14"/>
                <w:szCs w:val="14"/>
                <w:b w:val="1"/>
                <w:bCs w:val="1"/>
                <w:color w:val="009FE3"/>
              </w:rPr>
              <w:t>Ownership</w:t>
            </w:r>
          </w:p>
        </w:tc>
        <w:tc>
          <w:tcPr>
            <w:tcW w:w="0" w:type="dxa"/>
            <w:vAlign w:val="bottom"/>
          </w:tcPr>
          <w:p>
            <w:pPr>
              <w:spacing w:after="0"/>
              <w:rPr>
                <w:sz w:val="1"/>
                <w:szCs w:val="1"/>
                <w:color w:val="auto"/>
              </w:rPr>
            </w:pPr>
          </w:p>
        </w:tc>
      </w:tr>
      <w:tr>
        <w:trPr>
          <w:trHeight w:val="189"/>
        </w:trPr>
        <w:tc>
          <w:tcPr>
            <w:tcW w:w="6600" w:type="dxa"/>
            <w:vAlign w:val="bottom"/>
            <w:tcBorders>
              <w:bottom w:val="single" w:sz="8" w:color="009FE3"/>
              <w:right w:val="single" w:sz="8" w:color="E8EAEB"/>
            </w:tcBorders>
            <w:vMerge w:val="continue"/>
          </w:tcPr>
          <w:p>
            <w:pPr>
              <w:spacing w:after="0"/>
              <w:rPr>
                <w:sz w:val="16"/>
                <w:szCs w:val="16"/>
                <w:color w:val="auto"/>
              </w:rPr>
            </w:pPr>
          </w:p>
        </w:tc>
        <w:tc>
          <w:tcPr>
            <w:tcW w:w="1560" w:type="dxa"/>
            <w:vAlign w:val="bottom"/>
            <w:tcBorders>
              <w:bottom w:val="single" w:sz="8" w:color="009FE3"/>
            </w:tcBorders>
            <w:gridSpan w:val="2"/>
          </w:tcPr>
          <w:p>
            <w:pPr>
              <w:jc w:val="center"/>
              <w:ind w:left="480"/>
              <w:spacing w:after="0"/>
              <w:rPr>
                <w:sz w:val="20"/>
                <w:szCs w:val="20"/>
                <w:color w:val="auto"/>
              </w:rPr>
            </w:pPr>
            <w:r>
              <w:rPr>
                <w:rFonts w:ascii="Arial" w:cs="Arial" w:eastAsia="Arial" w:hAnsi="Arial"/>
                <w:sz w:val="14"/>
                <w:szCs w:val="14"/>
                <w:b w:val="1"/>
                <w:bCs w:val="1"/>
                <w:color w:val="009FE3"/>
              </w:rPr>
              <w:t>Ownership (2)</w:t>
            </w:r>
          </w:p>
        </w:tc>
        <w:tc>
          <w:tcPr>
            <w:tcW w:w="920" w:type="dxa"/>
            <w:vAlign w:val="bottom"/>
            <w:tcBorders>
              <w:bottom w:val="single" w:sz="8" w:color="009FE3"/>
              <w:right w:val="single" w:sz="8" w:color="E8EAEB"/>
            </w:tcBorders>
          </w:tcPr>
          <w:p>
            <w:pPr>
              <w:spacing w:after="0"/>
              <w:rPr>
                <w:sz w:val="16"/>
                <w:szCs w:val="16"/>
                <w:color w:val="auto"/>
              </w:rPr>
            </w:pPr>
          </w:p>
        </w:tc>
        <w:tc>
          <w:tcPr>
            <w:tcW w:w="1940" w:type="dxa"/>
            <w:vAlign w:val="bottom"/>
            <w:tcBorders>
              <w:bottom w:val="single" w:sz="8" w:color="009FE3"/>
            </w:tcBorders>
          </w:tcPr>
          <w:p>
            <w:pPr>
              <w:jc w:val="center"/>
              <w:ind w:right="60"/>
              <w:spacing w:after="0"/>
              <w:rPr>
                <w:sz w:val="20"/>
                <w:szCs w:val="20"/>
                <w:color w:val="auto"/>
              </w:rPr>
            </w:pPr>
            <w:r>
              <w:rPr>
                <w:rFonts w:ascii="Arial" w:cs="Arial" w:eastAsia="Arial" w:hAnsi="Arial"/>
                <w:sz w:val="14"/>
                <w:szCs w:val="14"/>
                <w:b w:val="1"/>
                <w:bCs w:val="1"/>
                <w:color w:val="009FE3"/>
              </w:rPr>
              <w:t>(%) (3)</w:t>
            </w:r>
          </w:p>
        </w:tc>
        <w:tc>
          <w:tcPr>
            <w:tcW w:w="0" w:type="dxa"/>
            <w:vAlign w:val="bottom"/>
          </w:tcPr>
          <w:p>
            <w:pPr>
              <w:spacing w:after="0"/>
              <w:rPr>
                <w:sz w:val="1"/>
                <w:szCs w:val="1"/>
                <w:color w:val="auto"/>
              </w:rPr>
            </w:pPr>
          </w:p>
        </w:tc>
      </w:tr>
      <w:tr>
        <w:trPr>
          <w:trHeight w:val="244"/>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Directors and Officers:</w:t>
            </w:r>
          </w:p>
        </w:tc>
        <w:tc>
          <w:tcPr>
            <w:tcW w:w="1480" w:type="dxa"/>
            <w:vAlign w:val="bottom"/>
            <w:tcBorders>
              <w:bottom w:val="single" w:sz="8" w:color="E8EAEB"/>
            </w:tcBorders>
          </w:tcPr>
          <w:p>
            <w:pPr>
              <w:spacing w:after="0"/>
              <w:rPr>
                <w:sz w:val="21"/>
                <w:szCs w:val="21"/>
                <w:color w:val="auto"/>
              </w:rPr>
            </w:pP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1"/>
                <w:szCs w:val="21"/>
                <w:color w:val="auto"/>
              </w:rPr>
            </w:pPr>
          </w:p>
        </w:tc>
        <w:tc>
          <w:tcPr>
            <w:tcW w:w="1940" w:type="dxa"/>
            <w:vAlign w:val="bottom"/>
            <w:tcBorders>
              <w:bottom w:val="single" w:sz="8" w:color="E8EAEB"/>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2,030,300</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(4)</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8"/>
              </w:rPr>
              <w:t>3.4</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Robert Johnson</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705,296</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(5)</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8"/>
              </w:rPr>
              <w:t>1.2</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446,307</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(6)</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5"/>
              </w:rPr>
              <w:t>*</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Jeffrey Nash</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337,565</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(7)</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5"/>
              </w:rPr>
              <w:t>*</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B. Allen Lay</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336,613</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(8)</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5"/>
              </w:rPr>
              <w:t>*</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81,137</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(9)</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5"/>
              </w:rPr>
              <w:t>*</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Harvey White</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79,200</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(10)</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5"/>
              </w:rPr>
              <w:t>*</w:t>
            </w:r>
          </w:p>
        </w:tc>
        <w:tc>
          <w:tcPr>
            <w:tcW w:w="0" w:type="dxa"/>
            <w:vAlign w:val="bottom"/>
          </w:tcPr>
          <w:p>
            <w:pPr>
              <w:spacing w:after="0"/>
              <w:rPr>
                <w:sz w:val="1"/>
                <w:szCs w:val="1"/>
                <w:color w:val="auto"/>
              </w:rPr>
            </w:pPr>
          </w:p>
        </w:tc>
      </w:tr>
      <w:tr>
        <w:trPr>
          <w:trHeight w:val="254"/>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Keven Lippert</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71,880</w:t>
            </w:r>
          </w:p>
        </w:tc>
        <w:tc>
          <w:tcPr>
            <w:tcW w:w="80" w:type="dxa"/>
            <w:vAlign w:val="bottom"/>
            <w:tcBorders>
              <w:bottom w:val="single" w:sz="8" w:color="E8EAEB"/>
            </w:tcBorders>
          </w:tcPr>
          <w:p>
            <w:pPr>
              <w:spacing w:after="0"/>
              <w:rPr>
                <w:sz w:val="22"/>
                <w:szCs w:val="22"/>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(11)</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5"/>
              </w:rPr>
              <w:t>*</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53,687</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(12)</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5"/>
              </w:rPr>
              <w:t>*</w:t>
            </w:r>
          </w:p>
        </w:tc>
        <w:tc>
          <w:tcPr>
            <w:tcW w:w="0" w:type="dxa"/>
            <w:vAlign w:val="bottom"/>
          </w:tcPr>
          <w:p>
            <w:pPr>
              <w:spacing w:after="0"/>
              <w:rPr>
                <w:sz w:val="1"/>
                <w:szCs w:val="1"/>
                <w:color w:val="auto"/>
              </w:rPr>
            </w:pPr>
          </w:p>
        </w:tc>
      </w:tr>
      <w:tr>
        <w:trPr>
          <w:trHeight w:val="247"/>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John Stenbit</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38,400</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(13)</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5"/>
              </w:rPr>
              <w:t>*</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Frank J. Biondi, Jr.</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25,200</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(14)</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5"/>
              </w:rPr>
              <w:t>*</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Varsha Rao</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4,000</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(15)</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5"/>
              </w:rPr>
              <w:t>*</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Sean Pak</w:t>
            </w:r>
          </w:p>
        </w:tc>
        <w:tc>
          <w:tcPr>
            <w:tcW w:w="1560" w:type="dxa"/>
            <w:vAlign w:val="bottom"/>
            <w:tcBorders>
              <w:bottom w:val="single" w:sz="8" w:color="E8EAEB"/>
            </w:tcBorders>
            <w:gridSpan w:val="2"/>
          </w:tcPr>
          <w:p>
            <w:pPr>
              <w:ind w:left="900"/>
              <w:spacing w:after="0"/>
              <w:rPr>
                <w:sz w:val="20"/>
                <w:szCs w:val="20"/>
                <w:color w:val="auto"/>
              </w:rPr>
            </w:pPr>
            <w:r>
              <w:rPr>
                <w:rFonts w:ascii="Arial" w:cs="Arial" w:eastAsia="Arial" w:hAnsi="Arial"/>
                <w:sz w:val="16"/>
                <w:szCs w:val="16"/>
                <w:color w:val="202E39"/>
              </w:rPr>
              <w:t>—</w:t>
            </w:r>
          </w:p>
        </w:tc>
        <w:tc>
          <w:tcPr>
            <w:tcW w:w="920" w:type="dxa"/>
            <w:vAlign w:val="bottom"/>
            <w:tcBorders>
              <w:bottom w:val="single" w:sz="8" w:color="E8EAEB"/>
              <w:right w:val="single" w:sz="8" w:color="E8EAEB"/>
            </w:tcBorders>
          </w:tcPr>
          <w:p>
            <w:pPr>
              <w:spacing w:after="0"/>
              <w:rPr>
                <w:sz w:val="21"/>
                <w:szCs w:val="21"/>
                <w:color w:val="auto"/>
              </w:rPr>
            </w:pP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5"/>
              </w:rPr>
              <w:t>*</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All directors and executive officers as a group (22 persons)</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4,948,348</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1"/>
                <w:szCs w:val="21"/>
                <w:color w:val="auto"/>
              </w:rPr>
            </w:pP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8"/>
              </w:rPr>
              <w:t>8.1</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Other 5% Stockholders:</w:t>
            </w:r>
          </w:p>
        </w:tc>
        <w:tc>
          <w:tcPr>
            <w:tcW w:w="1480" w:type="dxa"/>
            <w:vAlign w:val="bottom"/>
            <w:tcBorders>
              <w:bottom w:val="single" w:sz="8" w:color="E8EAEB"/>
            </w:tcBorders>
          </w:tcPr>
          <w:p>
            <w:pPr>
              <w:spacing w:after="0"/>
              <w:rPr>
                <w:sz w:val="21"/>
                <w:szCs w:val="21"/>
                <w:color w:val="auto"/>
              </w:rPr>
            </w:pP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1"/>
                <w:szCs w:val="21"/>
                <w:color w:val="auto"/>
              </w:rPr>
            </w:pPr>
          </w:p>
        </w:tc>
        <w:tc>
          <w:tcPr>
            <w:tcW w:w="1940" w:type="dxa"/>
            <w:vAlign w:val="bottom"/>
            <w:tcBorders>
              <w:bottom w:val="single" w:sz="8" w:color="E8EAEB"/>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The Baupost Group, L.L.C.</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13,158,137</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(16)</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22.1</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BlackRock, Inc.</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5,968,682</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(17)</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10.0</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FPR Partners, LLC</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5,607,828</w:t>
            </w:r>
          </w:p>
        </w:tc>
        <w:tc>
          <w:tcPr>
            <w:tcW w:w="80" w:type="dxa"/>
            <w:vAlign w:val="bottom"/>
            <w:tcBorders>
              <w:bottom w:val="single" w:sz="8" w:color="E8EAEB"/>
            </w:tcBorders>
          </w:tcPr>
          <w:p>
            <w:pPr>
              <w:spacing w:after="0"/>
              <w:rPr>
                <w:sz w:val="21"/>
                <w:szCs w:val="21"/>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(18)</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8"/>
              </w:rPr>
              <w:t>9.4</w:t>
            </w:r>
          </w:p>
        </w:tc>
        <w:tc>
          <w:tcPr>
            <w:tcW w:w="0" w:type="dxa"/>
            <w:vAlign w:val="bottom"/>
          </w:tcPr>
          <w:p>
            <w:pPr>
              <w:spacing w:after="0"/>
              <w:rPr>
                <w:sz w:val="1"/>
                <w:szCs w:val="1"/>
                <w:color w:val="auto"/>
              </w:rPr>
            </w:pPr>
          </w:p>
        </w:tc>
      </w:tr>
      <w:tr>
        <w:trPr>
          <w:trHeight w:val="254"/>
        </w:trPr>
        <w:tc>
          <w:tcPr>
            <w:tcW w:w="6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Southeastern Asset Management, Inc.</w:t>
            </w:r>
          </w:p>
        </w:tc>
        <w:tc>
          <w:tcPr>
            <w:tcW w:w="1480" w:type="dxa"/>
            <w:vAlign w:val="bottom"/>
            <w:tcBorders>
              <w:bottom w:val="single" w:sz="8" w:color="E8EAEB"/>
            </w:tcBorders>
          </w:tcPr>
          <w:p>
            <w:pPr>
              <w:jc w:val="right"/>
              <w:ind w:right="260"/>
              <w:spacing w:after="0"/>
              <w:rPr>
                <w:sz w:val="20"/>
                <w:szCs w:val="20"/>
                <w:color w:val="auto"/>
              </w:rPr>
            </w:pPr>
            <w:r>
              <w:rPr>
                <w:rFonts w:ascii="Arial" w:cs="Arial" w:eastAsia="Arial" w:hAnsi="Arial"/>
                <w:sz w:val="16"/>
                <w:szCs w:val="16"/>
                <w:color w:val="202E39"/>
              </w:rPr>
              <w:t>5,405,625</w:t>
            </w:r>
          </w:p>
        </w:tc>
        <w:tc>
          <w:tcPr>
            <w:tcW w:w="80" w:type="dxa"/>
            <w:vAlign w:val="bottom"/>
            <w:tcBorders>
              <w:bottom w:val="single" w:sz="8" w:color="E8EAEB"/>
            </w:tcBorders>
          </w:tcPr>
          <w:p>
            <w:pPr>
              <w:spacing w:after="0"/>
              <w:rPr>
                <w:sz w:val="22"/>
                <w:szCs w:val="22"/>
                <w:color w:val="auto"/>
              </w:rPr>
            </w:pPr>
          </w:p>
        </w:tc>
        <w:tc>
          <w:tcPr>
            <w:tcW w:w="92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(19)</w:t>
            </w:r>
          </w:p>
        </w:tc>
        <w:tc>
          <w:tcPr>
            <w:tcW w:w="194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8"/>
              </w:rPr>
              <w:t>9.1</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The Vanguard Group</w:t>
            </w:r>
          </w:p>
        </w:tc>
        <w:tc>
          <w:tcPr>
            <w:tcW w:w="1480" w:type="dxa"/>
            <w:vAlign w:val="bottom"/>
            <w:tcBorders>
              <w:bottom w:val="single" w:sz="8" w:color="009FE3"/>
              <w:right w:val="single" w:sz="8" w:color="E8EAEB"/>
            </w:tcBorders>
          </w:tcPr>
          <w:p>
            <w:pPr>
              <w:jc w:val="right"/>
              <w:ind w:right="260"/>
              <w:spacing w:after="0"/>
              <w:rPr>
                <w:sz w:val="20"/>
                <w:szCs w:val="20"/>
                <w:color w:val="auto"/>
              </w:rPr>
            </w:pPr>
            <w:r>
              <w:rPr>
                <w:rFonts w:ascii="Arial" w:cs="Arial" w:eastAsia="Arial" w:hAnsi="Arial"/>
                <w:sz w:val="16"/>
                <w:szCs w:val="16"/>
                <w:color w:val="202E39"/>
              </w:rPr>
              <w:t>4,677,318</w:t>
            </w:r>
          </w:p>
        </w:tc>
        <w:tc>
          <w:tcPr>
            <w:tcW w:w="80" w:type="dxa"/>
            <w:vAlign w:val="bottom"/>
            <w:tcBorders>
              <w:bottom w:val="single" w:sz="8" w:color="009FE3"/>
            </w:tcBorders>
          </w:tcPr>
          <w:p>
            <w:pPr>
              <w:spacing w:after="0"/>
              <w:rPr>
                <w:sz w:val="21"/>
                <w:szCs w:val="21"/>
                <w:color w:val="auto"/>
              </w:rPr>
            </w:pPr>
          </w:p>
        </w:tc>
        <w:tc>
          <w:tcPr>
            <w:tcW w:w="920" w:type="dxa"/>
            <w:vAlign w:val="bottom"/>
            <w:tcBorders>
              <w:bottom w:val="single" w:sz="8" w:color="009FE3"/>
              <w:right w:val="single" w:sz="8" w:color="E8EAEB"/>
            </w:tcBorders>
          </w:tcPr>
          <w:p>
            <w:pPr>
              <w:spacing w:after="0"/>
              <w:rPr>
                <w:sz w:val="20"/>
                <w:szCs w:val="20"/>
                <w:color w:val="auto"/>
              </w:rPr>
            </w:pPr>
            <w:r>
              <w:rPr>
                <w:rFonts w:ascii="Arial" w:cs="Arial" w:eastAsia="Arial" w:hAnsi="Arial"/>
                <w:sz w:val="16"/>
                <w:szCs w:val="16"/>
                <w:color w:val="202E39"/>
              </w:rPr>
              <w:t>(20)</w:t>
            </w:r>
          </w:p>
        </w:tc>
        <w:tc>
          <w:tcPr>
            <w:tcW w:w="1940" w:type="dxa"/>
            <w:vAlign w:val="bottom"/>
            <w:tcBorders>
              <w:bottom w:val="single" w:sz="8" w:color="009FE3"/>
            </w:tcBorders>
          </w:tcPr>
          <w:p>
            <w:pPr>
              <w:jc w:val="center"/>
              <w:spacing w:after="0"/>
              <w:rPr>
                <w:sz w:val="20"/>
                <w:szCs w:val="20"/>
                <w:color w:val="auto"/>
              </w:rPr>
            </w:pPr>
            <w:r>
              <w:rPr>
                <w:rFonts w:ascii="Arial" w:cs="Arial" w:eastAsia="Arial" w:hAnsi="Arial"/>
                <w:sz w:val="16"/>
                <w:szCs w:val="16"/>
                <w:color w:val="202E39"/>
                <w:w w:val="98"/>
              </w:rPr>
              <w:t>7.9</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640" w:hanging="436"/>
        <w:spacing w:after="0"/>
        <w:tabs>
          <w:tab w:leader="none" w:pos="640" w:val="left"/>
        </w:tabs>
        <w:numPr>
          <w:ilvl w:val="0"/>
          <w:numId w:val="22"/>
        </w:numPr>
        <w:rPr>
          <w:rFonts w:ascii="Arial" w:cs="Arial" w:eastAsia="Arial" w:hAnsi="Arial"/>
          <w:sz w:val="14"/>
          <w:szCs w:val="14"/>
          <w:color w:val="202E39"/>
        </w:rPr>
      </w:pPr>
      <w:r>
        <w:rPr>
          <w:rFonts w:ascii="Arial" w:cs="Arial" w:eastAsia="Arial" w:hAnsi="Arial"/>
          <w:sz w:val="14"/>
          <w:szCs w:val="14"/>
          <w:color w:val="202E39"/>
        </w:rPr>
        <w:t>Less than 1%.</w:t>
      </w:r>
    </w:p>
    <w:p>
      <w:pPr>
        <w:spacing w:after="0" w:line="69" w:lineRule="exact"/>
        <w:rPr>
          <w:sz w:val="20"/>
          <w:szCs w:val="20"/>
          <w:color w:val="auto"/>
        </w:rPr>
      </w:pPr>
    </w:p>
    <w:p>
      <w:pPr>
        <w:ind w:left="640" w:right="180" w:hanging="436"/>
        <w:spacing w:after="0" w:line="247" w:lineRule="auto"/>
        <w:tabs>
          <w:tab w:leader="none" w:pos="6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 Unless otherwise indicated, the address of each person or entity named below is c/o Viasat, Inc., 6155 El Camino Real, Carlsbad, California 92009.</w:t>
      </w:r>
    </w:p>
    <w:p>
      <w:pPr>
        <w:spacing w:after="0" w:line="53" w:lineRule="exact"/>
        <w:rPr>
          <w:rFonts w:ascii="Arial" w:cs="Arial" w:eastAsia="Arial" w:hAnsi="Arial"/>
          <w:sz w:val="14"/>
          <w:szCs w:val="14"/>
          <w:color w:val="202E39"/>
        </w:rPr>
      </w:pPr>
    </w:p>
    <w:p>
      <w:pPr>
        <w:ind w:left="640" w:right="60" w:hanging="436"/>
        <w:spacing w:after="0" w:line="245" w:lineRule="auto"/>
        <w:tabs>
          <w:tab w:leader="none" w:pos="6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In computing the number of shares beneficially owned by a person named in the table and the percentage ownership of that person, shares of common stock that such person had the right to acquire within 60 days after June 29, 2018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June 29, 2018 and references to restricted stock units in the footnotes of the table include only restricted stock units that are scheduled to vest within 60 days after June 29, 2018.</w:t>
      </w:r>
    </w:p>
    <w:p>
      <w:pPr>
        <w:spacing w:after="0" w:line="56" w:lineRule="exact"/>
        <w:rPr>
          <w:rFonts w:ascii="Arial" w:cs="Arial" w:eastAsia="Arial" w:hAnsi="Arial"/>
          <w:sz w:val="14"/>
          <w:szCs w:val="14"/>
          <w:color w:val="202E39"/>
        </w:rPr>
      </w:pPr>
    </w:p>
    <w:p>
      <w:pPr>
        <w:ind w:left="640" w:right="80" w:hanging="436"/>
        <w:spacing w:after="0" w:line="250" w:lineRule="auto"/>
        <w:tabs>
          <w:tab w:leader="none" w:pos="6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For each person included in the table, percentage ownership is calculated by dividing the number of shares beneficially owned by such person by the sum of (a) 59,527,520 shares of common stock outstanding on June 29, 2018 plus (b) the number of shares of common stock that such person had the right to acquire within 60 days after June 29, 2018.</w:t>
      </w:r>
    </w:p>
    <w:p>
      <w:pPr>
        <w:spacing w:after="0" w:line="50" w:lineRule="exact"/>
        <w:rPr>
          <w:rFonts w:ascii="Arial" w:cs="Arial" w:eastAsia="Arial" w:hAnsi="Arial"/>
          <w:sz w:val="14"/>
          <w:szCs w:val="14"/>
          <w:color w:val="202E39"/>
        </w:rPr>
      </w:pPr>
    </w:p>
    <w:p>
      <w:pPr>
        <w:ind w:left="640" w:right="60" w:hanging="436"/>
        <w:spacing w:after="0" w:line="245" w:lineRule="auto"/>
        <w:tabs>
          <w:tab w:leader="none" w:pos="6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Includes (a) 399,000 shares subject to options exercisable by Mr. Dankberg within 60 days after June 29, 2018, (b) 78,912 shares held by the Dankberg Family Foundation, (c) 1,550,518 shares held by the Dankberg Family Trust, and (d) 587,049 shares pledged as collateral in a brokerage margin account. With respect to the shares pledged by Mr. Dankberg, it should be noted that (i) Mr. Dankberg’s pledged shares are not designed to shift or hedge any economic risk associated with his ownership of Viasat common stock, (ii) the total number of shares of Viasat common stock pledged under this margin account arrangement constituted only 1.0% of the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83820</wp:posOffset>
            </wp:positionV>
            <wp:extent cx="42862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24</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240"/>
        <w:spacing w:after="0"/>
        <w:rPr>
          <w:sz w:val="20"/>
          <w:szCs w:val="20"/>
          <w:color w:val="auto"/>
        </w:rPr>
      </w:pPr>
      <w:r>
        <w:rPr>
          <w:rFonts w:ascii="Arial" w:cs="Arial" w:eastAsia="Arial" w:hAnsi="Arial"/>
          <w:sz w:val="14"/>
          <w:szCs w:val="14"/>
          <w:color w:val="009FE3"/>
        </w:rPr>
        <w:t xml:space="preserve">OWNERSHIP OF SECURITIES • </w:t>
      </w:r>
      <w:r>
        <w:rPr>
          <w:rFonts w:ascii="Arial" w:cs="Arial" w:eastAsia="Arial" w:hAnsi="Arial"/>
          <w:sz w:val="14"/>
          <w:szCs w:val="14"/>
          <w:color w:val="202E39"/>
        </w:rPr>
        <w:t>Beneficial Ownership Table</w:t>
      </w:r>
    </w:p>
    <w:p>
      <w:pPr>
        <w:spacing w:after="0" w:line="150" w:lineRule="exact"/>
        <w:rPr>
          <w:sz w:val="20"/>
          <w:szCs w:val="20"/>
          <w:color w:val="auto"/>
        </w:rPr>
      </w:pPr>
    </w:p>
    <w:p>
      <w:pPr>
        <w:ind w:left="640" w:right="380"/>
        <w:spacing w:after="0" w:line="247" w:lineRule="auto"/>
        <w:rPr>
          <w:sz w:val="20"/>
          <w:szCs w:val="20"/>
          <w:color w:val="auto"/>
        </w:rPr>
      </w:pPr>
      <w:r>
        <w:rPr>
          <w:rFonts w:ascii="Arial" w:cs="Arial" w:eastAsia="Arial" w:hAnsi="Arial"/>
          <w:sz w:val="14"/>
          <w:szCs w:val="14"/>
          <w:color w:val="202E39"/>
        </w:rPr>
        <w:t>outstanding shares of Viasat common stock as of June 29, 2018, (iii) the maximum aggregate principal amount of advances secured by Mr. Dankberg’s pledged shares is $9.5 million, which, based on the closing price of Viasat common stock on June 29, 2018, would be equivalent to only approximately 144,553 shares of Viasat common stock, and (iv) Mr. Dankberg has advised us that he has the financial capacity to meet a margin call or repay any advance under his margin agreement without resort to the pledged shares.</w:t>
      </w:r>
    </w:p>
    <w:p>
      <w:pPr>
        <w:spacing w:after="0" w:line="53" w:lineRule="exact"/>
        <w:rPr>
          <w:sz w:val="20"/>
          <w:szCs w:val="20"/>
          <w:color w:val="auto"/>
        </w:rPr>
      </w:pPr>
    </w:p>
    <w:p>
      <w:pPr>
        <w:ind w:left="640" w:right="120" w:hanging="436"/>
        <w:spacing w:after="0" w:line="258"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Includes (a) 25,000 shares subject to options exercisable by Mr. Johnson within 60 days after June 29, 2018, and (b) 680,296 shares held by the Robert W. Johnson Revocable Trust dated 8/13/1992.</w:t>
      </w:r>
    </w:p>
    <w:p>
      <w:pPr>
        <w:spacing w:after="0" w:line="45" w:lineRule="exact"/>
        <w:rPr>
          <w:rFonts w:ascii="Arial" w:cs="Arial" w:eastAsia="Arial" w:hAnsi="Arial"/>
          <w:sz w:val="14"/>
          <w:szCs w:val="14"/>
          <w:color w:val="202E39"/>
        </w:rPr>
      </w:pPr>
    </w:p>
    <w:p>
      <w:pPr>
        <w:ind w:left="640" w:right="80" w:hanging="436"/>
        <w:spacing w:after="0" w:line="244"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Includes (a) 241,075 shares subject to options exercisable by Mr. Baldridge within 60 days after June 29, 2018, (b) 202,780 shares held by the Richard and Donna Baldridge Family Trust, and (c) 18,000 shares pledged as collateral in a brokerage margin account. With respect to the shares pledged by Mr. Baldridge, it should be noted that (i) Mr. Baldridge’s pledged shares are not designed to shift or hedge any economic risk associated with his ownership of Viasat common stock, (ii) the total number of shares of Viasat common stock pledged under this margin account arrangement constituted only 0.03% of the total outstanding shares of Viasat common stock as of June 29, 2018, (iii) the maximum aggregate principal amount of advances secured by Mr. Baldridge’s pledged shares is approximately $0.6 million, which, based on the closing price of Viasat common stock on June 29, 2018, would be equivalent to only approximately 9,100 shares of Viasat common stock, and (iv) Mr. Baldridge has advised us that he has the financial capacity to meet a margin call or repay any advance under his margin agreement without resort to the pledged shares.</w:t>
      </w:r>
    </w:p>
    <w:p>
      <w:pPr>
        <w:spacing w:after="0" w:line="218" w:lineRule="exact"/>
        <w:rPr>
          <w:rFonts w:ascii="Arial" w:cs="Arial" w:eastAsia="Arial" w:hAnsi="Arial"/>
          <w:sz w:val="14"/>
          <w:szCs w:val="14"/>
          <w:color w:val="202E39"/>
        </w:rPr>
      </w:pPr>
    </w:p>
    <w:p>
      <w:pPr>
        <w:ind w:left="640" w:right="100" w:hanging="436"/>
        <w:spacing w:after="0" w:line="258"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Includes (a) 25,000 shares subject to options exercisable by Dr. Nash within 60 days after June 29, 2018, and (b) 312,565 shares held by the Nash Family Trust n/d/t 3/18/1980.</w:t>
      </w:r>
    </w:p>
    <w:p>
      <w:pPr>
        <w:spacing w:after="0" w:line="45" w:lineRule="exact"/>
        <w:rPr>
          <w:rFonts w:ascii="Arial" w:cs="Arial" w:eastAsia="Arial" w:hAnsi="Arial"/>
          <w:sz w:val="14"/>
          <w:szCs w:val="14"/>
          <w:color w:val="202E39"/>
        </w:rPr>
      </w:pPr>
    </w:p>
    <w:p>
      <w:pPr>
        <w:ind w:left="640" w:right="360" w:hanging="436"/>
        <w:spacing w:after="0" w:line="258"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Includes (a) 20,000 shares subject to options exercisable by Mr. Lay within 60 days after June 29, 2018, and (b) 186,026 shares and 130,587 shares held by Lay Ventures, L.P. and the Lay Living Trust, respectively.</w:t>
      </w:r>
    </w:p>
    <w:p>
      <w:pPr>
        <w:spacing w:after="0" w:line="45" w:lineRule="exact"/>
        <w:rPr>
          <w:rFonts w:ascii="Arial" w:cs="Arial" w:eastAsia="Arial" w:hAnsi="Arial"/>
          <w:sz w:val="14"/>
          <w:szCs w:val="14"/>
          <w:color w:val="202E39"/>
        </w:rPr>
      </w:pPr>
    </w:p>
    <w:p>
      <w:pPr>
        <w:ind w:left="640" w:hanging="436"/>
        <w:spacing w:after="0"/>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Includes 55,000 shares subject to options exercisable by Ms. Duffy within 60 days after June 29, 2018.</w:t>
      </w:r>
    </w:p>
    <w:p>
      <w:pPr>
        <w:spacing w:after="0" w:line="68" w:lineRule="exact"/>
        <w:rPr>
          <w:rFonts w:ascii="Arial" w:cs="Arial" w:eastAsia="Arial" w:hAnsi="Arial"/>
          <w:sz w:val="14"/>
          <w:szCs w:val="14"/>
          <w:color w:val="202E39"/>
        </w:rPr>
      </w:pPr>
    </w:p>
    <w:p>
      <w:pPr>
        <w:ind w:left="640" w:right="380" w:hanging="436"/>
        <w:spacing w:after="0" w:line="258"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Includes (a) 20,000 shares subject to options exercisable by Mr. White within 60 days after June 29, 2018, (b) 58,200 shares held by the Harvey P. and Sheryl L. White Trust, and (c) 1,000 shares held by The Sheryl &amp; Harvey White Foundation.</w:t>
      </w:r>
    </w:p>
    <w:p>
      <w:pPr>
        <w:spacing w:after="0" w:line="45" w:lineRule="exact"/>
        <w:rPr>
          <w:rFonts w:ascii="Arial" w:cs="Arial" w:eastAsia="Arial" w:hAnsi="Arial"/>
          <w:sz w:val="14"/>
          <w:szCs w:val="14"/>
          <w:color w:val="202E39"/>
        </w:rPr>
      </w:pPr>
    </w:p>
    <w:p>
      <w:pPr>
        <w:ind w:left="640" w:hanging="436"/>
        <w:spacing w:after="0"/>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Includes 68,750 shares subject to options exercisable by Mr. Lippert within 60 days after June 29, 2018.</w:t>
      </w:r>
    </w:p>
    <w:p>
      <w:pPr>
        <w:spacing w:after="0" w:line="68" w:lineRule="exact"/>
        <w:rPr>
          <w:rFonts w:ascii="Arial" w:cs="Arial" w:eastAsia="Arial" w:hAnsi="Arial"/>
          <w:sz w:val="14"/>
          <w:szCs w:val="14"/>
          <w:color w:val="202E39"/>
        </w:rPr>
      </w:pPr>
    </w:p>
    <w:p>
      <w:pPr>
        <w:ind w:left="640" w:hanging="436"/>
        <w:spacing w:after="0"/>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Includes 31,625 shares subject to options exercisable by Mr. Peterman within 60 days after June 29, 2018.</w:t>
      </w:r>
    </w:p>
    <w:p>
      <w:pPr>
        <w:spacing w:after="0" w:line="68" w:lineRule="exact"/>
        <w:rPr>
          <w:rFonts w:ascii="Arial" w:cs="Arial" w:eastAsia="Arial" w:hAnsi="Arial"/>
          <w:sz w:val="14"/>
          <w:szCs w:val="14"/>
          <w:color w:val="202E39"/>
        </w:rPr>
      </w:pPr>
    </w:p>
    <w:p>
      <w:pPr>
        <w:ind w:left="640" w:right="220" w:hanging="436"/>
        <w:spacing w:after="0" w:line="258"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Includes (a) 22,200 shares subject to options exercisable by Mr. Stenbit within 60 days after June 29, 2018, and (b) 16,200 shares held by THE PIETJE 2012 GIFT TRUST.</w:t>
      </w:r>
    </w:p>
    <w:p>
      <w:pPr>
        <w:spacing w:after="0" w:line="45" w:lineRule="exact"/>
        <w:rPr>
          <w:rFonts w:ascii="Arial" w:cs="Arial" w:eastAsia="Arial" w:hAnsi="Arial"/>
          <w:sz w:val="14"/>
          <w:szCs w:val="14"/>
          <w:color w:val="202E39"/>
        </w:rPr>
      </w:pPr>
    </w:p>
    <w:p>
      <w:pPr>
        <w:ind w:left="640" w:right="380" w:hanging="436"/>
        <w:spacing w:after="0" w:line="258"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Includes (a) 19,000 shares subject to options exercisable by Mr. Biondi within 60 days after June 29, 2018, and (b) 6,200 shares held by The Biondi Family Trust dated July 20, 2001.</w:t>
      </w:r>
    </w:p>
    <w:p>
      <w:pPr>
        <w:spacing w:after="0" w:line="45" w:lineRule="exact"/>
        <w:rPr>
          <w:rFonts w:ascii="Arial" w:cs="Arial" w:eastAsia="Arial" w:hAnsi="Arial"/>
          <w:sz w:val="14"/>
          <w:szCs w:val="14"/>
          <w:color w:val="202E39"/>
        </w:rPr>
      </w:pPr>
    </w:p>
    <w:p>
      <w:pPr>
        <w:ind w:left="640" w:right="80" w:hanging="436"/>
        <w:spacing w:after="0" w:line="258"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Includes (a) 3,000 shares subject to options exercisable by Ms. Rao within 60 days after June 29, 2018, and (b) 1,000 shares subject to restricted stock units that are scheduled to vest within 60 days after June 29, 2018.</w:t>
      </w:r>
    </w:p>
    <w:p>
      <w:pPr>
        <w:spacing w:after="0" w:line="45" w:lineRule="exact"/>
        <w:rPr>
          <w:rFonts w:ascii="Arial" w:cs="Arial" w:eastAsia="Arial" w:hAnsi="Arial"/>
          <w:sz w:val="14"/>
          <w:szCs w:val="14"/>
          <w:color w:val="202E39"/>
        </w:rPr>
      </w:pPr>
    </w:p>
    <w:p>
      <w:pPr>
        <w:ind w:left="640" w:right="80" w:hanging="436"/>
        <w:spacing w:after="0" w:line="245"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 jointly filed with the SEC on February 14, 2017 by The Baupost Group, L.L.C. (Baupost), SAK Corporation and Seth A. Klarman. Such Schedule states that Baupost, SAK Corporation and Mr. Klarman have shared voting and dispositive power over 13,158,137 shares. Baupost is a registered investment adviser and acts as an investment adviser and general partner to certain private investment limited partnerships. SAK Corporation is the manager of Baupost. Mr. Klarman is the sole director and sole officer of SAK Corporation and a controlling person of Baupost. The address of Baupost, SAK Corporation and Mr. Klarman is 10 St. James Avenue, Suite 1700, Boston, Massachusetts 02116.</w:t>
      </w:r>
    </w:p>
    <w:p>
      <w:pPr>
        <w:spacing w:after="0" w:line="56" w:lineRule="exact"/>
        <w:rPr>
          <w:rFonts w:ascii="Arial" w:cs="Arial" w:eastAsia="Arial" w:hAnsi="Arial"/>
          <w:sz w:val="14"/>
          <w:szCs w:val="14"/>
          <w:color w:val="202E39"/>
        </w:rPr>
      </w:pPr>
    </w:p>
    <w:p>
      <w:pPr>
        <w:ind w:left="640" w:right="40" w:hanging="436"/>
        <w:spacing w:after="0" w:line="258"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 filed with the SEC on April 6, 2018 by BlackRock, Inc. Such Schedule states that BlackRock has sole voting power over 5,858,049 shares and sole dispositive power over 5,968,682 shares. The address of BlackRock, Inc. is 55 East 52nd Street, New York, New York 10055.</w:t>
      </w:r>
    </w:p>
    <w:p>
      <w:pPr>
        <w:spacing w:after="0" w:line="45" w:lineRule="exact"/>
        <w:rPr>
          <w:rFonts w:ascii="Arial" w:cs="Arial" w:eastAsia="Arial" w:hAnsi="Arial"/>
          <w:sz w:val="14"/>
          <w:szCs w:val="14"/>
          <w:color w:val="202E39"/>
        </w:rPr>
      </w:pPr>
    </w:p>
    <w:p>
      <w:pPr>
        <w:ind w:left="640" w:right="60" w:hanging="436"/>
        <w:spacing w:after="0" w:line="247"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 jointly filed with the SEC on February 14, 2018 by FPR Partners, LLC (FPR), Andrew Raab and Bob Peck. Such Schedule states that FPR, Mr. Raab and Mr. Peck have shared voting and dispositive power over 5,607,828 shares. FPR is a registered investment adviser and acts as an investment manager to certain limited partnerships. Mr. Raab and Mr. Peck are the senior managing members of FPR. The address of FPR, Mr. Raab and Mr. Peck is 199 Fremont Street, Suite 2500, San Francisco, California 94105.</w:t>
      </w:r>
    </w:p>
    <w:p>
      <w:pPr>
        <w:spacing w:after="0" w:line="53" w:lineRule="exact"/>
        <w:rPr>
          <w:rFonts w:ascii="Arial" w:cs="Arial" w:eastAsia="Arial" w:hAnsi="Arial"/>
          <w:sz w:val="14"/>
          <w:szCs w:val="14"/>
          <w:color w:val="202E39"/>
        </w:rPr>
      </w:pPr>
    </w:p>
    <w:p>
      <w:pPr>
        <w:ind w:left="640" w:right="100" w:hanging="436"/>
        <w:spacing w:after="0" w:line="244"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 jointly filed with the SEC on February 13, 2018 by Southeastern Asset Management, Inc. (Southeastern), Longleaf Partners Small-Cap Fund (Longleaf) and O. Mason Hawkins. Such Schedule states that Southeastern and Longleaf have shared voting and dispositive power over 3,763,727 shares, that Southeastern has sole voting power over 1,280,623 shares, no voting power over 361,275 shares and sole dispositive power over 1,641,898 shares, and that Mr. Hawkins does not have shared voting power or shared dispositive power with respect to any shares. Southeastern is a registered investment adviser and acts as an investment adviser to Longleaf, an investment company. All of the securities reported are owned legally by Southeastern’s investment advisory clients. Mr. Hawkins is the chairman of the board and chief executive officer of Southeastern. The address of Southeastern, Longleaf and Mr. Hawkins is 6410 Poplar Avenue, Suite 900, Memphis, Tennessee 38119.</w:t>
      </w:r>
    </w:p>
    <w:p>
      <w:pPr>
        <w:spacing w:after="0" w:line="56" w:lineRule="exact"/>
        <w:rPr>
          <w:rFonts w:ascii="Arial" w:cs="Arial" w:eastAsia="Arial" w:hAnsi="Arial"/>
          <w:sz w:val="14"/>
          <w:szCs w:val="14"/>
          <w:color w:val="202E39"/>
        </w:rPr>
      </w:pPr>
    </w:p>
    <w:p>
      <w:pPr>
        <w:ind w:left="640" w:right="180" w:hanging="436"/>
        <w:spacing w:after="0" w:line="250"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 filed with the SEC on February 9, 2018 by The Vanguard Group (Vanguard). Such Schedule states that Vanguard has sole voting power over 61,369 shares, shared voting power over 10,789 shares, sole dispositive power over 4,609,712 shares and shared dispositive power over 67,606 shares. The address of Vanguard is 100 Vanguard Boulevard, Malvern, Pennsylvania 19355.</w:t>
      </w:r>
    </w:p>
    <w:p>
      <w:pPr>
        <w:spacing w:after="0" w:line="114"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25</w:t>
            </w:r>
          </w:p>
        </w:tc>
      </w:tr>
    </w:tbl>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OWNERSHIP OF SECURITIES </w:t>
      </w:r>
      <w:r>
        <w:rPr>
          <w:rFonts w:ascii="Arial" w:cs="Arial" w:eastAsia="Arial" w:hAnsi="Arial"/>
          <w:sz w:val="14"/>
          <w:szCs w:val="14"/>
          <w:color w:val="009FE3"/>
        </w:rPr>
        <w:t>• Section 16(a) Beneficial Ownership Reporting Compliance</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Section 16(a) Beneficial Ownership Reporting Compliance</w:t>
      </w:r>
    </w:p>
    <w:p>
      <w:pPr>
        <w:spacing w:after="0" w:line="14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202E39"/>
        </w:rPr>
        <w:t>Section 16(a) of the Securities Exchange Act of 1934 requires our directors, executive officers and holders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greater than 10% stockholders complied with the Section 16(a) filing requirements during the fiscal year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85090</wp:posOffset>
            </wp:positionV>
            <wp:extent cx="42862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26</w:t>
      </w:r>
    </w:p>
    <w:p>
      <w:pPr>
        <w:sectPr>
          <w:pgSz w:w="11900" w:h="16838" w:orient="portrait"/>
          <w:cols w:equalWidth="0" w:num="1">
            <w:col w:w="11120"/>
          </w:cols>
          <w:pgMar w:left="240" w:top="459" w:right="5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EXECUTIVE COMPENSATION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QUICK REFERENCE GUIDE:</w:t>
      </w:r>
    </w:p>
    <w:p>
      <w:pPr>
        <w:spacing w:after="0" w:line="288"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60" w:type="dxa"/>
            <w:vAlign w:val="bottom"/>
            <w:tcBorders>
              <w:bottom w:val="single" w:sz="8" w:color="009FE3"/>
            </w:tcBorders>
          </w:tcPr>
          <w:p>
            <w:pPr>
              <w:spacing w:after="0"/>
              <w:rPr>
                <w:sz w:val="19"/>
                <w:szCs w:val="19"/>
                <w:color w:val="auto"/>
              </w:rPr>
            </w:pPr>
          </w:p>
        </w:tc>
        <w:tc>
          <w:tcPr>
            <w:tcW w:w="180" w:type="dxa"/>
            <w:vAlign w:val="bottom"/>
            <w:tcBorders>
              <w:bottom w:val="single" w:sz="8" w:color="009FE3"/>
            </w:tcBorders>
          </w:tcPr>
          <w:p>
            <w:pPr>
              <w:spacing w:after="0"/>
              <w:rPr>
                <w:sz w:val="19"/>
                <w:szCs w:val="19"/>
                <w:color w:val="auto"/>
              </w:rPr>
            </w:pPr>
          </w:p>
        </w:tc>
        <w:tc>
          <w:tcPr>
            <w:tcW w:w="180" w:type="dxa"/>
            <w:vAlign w:val="bottom"/>
            <w:tcBorders>
              <w:bottom w:val="single" w:sz="8" w:color="009FE3"/>
            </w:tcBorders>
          </w:tcPr>
          <w:p>
            <w:pPr>
              <w:spacing w:after="0"/>
              <w:rPr>
                <w:sz w:val="19"/>
                <w:szCs w:val="19"/>
                <w:color w:val="auto"/>
              </w:rPr>
            </w:pPr>
          </w:p>
        </w:tc>
        <w:tc>
          <w:tcPr>
            <w:tcW w:w="480" w:type="dxa"/>
            <w:vAlign w:val="bottom"/>
            <w:tcBorders>
              <w:bottom w:val="single" w:sz="8" w:color="009FE3"/>
            </w:tcBorders>
          </w:tcPr>
          <w:p>
            <w:pPr>
              <w:spacing w:after="0"/>
              <w:rPr>
                <w:sz w:val="19"/>
                <w:szCs w:val="19"/>
                <w:color w:val="auto"/>
              </w:rPr>
            </w:pPr>
          </w:p>
        </w:tc>
        <w:tc>
          <w:tcPr>
            <w:tcW w:w="180" w:type="dxa"/>
            <w:vAlign w:val="bottom"/>
            <w:tcBorders>
              <w:bottom w:val="single" w:sz="8" w:color="009FE3"/>
            </w:tcBorders>
          </w:tcPr>
          <w:p>
            <w:pPr>
              <w:spacing w:after="0"/>
              <w:rPr>
                <w:sz w:val="19"/>
                <w:szCs w:val="19"/>
                <w:color w:val="auto"/>
              </w:rPr>
            </w:pPr>
          </w:p>
        </w:tc>
        <w:tc>
          <w:tcPr>
            <w:tcW w:w="820" w:type="dxa"/>
            <w:vAlign w:val="bottom"/>
            <w:tcBorders>
              <w:bottom w:val="single" w:sz="8" w:color="009FE3"/>
            </w:tcBorders>
          </w:tcPr>
          <w:p>
            <w:pPr>
              <w:spacing w:after="0"/>
              <w:rPr>
                <w:sz w:val="19"/>
                <w:szCs w:val="19"/>
                <w:color w:val="auto"/>
              </w:rPr>
            </w:pPr>
          </w:p>
        </w:tc>
        <w:tc>
          <w:tcPr>
            <w:tcW w:w="120" w:type="dxa"/>
            <w:vAlign w:val="bottom"/>
            <w:tcBorders>
              <w:bottom w:val="single" w:sz="8" w:color="009FE3"/>
            </w:tcBorders>
          </w:tcPr>
          <w:p>
            <w:pPr>
              <w:spacing w:after="0"/>
              <w:rPr>
                <w:sz w:val="19"/>
                <w:szCs w:val="19"/>
                <w:color w:val="auto"/>
              </w:rPr>
            </w:pPr>
          </w:p>
        </w:tc>
        <w:tc>
          <w:tcPr>
            <w:tcW w:w="40" w:type="dxa"/>
            <w:vAlign w:val="bottom"/>
            <w:tcBorders>
              <w:bottom w:val="single" w:sz="8" w:color="009FE3"/>
            </w:tcBorders>
          </w:tcPr>
          <w:p>
            <w:pPr>
              <w:spacing w:after="0"/>
              <w:rPr>
                <w:sz w:val="19"/>
                <w:szCs w:val="19"/>
                <w:color w:val="auto"/>
              </w:rPr>
            </w:pPr>
          </w:p>
        </w:tc>
        <w:tc>
          <w:tcPr>
            <w:tcW w:w="320" w:type="dxa"/>
            <w:vAlign w:val="bottom"/>
            <w:tcBorders>
              <w:bottom w:val="single" w:sz="8" w:color="009FE3"/>
            </w:tcBorders>
          </w:tcPr>
          <w:p>
            <w:pPr>
              <w:spacing w:after="0"/>
              <w:rPr>
                <w:sz w:val="19"/>
                <w:szCs w:val="19"/>
                <w:color w:val="auto"/>
              </w:rPr>
            </w:pPr>
          </w:p>
        </w:tc>
        <w:tc>
          <w:tcPr>
            <w:tcW w:w="200" w:type="dxa"/>
            <w:vAlign w:val="bottom"/>
            <w:tcBorders>
              <w:bottom w:val="single" w:sz="8" w:color="009FE3"/>
            </w:tcBorders>
          </w:tcPr>
          <w:p>
            <w:pPr>
              <w:spacing w:after="0"/>
              <w:rPr>
                <w:sz w:val="19"/>
                <w:szCs w:val="19"/>
                <w:color w:val="auto"/>
              </w:rPr>
            </w:pPr>
          </w:p>
        </w:tc>
        <w:tc>
          <w:tcPr>
            <w:tcW w:w="380" w:type="dxa"/>
            <w:vAlign w:val="bottom"/>
            <w:tcBorders>
              <w:bottom w:val="single" w:sz="8" w:color="009FE3"/>
            </w:tcBorders>
          </w:tcPr>
          <w:p>
            <w:pPr>
              <w:spacing w:after="0"/>
              <w:rPr>
                <w:sz w:val="19"/>
                <w:szCs w:val="19"/>
                <w:color w:val="auto"/>
              </w:rPr>
            </w:pPr>
          </w:p>
        </w:tc>
        <w:tc>
          <w:tcPr>
            <w:tcW w:w="140" w:type="dxa"/>
            <w:vAlign w:val="bottom"/>
            <w:tcBorders>
              <w:bottom w:val="single" w:sz="8" w:color="009FE3"/>
            </w:tcBorders>
          </w:tcPr>
          <w:p>
            <w:pPr>
              <w:spacing w:after="0"/>
              <w:rPr>
                <w:sz w:val="19"/>
                <w:szCs w:val="19"/>
                <w:color w:val="auto"/>
              </w:rPr>
            </w:pPr>
          </w:p>
        </w:tc>
        <w:tc>
          <w:tcPr>
            <w:tcW w:w="20" w:type="dxa"/>
            <w:vAlign w:val="bottom"/>
            <w:tcBorders>
              <w:bottom w:val="single" w:sz="8" w:color="009FE3"/>
            </w:tcBorders>
          </w:tcPr>
          <w:p>
            <w:pPr>
              <w:spacing w:after="0"/>
              <w:rPr>
                <w:sz w:val="19"/>
                <w:szCs w:val="19"/>
                <w:color w:val="auto"/>
              </w:rPr>
            </w:pPr>
          </w:p>
        </w:tc>
        <w:tc>
          <w:tcPr>
            <w:tcW w:w="160" w:type="dxa"/>
            <w:vAlign w:val="bottom"/>
            <w:tcBorders>
              <w:bottom w:val="single" w:sz="8" w:color="009FE3"/>
            </w:tcBorders>
          </w:tcPr>
          <w:p>
            <w:pPr>
              <w:spacing w:after="0"/>
              <w:rPr>
                <w:sz w:val="19"/>
                <w:szCs w:val="19"/>
                <w:color w:val="auto"/>
              </w:rPr>
            </w:pPr>
          </w:p>
        </w:tc>
        <w:tc>
          <w:tcPr>
            <w:tcW w:w="80" w:type="dxa"/>
            <w:vAlign w:val="bottom"/>
            <w:tcBorders>
              <w:bottom w:val="single" w:sz="8" w:color="009FE3"/>
            </w:tcBorders>
          </w:tcPr>
          <w:p>
            <w:pPr>
              <w:spacing w:after="0"/>
              <w:rPr>
                <w:sz w:val="19"/>
                <w:szCs w:val="19"/>
                <w:color w:val="auto"/>
              </w:rPr>
            </w:pPr>
          </w:p>
        </w:tc>
        <w:tc>
          <w:tcPr>
            <w:tcW w:w="280" w:type="dxa"/>
            <w:vAlign w:val="bottom"/>
            <w:tcBorders>
              <w:bottom w:val="single" w:sz="8" w:color="009FE3"/>
            </w:tcBorders>
          </w:tcPr>
          <w:p>
            <w:pPr>
              <w:spacing w:after="0"/>
              <w:rPr>
                <w:sz w:val="19"/>
                <w:szCs w:val="19"/>
                <w:color w:val="auto"/>
              </w:rPr>
            </w:pPr>
          </w:p>
        </w:tc>
        <w:tc>
          <w:tcPr>
            <w:tcW w:w="580" w:type="dxa"/>
            <w:vAlign w:val="bottom"/>
            <w:tcBorders>
              <w:bottom w:val="single" w:sz="8" w:color="009FE3"/>
            </w:tcBorders>
          </w:tcPr>
          <w:p>
            <w:pPr>
              <w:spacing w:after="0"/>
              <w:rPr>
                <w:sz w:val="19"/>
                <w:szCs w:val="19"/>
                <w:color w:val="auto"/>
              </w:rPr>
            </w:pPr>
          </w:p>
        </w:tc>
        <w:tc>
          <w:tcPr>
            <w:tcW w:w="1060" w:type="dxa"/>
            <w:vAlign w:val="bottom"/>
            <w:tcBorders>
              <w:bottom w:val="single" w:sz="8" w:color="009FE3"/>
            </w:tcBorders>
          </w:tcPr>
          <w:p>
            <w:pPr>
              <w:jc w:val="right"/>
              <w:spacing w:after="0"/>
              <w:rPr>
                <w:sz w:val="20"/>
                <w:szCs w:val="20"/>
                <w:color w:val="auto"/>
              </w:rPr>
            </w:pPr>
            <w:r>
              <w:rPr>
                <w:rFonts w:ascii="Arial" w:cs="Arial" w:eastAsia="Arial" w:hAnsi="Arial"/>
                <w:sz w:val="18"/>
                <w:szCs w:val="18"/>
                <w:b w:val="1"/>
                <w:bCs w:val="1"/>
                <w:color w:val="009FE3"/>
              </w:rPr>
              <w:t>Page</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160" w:type="dxa"/>
            <w:vAlign w:val="bottom"/>
            <w:gridSpan w:val="16"/>
          </w:tcPr>
          <w:p>
            <w:pPr>
              <w:spacing w:after="0" w:line="156" w:lineRule="exact"/>
              <w:rPr>
                <w:rFonts w:ascii="Arial" w:cs="Arial" w:eastAsia="Arial" w:hAnsi="Arial"/>
                <w:sz w:val="17"/>
                <w:szCs w:val="17"/>
                <w:color w:val="0000EE"/>
              </w:rPr>
            </w:pPr>
            <w:hyperlink w:anchor="page30">
              <w:r>
                <w:rPr>
                  <w:rFonts w:ascii="Arial" w:cs="Arial" w:eastAsia="Arial" w:hAnsi="Arial"/>
                  <w:sz w:val="17"/>
                  <w:szCs w:val="17"/>
                  <w:color w:val="0000EE"/>
                </w:rPr>
                <w:t>COMPENSATION DISCUSSION AND</w:t>
              </w:r>
            </w:hyperlink>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40" w:type="dxa"/>
            <w:vAlign w:val="bottom"/>
            <w:tcBorders>
              <w:top w:val="single" w:sz="8" w:color="0000EE"/>
              <w:bottom w:val="single" w:sz="8" w:color="0000EE"/>
            </w:tcBorders>
            <w:gridSpan w:val="3"/>
          </w:tcPr>
          <w:p>
            <w:pPr>
              <w:spacing w:after="0" w:line="156" w:lineRule="exact"/>
              <w:rPr>
                <w:rFonts w:ascii="Arial" w:cs="Arial" w:eastAsia="Arial" w:hAnsi="Arial"/>
                <w:sz w:val="17"/>
                <w:szCs w:val="17"/>
                <w:color w:val="0000EE"/>
                <w:w w:val="98"/>
              </w:rPr>
            </w:pPr>
            <w:hyperlink w:anchor="page30">
              <w:r>
                <w:rPr>
                  <w:rFonts w:ascii="Arial" w:cs="Arial" w:eastAsia="Arial" w:hAnsi="Arial"/>
                  <w:sz w:val="17"/>
                  <w:szCs w:val="17"/>
                  <w:color w:val="0000EE"/>
                  <w:w w:val="98"/>
                </w:rPr>
                <w:t>ANALYSIS</w:t>
              </w:r>
            </w:hyperlink>
          </w:p>
        </w:tc>
        <w:tc>
          <w:tcPr>
            <w:tcW w:w="2060" w:type="dxa"/>
            <w:vAlign w:val="bottom"/>
            <w:tcBorders>
              <w:top w:val="single" w:sz="8" w:color="0000EE"/>
            </w:tcBorders>
            <w:gridSpan w:val="7"/>
          </w:tcPr>
          <w:p>
            <w:pPr>
              <w:spacing w:after="0"/>
              <w:rPr>
                <w:sz w:val="14"/>
                <w:szCs w:val="14"/>
                <w:color w:val="auto"/>
              </w:rPr>
            </w:pPr>
          </w:p>
        </w:tc>
        <w:tc>
          <w:tcPr>
            <w:tcW w:w="1260" w:type="dxa"/>
            <w:vAlign w:val="bottom"/>
            <w:gridSpan w:val="6"/>
          </w:tcPr>
          <w:p>
            <w:pPr>
              <w:spacing w:after="0"/>
              <w:rPr>
                <w:sz w:val="14"/>
                <w:szCs w:val="14"/>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7"/>
                <w:szCs w:val="17"/>
                <w:color w:val="202E39"/>
              </w:rPr>
              <w:t>27</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tcBorders>
              <w:bottom w:val="single" w:sz="8" w:color="0000EE"/>
            </w:tcBorders>
            <w:gridSpan w:val="13"/>
          </w:tcPr>
          <w:p>
            <w:pPr>
              <w:ind w:left="20"/>
              <w:spacing w:after="0" w:line="183" w:lineRule="exact"/>
              <w:rPr>
                <w:rFonts w:ascii="Arial" w:cs="Arial" w:eastAsia="Arial" w:hAnsi="Arial"/>
                <w:sz w:val="17"/>
                <w:szCs w:val="17"/>
                <w:color w:val="0000EE"/>
                <w:w w:val="99"/>
              </w:rPr>
            </w:pPr>
            <w:hyperlink w:anchor="page30">
              <w:r>
                <w:rPr>
                  <w:rFonts w:ascii="Arial" w:cs="Arial" w:eastAsia="Arial" w:hAnsi="Arial"/>
                  <w:sz w:val="17"/>
                  <w:szCs w:val="17"/>
                  <w:color w:val="0000EE"/>
                  <w:w w:val="99"/>
                </w:rPr>
                <w:t>Business Overview and Fiscal Year 2018</w:t>
              </w:r>
            </w:hyperlink>
          </w:p>
        </w:tc>
        <w:tc>
          <w:tcPr>
            <w:tcW w:w="86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80" w:type="dxa"/>
            <w:vAlign w:val="bottom"/>
            <w:gridSpan w:val="15"/>
          </w:tcPr>
          <w:p>
            <w:pPr>
              <w:ind w:left="20"/>
              <w:spacing w:after="0" w:line="156" w:lineRule="exact"/>
              <w:rPr>
                <w:rFonts w:ascii="Arial" w:cs="Arial" w:eastAsia="Arial" w:hAnsi="Arial"/>
                <w:sz w:val="17"/>
                <w:szCs w:val="17"/>
                <w:color w:val="0000EE"/>
              </w:rPr>
            </w:pPr>
            <w:hyperlink w:anchor="page30">
              <w:r>
                <w:rPr>
                  <w:rFonts w:ascii="Arial" w:cs="Arial" w:eastAsia="Arial" w:hAnsi="Arial"/>
                  <w:sz w:val="17"/>
                  <w:szCs w:val="17"/>
                  <w:color w:val="0000EE"/>
                </w:rPr>
                <w:t>Performance Highlights</w:t>
              </w:r>
            </w:hyperlink>
          </w:p>
        </w:tc>
        <w:tc>
          <w:tcPr>
            <w:tcW w:w="1060" w:type="dxa"/>
            <w:vAlign w:val="bottom"/>
          </w:tcPr>
          <w:p>
            <w:pPr>
              <w:jc w:val="right"/>
              <w:spacing w:after="0" w:line="156" w:lineRule="exact"/>
              <w:rPr>
                <w:sz w:val="20"/>
                <w:szCs w:val="20"/>
                <w:color w:val="auto"/>
              </w:rPr>
            </w:pPr>
            <w:r>
              <w:rPr>
                <w:rFonts w:ascii="Arial" w:cs="Arial" w:eastAsia="Arial" w:hAnsi="Arial"/>
                <w:sz w:val="17"/>
                <w:szCs w:val="17"/>
                <w:color w:val="202E39"/>
              </w:rPr>
              <w:t>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80" w:type="dxa"/>
            <w:vAlign w:val="bottom"/>
            <w:tcBorders>
              <w:bottom w:val="single" w:sz="8" w:color="0000EE"/>
            </w:tcBorders>
            <w:gridSpan w:val="11"/>
          </w:tcPr>
          <w:p>
            <w:pPr>
              <w:ind w:left="20"/>
              <w:spacing w:after="0" w:line="183" w:lineRule="exact"/>
              <w:rPr>
                <w:rFonts w:ascii="Arial" w:cs="Arial" w:eastAsia="Arial" w:hAnsi="Arial"/>
                <w:sz w:val="17"/>
                <w:szCs w:val="17"/>
                <w:color w:val="0000EE"/>
                <w:w w:val="99"/>
              </w:rPr>
            </w:pPr>
            <w:hyperlink w:anchor="page31">
              <w:r>
                <w:rPr>
                  <w:rFonts w:ascii="Arial" w:cs="Arial" w:eastAsia="Arial" w:hAnsi="Arial"/>
                  <w:sz w:val="17"/>
                  <w:szCs w:val="17"/>
                  <w:color w:val="0000EE"/>
                  <w:w w:val="99"/>
                </w:rPr>
                <w:t>Overview and Objectives of Executive</w:t>
              </w:r>
            </w:hyperlink>
          </w:p>
        </w:tc>
        <w:tc>
          <w:tcPr>
            <w:tcW w:w="1100" w:type="dxa"/>
            <w:vAlign w:val="bottom"/>
            <w:gridSpan w:val="4"/>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Borders>
              <w:bottom w:val="single" w:sz="8" w:color="0000EE"/>
            </w:tcBorders>
            <w:gridSpan w:val="6"/>
          </w:tcPr>
          <w:p>
            <w:pPr>
              <w:ind w:left="20"/>
              <w:spacing w:after="0" w:line="156" w:lineRule="exact"/>
              <w:rPr>
                <w:rFonts w:ascii="Arial" w:cs="Arial" w:eastAsia="Arial" w:hAnsi="Arial"/>
                <w:sz w:val="17"/>
                <w:szCs w:val="17"/>
                <w:color w:val="0000EE"/>
                <w:w w:val="99"/>
              </w:rPr>
            </w:pPr>
            <w:hyperlink w:anchor="page31">
              <w:r>
                <w:rPr>
                  <w:rFonts w:ascii="Arial" w:cs="Arial" w:eastAsia="Arial" w:hAnsi="Arial"/>
                  <w:sz w:val="17"/>
                  <w:szCs w:val="17"/>
                  <w:color w:val="0000EE"/>
                  <w:w w:val="99"/>
                </w:rPr>
                <w:t>Compensation Program</w:t>
              </w:r>
            </w:hyperlink>
          </w:p>
        </w:tc>
        <w:tc>
          <w:tcPr>
            <w:tcW w:w="2160" w:type="dxa"/>
            <w:vAlign w:val="bottom"/>
            <w:gridSpan w:val="9"/>
          </w:tcPr>
          <w:p>
            <w:pPr>
              <w:spacing w:after="0"/>
              <w:rPr>
                <w:sz w:val="14"/>
                <w:szCs w:val="14"/>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7"/>
                <w:szCs w:val="17"/>
                <w:color w:val="202E39"/>
              </w:rPr>
              <w:t>28</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Borders>
              <w:bottom w:val="single" w:sz="8" w:color="0000EE"/>
            </w:tcBorders>
            <w:gridSpan w:val="6"/>
          </w:tcPr>
          <w:p>
            <w:pPr>
              <w:spacing w:after="0" w:line="183" w:lineRule="exact"/>
              <w:rPr>
                <w:rFonts w:ascii="Arial" w:cs="Arial" w:eastAsia="Arial" w:hAnsi="Arial"/>
                <w:sz w:val="17"/>
                <w:szCs w:val="17"/>
                <w:color w:val="0000EE"/>
              </w:rPr>
            </w:pPr>
            <w:hyperlink w:anchor="page31">
              <w:r>
                <w:rPr>
                  <w:rFonts w:ascii="Arial" w:cs="Arial" w:eastAsia="Arial" w:hAnsi="Arial"/>
                  <w:sz w:val="17"/>
                  <w:szCs w:val="17"/>
                  <w:color w:val="0000EE"/>
                </w:rPr>
                <w:t>Compensation Objectives</w:t>
              </w:r>
            </w:hyperlink>
          </w:p>
        </w:tc>
        <w:tc>
          <w:tcPr>
            <w:tcW w:w="1840" w:type="dxa"/>
            <w:vAlign w:val="bottom"/>
            <w:gridSpan w:val="8"/>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7"/>
                <w:szCs w:val="17"/>
                <w:color w:val="202E39"/>
              </w:rPr>
              <w:t>28</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0" w:type="dxa"/>
            <w:vAlign w:val="bottom"/>
            <w:gridSpan w:val="14"/>
          </w:tcPr>
          <w:p>
            <w:pPr>
              <w:spacing w:after="0" w:line="169" w:lineRule="exact"/>
              <w:rPr>
                <w:rFonts w:ascii="Arial" w:cs="Arial" w:eastAsia="Arial" w:hAnsi="Arial"/>
                <w:sz w:val="17"/>
                <w:szCs w:val="17"/>
                <w:color w:val="0000EE"/>
              </w:rPr>
            </w:pPr>
            <w:hyperlink w:anchor="page32">
              <w:r>
                <w:rPr>
                  <w:rFonts w:ascii="Arial" w:cs="Arial" w:eastAsia="Arial" w:hAnsi="Arial"/>
                  <w:sz w:val="17"/>
                  <w:szCs w:val="17"/>
                  <w:color w:val="0000EE"/>
                </w:rPr>
                <w:t>Decision-Making Process and Criteria</w:t>
              </w:r>
            </w:hyperlink>
          </w:p>
        </w:tc>
        <w:tc>
          <w:tcPr>
            <w:tcW w:w="1060" w:type="dxa"/>
            <w:vAlign w:val="bottom"/>
          </w:tcPr>
          <w:p>
            <w:pPr>
              <w:jc w:val="right"/>
              <w:spacing w:after="0" w:line="169" w:lineRule="exact"/>
              <w:rPr>
                <w:sz w:val="20"/>
                <w:szCs w:val="20"/>
                <w:color w:val="auto"/>
              </w:rPr>
            </w:pPr>
            <w:r>
              <w:rPr>
                <w:rFonts w:ascii="Arial" w:cs="Arial" w:eastAsia="Arial" w:hAnsi="Arial"/>
                <w:sz w:val="17"/>
                <w:szCs w:val="17"/>
                <w:color w:val="202E39"/>
              </w:rPr>
              <w:t>29</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tcBorders>
              <w:top w:val="single" w:sz="8" w:color="0000EE"/>
              <w:bottom w:val="single" w:sz="8" w:color="0000EE"/>
            </w:tcBorders>
            <w:gridSpan w:val="9"/>
          </w:tcPr>
          <w:p>
            <w:pPr>
              <w:spacing w:after="0" w:line="169" w:lineRule="exact"/>
              <w:rPr>
                <w:rFonts w:ascii="Arial" w:cs="Arial" w:eastAsia="Arial" w:hAnsi="Arial"/>
                <w:sz w:val="17"/>
                <w:szCs w:val="17"/>
                <w:color w:val="0000EE"/>
              </w:rPr>
            </w:pPr>
            <w:hyperlink w:anchor="page34">
              <w:r>
                <w:rPr>
                  <w:rFonts w:ascii="Arial" w:cs="Arial" w:eastAsia="Arial" w:hAnsi="Arial"/>
                  <w:sz w:val="17"/>
                  <w:szCs w:val="17"/>
                  <w:color w:val="0000EE"/>
                </w:rPr>
                <w:t>Components of Our Compensation</w:t>
              </w:r>
            </w:hyperlink>
          </w:p>
        </w:tc>
        <w:tc>
          <w:tcPr>
            <w:tcW w:w="180" w:type="dxa"/>
            <w:vAlign w:val="bottom"/>
            <w:tcBorders>
              <w:top w:val="single" w:sz="8" w:color="0000EE"/>
            </w:tcBorders>
            <w:gridSpan w:val="2"/>
          </w:tcPr>
          <w:p>
            <w:pPr>
              <w:spacing w:after="0"/>
              <w:rPr>
                <w:sz w:val="14"/>
                <w:szCs w:val="14"/>
                <w:color w:val="auto"/>
              </w:rPr>
            </w:pPr>
          </w:p>
        </w:tc>
        <w:tc>
          <w:tcPr>
            <w:tcW w:w="940" w:type="dxa"/>
            <w:vAlign w:val="bottom"/>
            <w:gridSpan w:val="3"/>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0" w:type="dxa"/>
            <w:vAlign w:val="bottom"/>
            <w:gridSpan w:val="14"/>
          </w:tcPr>
          <w:p>
            <w:pPr>
              <w:spacing w:after="0" w:line="156" w:lineRule="exact"/>
              <w:rPr>
                <w:rFonts w:ascii="Arial" w:cs="Arial" w:eastAsia="Arial" w:hAnsi="Arial"/>
                <w:sz w:val="17"/>
                <w:szCs w:val="17"/>
                <w:color w:val="0000EE"/>
              </w:rPr>
            </w:pPr>
            <w:hyperlink w:anchor="page34">
              <w:r>
                <w:rPr>
                  <w:rFonts w:ascii="Arial" w:cs="Arial" w:eastAsia="Arial" w:hAnsi="Arial"/>
                  <w:sz w:val="17"/>
                  <w:szCs w:val="17"/>
                  <w:color w:val="0000EE"/>
                </w:rPr>
                <w:t>Program</w:t>
              </w:r>
            </w:hyperlink>
          </w:p>
        </w:tc>
        <w:tc>
          <w:tcPr>
            <w:tcW w:w="1060" w:type="dxa"/>
            <w:vAlign w:val="bottom"/>
          </w:tcPr>
          <w:p>
            <w:pPr>
              <w:jc w:val="right"/>
              <w:spacing w:after="0" w:line="156" w:lineRule="exact"/>
              <w:rPr>
                <w:sz w:val="20"/>
                <w:szCs w:val="20"/>
                <w:color w:val="auto"/>
              </w:rPr>
            </w:pPr>
            <w:r>
              <w:rPr>
                <w:rFonts w:ascii="Arial" w:cs="Arial" w:eastAsia="Arial" w:hAnsi="Arial"/>
                <w:sz w:val="17"/>
                <w:szCs w:val="17"/>
                <w:color w:val="202E39"/>
              </w:rPr>
              <w:t>31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80" w:type="dxa"/>
            <w:vAlign w:val="bottom"/>
            <w:gridSpan w:val="15"/>
          </w:tcPr>
          <w:p>
            <w:pPr>
              <w:ind w:left="20"/>
              <w:spacing w:after="0" w:line="183" w:lineRule="exact"/>
              <w:rPr>
                <w:rFonts w:ascii="Arial" w:cs="Arial" w:eastAsia="Arial" w:hAnsi="Arial"/>
                <w:sz w:val="17"/>
                <w:szCs w:val="17"/>
                <w:color w:val="0000EE"/>
              </w:rPr>
            </w:pPr>
            <w:hyperlink w:anchor="page39">
              <w:r>
                <w:rPr>
                  <w:rFonts w:ascii="Arial" w:cs="Arial" w:eastAsia="Arial" w:hAnsi="Arial"/>
                  <w:sz w:val="17"/>
                  <w:szCs w:val="17"/>
                  <w:color w:val="0000EE"/>
                </w:rPr>
                <w:t>Additional Information</w:t>
              </w:r>
            </w:hyperlink>
          </w:p>
        </w:tc>
        <w:tc>
          <w:tcPr>
            <w:tcW w:w="1060" w:type="dxa"/>
            <w:vAlign w:val="bottom"/>
          </w:tcPr>
          <w:p>
            <w:pPr>
              <w:jc w:val="right"/>
              <w:spacing w:after="0" w:line="183" w:lineRule="exact"/>
              <w:rPr>
                <w:sz w:val="20"/>
                <w:szCs w:val="20"/>
                <w:color w:val="auto"/>
              </w:rPr>
            </w:pPr>
            <w:r>
              <w:rPr>
                <w:rFonts w:ascii="Arial" w:cs="Arial" w:eastAsia="Arial" w:hAnsi="Arial"/>
                <w:sz w:val="17"/>
                <w:szCs w:val="17"/>
                <w:color w:val="202E39"/>
              </w:rPr>
              <w:t>36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vMerge w:val="restart"/>
          </w:tcPr>
          <w:p>
            <w:pPr>
              <w:jc w:val="right"/>
              <w:spacing w:after="0" w:line="189" w:lineRule="exact"/>
              <w:rPr>
                <w:sz w:val="20"/>
                <w:szCs w:val="20"/>
                <w:color w:val="auto"/>
              </w:rPr>
            </w:pPr>
            <w:r>
              <w:rPr>
                <w:rFonts w:ascii="Arial" w:cs="Arial" w:eastAsia="Arial" w:hAnsi="Arial"/>
                <w:sz w:val="17"/>
                <w:szCs w:val="17"/>
                <w:color w:val="202E39"/>
              </w:rPr>
              <w:t>36</w:t>
            </w: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tcBorders>
              <w:bottom w:val="single" w:sz="8" w:color="0000EE"/>
            </w:tcBorders>
            <w:gridSpan w:val="7"/>
          </w:tcPr>
          <w:p>
            <w:pPr>
              <w:spacing w:after="0" w:line="169" w:lineRule="exact"/>
              <w:rPr>
                <w:rFonts w:ascii="Arial" w:cs="Arial" w:eastAsia="Arial" w:hAnsi="Arial"/>
                <w:sz w:val="17"/>
                <w:szCs w:val="17"/>
                <w:color w:val="0000EE"/>
              </w:rPr>
            </w:pPr>
            <w:hyperlink w:anchor="page39">
              <w:r>
                <w:rPr>
                  <w:rFonts w:ascii="Arial" w:cs="Arial" w:eastAsia="Arial" w:hAnsi="Arial"/>
                  <w:sz w:val="17"/>
                  <w:szCs w:val="17"/>
                  <w:color w:val="0000EE"/>
                </w:rPr>
                <w:t>Stock Ownership Guidelines</w:t>
              </w:r>
            </w:hyperlink>
          </w:p>
        </w:tc>
        <w:tc>
          <w:tcPr>
            <w:tcW w:w="1640" w:type="dxa"/>
            <w:vAlign w:val="bottom"/>
            <w:gridSpan w:val="7"/>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0" w:type="dxa"/>
            <w:vAlign w:val="bottom"/>
            <w:gridSpan w:val="14"/>
          </w:tcPr>
          <w:p>
            <w:pPr>
              <w:spacing w:after="0" w:line="169" w:lineRule="exact"/>
              <w:rPr>
                <w:rFonts w:ascii="Arial" w:cs="Arial" w:eastAsia="Arial" w:hAnsi="Arial"/>
                <w:sz w:val="17"/>
                <w:szCs w:val="17"/>
                <w:color w:val="0000EE"/>
              </w:rPr>
            </w:pPr>
            <w:hyperlink w:anchor="page39">
              <w:r>
                <w:rPr>
                  <w:rFonts w:ascii="Arial" w:cs="Arial" w:eastAsia="Arial" w:hAnsi="Arial"/>
                  <w:sz w:val="17"/>
                  <w:szCs w:val="17"/>
                  <w:color w:val="0000EE"/>
                </w:rPr>
                <w:t>Hedging, Short Sale and Pledging Policies</w:t>
              </w:r>
            </w:hyperlink>
          </w:p>
        </w:tc>
        <w:tc>
          <w:tcPr>
            <w:tcW w:w="1060" w:type="dxa"/>
            <w:vAlign w:val="bottom"/>
          </w:tcPr>
          <w:p>
            <w:pPr>
              <w:jc w:val="right"/>
              <w:spacing w:after="0" w:line="169" w:lineRule="exact"/>
              <w:rPr>
                <w:sz w:val="20"/>
                <w:szCs w:val="20"/>
                <w:color w:val="auto"/>
              </w:rPr>
            </w:pPr>
            <w:r>
              <w:rPr>
                <w:rFonts w:ascii="Arial" w:cs="Arial" w:eastAsia="Arial" w:hAnsi="Arial"/>
                <w:sz w:val="17"/>
                <w:szCs w:val="17"/>
                <w:color w:val="202E39"/>
              </w:rPr>
              <w:t>36</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Borders>
              <w:top w:val="single" w:sz="8" w:color="0000EE"/>
            </w:tcBorders>
            <w:gridSpan w:val="13"/>
          </w:tcPr>
          <w:p>
            <w:pPr>
              <w:spacing w:after="0" w:line="169" w:lineRule="exact"/>
              <w:rPr>
                <w:rFonts w:ascii="Arial" w:cs="Arial" w:eastAsia="Arial" w:hAnsi="Arial"/>
                <w:sz w:val="17"/>
                <w:szCs w:val="17"/>
                <w:color w:val="0000EE"/>
              </w:rPr>
            </w:pPr>
            <w:hyperlink w:anchor="page39">
              <w:r>
                <w:rPr>
                  <w:rFonts w:ascii="Arial" w:cs="Arial" w:eastAsia="Arial" w:hAnsi="Arial"/>
                  <w:sz w:val="17"/>
                  <w:szCs w:val="17"/>
                  <w:color w:val="0000EE"/>
                </w:rPr>
                <w:t>Tax and Accounting Considerations</w:t>
              </w:r>
            </w:hyperlink>
          </w:p>
        </w:tc>
        <w:tc>
          <w:tcPr>
            <w:tcW w:w="58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7"/>
                <w:szCs w:val="17"/>
                <w:color w:val="202E39"/>
              </w:rPr>
              <w:t>36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80" w:type="dxa"/>
            <w:vAlign w:val="bottom"/>
            <w:tcBorders>
              <w:bottom w:val="single" w:sz="8" w:color="009FE3"/>
            </w:tcBorders>
          </w:tcPr>
          <w:p>
            <w:pPr>
              <w:spacing w:after="0"/>
              <w:rPr>
                <w:sz w:val="19"/>
                <w:szCs w:val="19"/>
                <w:color w:val="auto"/>
              </w:rPr>
            </w:pPr>
          </w:p>
        </w:tc>
        <w:tc>
          <w:tcPr>
            <w:tcW w:w="200" w:type="dxa"/>
            <w:vAlign w:val="bottom"/>
            <w:tcBorders>
              <w:bottom w:val="single" w:sz="8" w:color="009FE3"/>
            </w:tcBorders>
          </w:tcPr>
          <w:p>
            <w:pPr>
              <w:spacing w:after="0"/>
              <w:rPr>
                <w:sz w:val="19"/>
                <w:szCs w:val="19"/>
                <w:color w:val="auto"/>
              </w:rPr>
            </w:pPr>
          </w:p>
        </w:tc>
        <w:tc>
          <w:tcPr>
            <w:tcW w:w="300" w:type="dxa"/>
            <w:vAlign w:val="bottom"/>
            <w:tcBorders>
              <w:bottom w:val="single" w:sz="8" w:color="009FE3"/>
            </w:tcBorders>
          </w:tcPr>
          <w:p>
            <w:pPr>
              <w:spacing w:after="0"/>
              <w:rPr>
                <w:sz w:val="19"/>
                <w:szCs w:val="19"/>
                <w:color w:val="auto"/>
              </w:rPr>
            </w:pPr>
          </w:p>
        </w:tc>
        <w:tc>
          <w:tcPr>
            <w:tcW w:w="80" w:type="dxa"/>
            <w:vAlign w:val="bottom"/>
            <w:tcBorders>
              <w:bottom w:val="single" w:sz="8" w:color="009FE3"/>
            </w:tcBorders>
          </w:tcPr>
          <w:p>
            <w:pPr>
              <w:spacing w:after="0"/>
              <w:rPr>
                <w:sz w:val="19"/>
                <w:szCs w:val="19"/>
                <w:color w:val="auto"/>
              </w:rPr>
            </w:pPr>
          </w:p>
        </w:tc>
        <w:tc>
          <w:tcPr>
            <w:tcW w:w="380" w:type="dxa"/>
            <w:vAlign w:val="bottom"/>
            <w:tcBorders>
              <w:bottom w:val="single" w:sz="8" w:color="009FE3"/>
            </w:tcBorders>
          </w:tcPr>
          <w:p>
            <w:pPr>
              <w:spacing w:after="0"/>
              <w:rPr>
                <w:sz w:val="19"/>
                <w:szCs w:val="19"/>
                <w:color w:val="auto"/>
              </w:rPr>
            </w:pPr>
          </w:p>
        </w:tc>
        <w:tc>
          <w:tcPr>
            <w:tcW w:w="520" w:type="dxa"/>
            <w:vAlign w:val="bottom"/>
            <w:tcBorders>
              <w:bottom w:val="single" w:sz="8" w:color="009FE3"/>
            </w:tcBorders>
          </w:tcPr>
          <w:p>
            <w:pPr>
              <w:spacing w:after="0"/>
              <w:rPr>
                <w:sz w:val="19"/>
                <w:szCs w:val="19"/>
                <w:color w:val="auto"/>
              </w:rPr>
            </w:pPr>
          </w:p>
        </w:tc>
        <w:tc>
          <w:tcPr>
            <w:tcW w:w="600" w:type="dxa"/>
            <w:vAlign w:val="bottom"/>
            <w:tcBorders>
              <w:bottom w:val="single" w:sz="8" w:color="009FE3"/>
            </w:tcBorders>
          </w:tcPr>
          <w:p>
            <w:pPr>
              <w:spacing w:after="0"/>
              <w:rPr>
                <w:sz w:val="19"/>
                <w:szCs w:val="19"/>
                <w:color w:val="auto"/>
              </w:rPr>
            </w:pPr>
          </w:p>
        </w:tc>
        <w:tc>
          <w:tcPr>
            <w:tcW w:w="440" w:type="dxa"/>
            <w:vAlign w:val="bottom"/>
            <w:tcBorders>
              <w:bottom w:val="single" w:sz="8" w:color="009FE3"/>
            </w:tcBorders>
          </w:tcPr>
          <w:p>
            <w:pPr>
              <w:spacing w:after="0"/>
              <w:rPr>
                <w:sz w:val="19"/>
                <w:szCs w:val="19"/>
                <w:color w:val="auto"/>
              </w:rPr>
            </w:pPr>
          </w:p>
        </w:tc>
        <w:tc>
          <w:tcPr>
            <w:tcW w:w="540" w:type="dxa"/>
            <w:vAlign w:val="bottom"/>
            <w:tcBorders>
              <w:bottom w:val="single" w:sz="8" w:color="009FE3"/>
            </w:tcBorders>
          </w:tcPr>
          <w:p>
            <w:pPr>
              <w:spacing w:after="0"/>
              <w:rPr>
                <w:sz w:val="19"/>
                <w:szCs w:val="19"/>
                <w:color w:val="auto"/>
              </w:rPr>
            </w:pPr>
          </w:p>
        </w:tc>
        <w:tc>
          <w:tcPr>
            <w:tcW w:w="40" w:type="dxa"/>
            <w:vAlign w:val="bottom"/>
            <w:tcBorders>
              <w:bottom w:val="single" w:sz="8" w:color="009FE3"/>
            </w:tcBorders>
          </w:tcPr>
          <w:p>
            <w:pPr>
              <w:spacing w:after="0"/>
              <w:rPr>
                <w:sz w:val="19"/>
                <w:szCs w:val="19"/>
                <w:color w:val="auto"/>
              </w:rPr>
            </w:pPr>
          </w:p>
        </w:tc>
        <w:tc>
          <w:tcPr>
            <w:tcW w:w="120" w:type="dxa"/>
            <w:vAlign w:val="bottom"/>
            <w:tcBorders>
              <w:bottom w:val="single" w:sz="8" w:color="009FE3"/>
            </w:tcBorders>
          </w:tcPr>
          <w:p>
            <w:pPr>
              <w:spacing w:after="0"/>
              <w:rPr>
                <w:sz w:val="19"/>
                <w:szCs w:val="19"/>
                <w:color w:val="auto"/>
              </w:rPr>
            </w:pPr>
          </w:p>
        </w:tc>
        <w:tc>
          <w:tcPr>
            <w:tcW w:w="280" w:type="dxa"/>
            <w:vAlign w:val="bottom"/>
            <w:tcBorders>
              <w:bottom w:val="single" w:sz="8" w:color="009FE3"/>
            </w:tcBorders>
          </w:tcPr>
          <w:p>
            <w:pPr>
              <w:spacing w:after="0"/>
              <w:rPr>
                <w:sz w:val="19"/>
                <w:szCs w:val="19"/>
                <w:color w:val="auto"/>
              </w:rPr>
            </w:pPr>
          </w:p>
        </w:tc>
        <w:tc>
          <w:tcPr>
            <w:tcW w:w="40" w:type="dxa"/>
            <w:vAlign w:val="bottom"/>
            <w:tcBorders>
              <w:bottom w:val="single" w:sz="8" w:color="009FE3"/>
            </w:tcBorders>
          </w:tcPr>
          <w:p>
            <w:pPr>
              <w:spacing w:after="0"/>
              <w:rPr>
                <w:sz w:val="19"/>
                <w:szCs w:val="19"/>
                <w:color w:val="auto"/>
              </w:rPr>
            </w:pPr>
          </w:p>
        </w:tc>
        <w:tc>
          <w:tcPr>
            <w:tcW w:w="220" w:type="dxa"/>
            <w:vAlign w:val="bottom"/>
            <w:tcBorders>
              <w:bottom w:val="single" w:sz="8" w:color="009FE3"/>
            </w:tcBorders>
          </w:tcPr>
          <w:p>
            <w:pPr>
              <w:spacing w:after="0"/>
              <w:rPr>
                <w:sz w:val="19"/>
                <w:szCs w:val="19"/>
                <w:color w:val="auto"/>
              </w:rPr>
            </w:pPr>
          </w:p>
        </w:tc>
        <w:tc>
          <w:tcPr>
            <w:tcW w:w="540" w:type="dxa"/>
            <w:vAlign w:val="bottom"/>
            <w:tcBorders>
              <w:bottom w:val="single" w:sz="8" w:color="009FE3"/>
            </w:tcBorders>
          </w:tcPr>
          <w:p>
            <w:pPr>
              <w:spacing w:after="0"/>
              <w:rPr>
                <w:sz w:val="19"/>
                <w:szCs w:val="19"/>
                <w:color w:val="auto"/>
              </w:rPr>
            </w:pPr>
          </w:p>
        </w:tc>
        <w:tc>
          <w:tcPr>
            <w:tcW w:w="1020" w:type="dxa"/>
            <w:vAlign w:val="bottom"/>
            <w:tcBorders>
              <w:bottom w:val="single" w:sz="8" w:color="009FE3"/>
            </w:tcBorders>
          </w:tcPr>
          <w:p>
            <w:pPr>
              <w:jc w:val="right"/>
              <w:spacing w:after="0"/>
              <w:rPr>
                <w:sz w:val="20"/>
                <w:szCs w:val="20"/>
                <w:color w:val="auto"/>
              </w:rPr>
            </w:pPr>
            <w:r>
              <w:rPr>
                <w:rFonts w:ascii="Arial" w:cs="Arial" w:eastAsia="Arial" w:hAnsi="Arial"/>
                <w:sz w:val="18"/>
                <w:szCs w:val="18"/>
                <w:b w:val="1"/>
                <w:bCs w:val="1"/>
                <w:color w:val="009FE3"/>
              </w:rPr>
              <w:t>Page</w:t>
            </w:r>
          </w:p>
        </w:tc>
      </w:tr>
      <w:tr>
        <w:trPr>
          <w:trHeight w:val="156"/>
        </w:trPr>
        <w:tc>
          <w:tcPr>
            <w:tcW w:w="80" w:type="dxa"/>
            <w:vAlign w:val="bottom"/>
          </w:tcPr>
          <w:p>
            <w:pPr>
              <w:spacing w:after="0"/>
              <w:rPr>
                <w:sz w:val="13"/>
                <w:szCs w:val="13"/>
                <w:color w:val="auto"/>
              </w:rPr>
            </w:pPr>
          </w:p>
        </w:tc>
        <w:tc>
          <w:tcPr>
            <w:tcW w:w="3220" w:type="dxa"/>
            <w:vAlign w:val="bottom"/>
            <w:tcBorders>
              <w:bottom w:val="single" w:sz="8" w:color="0000EE"/>
            </w:tcBorders>
            <w:gridSpan w:val="10"/>
          </w:tcPr>
          <w:p>
            <w:pPr>
              <w:spacing w:after="0" w:line="156" w:lineRule="exact"/>
              <w:rPr>
                <w:rFonts w:ascii="Arial" w:cs="Arial" w:eastAsia="Arial" w:hAnsi="Arial"/>
                <w:sz w:val="17"/>
                <w:szCs w:val="17"/>
                <w:color w:val="0000EE"/>
                <w:w w:val="99"/>
              </w:rPr>
            </w:pPr>
            <w:hyperlink w:anchor="page40">
              <w:r>
                <w:rPr>
                  <w:rFonts w:ascii="Arial" w:cs="Arial" w:eastAsia="Arial" w:hAnsi="Arial"/>
                  <w:sz w:val="17"/>
                  <w:szCs w:val="17"/>
                  <w:color w:val="0000EE"/>
                  <w:w w:val="99"/>
                </w:rPr>
                <w:t>COMPENSATION COMMITTEE REPORT</w:t>
              </w:r>
            </w:hyperlink>
          </w:p>
        </w:tc>
        <w:tc>
          <w:tcPr>
            <w:tcW w:w="1080" w:type="dxa"/>
            <w:vAlign w:val="bottom"/>
            <w:gridSpan w:val="4"/>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Arial" w:cs="Arial" w:eastAsia="Arial" w:hAnsi="Arial"/>
                <w:sz w:val="17"/>
                <w:szCs w:val="17"/>
                <w:color w:val="202E39"/>
              </w:rPr>
              <w:t>37</w:t>
            </w:r>
          </w:p>
        </w:tc>
      </w:tr>
      <w:tr>
        <w:trPr>
          <w:trHeight w:val="169"/>
        </w:trPr>
        <w:tc>
          <w:tcPr>
            <w:tcW w:w="80" w:type="dxa"/>
            <w:vAlign w:val="bottom"/>
          </w:tcPr>
          <w:p>
            <w:pPr>
              <w:spacing w:after="0"/>
              <w:rPr>
                <w:sz w:val="14"/>
                <w:szCs w:val="14"/>
                <w:color w:val="auto"/>
              </w:rPr>
            </w:pPr>
          </w:p>
        </w:tc>
        <w:tc>
          <w:tcPr>
            <w:tcW w:w="2080" w:type="dxa"/>
            <w:vAlign w:val="bottom"/>
            <w:tcBorders>
              <w:bottom w:val="single" w:sz="8" w:color="0000EE"/>
            </w:tcBorders>
            <w:gridSpan w:val="6"/>
          </w:tcPr>
          <w:p>
            <w:pPr>
              <w:spacing w:after="0" w:line="169" w:lineRule="exact"/>
              <w:rPr>
                <w:rFonts w:ascii="Arial" w:cs="Arial" w:eastAsia="Arial" w:hAnsi="Arial"/>
                <w:sz w:val="17"/>
                <w:szCs w:val="17"/>
                <w:color w:val="0000EE"/>
                <w:w w:val="99"/>
              </w:rPr>
            </w:pPr>
            <w:hyperlink w:anchor="page41">
              <w:r>
                <w:rPr>
                  <w:rFonts w:ascii="Arial" w:cs="Arial" w:eastAsia="Arial" w:hAnsi="Arial"/>
                  <w:sz w:val="17"/>
                  <w:szCs w:val="17"/>
                  <w:color w:val="0000EE"/>
                  <w:w w:val="99"/>
                </w:rPr>
                <w:t>COMPENSATION TABLES</w:t>
              </w:r>
            </w:hyperlink>
          </w:p>
        </w:tc>
        <w:tc>
          <w:tcPr>
            <w:tcW w:w="2220" w:type="dxa"/>
            <w:vAlign w:val="bottom"/>
            <w:gridSpan w:val="8"/>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7"/>
                <w:szCs w:val="17"/>
                <w:color w:val="202E39"/>
              </w:rPr>
              <w:t>38</w:t>
            </w:r>
          </w:p>
        </w:tc>
      </w:tr>
      <w:tr>
        <w:trPr>
          <w:trHeight w:val="169"/>
        </w:trPr>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gridSpan w:val="13"/>
          </w:tcPr>
          <w:p>
            <w:pPr>
              <w:spacing w:after="0" w:line="169" w:lineRule="exact"/>
              <w:rPr>
                <w:rFonts w:ascii="Arial" w:cs="Arial" w:eastAsia="Arial" w:hAnsi="Arial"/>
                <w:sz w:val="17"/>
                <w:szCs w:val="17"/>
                <w:color w:val="0000EE"/>
              </w:rPr>
            </w:pPr>
            <w:hyperlink w:anchor="page41">
              <w:r>
                <w:rPr>
                  <w:rFonts w:ascii="Arial" w:cs="Arial" w:eastAsia="Arial" w:hAnsi="Arial"/>
                  <w:sz w:val="17"/>
                  <w:szCs w:val="17"/>
                  <w:color w:val="0000EE"/>
                </w:rPr>
                <w:t>Summary Compensation Table</w:t>
              </w:r>
            </w:hyperlink>
          </w:p>
        </w:tc>
        <w:tc>
          <w:tcPr>
            <w:tcW w:w="1020" w:type="dxa"/>
            <w:vAlign w:val="bottom"/>
          </w:tcPr>
          <w:p>
            <w:pPr>
              <w:jc w:val="right"/>
              <w:spacing w:after="0" w:line="169" w:lineRule="exact"/>
              <w:rPr>
                <w:sz w:val="20"/>
                <w:szCs w:val="20"/>
                <w:color w:val="auto"/>
              </w:rPr>
            </w:pPr>
            <w:r>
              <w:rPr>
                <w:rFonts w:ascii="Arial" w:cs="Arial" w:eastAsia="Arial" w:hAnsi="Arial"/>
                <w:sz w:val="17"/>
                <w:szCs w:val="17"/>
                <w:color w:val="202E39"/>
              </w:rPr>
              <w:t>38</w:t>
            </w: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gridSpan w:val="13"/>
          </w:tcPr>
          <w:p>
            <w:pPr>
              <w:spacing w:after="0" w:line="169" w:lineRule="exact"/>
              <w:rPr>
                <w:rFonts w:ascii="Arial" w:cs="Arial" w:eastAsia="Arial" w:hAnsi="Arial"/>
                <w:sz w:val="17"/>
                <w:szCs w:val="17"/>
                <w:color w:val="0000EE"/>
              </w:rPr>
            </w:pPr>
            <w:hyperlink w:anchor="page42">
              <w:r>
                <w:rPr>
                  <w:rFonts w:ascii="Arial" w:cs="Arial" w:eastAsia="Arial" w:hAnsi="Arial"/>
                  <w:sz w:val="17"/>
                  <w:szCs w:val="17"/>
                  <w:color w:val="0000EE"/>
                </w:rPr>
                <w:t>Grants of Plan-Based Awards in Fiscal Year</w:t>
              </w:r>
            </w:hyperlink>
          </w:p>
        </w:tc>
        <w:tc>
          <w:tcPr>
            <w:tcW w:w="1020" w:type="dxa"/>
            <w:vAlign w:val="bottom"/>
          </w:tcPr>
          <w:p>
            <w:pPr>
              <w:spacing w:after="0"/>
              <w:rPr>
                <w:sz w:val="14"/>
                <w:szCs w:val="14"/>
                <w:color w:val="auto"/>
              </w:rPr>
            </w:pPr>
          </w:p>
        </w:tc>
      </w:tr>
      <w:tr>
        <w:trPr>
          <w:trHeight w:val="20"/>
        </w:trPr>
        <w:tc>
          <w:tcPr>
            <w:tcW w:w="28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9"/>
        </w:trPr>
        <w:tc>
          <w:tcPr>
            <w:tcW w:w="660" w:type="dxa"/>
            <w:vAlign w:val="bottom"/>
            <w:gridSpan w:val="4"/>
          </w:tcPr>
          <w:p>
            <w:pPr>
              <w:ind w:left="280"/>
              <w:spacing w:after="0" w:line="156" w:lineRule="exact"/>
              <w:rPr>
                <w:rFonts w:ascii="Arial" w:cs="Arial" w:eastAsia="Arial" w:hAnsi="Arial"/>
                <w:sz w:val="17"/>
                <w:szCs w:val="17"/>
                <w:color w:val="0000EE"/>
                <w:w w:val="95"/>
              </w:rPr>
            </w:pPr>
            <w:hyperlink w:anchor="page42">
              <w:r>
                <w:rPr>
                  <w:rFonts w:ascii="Arial" w:cs="Arial" w:eastAsia="Arial" w:hAnsi="Arial"/>
                  <w:sz w:val="17"/>
                  <w:szCs w:val="17"/>
                  <w:color w:val="0000EE"/>
                  <w:w w:val="95"/>
                </w:rPr>
                <w:t>2018</w:t>
              </w:r>
            </w:hyperlink>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line="156" w:lineRule="exact"/>
              <w:rPr>
                <w:sz w:val="20"/>
                <w:szCs w:val="20"/>
                <w:color w:val="auto"/>
              </w:rPr>
            </w:pPr>
            <w:r>
              <w:rPr>
                <w:rFonts w:ascii="Arial" w:cs="Arial" w:eastAsia="Arial" w:hAnsi="Arial"/>
                <w:sz w:val="17"/>
                <w:szCs w:val="17"/>
                <w:color w:val="202E39"/>
              </w:rPr>
              <w:t>39</w:t>
            </w: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tcBorders>
              <w:bottom w:val="single" w:sz="8" w:color="0000EE"/>
            </w:tcBorders>
            <w:gridSpan w:val="12"/>
          </w:tcPr>
          <w:p>
            <w:pPr>
              <w:spacing w:after="0" w:line="183" w:lineRule="exact"/>
              <w:rPr>
                <w:rFonts w:ascii="Arial" w:cs="Arial" w:eastAsia="Arial" w:hAnsi="Arial"/>
                <w:sz w:val="17"/>
                <w:szCs w:val="17"/>
                <w:color w:val="0000EE"/>
                <w:w w:val="99"/>
              </w:rPr>
            </w:pPr>
            <w:hyperlink w:anchor="page43">
              <w:r>
                <w:rPr>
                  <w:rFonts w:ascii="Arial" w:cs="Arial" w:eastAsia="Arial" w:hAnsi="Arial"/>
                  <w:sz w:val="17"/>
                  <w:szCs w:val="17"/>
                  <w:color w:val="0000EE"/>
                  <w:w w:val="99"/>
                </w:rPr>
                <w:t>Outstanding Equity Awards at 2018 Fiscal Year</w:t>
              </w:r>
            </w:hyperlink>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69"/>
        </w:trPr>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0000EE"/>
            </w:tcBorders>
          </w:tcPr>
          <w:p>
            <w:pPr>
              <w:spacing w:after="0" w:line="156" w:lineRule="exact"/>
              <w:rPr>
                <w:rFonts w:ascii="Arial" w:cs="Arial" w:eastAsia="Arial" w:hAnsi="Arial"/>
                <w:sz w:val="17"/>
                <w:szCs w:val="17"/>
                <w:color w:val="0000EE"/>
                <w:w w:val="92"/>
              </w:rPr>
            </w:pPr>
            <w:hyperlink w:anchor="page43">
              <w:r>
                <w:rPr>
                  <w:rFonts w:ascii="Arial" w:cs="Arial" w:eastAsia="Arial" w:hAnsi="Arial"/>
                  <w:sz w:val="17"/>
                  <w:szCs w:val="17"/>
                  <w:color w:val="0000EE"/>
                  <w:w w:val="92"/>
                </w:rPr>
                <w:t>End</w:t>
              </w:r>
            </w:hyperlink>
          </w:p>
        </w:tc>
        <w:tc>
          <w:tcPr>
            <w:tcW w:w="3800" w:type="dxa"/>
            <w:vAlign w:val="bottom"/>
            <w:gridSpan w:val="12"/>
          </w:tcPr>
          <w:p>
            <w:pPr>
              <w:spacing w:after="0"/>
              <w:rPr>
                <w:sz w:val="14"/>
                <w:szCs w:val="14"/>
                <w:color w:val="auto"/>
              </w:rPr>
            </w:pPr>
          </w:p>
        </w:tc>
        <w:tc>
          <w:tcPr>
            <w:tcW w:w="1020" w:type="dxa"/>
            <w:vAlign w:val="bottom"/>
          </w:tcPr>
          <w:p>
            <w:pPr>
              <w:jc w:val="right"/>
              <w:spacing w:after="0" w:line="156" w:lineRule="exact"/>
              <w:rPr>
                <w:sz w:val="20"/>
                <w:szCs w:val="20"/>
                <w:color w:val="auto"/>
              </w:rPr>
            </w:pPr>
            <w:r>
              <w:rPr>
                <w:rFonts w:ascii="Arial" w:cs="Arial" w:eastAsia="Arial" w:hAnsi="Arial"/>
                <w:sz w:val="17"/>
                <w:szCs w:val="17"/>
                <w:color w:val="202E39"/>
              </w:rPr>
              <w:t>40</w:t>
            </w:r>
          </w:p>
        </w:tc>
      </w:tr>
      <w:tr>
        <w:trPr>
          <w:trHeight w:val="183"/>
        </w:trPr>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tcBorders>
              <w:bottom w:val="single" w:sz="8" w:color="0000EE"/>
            </w:tcBorders>
            <w:gridSpan w:val="11"/>
          </w:tcPr>
          <w:p>
            <w:pPr>
              <w:spacing w:after="0" w:line="183" w:lineRule="exact"/>
              <w:rPr>
                <w:rFonts w:ascii="Arial" w:cs="Arial" w:eastAsia="Arial" w:hAnsi="Arial"/>
                <w:sz w:val="17"/>
                <w:szCs w:val="17"/>
                <w:color w:val="0000EE"/>
                <w:w w:val="99"/>
              </w:rPr>
            </w:pPr>
            <w:hyperlink w:anchor="page44">
              <w:r>
                <w:rPr>
                  <w:rFonts w:ascii="Arial" w:cs="Arial" w:eastAsia="Arial" w:hAnsi="Arial"/>
                  <w:sz w:val="17"/>
                  <w:szCs w:val="17"/>
                  <w:color w:val="0000EE"/>
                  <w:w w:val="99"/>
                </w:rPr>
                <w:t>Option Exercises and Stock Vested in Fiscal</w:t>
              </w:r>
            </w:hyperlink>
          </w:p>
        </w:tc>
        <w:tc>
          <w:tcPr>
            <w:tcW w:w="76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r>
      <w:tr>
        <w:trPr>
          <w:trHeight w:val="169"/>
        </w:trPr>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gridSpan w:val="13"/>
          </w:tcPr>
          <w:p>
            <w:pPr>
              <w:spacing w:after="0" w:line="156" w:lineRule="exact"/>
              <w:rPr>
                <w:rFonts w:ascii="Arial" w:cs="Arial" w:eastAsia="Arial" w:hAnsi="Arial"/>
                <w:sz w:val="17"/>
                <w:szCs w:val="17"/>
                <w:color w:val="0000EE"/>
              </w:rPr>
            </w:pPr>
            <w:hyperlink w:anchor="page44">
              <w:r>
                <w:rPr>
                  <w:rFonts w:ascii="Arial" w:cs="Arial" w:eastAsia="Arial" w:hAnsi="Arial"/>
                  <w:sz w:val="17"/>
                  <w:szCs w:val="17"/>
                  <w:color w:val="0000EE"/>
                </w:rPr>
                <w:t>Year 2018</w:t>
              </w:r>
            </w:hyperlink>
          </w:p>
        </w:tc>
        <w:tc>
          <w:tcPr>
            <w:tcW w:w="1020" w:type="dxa"/>
            <w:vAlign w:val="bottom"/>
          </w:tcPr>
          <w:p>
            <w:pPr>
              <w:jc w:val="right"/>
              <w:spacing w:after="0" w:line="156" w:lineRule="exact"/>
              <w:rPr>
                <w:sz w:val="20"/>
                <w:szCs w:val="20"/>
                <w:color w:val="auto"/>
              </w:rPr>
            </w:pPr>
            <w:r>
              <w:rPr>
                <w:rFonts w:ascii="Arial" w:cs="Arial" w:eastAsia="Arial" w:hAnsi="Arial"/>
                <w:sz w:val="17"/>
                <w:szCs w:val="17"/>
                <w:color w:val="202E39"/>
              </w:rPr>
              <w:t>41</w:t>
            </w: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Borders>
              <w:bottom w:val="single" w:sz="8" w:color="0000EE"/>
            </w:tcBorders>
            <w:gridSpan w:val="4"/>
          </w:tcPr>
          <w:p>
            <w:pPr>
              <w:spacing w:after="0" w:line="183" w:lineRule="exact"/>
              <w:rPr>
                <w:rFonts w:ascii="Arial" w:cs="Arial" w:eastAsia="Arial" w:hAnsi="Arial"/>
                <w:sz w:val="17"/>
                <w:szCs w:val="17"/>
                <w:color w:val="0000EE"/>
                <w:w w:val="98"/>
              </w:rPr>
            </w:pPr>
            <w:hyperlink w:anchor="page44">
              <w:r>
                <w:rPr>
                  <w:rFonts w:ascii="Arial" w:cs="Arial" w:eastAsia="Arial" w:hAnsi="Arial"/>
                  <w:sz w:val="17"/>
                  <w:szCs w:val="17"/>
                  <w:color w:val="0000EE"/>
                  <w:w w:val="98"/>
                </w:rPr>
                <w:t>Pension Benefits</w:t>
              </w:r>
            </w:hyperlink>
          </w:p>
        </w:tc>
        <w:tc>
          <w:tcPr>
            <w:tcW w:w="2820" w:type="dxa"/>
            <w:vAlign w:val="bottom"/>
            <w:gridSpan w:val="9"/>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7"/>
                <w:szCs w:val="17"/>
                <w:color w:val="202E39"/>
              </w:rPr>
              <w:t>41</w:t>
            </w:r>
          </w:p>
        </w:tc>
      </w:tr>
      <w:tr>
        <w:trPr>
          <w:trHeight w:val="169"/>
        </w:trPr>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tcBorders>
              <w:bottom w:val="single" w:sz="8" w:color="0000EE"/>
            </w:tcBorders>
            <w:gridSpan w:val="8"/>
          </w:tcPr>
          <w:p>
            <w:pPr>
              <w:spacing w:after="0" w:line="169" w:lineRule="exact"/>
              <w:rPr>
                <w:rFonts w:ascii="Arial" w:cs="Arial" w:eastAsia="Arial" w:hAnsi="Arial"/>
                <w:sz w:val="17"/>
                <w:szCs w:val="17"/>
                <w:color w:val="0000EE"/>
                <w:w w:val="99"/>
              </w:rPr>
            </w:pPr>
            <w:hyperlink w:anchor="page44">
              <w:r>
                <w:rPr>
                  <w:rFonts w:ascii="Arial" w:cs="Arial" w:eastAsia="Arial" w:hAnsi="Arial"/>
                  <w:sz w:val="17"/>
                  <w:szCs w:val="17"/>
                  <w:color w:val="0000EE"/>
                  <w:w w:val="99"/>
                </w:rPr>
                <w:t>Non-Qualified Deferred Compensation</w:t>
              </w:r>
            </w:hyperlink>
          </w:p>
        </w:tc>
        <w:tc>
          <w:tcPr>
            <w:tcW w:w="1200" w:type="dxa"/>
            <w:vAlign w:val="bottom"/>
            <w:gridSpan w:val="5"/>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7"/>
                <w:szCs w:val="17"/>
                <w:color w:val="202E39"/>
              </w:rPr>
              <w:t>41</w:t>
            </w:r>
          </w:p>
        </w:tc>
      </w:tr>
      <w:tr>
        <w:trPr>
          <w:trHeight w:val="169"/>
        </w:trPr>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Borders>
              <w:bottom w:val="single" w:sz="8" w:color="0000EE"/>
            </w:tcBorders>
            <w:gridSpan w:val="7"/>
          </w:tcPr>
          <w:p>
            <w:pPr>
              <w:spacing w:after="0" w:line="169" w:lineRule="exact"/>
              <w:rPr>
                <w:rFonts w:ascii="Arial" w:cs="Arial" w:eastAsia="Arial" w:hAnsi="Arial"/>
                <w:sz w:val="17"/>
                <w:szCs w:val="17"/>
                <w:color w:val="0000EE"/>
                <w:w w:val="99"/>
              </w:rPr>
            </w:pPr>
            <w:hyperlink w:anchor="page44">
              <w:r>
                <w:rPr>
                  <w:rFonts w:ascii="Arial" w:cs="Arial" w:eastAsia="Arial" w:hAnsi="Arial"/>
                  <w:sz w:val="17"/>
                  <w:szCs w:val="17"/>
                  <w:color w:val="0000EE"/>
                  <w:w w:val="99"/>
                </w:rPr>
                <w:t>Potential Payments Upon Termination</w:t>
              </w:r>
            </w:hyperlink>
          </w:p>
        </w:tc>
        <w:tc>
          <w:tcPr>
            <w:tcW w:w="1240" w:type="dxa"/>
            <w:vAlign w:val="bottom"/>
            <w:gridSpan w:val="6"/>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7"/>
                <w:szCs w:val="17"/>
                <w:color w:val="202E39"/>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-2863850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91" w:lineRule="exact"/>
        <w:rPr>
          <w:sz w:val="20"/>
          <w:szCs w:val="20"/>
          <w:color w:val="auto"/>
        </w:rPr>
      </w:pPr>
    </w:p>
    <w:p>
      <w:pPr>
        <w:sectPr>
          <w:pgSz w:w="11900" w:h="16838" w:orient="portrait"/>
          <w:cols w:equalWidth="0" w:num="2">
            <w:col w:w="5500" w:space="320"/>
            <w:col w:w="5400"/>
          </w:cols>
          <w:pgMar w:left="240" w:top="459" w:right="439" w:bottom="1440" w:gutter="0" w:footer="0" w:header="0"/>
        </w:sectPr>
      </w:pPr>
    </w:p>
    <w:p>
      <w:pPr>
        <w:spacing w:after="0" w:line="17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99695</wp:posOffset>
            </wp:positionV>
            <wp:extent cx="8890" cy="2238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223837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159" w:lineRule="exact"/>
        <w:rPr>
          <w:sz w:val="20"/>
          <w:szCs w:val="20"/>
          <w:color w:val="auto"/>
        </w:rPr>
      </w:pPr>
    </w:p>
    <w:p>
      <w:pPr>
        <w:ind w:left="2060"/>
        <w:spacing w:after="0"/>
        <w:rPr>
          <w:sz w:val="20"/>
          <w:szCs w:val="20"/>
          <w:color w:val="auto"/>
        </w:rPr>
      </w:pPr>
      <w:r>
        <w:rPr>
          <w:rFonts w:ascii="Arial" w:cs="Arial" w:eastAsia="Arial" w:hAnsi="Arial"/>
          <w:sz w:val="16"/>
          <w:szCs w:val="16"/>
          <w:color w:val="009FE3"/>
        </w:rPr>
        <w:t>Mark Dankberg</w:t>
      </w:r>
    </w:p>
    <w:p>
      <w:pPr>
        <w:spacing w:after="0" w:line="5" w:lineRule="exact"/>
        <w:rPr>
          <w:sz w:val="20"/>
          <w:szCs w:val="20"/>
          <w:color w:val="auto"/>
        </w:rPr>
      </w:pPr>
    </w:p>
    <w:p>
      <w:pPr>
        <w:jc w:val="right"/>
        <w:ind w:left="1220"/>
        <w:spacing w:after="0" w:line="260" w:lineRule="auto"/>
        <w:rPr>
          <w:sz w:val="20"/>
          <w:szCs w:val="20"/>
          <w:color w:val="auto"/>
        </w:rPr>
      </w:pPr>
      <w:r>
        <w:rPr>
          <w:rFonts w:ascii="Arial" w:cs="Arial" w:eastAsia="Arial" w:hAnsi="Arial"/>
          <w:sz w:val="16"/>
          <w:szCs w:val="16"/>
          <w:i w:val="1"/>
          <w:iCs w:val="1"/>
          <w:color w:val="202E39"/>
        </w:rPr>
        <w:t>Chairman of the Board and Chief Executive Officer</w:t>
      </w:r>
    </w:p>
    <w:p>
      <w:pPr>
        <w:spacing w:after="0" w:line="101" w:lineRule="exact"/>
        <w:rPr>
          <w:sz w:val="20"/>
          <w:szCs w:val="20"/>
          <w:color w:val="auto"/>
        </w:rPr>
      </w:pPr>
    </w:p>
    <w:p>
      <w:pPr>
        <w:ind w:left="1880"/>
        <w:spacing w:after="0"/>
        <w:rPr>
          <w:sz w:val="20"/>
          <w:szCs w:val="20"/>
          <w:color w:val="auto"/>
        </w:rPr>
      </w:pPr>
      <w:r>
        <w:rPr>
          <w:rFonts w:ascii="Arial" w:cs="Arial" w:eastAsia="Arial" w:hAnsi="Arial"/>
          <w:sz w:val="16"/>
          <w:szCs w:val="16"/>
          <w:color w:val="009FE3"/>
        </w:rPr>
        <w:t>Richard Baldridge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02E39"/>
        </w:rPr>
        <w:t>Director, President and</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02E39"/>
        </w:rPr>
        <w:t>Chief Operating Officer</w:t>
      </w:r>
    </w:p>
    <w:p>
      <w:pPr>
        <w:spacing w:after="0" w:line="127" w:lineRule="exact"/>
        <w:rPr>
          <w:sz w:val="20"/>
          <w:szCs w:val="20"/>
          <w:color w:val="auto"/>
        </w:rPr>
      </w:pPr>
    </w:p>
    <w:p>
      <w:pPr>
        <w:ind w:left="2260"/>
        <w:spacing w:after="0"/>
        <w:rPr>
          <w:sz w:val="20"/>
          <w:szCs w:val="20"/>
          <w:color w:val="auto"/>
        </w:rPr>
      </w:pPr>
      <w:r>
        <w:rPr>
          <w:rFonts w:ascii="Arial" w:cs="Arial" w:eastAsia="Arial" w:hAnsi="Arial"/>
          <w:sz w:val="15"/>
          <w:szCs w:val="15"/>
          <w:color w:val="009FE3"/>
        </w:rPr>
        <w:t>Shawn Duffy</w:t>
      </w:r>
    </w:p>
    <w:p>
      <w:pPr>
        <w:spacing w:after="0" w:line="17" w:lineRule="exact"/>
        <w:rPr>
          <w:sz w:val="20"/>
          <w:szCs w:val="20"/>
          <w:color w:val="auto"/>
        </w:rPr>
      </w:pPr>
    </w:p>
    <w:p>
      <w:pPr>
        <w:jc w:val="right"/>
        <w:ind w:left="1300"/>
        <w:spacing w:after="0" w:line="260" w:lineRule="auto"/>
        <w:rPr>
          <w:sz w:val="20"/>
          <w:szCs w:val="20"/>
          <w:color w:val="auto"/>
        </w:rPr>
      </w:pPr>
      <w:r>
        <w:rPr>
          <w:rFonts w:ascii="Arial" w:cs="Arial" w:eastAsia="Arial" w:hAnsi="Arial"/>
          <w:sz w:val="16"/>
          <w:szCs w:val="16"/>
          <w:i w:val="1"/>
          <w:iCs w:val="1"/>
          <w:color w:val="202E39"/>
        </w:rPr>
        <w:t>Senior Vice President and Chief Financial Officer</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6"/>
          <w:szCs w:val="16"/>
          <w:color w:val="009FE3"/>
        </w:rPr>
        <w:t>Keven Lippert</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02E39"/>
        </w:rPr>
        <w:t>Executive Vice President,</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202E39"/>
        </w:rPr>
        <w:t>Corporate Development and</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6"/>
          <w:szCs w:val="16"/>
          <w:i w:val="1"/>
          <w:iCs w:val="1"/>
          <w:color w:val="202E39"/>
        </w:rPr>
        <w:t>Chief Administrative Officer</w:t>
      </w:r>
    </w:p>
    <w:p>
      <w:pPr>
        <w:spacing w:after="0" w:line="127" w:lineRule="exact"/>
        <w:rPr>
          <w:sz w:val="20"/>
          <w:szCs w:val="20"/>
          <w:color w:val="auto"/>
        </w:rPr>
      </w:pPr>
    </w:p>
    <w:p>
      <w:pPr>
        <w:ind w:left="2140"/>
        <w:spacing w:after="0"/>
        <w:rPr>
          <w:sz w:val="20"/>
          <w:szCs w:val="20"/>
          <w:color w:val="auto"/>
        </w:rPr>
      </w:pPr>
      <w:r>
        <w:rPr>
          <w:rFonts w:ascii="Arial" w:cs="Arial" w:eastAsia="Arial" w:hAnsi="Arial"/>
          <w:sz w:val="15"/>
          <w:szCs w:val="15"/>
          <w:color w:val="009FE3"/>
        </w:rPr>
        <w:t>Ken Peterman</w:t>
      </w:r>
    </w:p>
    <w:p>
      <w:pPr>
        <w:spacing w:after="0" w:line="17" w:lineRule="exact"/>
        <w:rPr>
          <w:sz w:val="20"/>
          <w:szCs w:val="20"/>
          <w:color w:val="auto"/>
        </w:rPr>
      </w:pPr>
    </w:p>
    <w:p>
      <w:pPr>
        <w:jc w:val="right"/>
        <w:ind w:left="520"/>
        <w:spacing w:after="0" w:line="260" w:lineRule="auto"/>
        <w:rPr>
          <w:sz w:val="20"/>
          <w:szCs w:val="20"/>
          <w:color w:val="auto"/>
        </w:rPr>
      </w:pPr>
      <w:r>
        <w:rPr>
          <w:rFonts w:ascii="Arial" w:cs="Arial" w:eastAsia="Arial" w:hAnsi="Arial"/>
          <w:sz w:val="16"/>
          <w:szCs w:val="16"/>
          <w:i w:val="1"/>
          <w:iCs w:val="1"/>
          <w:color w:val="202E39"/>
        </w:rPr>
        <w:t>Senior Vice President and President, Government Systems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 w:right="20"/>
        <w:spacing w:after="0" w:line="250" w:lineRule="auto"/>
        <w:rPr>
          <w:sz w:val="20"/>
          <w:szCs w:val="20"/>
          <w:color w:val="auto"/>
        </w:rPr>
      </w:pPr>
      <w:r>
        <w:rPr>
          <w:rFonts w:ascii="Arial" w:cs="Arial" w:eastAsia="Arial" w:hAnsi="Arial"/>
          <w:sz w:val="16"/>
          <w:szCs w:val="16"/>
          <w:color w:val="202E39"/>
        </w:rPr>
        <w:t>The following Compensation Discussion and Analysis provides information regarding the compensation program in place for our executive officers, including the Named Executive Officers identified in the Summary Compensation Table, during our 2018 fiscal year. In particular, this Compensation Discussion and Analysis provides information related to our performance and each of the following aspects of our executive compensation program:</w:t>
      </w:r>
    </w:p>
    <w:p>
      <w:pPr>
        <w:spacing w:after="0" w:line="109" w:lineRule="exact"/>
        <w:rPr>
          <w:sz w:val="20"/>
          <w:szCs w:val="20"/>
          <w:color w:val="auto"/>
        </w:rPr>
      </w:pPr>
    </w:p>
    <w:p>
      <w:pPr>
        <w:ind w:left="141" w:hanging="141"/>
        <w:spacing w:after="0"/>
        <w:tabs>
          <w:tab w:leader="none" w:pos="141" w:val="left"/>
        </w:tabs>
        <w:numPr>
          <w:ilvl w:val="0"/>
          <w:numId w:val="25"/>
        </w:numPr>
        <w:rPr>
          <w:rFonts w:ascii="Arial" w:cs="Arial" w:eastAsia="Arial" w:hAnsi="Arial"/>
          <w:sz w:val="16"/>
          <w:szCs w:val="16"/>
          <w:color w:val="009FE3"/>
        </w:rPr>
      </w:pPr>
      <w:r>
        <w:rPr>
          <w:rFonts w:ascii="Arial" w:cs="Arial" w:eastAsia="Arial" w:hAnsi="Arial"/>
          <w:sz w:val="16"/>
          <w:szCs w:val="16"/>
          <w:color w:val="202E39"/>
        </w:rPr>
        <w:t>overview and objectives of our executive compensation program,</w:t>
      </w:r>
    </w:p>
    <w:p>
      <w:pPr>
        <w:spacing w:after="0" w:line="72" w:lineRule="exact"/>
        <w:rPr>
          <w:rFonts w:ascii="Arial" w:cs="Arial" w:eastAsia="Arial" w:hAnsi="Arial"/>
          <w:sz w:val="16"/>
          <w:szCs w:val="16"/>
          <w:color w:val="009FE3"/>
        </w:rPr>
      </w:pPr>
    </w:p>
    <w:p>
      <w:pPr>
        <w:ind w:left="141" w:hanging="141"/>
        <w:spacing w:after="0"/>
        <w:tabs>
          <w:tab w:leader="none" w:pos="141" w:val="left"/>
        </w:tabs>
        <w:numPr>
          <w:ilvl w:val="0"/>
          <w:numId w:val="25"/>
        </w:numPr>
        <w:rPr>
          <w:rFonts w:ascii="Arial" w:cs="Arial" w:eastAsia="Arial" w:hAnsi="Arial"/>
          <w:sz w:val="16"/>
          <w:szCs w:val="16"/>
          <w:color w:val="009FE3"/>
        </w:rPr>
      </w:pPr>
      <w:r>
        <w:rPr>
          <w:rFonts w:ascii="Arial" w:cs="Arial" w:eastAsia="Arial" w:hAnsi="Arial"/>
          <w:sz w:val="16"/>
          <w:szCs w:val="16"/>
          <w:color w:val="202E39"/>
        </w:rPr>
        <w:t>explanation of our executive compensation decision-making processes and criteria,</w:t>
      </w:r>
    </w:p>
    <w:p>
      <w:pPr>
        <w:spacing w:after="0" w:line="72" w:lineRule="exact"/>
        <w:rPr>
          <w:rFonts w:ascii="Arial" w:cs="Arial" w:eastAsia="Arial" w:hAnsi="Arial"/>
          <w:sz w:val="16"/>
          <w:szCs w:val="16"/>
          <w:color w:val="009FE3"/>
        </w:rPr>
      </w:pPr>
    </w:p>
    <w:p>
      <w:pPr>
        <w:ind w:left="141" w:hanging="141"/>
        <w:spacing w:after="0"/>
        <w:tabs>
          <w:tab w:leader="none" w:pos="141" w:val="left"/>
        </w:tabs>
        <w:numPr>
          <w:ilvl w:val="0"/>
          <w:numId w:val="25"/>
        </w:numPr>
        <w:rPr>
          <w:rFonts w:ascii="Arial" w:cs="Arial" w:eastAsia="Arial" w:hAnsi="Arial"/>
          <w:sz w:val="16"/>
          <w:szCs w:val="16"/>
          <w:color w:val="009FE3"/>
        </w:rPr>
      </w:pPr>
      <w:r>
        <w:rPr>
          <w:rFonts w:ascii="Arial" w:cs="Arial" w:eastAsia="Arial" w:hAnsi="Arial"/>
          <w:sz w:val="16"/>
          <w:szCs w:val="16"/>
          <w:color w:val="202E39"/>
        </w:rPr>
        <w:t>description of the components of our executive compensation program, and</w:t>
      </w:r>
    </w:p>
    <w:p>
      <w:pPr>
        <w:spacing w:after="0" w:line="72" w:lineRule="exact"/>
        <w:rPr>
          <w:rFonts w:ascii="Arial" w:cs="Arial" w:eastAsia="Arial" w:hAnsi="Arial"/>
          <w:sz w:val="16"/>
          <w:szCs w:val="16"/>
          <w:color w:val="009FE3"/>
        </w:rPr>
      </w:pPr>
    </w:p>
    <w:p>
      <w:pPr>
        <w:ind w:left="141" w:hanging="141"/>
        <w:spacing w:after="0"/>
        <w:tabs>
          <w:tab w:leader="none" w:pos="141" w:val="left"/>
        </w:tabs>
        <w:numPr>
          <w:ilvl w:val="0"/>
          <w:numId w:val="25"/>
        </w:numPr>
        <w:rPr>
          <w:rFonts w:ascii="Arial" w:cs="Arial" w:eastAsia="Arial" w:hAnsi="Arial"/>
          <w:sz w:val="16"/>
          <w:szCs w:val="16"/>
          <w:color w:val="009FE3"/>
        </w:rPr>
      </w:pPr>
      <w:r>
        <w:rPr>
          <w:rFonts w:ascii="Arial" w:cs="Arial" w:eastAsia="Arial" w:hAnsi="Arial"/>
          <w:sz w:val="16"/>
          <w:szCs w:val="16"/>
          <w:color w:val="202E39"/>
        </w:rPr>
        <w:t>discussion of how each component fits into our overall compensation objectives.</w:t>
      </w:r>
    </w:p>
    <w:p>
      <w:pPr>
        <w:spacing w:after="0" w:line="1691" w:lineRule="exact"/>
        <w:rPr>
          <w:sz w:val="20"/>
          <w:szCs w:val="20"/>
          <w:color w:val="auto"/>
        </w:rPr>
      </w:pPr>
    </w:p>
    <w:p>
      <w:pPr>
        <w:sectPr>
          <w:pgSz w:w="11900" w:h="16838" w:orient="portrait"/>
          <w:cols w:equalWidth="0" w:num="2">
            <w:col w:w="3160" w:space="339"/>
            <w:col w:w="7721"/>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20"/>
          <w:szCs w:val="20"/>
          <w:b w:val="1"/>
          <w:bCs w:val="1"/>
          <w:color w:val="202E39"/>
        </w:rPr>
        <w:t>Business Overview and Fiscal Year 2018 Performance Highlights</w:t>
      </w:r>
    </w:p>
    <w:p>
      <w:pPr>
        <w:spacing w:after="0" w:line="124"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We are also investing heavily in our development of next-generation broadband satellite technologies, to expand our addressable markets and help us realize our mission to become the first truly global internet service provider.</w:t>
      </w:r>
    </w:p>
    <w:p>
      <w:pPr>
        <w:spacing w:after="0" w:line="124"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27</w:t>
            </w:r>
          </w:p>
        </w:tc>
      </w:tr>
    </w:tbl>
    <w:p>
      <w:pPr>
        <w:sectPr>
          <w:pgSz w:w="11900" w:h="16838" w:orient="portrait"/>
          <w:cols w:equalWidth="0" w:num="1">
            <w:col w:w="11220"/>
          </w:cols>
          <w:pgMar w:left="24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Performance Highlights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In fiscal year 2018, we delivered strong financial results and achieved key strategic and developmental objectives, including:</w:t>
      </w:r>
    </w:p>
    <w:p>
      <w:pPr>
        <w:spacing w:after="0" w:line="127" w:lineRule="exact"/>
        <w:rPr>
          <w:sz w:val="20"/>
          <w:szCs w:val="20"/>
          <w:color w:val="auto"/>
        </w:rPr>
      </w:pPr>
    </w:p>
    <w:p>
      <w:pPr>
        <w:ind w:left="640" w:right="280" w:hanging="220"/>
        <w:spacing w:after="0" w:line="260" w:lineRule="auto"/>
        <w:tabs>
          <w:tab w:leader="none" w:pos="640" w:val="left"/>
        </w:tabs>
        <w:numPr>
          <w:ilvl w:val="0"/>
          <w:numId w:val="26"/>
        </w:numPr>
        <w:rPr>
          <w:rFonts w:ascii="Arial" w:cs="Arial" w:eastAsia="Arial" w:hAnsi="Arial"/>
          <w:sz w:val="16"/>
          <w:szCs w:val="16"/>
          <w:color w:val="009FE3"/>
        </w:rPr>
      </w:pPr>
      <w:r>
        <w:rPr>
          <w:rFonts w:ascii="Arial" w:cs="Arial" w:eastAsia="Arial" w:hAnsi="Arial"/>
          <w:sz w:val="16"/>
          <w:szCs w:val="16"/>
          <w:color w:val="202E39"/>
        </w:rPr>
        <w:t>Successful launch of commercial broadband services on our ViaSat-2 satellite, enabling Viasat to be the first satellite internet service provider to offer plans with download speeds up to 100 Mbps in select geographic regions;</w:t>
      </w:r>
    </w:p>
    <w:p>
      <w:pPr>
        <w:spacing w:after="0" w:line="47" w:lineRule="exact"/>
        <w:rPr>
          <w:rFonts w:ascii="Arial" w:cs="Arial" w:eastAsia="Arial" w:hAnsi="Arial"/>
          <w:sz w:val="16"/>
          <w:szCs w:val="16"/>
          <w:color w:val="009FE3"/>
        </w:rPr>
      </w:pPr>
    </w:p>
    <w:p>
      <w:pPr>
        <w:ind w:left="640" w:hanging="220"/>
        <w:spacing w:after="0"/>
        <w:tabs>
          <w:tab w:leader="none" w:pos="640" w:val="left"/>
        </w:tabs>
        <w:numPr>
          <w:ilvl w:val="0"/>
          <w:numId w:val="26"/>
        </w:numPr>
        <w:rPr>
          <w:rFonts w:ascii="Arial" w:cs="Arial" w:eastAsia="Arial" w:hAnsi="Arial"/>
          <w:sz w:val="16"/>
          <w:szCs w:val="16"/>
          <w:color w:val="009FE3"/>
        </w:rPr>
      </w:pPr>
      <w:r>
        <w:rPr>
          <w:rFonts w:ascii="Arial" w:cs="Arial" w:eastAsia="Arial" w:hAnsi="Arial"/>
          <w:sz w:val="16"/>
          <w:szCs w:val="16"/>
          <w:color w:val="202E39"/>
        </w:rPr>
        <w:t>Record revenue and profitability of our government systems segment despite a challenging defense environment;</w:t>
      </w:r>
    </w:p>
    <w:p>
      <w:pPr>
        <w:spacing w:after="0" w:line="72" w:lineRule="exact"/>
        <w:rPr>
          <w:rFonts w:ascii="Arial" w:cs="Arial" w:eastAsia="Arial" w:hAnsi="Arial"/>
          <w:sz w:val="16"/>
          <w:szCs w:val="16"/>
          <w:color w:val="009FE3"/>
        </w:rPr>
      </w:pPr>
    </w:p>
    <w:p>
      <w:pPr>
        <w:ind w:left="640" w:right="120" w:hanging="220"/>
        <w:spacing w:after="0" w:line="253" w:lineRule="auto"/>
        <w:tabs>
          <w:tab w:leader="none" w:pos="640" w:val="left"/>
        </w:tabs>
        <w:numPr>
          <w:ilvl w:val="0"/>
          <w:numId w:val="26"/>
        </w:numPr>
        <w:rPr>
          <w:rFonts w:ascii="Arial" w:cs="Arial" w:eastAsia="Arial" w:hAnsi="Arial"/>
          <w:sz w:val="16"/>
          <w:szCs w:val="16"/>
          <w:color w:val="009FE3"/>
        </w:rPr>
      </w:pPr>
      <w:r>
        <w:rPr>
          <w:rFonts w:ascii="Arial" w:cs="Arial" w:eastAsia="Arial" w:hAnsi="Arial"/>
          <w:sz w:val="16"/>
          <w:szCs w:val="16"/>
          <w:color w:val="202E39"/>
        </w:rPr>
        <w:t>Continued disruption of the in-flight connectivity, or IFC, market, with 635 commercial aircraft in service utilizing our IFC systems as of the end of fiscal year 2018 and our IFC systems expected to be installed on approximately 955 additional aircraft under existing agreements with commercial airlines;</w:t>
      </w:r>
    </w:p>
    <w:p>
      <w:pPr>
        <w:spacing w:after="0" w:line="52" w:lineRule="exact"/>
        <w:rPr>
          <w:rFonts w:ascii="Arial" w:cs="Arial" w:eastAsia="Arial" w:hAnsi="Arial"/>
          <w:sz w:val="16"/>
          <w:szCs w:val="16"/>
          <w:color w:val="009FE3"/>
        </w:rPr>
      </w:pPr>
    </w:p>
    <w:p>
      <w:pPr>
        <w:ind w:left="640" w:right="220" w:hanging="220"/>
        <w:spacing w:after="0" w:line="253" w:lineRule="auto"/>
        <w:tabs>
          <w:tab w:leader="none" w:pos="640" w:val="left"/>
        </w:tabs>
        <w:numPr>
          <w:ilvl w:val="0"/>
          <w:numId w:val="26"/>
        </w:numPr>
        <w:rPr>
          <w:rFonts w:ascii="Arial" w:cs="Arial" w:eastAsia="Arial" w:hAnsi="Arial"/>
          <w:sz w:val="16"/>
          <w:szCs w:val="16"/>
          <w:color w:val="009FE3"/>
        </w:rPr>
      </w:pPr>
      <w:r>
        <w:rPr>
          <w:rFonts w:ascii="Arial" w:cs="Arial" w:eastAsia="Arial" w:hAnsi="Arial"/>
          <w:sz w:val="16"/>
          <w:szCs w:val="16"/>
          <w:color w:val="202E39"/>
        </w:rPr>
        <w:t>Completion of critical pre-flight testing milestones for the first two ViaSat-3 class satellites, which resulted in Viasat and Boeing entering into the phase of full construction of the satellites. We anticipate commencing construction on a third ViaSat-3 class satellite in the future, and expect that our ViaSat-3 class satellite constellation will allow Viasat to become the first truly global internet service provider.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Investing in our Future</w:t>
      </w:r>
    </w:p>
    <w:p>
      <w:pPr>
        <w:spacing w:after="0" w:line="133" w:lineRule="exact"/>
        <w:rPr>
          <w:sz w:val="20"/>
          <w:szCs w:val="20"/>
          <w:color w:val="auto"/>
        </w:rPr>
      </w:pPr>
    </w:p>
    <w:p>
      <w:pPr>
        <w:ind w:left="200" w:right="60"/>
        <w:spacing w:after="0" w:line="248" w:lineRule="auto"/>
        <w:rPr>
          <w:sz w:val="20"/>
          <w:szCs w:val="20"/>
          <w:color w:val="auto"/>
        </w:rPr>
      </w:pPr>
      <w:r>
        <w:rPr>
          <w:rFonts w:ascii="Arial" w:cs="Arial" w:eastAsia="Arial" w:hAnsi="Arial"/>
          <w:sz w:val="16"/>
          <w:szCs w:val="16"/>
          <w:color w:val="202E39"/>
        </w:rPr>
        <w:t>We believe that our strong financial growth, our track record in our government systems segment, and our success in disrupting the IFC market validate our unique business models, and the value and effectiveness of our historical research and development, or R&amp;D, investments. As a result, we are currently making substantial R&amp;D investments that we believe will sustain and accelerate our growth, cash flow generation and profitability in the years to come. These investments have allowed us to achieve key milestones in the development and construction of the first two satellites in our planned global constellation of ViaSat-3 class satellites. Each ViaSat-3 class satellite is expected to have substantial advantages in capacity and geographic coverage relative to current generation satellites, and to offer enhanced ability to flexibly allocate bandwidth in real-time to efficiently address the geographic markets with the greatest demand or strategic value.</w:t>
      </w:r>
    </w:p>
    <w:p>
      <w:pPr>
        <w:spacing w:after="0" w:line="101"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As the capacity, data throughput speeds and geographic coverage areas of our satellite systems continue to increase with each generation of our high-capacity satellite design, we expect the addressable markets for our technologies, products and services to similarly expand. Higher capacity, more flexible satellites allow us to offer cost-effective solutions that allow greater data usage at faster speeds, thereby enabling us to better compete against other broadband technologies (including terrestrial technologies) over large geographic areas, including on a global scale once our ViaSat-3 class satellite constellation is complete. In addition, the coverage, density and dynamic bandwidth allocation of our next-generation broadband satellites will allow us to pursue attractive new opportunities, such as the maritime market (which shares many of the same characteristics as the commercial air mobility market in which we have been successful), and to further expand existing businesses, such as our community Wi-Fi hotspot business. Although it will take a few years until we realize all of the benefits of these technology investments, we believe that they uniquely position us to capitalize on future opportunities to grow our business and create significant stockholder value.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Overview and Objectives of Executive Compensation Program</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Compensation Objectives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objectives of our executive compensation program are premised on the following three fundamental principles, each of which is discussed below:</w:t>
      </w:r>
    </w:p>
    <w:p>
      <w:pPr>
        <w:spacing w:after="0" w:line="5" w:lineRule="exact"/>
        <w:rPr>
          <w:sz w:val="20"/>
          <w:szCs w:val="20"/>
          <w:color w:val="auto"/>
        </w:rPr>
      </w:pPr>
    </w:p>
    <w:p>
      <w:pPr>
        <w:ind w:left="200" w:right="20" w:firstLine="4"/>
        <w:spacing w:after="0" w:line="249" w:lineRule="auto"/>
        <w:tabs>
          <w:tab w:leader="none" w:pos="443" w:val="left"/>
        </w:tabs>
        <w:numPr>
          <w:ilvl w:val="0"/>
          <w:numId w:val="27"/>
        </w:numPr>
        <w:rPr>
          <w:rFonts w:ascii="Arial" w:cs="Arial" w:eastAsia="Arial" w:hAnsi="Arial"/>
          <w:sz w:val="16"/>
          <w:szCs w:val="16"/>
          <w:color w:val="202E39"/>
        </w:rPr>
      </w:pPr>
      <w:r>
        <w:rPr>
          <w:rFonts w:ascii="Arial" w:cs="Arial" w:eastAsia="Arial" w:hAnsi="Arial"/>
          <w:sz w:val="16"/>
          <w:szCs w:val="16"/>
          <w:color w:val="202E39"/>
        </w:rPr>
        <w:t>a significant portion of executive compensation should be performance-based, linking the achievement of company financial objectives and individual objectives; (2) the financial interests of our executive management and our stockholders should be aligned; and (3) the executive compensation program should be structured so that we can compete in the marketplace in hiring and retaining top level executives with compensation that is competitive and fair. Because our executive compensation program is designed to reward prudent business judgment and promote disciplined progress towards longer-term company goals, we believe that our balanced compensation policies and practices do not encourage unnecessary and excessive risk-taking by employees that could reasonably be expected to have a material adverse effect on us.</w:t>
      </w:r>
    </w:p>
    <w:p>
      <w:pPr>
        <w:spacing w:after="0" w:line="81" w:lineRule="exact"/>
        <w:rPr>
          <w:sz w:val="20"/>
          <w:szCs w:val="20"/>
          <w:color w:val="auto"/>
        </w:rPr>
      </w:pPr>
    </w:p>
    <w:p>
      <w:pPr>
        <w:ind w:left="200" w:right="60"/>
        <w:spacing w:after="0" w:line="253" w:lineRule="auto"/>
        <w:rPr>
          <w:sz w:val="20"/>
          <w:szCs w:val="20"/>
          <w:color w:val="auto"/>
        </w:rPr>
      </w:pPr>
      <w:r>
        <w:rPr>
          <w:rFonts w:ascii="Arial" w:cs="Arial" w:eastAsia="Arial" w:hAnsi="Arial"/>
          <w:sz w:val="16"/>
          <w:szCs w:val="16"/>
          <w:i w:val="1"/>
          <w:iCs w:val="1"/>
          <w:color w:val="009FE3"/>
        </w:rPr>
        <w:t xml:space="preserve">Performance-Based Compensation. </w:t>
      </w:r>
      <w:r>
        <w:rPr>
          <w:rFonts w:ascii="Arial" w:cs="Arial" w:eastAsia="Arial" w:hAnsi="Arial"/>
          <w:sz w:val="16"/>
          <w:szCs w:val="16"/>
          <w:color w:val="202E39"/>
        </w:rPr>
        <w:t>We strongly believe that a significant amount of executive compensation should be designed to reward superior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 and we believe that our executive officers should be accountable for the overall performance of our business as well as their individual performance. To achieve this objective, we have structured our compensation program so that executive compensation is tied, in large part, directly to both company-wide and individual performance. For example, and as discussed specifically below, annual bonuses are based on, among other things, pre-established corporate financial performance metrics and operational targets, and individual performance. Also, during fiscal year 2018, we introduced performance-based stock options as a significant component of our long-term incentives for our executive officers, as described below.</w:t>
      </w:r>
    </w:p>
    <w:p>
      <w:pPr>
        <w:spacing w:after="0" w:line="79" w:lineRule="exact"/>
        <w:rPr>
          <w:sz w:val="20"/>
          <w:szCs w:val="20"/>
          <w:color w:val="auto"/>
        </w:rPr>
      </w:pPr>
    </w:p>
    <w:p>
      <w:pPr>
        <w:ind w:left="200" w:right="140"/>
        <w:spacing w:after="0" w:line="264" w:lineRule="auto"/>
        <w:rPr>
          <w:sz w:val="20"/>
          <w:szCs w:val="20"/>
          <w:color w:val="auto"/>
        </w:rPr>
      </w:pPr>
      <w:r>
        <w:rPr>
          <w:rFonts w:ascii="Arial" w:cs="Arial" w:eastAsia="Arial" w:hAnsi="Arial"/>
          <w:sz w:val="16"/>
          <w:szCs w:val="16"/>
          <w:i w:val="1"/>
          <w:iCs w:val="1"/>
          <w:color w:val="009FE3"/>
        </w:rPr>
        <w:t xml:space="preserve">Alignment with Stockholder Interests. </w:t>
      </w:r>
      <w:r>
        <w:rPr>
          <w:rFonts w:ascii="Arial" w:cs="Arial" w:eastAsia="Arial" w:hAnsi="Arial"/>
          <w:sz w:val="16"/>
          <w:szCs w:val="16"/>
          <w:color w:val="202E39"/>
        </w:rPr>
        <w:t>We believe that executive compensation and stockholder interests should be linked, and our compensation</w:t>
      </w:r>
      <w:r>
        <w:rPr>
          <w:rFonts w:ascii="Arial" w:cs="Arial" w:eastAsia="Arial" w:hAnsi="Arial"/>
          <w:sz w:val="16"/>
          <w:szCs w:val="16"/>
          <w:i w:val="1"/>
          <w:iCs w:val="1"/>
          <w:color w:val="009FE3"/>
        </w:rPr>
        <w:t xml:space="preserve"> </w:t>
      </w:r>
      <w:r>
        <w:rPr>
          <w:rFonts w:ascii="Arial" w:cs="Arial" w:eastAsia="Arial" w:hAnsi="Arial"/>
          <w:sz w:val="16"/>
          <w:szCs w:val="16"/>
          <w:color w:val="202E39"/>
        </w:rPr>
        <w:t>program is designed so that the financial interests of our executive officers are closely aligned with the interests of our stockholders. We accomplish this objective in multiple ways. First, our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78105</wp:posOffset>
            </wp:positionV>
            <wp:extent cx="42862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8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7" w:lineRule="exact"/>
        <w:rPr>
          <w:sz w:val="20"/>
          <w:szCs w:val="20"/>
          <w:color w:val="auto"/>
        </w:rPr>
      </w:pPr>
    </w:p>
    <w:p>
      <w:pPr>
        <w:ind w:left="200" w:right="160"/>
        <w:spacing w:after="0" w:line="250" w:lineRule="auto"/>
        <w:rPr>
          <w:sz w:val="20"/>
          <w:szCs w:val="20"/>
          <w:color w:val="auto"/>
        </w:rPr>
      </w:pPr>
      <w:r>
        <w:rPr>
          <w:rFonts w:ascii="Arial" w:cs="Arial" w:eastAsia="Arial" w:hAnsi="Arial"/>
          <w:sz w:val="16"/>
          <w:szCs w:val="16"/>
          <w:color w:val="202E39"/>
        </w:rPr>
        <w:t>is linked to achievement of rigorous financial and operational performance goals. Second, we have adopted stock ownership guidelines that require our executive officers to own a significant amount of Viasat stock. Third, we have introduced performance-based stock options, which provide our executive officers with an opportunity to earn a number of stock options based, in part, on Viasat’s total stockholder return relative to the total stockholder return of the companies that comprise the S&amp;P MidCap 400 Index over a four-year performance period and, in part, based on continued service for that performance period.</w:t>
      </w:r>
    </w:p>
    <w:p>
      <w:pPr>
        <w:spacing w:after="0" w:line="79" w:lineRule="exact"/>
        <w:rPr>
          <w:sz w:val="20"/>
          <w:szCs w:val="20"/>
          <w:color w:val="auto"/>
        </w:rPr>
      </w:pPr>
    </w:p>
    <w:p>
      <w:pPr>
        <w:ind w:left="200" w:right="20"/>
        <w:spacing w:after="0" w:line="258" w:lineRule="auto"/>
        <w:rPr>
          <w:sz w:val="20"/>
          <w:szCs w:val="20"/>
          <w:color w:val="auto"/>
        </w:rPr>
      </w:pPr>
      <w:r>
        <w:rPr>
          <w:rFonts w:ascii="Arial" w:cs="Arial" w:eastAsia="Arial" w:hAnsi="Arial"/>
          <w:sz w:val="16"/>
          <w:szCs w:val="16"/>
          <w:i w:val="1"/>
          <w:iCs w:val="1"/>
          <w:color w:val="009FE3"/>
        </w:rPr>
        <w:t xml:space="preserve">Structure Allows Competitive and Fair Compensation Packages. </w:t>
      </w:r>
      <w:r>
        <w:rPr>
          <w:rFonts w:ascii="Arial" w:cs="Arial" w:eastAsia="Arial" w:hAnsi="Arial"/>
          <w:sz w:val="16"/>
          <w:szCs w:val="16"/>
          <w:color w:val="202E39"/>
        </w:rPr>
        <w:t>We believe our success depends to a significant degree on our ability to attract and</w:t>
      </w:r>
      <w:r>
        <w:rPr>
          <w:rFonts w:ascii="Arial" w:cs="Arial" w:eastAsia="Arial" w:hAnsi="Arial"/>
          <w:sz w:val="16"/>
          <w:szCs w:val="16"/>
          <w:i w:val="1"/>
          <w:iCs w:val="1"/>
          <w:color w:val="009FE3"/>
        </w:rPr>
        <w:t xml:space="preserve"> </w:t>
      </w:r>
      <w:r>
        <w:rPr>
          <w:rFonts w:ascii="Arial" w:cs="Arial" w:eastAsia="Arial" w:hAnsi="Arial"/>
          <w:sz w:val="16"/>
          <w:szCs w:val="16"/>
          <w:color w:val="202E39"/>
        </w:rPr>
        <w:t>retain highly skilled personnel. Stockholders are accordingly best served when we can attract and retain talented executives with compensation packages that are competitive and fair. Therefore, we strive to create compensation packages for executive officers that deliver compensation that is comparable to the total compensation delivered by the companies with which we compete for executive talent.</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Decision-Making Processes and Criteria</w:t>
      </w:r>
    </w:p>
    <w:p>
      <w:pPr>
        <w:spacing w:after="0" w:line="133"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 xml:space="preserve">The Compensation and Human Resources Committee is responsible for determining our overall executive compensation philosophy, and for evaluating and recommending all components of executive officer compensation to our Board of Directors for approval. The Compensation and Human Resources Committee acts under a written charter adopted and approved by our Board and may, in its discretion, obtain the assistance of outside advisors, including compensation consultants, legal counsel and accounting and other advisors. Each member of our Compensation and Human Resources Committee qualifies as a “non-employee director” within the meaning of Rule 16b-3 of the Securities Exchange Act of 1934, and as independent within the meaning of the corporate governance standards of Nasdaq. A copy of the Compensation and Human Resources Committee charter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w:t>
      </w:r>
    </w:p>
    <w:p>
      <w:pPr>
        <w:spacing w:after="0" w:line="101"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202E39"/>
        </w:rPr>
        <w:t>In fiscal year 2018, the Compensation and Human Resources Committee again engaged the executive compensation consulting firm, Compensia, to provide analysis and advice on matters relating to executive officer compensation and benefits practices. After conducting an evaluation using the factors established by the SEC and Nasdaq, the Compensation and Human Resources Committee determined that Compensia is independent and that there is no conflict of interest resulting from the engagement of Compensia during fiscal year 2018.</w:t>
      </w:r>
    </w:p>
    <w:p>
      <w:pPr>
        <w:spacing w:after="0" w:line="95"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202E39"/>
        </w:rPr>
        <w:t>Because our executive compensation program relies on the use of three relatively straightforward components (base salary, annual bonuses and long-term equity awards), the process for determining each component of executive compensation remains fairly consistent across each component. In determining each component of executive compensation, the Compensation and Human Resources Committee generally considers each of the following factors:</w:t>
      </w:r>
    </w:p>
    <w:p>
      <w:pPr>
        <w:spacing w:after="0" w:line="108" w:lineRule="exact"/>
        <w:rPr>
          <w:sz w:val="20"/>
          <w:szCs w:val="20"/>
          <w:color w:val="auto"/>
        </w:rPr>
      </w:pPr>
    </w:p>
    <w:p>
      <w:pPr>
        <w:ind w:left="640" w:hanging="220"/>
        <w:spacing w:after="0"/>
        <w:tabs>
          <w:tab w:leader="none" w:pos="64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industry compensation data,</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individual performance and contributions,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company financial and operational performance,</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company strategic positioning,</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total executive compensation,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affordability of cash compensation based on Viasat’s financial results,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availability and affordability of shares for equity awards, and</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stockholder feedback, including the results of say-on-pay votes.</w:t>
      </w:r>
    </w:p>
    <w:p>
      <w:pPr>
        <w:spacing w:after="0" w:line="97" w:lineRule="exact"/>
        <w:rPr>
          <w:sz w:val="20"/>
          <w:szCs w:val="20"/>
          <w:color w:val="auto"/>
        </w:rPr>
      </w:pPr>
    </w:p>
    <w:p>
      <w:pPr>
        <w:ind w:left="200" w:right="100"/>
        <w:spacing w:after="0" w:line="249" w:lineRule="auto"/>
        <w:rPr>
          <w:sz w:val="20"/>
          <w:szCs w:val="20"/>
          <w:color w:val="auto"/>
        </w:rPr>
      </w:pPr>
      <w:r>
        <w:rPr>
          <w:rFonts w:ascii="Arial" w:cs="Arial" w:eastAsia="Arial" w:hAnsi="Arial"/>
          <w:sz w:val="16"/>
          <w:szCs w:val="16"/>
          <w:i w:val="1"/>
          <w:iCs w:val="1"/>
          <w:color w:val="009FE3"/>
        </w:rPr>
        <w:t xml:space="preserve">Industry Compensation Data. </w:t>
      </w:r>
      <w:r>
        <w:rPr>
          <w:rFonts w:ascii="Arial" w:cs="Arial" w:eastAsia="Arial" w:hAnsi="Arial"/>
          <w:sz w:val="16"/>
          <w:szCs w:val="16"/>
          <w:color w:val="202E39"/>
        </w:rPr>
        <w:t>As part of the process of determining executive compensation, the Compensation and Human Resources Committee</w:t>
      </w:r>
      <w:r>
        <w:rPr>
          <w:rFonts w:ascii="Arial" w:cs="Arial" w:eastAsia="Arial" w:hAnsi="Arial"/>
          <w:sz w:val="16"/>
          <w:szCs w:val="16"/>
          <w:i w:val="1"/>
          <w:iCs w:val="1"/>
          <w:color w:val="009FE3"/>
        </w:rPr>
        <w:t xml:space="preserve"> </w:t>
      </w:r>
      <w:r>
        <w:rPr>
          <w:rFonts w:ascii="Arial" w:cs="Arial" w:eastAsia="Arial" w:hAnsi="Arial"/>
          <w:sz w:val="16"/>
          <w:szCs w:val="16"/>
          <w:color w:val="202E39"/>
        </w:rPr>
        <w:t>reviews competitive executive compensation data of relevant companies from across the high tech industry. With the assistance of Compensia, the Compensation and Human Resources Committee identified a group of companies to reference as a peer group for compensation comparison purposes. For fiscal year 2018 compensation decisions, this peer group consisted of the following companies: Arris International plc, CenturyLink, Inc., Ciena Corporation, EchoStar Corp., Equinix, Inc., Gogo Inc., Harris Corporation, Intuit Inc., J2 Global, Inc., Mentor Graphics Corp., Nuance Communications, Inc., Rockwell Collins Inc., SBA Communications Corp., SOHU Com Inc., Synchronoss Technologies, Inc., T-Mobile US, Inc. and Vonage Holdings Corp. The peer group was selected based on a variety of factors, including industry, revenue, business model and market capitalization. Additionally, the Compensation and Human Resources Committee believes that this group of companies provides an appropriate peer group because it is comprised of similar organizations against whom we compete to recruit and retain top quality talent. The Compensation and Human Resources Committee also reviewed competitive market information from the Radford Global Technology survey, a nationally recognized compensation survey containing market information of companies in the technology industry. This survey was not compiled specifically for Viasat but rather represents a database containing comparative compensation data and information for a broad range of other technology companies, thereby permitting the Compensation and Human Resources Committee to review aggregated compensation data for positions similar to those held by each executive officer. The survey data provided to the Compensation and Human Resources Committee does not include the particular names of those companies whose pay practices are</w:t>
      </w:r>
    </w:p>
    <w:p>
      <w:pPr>
        <w:spacing w:after="0" w:line="124"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29</w:t>
            </w:r>
          </w:p>
        </w:tc>
      </w:tr>
    </w:tbl>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7"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202E39"/>
        </w:rPr>
        <w:t>surveyed with respect to any particular position being reviewed. Unlike peer group compensation data, which is limited to publicly available information and does not provide precise comparisons for certain positions, the more comprehensive survey data can be used to provide pooled compensation data for positions closely akin to those held by each executive officer. In addition, the pool of senior executive talent from which we draw, and against which we compare ourselves, extends beyond the limited community of Viasat’s immediate peer group. Rather, this survey data includes a wide range of other organizations in the technology industry outside of Viasat’s traditional competitors. As a result, the Compensation and Human Resources Committee relies on a combination of industry survey data published by Radford and peer group compensation data in evaluating our executive compensation.</w:t>
      </w:r>
    </w:p>
    <w:p>
      <w:pPr>
        <w:spacing w:after="0" w:line="81" w:lineRule="exact"/>
        <w:rPr>
          <w:sz w:val="20"/>
          <w:szCs w:val="20"/>
          <w:color w:val="auto"/>
        </w:rPr>
      </w:pPr>
    </w:p>
    <w:p>
      <w:pPr>
        <w:ind w:left="200" w:right="80"/>
        <w:spacing w:after="0" w:line="250" w:lineRule="auto"/>
        <w:rPr>
          <w:sz w:val="20"/>
          <w:szCs w:val="20"/>
          <w:color w:val="auto"/>
        </w:rPr>
      </w:pPr>
      <w:r>
        <w:rPr>
          <w:rFonts w:ascii="Arial" w:cs="Arial" w:eastAsia="Arial" w:hAnsi="Arial"/>
          <w:sz w:val="16"/>
          <w:szCs w:val="16"/>
          <w:i w:val="1"/>
          <w:iCs w:val="1"/>
          <w:color w:val="009FE3"/>
        </w:rPr>
        <w:t xml:space="preserve">Individual Performance. </w:t>
      </w:r>
      <w:r>
        <w:rPr>
          <w:rFonts w:ascii="Arial" w:cs="Arial" w:eastAsia="Arial" w:hAnsi="Arial"/>
          <w:sz w:val="16"/>
          <w:szCs w:val="16"/>
          <w:color w:val="202E39"/>
        </w:rPr>
        <w:t>The Compensation and Human Resources Committee makes an assessment of individual executive performance and</w:t>
      </w:r>
      <w:r>
        <w:rPr>
          <w:rFonts w:ascii="Arial" w:cs="Arial" w:eastAsia="Arial" w:hAnsi="Arial"/>
          <w:sz w:val="16"/>
          <w:szCs w:val="16"/>
          <w:i w:val="1"/>
          <w:iCs w:val="1"/>
          <w:color w:val="009FE3"/>
        </w:rPr>
        <w:t xml:space="preserve"> </w:t>
      </w:r>
      <w:r>
        <w:rPr>
          <w:rFonts w:ascii="Arial" w:cs="Arial" w:eastAsia="Arial" w:hAnsi="Arial"/>
          <w:sz w:val="16"/>
          <w:szCs w:val="16"/>
          <w:color w:val="202E39"/>
        </w:rPr>
        <w:t>contributions. The individual performance assessments made by the Compensation and Human Resources Committee are based in part on input from executive management. As part of our executive compensation process, our Chief Executive Officer and President each provide input to the Compensation and Human Resources Committee on the individual performance and contributions of our executive officers other than themselves. With respect to assessing the individual performance of our Chief Executive Officer, the Compensation and Human Resources Committee relies on an annual assessment completed by our Nomination, Evaluation and Corporate Governance Committee. In evaluating the performance of our President, the Compensation and Human Resources Committee relies on input from our Chief Executive Officer. While the Compensation and Human Resources Committee believes input from management and outside advisors is valuable, the Compensation and Human Resources Committee makes its recommendations and decisions based on its independent analysis and assessment.</w:t>
      </w:r>
    </w:p>
    <w:p>
      <w:pPr>
        <w:spacing w:after="0" w:line="85" w:lineRule="exact"/>
        <w:rPr>
          <w:sz w:val="20"/>
          <w:szCs w:val="20"/>
          <w:color w:val="auto"/>
        </w:rPr>
      </w:pPr>
    </w:p>
    <w:p>
      <w:pPr>
        <w:ind w:left="200" w:right="80"/>
        <w:spacing w:after="0" w:line="258" w:lineRule="auto"/>
        <w:rPr>
          <w:sz w:val="20"/>
          <w:szCs w:val="20"/>
          <w:color w:val="auto"/>
        </w:rPr>
      </w:pPr>
      <w:r>
        <w:rPr>
          <w:rFonts w:ascii="Arial" w:cs="Arial" w:eastAsia="Arial" w:hAnsi="Arial"/>
          <w:sz w:val="16"/>
          <w:szCs w:val="16"/>
          <w:i w:val="1"/>
          <w:iCs w:val="1"/>
          <w:color w:val="009FE3"/>
        </w:rPr>
        <w:t xml:space="preserve">Company Financial and Operational Performance. </w:t>
      </w:r>
      <w:r>
        <w:rPr>
          <w:rFonts w:ascii="Arial" w:cs="Arial" w:eastAsia="Arial" w:hAnsi="Arial"/>
          <w:sz w:val="16"/>
          <w:szCs w:val="16"/>
          <w:color w:val="202E39"/>
        </w:rPr>
        <w:t>A major component of our executive compensation program is the belief that a significant amount of</w:t>
      </w:r>
      <w:r>
        <w:rPr>
          <w:rFonts w:ascii="Arial" w:cs="Arial" w:eastAsia="Arial" w:hAnsi="Arial"/>
          <w:sz w:val="16"/>
          <w:szCs w:val="16"/>
          <w:i w:val="1"/>
          <w:iCs w:val="1"/>
          <w:color w:val="009FE3"/>
        </w:rPr>
        <w:t xml:space="preserve"> </w:t>
      </w:r>
      <w:r>
        <w:rPr>
          <w:rFonts w:ascii="Arial" w:cs="Arial" w:eastAsia="Arial" w:hAnsi="Arial"/>
          <w:sz w:val="16"/>
          <w:szCs w:val="16"/>
          <w:color w:val="202E39"/>
        </w:rPr>
        <w:t>executive compensation should be based on performance, including company financial and operational performance. These financial and operational performance metrics are important factors considered by the Compensation and Human Resources Committee in determining base salary, annual bonuses and equity awards.</w:t>
      </w:r>
    </w:p>
    <w:p>
      <w:pPr>
        <w:spacing w:after="0" w:line="73" w:lineRule="exact"/>
        <w:rPr>
          <w:sz w:val="20"/>
          <w:szCs w:val="20"/>
          <w:color w:val="auto"/>
        </w:rPr>
      </w:pPr>
    </w:p>
    <w:p>
      <w:pPr>
        <w:ind w:left="200" w:right="80"/>
        <w:spacing w:after="0" w:line="258" w:lineRule="auto"/>
        <w:rPr>
          <w:sz w:val="20"/>
          <w:szCs w:val="20"/>
          <w:color w:val="auto"/>
        </w:rPr>
      </w:pPr>
      <w:r>
        <w:rPr>
          <w:rFonts w:ascii="Arial" w:cs="Arial" w:eastAsia="Arial" w:hAnsi="Arial"/>
          <w:sz w:val="16"/>
          <w:szCs w:val="16"/>
          <w:i w:val="1"/>
          <w:iCs w:val="1"/>
          <w:color w:val="009FE3"/>
        </w:rPr>
        <w:t xml:space="preserve">Company Strategic Positioning. </w:t>
      </w:r>
      <w:r>
        <w:rPr>
          <w:rFonts w:ascii="Arial" w:cs="Arial" w:eastAsia="Arial" w:hAnsi="Arial"/>
          <w:sz w:val="16"/>
          <w:szCs w:val="16"/>
          <w:color w:val="202E39"/>
        </w:rPr>
        <w:t>Given the importance of the long-term performance of the company, the current strategic positioning of the company is</w:t>
      </w:r>
      <w:r>
        <w:rPr>
          <w:rFonts w:ascii="Arial" w:cs="Arial" w:eastAsia="Arial" w:hAnsi="Arial"/>
          <w:sz w:val="16"/>
          <w:szCs w:val="16"/>
          <w:i w:val="1"/>
          <w:iCs w:val="1"/>
          <w:color w:val="009FE3"/>
        </w:rPr>
        <w:t xml:space="preserve"> </w:t>
      </w:r>
      <w:r>
        <w:rPr>
          <w:rFonts w:ascii="Arial" w:cs="Arial" w:eastAsia="Arial" w:hAnsi="Arial"/>
          <w:sz w:val="16"/>
          <w:szCs w:val="16"/>
          <w:color w:val="202E39"/>
        </w:rPr>
        <w:t>also a significant factor in the assessment of our executive compensation program and the determination of executive compensation components. The Compensation and Human Resources Committee takes into account the strategic positioning of the company as a basis for determining annual bonuses and other executive compensation.</w:t>
      </w:r>
    </w:p>
    <w:p>
      <w:pPr>
        <w:spacing w:after="0" w:line="73" w:lineRule="exact"/>
        <w:rPr>
          <w:sz w:val="20"/>
          <w:szCs w:val="20"/>
          <w:color w:val="auto"/>
        </w:rPr>
      </w:pPr>
    </w:p>
    <w:p>
      <w:pPr>
        <w:ind w:left="200" w:right="360"/>
        <w:spacing w:after="0" w:line="264" w:lineRule="auto"/>
        <w:rPr>
          <w:sz w:val="20"/>
          <w:szCs w:val="20"/>
          <w:color w:val="auto"/>
        </w:rPr>
      </w:pPr>
      <w:r>
        <w:rPr>
          <w:rFonts w:ascii="Arial" w:cs="Arial" w:eastAsia="Arial" w:hAnsi="Arial"/>
          <w:sz w:val="16"/>
          <w:szCs w:val="16"/>
          <w:i w:val="1"/>
          <w:iCs w:val="1"/>
          <w:color w:val="009FE3"/>
        </w:rPr>
        <w:t xml:space="preserve">Total Executive Compensation. </w:t>
      </w:r>
      <w:r>
        <w:rPr>
          <w:rFonts w:ascii="Arial" w:cs="Arial" w:eastAsia="Arial" w:hAnsi="Arial"/>
          <w:sz w:val="16"/>
          <w:szCs w:val="16"/>
          <w:color w:val="202E39"/>
        </w:rPr>
        <w:t>In addition to reviewing each component of executive compensation, the Compensation and Human Resources</w:t>
      </w:r>
      <w:r>
        <w:rPr>
          <w:rFonts w:ascii="Arial" w:cs="Arial" w:eastAsia="Arial" w:hAnsi="Arial"/>
          <w:sz w:val="16"/>
          <w:szCs w:val="16"/>
          <w:i w:val="1"/>
          <w:iCs w:val="1"/>
          <w:color w:val="009FE3"/>
        </w:rPr>
        <w:t xml:space="preserve"> </w:t>
      </w:r>
      <w:r>
        <w:rPr>
          <w:rFonts w:ascii="Arial" w:cs="Arial" w:eastAsia="Arial" w:hAnsi="Arial"/>
          <w:sz w:val="16"/>
          <w:szCs w:val="16"/>
          <w:color w:val="202E39"/>
        </w:rPr>
        <w:t>Committee also considers the total direct compensation of each executive officer. This review of total compensation is completed to assure that each executive officer’s total compensation remains appropriately competitive and continues to meet the compensation objectives described above.</w:t>
      </w:r>
    </w:p>
    <w:p>
      <w:pPr>
        <w:spacing w:after="0" w:line="68" w:lineRule="exact"/>
        <w:rPr>
          <w:sz w:val="20"/>
          <w:szCs w:val="20"/>
          <w:color w:val="auto"/>
        </w:rPr>
      </w:pPr>
    </w:p>
    <w:p>
      <w:pPr>
        <w:ind w:left="200" w:right="80"/>
        <w:spacing w:after="0" w:line="253" w:lineRule="auto"/>
        <w:rPr>
          <w:sz w:val="20"/>
          <w:szCs w:val="20"/>
          <w:color w:val="auto"/>
        </w:rPr>
      </w:pPr>
      <w:r>
        <w:rPr>
          <w:rFonts w:ascii="Arial" w:cs="Arial" w:eastAsia="Arial" w:hAnsi="Arial"/>
          <w:sz w:val="16"/>
          <w:szCs w:val="16"/>
          <w:i w:val="1"/>
          <w:iCs w:val="1"/>
          <w:color w:val="009FE3"/>
        </w:rPr>
        <w:t xml:space="preserve">Affordability. </w:t>
      </w:r>
      <w:r>
        <w:rPr>
          <w:rFonts w:ascii="Arial" w:cs="Arial" w:eastAsia="Arial" w:hAnsi="Arial"/>
          <w:sz w:val="16"/>
          <w:szCs w:val="16"/>
          <w:color w:val="202E39"/>
        </w:rPr>
        <w:t>Prior to completing its executive compensation review and evaluation, the Compensation and Human Resources Committee confirms that</w:t>
      </w:r>
      <w:r>
        <w:rPr>
          <w:rFonts w:ascii="Arial" w:cs="Arial" w:eastAsia="Arial" w:hAnsi="Arial"/>
          <w:sz w:val="16"/>
          <w:szCs w:val="16"/>
          <w:i w:val="1"/>
          <w:iCs w:val="1"/>
          <w:color w:val="009FE3"/>
        </w:rPr>
        <w:t xml:space="preserve"> </w:t>
      </w:r>
      <w:r>
        <w:rPr>
          <w:rFonts w:ascii="Arial" w:cs="Arial" w:eastAsia="Arial" w:hAnsi="Arial"/>
          <w:sz w:val="16"/>
          <w:szCs w:val="16"/>
          <w:color w:val="202E39"/>
        </w:rPr>
        <w:t>proposed cash compensation is affordable under and consistent with Viasat’s financial results. With respect to equity compensation, the Compensation and Human Resources Committee confirms the availability and affordability of shares prior to granting the equity awards to our executive officers. To the extent the Compensation and Human Resources Committee determines that a component of executive compensation is not affordable, appropriate adjustments to that compensation component are made prior to final approval by the Compensation and Human Resources Committee and any subsequent recommendation to the Board.</w:t>
      </w:r>
    </w:p>
    <w:p>
      <w:pPr>
        <w:spacing w:after="0" w:line="79" w:lineRule="exact"/>
        <w:rPr>
          <w:sz w:val="20"/>
          <w:szCs w:val="20"/>
          <w:color w:val="auto"/>
        </w:rPr>
      </w:pPr>
    </w:p>
    <w:p>
      <w:pPr>
        <w:ind w:left="200" w:right="180"/>
        <w:spacing w:after="0" w:line="250" w:lineRule="auto"/>
        <w:rPr>
          <w:sz w:val="20"/>
          <w:szCs w:val="20"/>
          <w:color w:val="auto"/>
        </w:rPr>
      </w:pPr>
      <w:r>
        <w:rPr>
          <w:rFonts w:ascii="Arial" w:cs="Arial" w:eastAsia="Arial" w:hAnsi="Arial"/>
          <w:sz w:val="16"/>
          <w:szCs w:val="16"/>
          <w:i w:val="1"/>
          <w:iCs w:val="1"/>
          <w:color w:val="009FE3"/>
        </w:rPr>
        <w:t xml:space="preserve">The Role of Stockholder Say-on-Pay Votes. </w:t>
      </w:r>
      <w:r>
        <w:rPr>
          <w:rFonts w:ascii="Arial" w:cs="Arial" w:eastAsia="Arial" w:hAnsi="Arial"/>
          <w:sz w:val="16"/>
          <w:szCs w:val="16"/>
          <w:color w:val="202E39"/>
        </w:rPr>
        <w:t>At our most recent annual meeting of stockholders, we conducted a non-binding advisory vote on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of our Named Executive Officers, commonly referred to as a “say-on-pay” vote, and our stockholders approved the compensation of our Named Executive Officers, with over 70% of stockholder votes cast in favor of our executive compensation program. As the Compensation and Human Resources Committee evaluated our executive compensation policies and practices throughout fiscal year 2018, they were mindful of the support and input our stockholders expressed for our compensation philosophy and objectives. As a result, the Compensation and Human Resources Committee decided to introduce performance-based stock option awards as part of the overall compensation program for our executive officers in fiscal year 2018, which is described in more detail in the below section named “Equity-Based Compensation”. The Compensation and Human Resources Committee will continue to consider the outcome of future say-on-pay votes and material stockholder feedback when making future compensation decisions for the Named Executive Officers.</w:t>
      </w:r>
    </w:p>
    <w:p>
      <w:pPr>
        <w:spacing w:after="0" w:line="85" w:lineRule="exact"/>
        <w:rPr>
          <w:sz w:val="20"/>
          <w:szCs w:val="20"/>
          <w:color w:val="auto"/>
        </w:rPr>
      </w:pPr>
    </w:p>
    <w:p>
      <w:pPr>
        <w:ind w:left="200" w:right="100"/>
        <w:spacing w:after="0" w:line="255" w:lineRule="auto"/>
        <w:rPr>
          <w:sz w:val="20"/>
          <w:szCs w:val="20"/>
          <w:color w:val="auto"/>
        </w:rPr>
      </w:pPr>
      <w:r>
        <w:rPr>
          <w:rFonts w:ascii="Arial" w:cs="Arial" w:eastAsia="Arial" w:hAnsi="Arial"/>
          <w:sz w:val="16"/>
          <w:szCs w:val="16"/>
          <w:i w:val="1"/>
          <w:iCs w:val="1"/>
          <w:color w:val="009FE3"/>
        </w:rPr>
        <w:t xml:space="preserve">Determination of Compensation. </w:t>
      </w:r>
      <w:r>
        <w:rPr>
          <w:rFonts w:ascii="Arial" w:cs="Arial" w:eastAsia="Arial" w:hAnsi="Arial"/>
          <w:sz w:val="16"/>
          <w:szCs w:val="16"/>
          <w:color w:val="202E39"/>
        </w:rPr>
        <w:t>The Compensation and Human Resources Committee and the Board hold several meetings each year for the review,</w:t>
      </w:r>
      <w:r>
        <w:rPr>
          <w:rFonts w:ascii="Arial" w:cs="Arial" w:eastAsia="Arial" w:hAnsi="Arial"/>
          <w:sz w:val="16"/>
          <w:szCs w:val="16"/>
          <w:i w:val="1"/>
          <w:iCs w:val="1"/>
          <w:color w:val="009FE3"/>
        </w:rPr>
        <w:t xml:space="preserve"> </w:t>
      </w:r>
      <w:r>
        <w:rPr>
          <w:rFonts w:ascii="Arial" w:cs="Arial" w:eastAsia="Arial" w:hAnsi="Arial"/>
          <w:sz w:val="16"/>
          <w:szCs w:val="16"/>
          <w:color w:val="202E39"/>
        </w:rPr>
        <w:t>evaluation and determination of executive compensation. The Compensation and Human Resources Committee determines and recommends to the Board the appropriate compensation for each individual executive officer after considering the factors described in the preceding paragraphs. We do not believe that it is appropriate to establish compensation levels solely by benchmarking. Instead, we rely upon the judgment of our Compensation and Human Resources Committee members in formulating compensation recommendations, after reviewing competitive compensation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83185</wp:posOffset>
            </wp:positionV>
            <wp:extent cx="42862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8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7" w:lineRule="exact"/>
        <w:rPr>
          <w:sz w:val="20"/>
          <w:szCs w:val="20"/>
          <w:color w:val="auto"/>
        </w:rPr>
      </w:pPr>
    </w:p>
    <w:p>
      <w:pPr>
        <w:ind w:left="200" w:right="40"/>
        <w:spacing w:after="0" w:line="249" w:lineRule="auto"/>
        <w:rPr>
          <w:sz w:val="20"/>
          <w:szCs w:val="20"/>
          <w:color w:val="auto"/>
        </w:rPr>
      </w:pPr>
      <w:r>
        <w:rPr>
          <w:rFonts w:ascii="Arial" w:cs="Arial" w:eastAsia="Arial" w:hAnsi="Arial"/>
          <w:sz w:val="16"/>
          <w:szCs w:val="16"/>
          <w:color w:val="202E39"/>
        </w:rPr>
        <w:t>the performance of the company and carefully evaluating an executive officer’s performance during the year against established goals, leadership qualities, individual contributions, operational results, business responsibilities, experience, career with the company, current compensation arrangements and long-term potential to enhance stockholder value. While competitive compensation market data paid by other companies is one of the many factors the Compensation and Human Resources Committee and the Board considers in assessing the reasonableness of compensation, we do not attempt to maintain a certain target percentile within a peer group or otherwise rely entirely on that data to determine executive officer compensation. Instead, we incorporate flexibility into our compensation programs and in the assessment process to respond to and adjust for the evolving business environment.</w:t>
      </w:r>
    </w:p>
    <w:p>
      <w:pPr>
        <w:spacing w:after="0" w:line="97" w:lineRule="exact"/>
        <w:rPr>
          <w:sz w:val="20"/>
          <w:szCs w:val="20"/>
          <w:color w:val="auto"/>
        </w:rPr>
      </w:pPr>
    </w:p>
    <w:p>
      <w:pPr>
        <w:ind w:left="200" w:right="160"/>
        <w:spacing w:after="0" w:line="250" w:lineRule="auto"/>
        <w:rPr>
          <w:sz w:val="20"/>
          <w:szCs w:val="20"/>
          <w:color w:val="auto"/>
        </w:rPr>
      </w:pPr>
      <w:r>
        <w:rPr>
          <w:rFonts w:ascii="Arial" w:cs="Arial" w:eastAsia="Arial" w:hAnsi="Arial"/>
          <w:sz w:val="16"/>
          <w:szCs w:val="16"/>
          <w:color w:val="202E39"/>
        </w:rPr>
        <w:t>We strive to achieve an appropriate mix between equity incentive awards and cash payments in order to meet our objectives and an apportionment goal is not applied rigidly and does not control our compensation decisions. Our mix of compensation components is designed to reward results, align compensation with stockholder interests and fairly compensate our executive officers through a combination of cash and equity incentive awards. We believe the most important indicator of whether our compensation objectives are being met is our ability to motivate our executive officers to deliver superior performance and retain them to continue their careers with Viasat on a cost-effective basis.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Components of Our Compensation Program</w:t>
      </w:r>
    </w:p>
    <w:p>
      <w:pPr>
        <w:spacing w:after="0" w:line="133" w:lineRule="exact"/>
        <w:rPr>
          <w:sz w:val="20"/>
          <w:szCs w:val="20"/>
          <w:color w:val="auto"/>
        </w:rPr>
      </w:pPr>
    </w:p>
    <w:p>
      <w:pPr>
        <w:ind w:left="200" w:right="460"/>
        <w:spacing w:after="0" w:line="260" w:lineRule="auto"/>
        <w:rPr>
          <w:sz w:val="20"/>
          <w:szCs w:val="20"/>
          <w:color w:val="auto"/>
        </w:rPr>
      </w:pPr>
      <w:r>
        <w:rPr>
          <w:rFonts w:ascii="Arial" w:cs="Arial" w:eastAsia="Arial" w:hAnsi="Arial"/>
          <w:sz w:val="16"/>
          <w:szCs w:val="16"/>
          <w:color w:val="202E39"/>
        </w:rPr>
        <w:t>The components of our executive compensation program are the following: base salary, annual bonuses, long-term equity-based compensation and certain other benefits that are generally available to all of our employees.</w:t>
      </w:r>
    </w:p>
    <w:p>
      <w:pPr>
        <w:spacing w:after="0" w:line="72" w:lineRule="exact"/>
        <w:rPr>
          <w:sz w:val="20"/>
          <w:szCs w:val="20"/>
          <w:color w:val="auto"/>
        </w:rPr>
      </w:pPr>
    </w:p>
    <w:p>
      <w:pPr>
        <w:ind w:left="200" w:right="280"/>
        <w:spacing w:after="0" w:line="258" w:lineRule="auto"/>
        <w:rPr>
          <w:sz w:val="20"/>
          <w:szCs w:val="20"/>
          <w:color w:val="auto"/>
        </w:rPr>
      </w:pPr>
      <w:r>
        <w:rPr>
          <w:rFonts w:ascii="Arial" w:cs="Arial" w:eastAsia="Arial" w:hAnsi="Arial"/>
          <w:sz w:val="16"/>
          <w:szCs w:val="16"/>
          <w:i w:val="1"/>
          <w:iCs w:val="1"/>
          <w:color w:val="009FE3"/>
        </w:rPr>
        <w:t xml:space="preserve">Base Salary. </w:t>
      </w:r>
      <w:r>
        <w:rPr>
          <w:rFonts w:ascii="Arial" w:cs="Arial" w:eastAsia="Arial" w:hAnsi="Arial"/>
          <w:sz w:val="16"/>
          <w:szCs w:val="16"/>
          <w:color w:val="202E39"/>
        </w:rPr>
        <w:t>In determining base salary recommendations, the Compensation and Human Resources Committee primarily considers (1) executive</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survey results from Radford, which generally reports a compensation range for each position, (2) compensation data of our peer group companies prepared and analyzed by its compensation consultant, and (3) individual performance and contributions. In evaluating individual executive performance and contributions, the Compensation and Human Resources Committee considers to what extent the executive:</w:t>
      </w:r>
    </w:p>
    <w:p>
      <w:pPr>
        <w:spacing w:after="0" w:line="103" w:lineRule="exact"/>
        <w:rPr>
          <w:sz w:val="20"/>
          <w:szCs w:val="20"/>
          <w:color w:val="auto"/>
        </w:rPr>
      </w:pPr>
    </w:p>
    <w:p>
      <w:pPr>
        <w:ind w:left="640" w:hanging="220"/>
        <w:spacing w:after="0"/>
        <w:tabs>
          <w:tab w:leader="none" w:pos="64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sustains a high level of performance,</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demonstrates leadership and success in contributing toward Viasat’s achievement of key business and financial objectives,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contributes significantly to the development and execution of Viasat’s long-term strategy,</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has a proven ability to help create stockholder value, and</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possesses highly developed skills and abilities critical to Viasat’s success.</w:t>
      </w:r>
    </w:p>
    <w:p>
      <w:pPr>
        <w:spacing w:after="0" w:line="113" w:lineRule="exact"/>
        <w:rPr>
          <w:sz w:val="20"/>
          <w:szCs w:val="20"/>
          <w:color w:val="auto"/>
        </w:rPr>
      </w:pPr>
    </w:p>
    <w:p>
      <w:pPr>
        <w:ind w:left="200" w:right="20"/>
        <w:spacing w:after="0" w:line="249" w:lineRule="auto"/>
        <w:rPr>
          <w:sz w:val="20"/>
          <w:szCs w:val="20"/>
          <w:color w:val="auto"/>
        </w:rPr>
      </w:pPr>
      <w:r>
        <w:rPr>
          <w:rFonts w:ascii="Arial" w:cs="Arial" w:eastAsia="Arial" w:hAnsi="Arial"/>
          <w:sz w:val="16"/>
          <w:szCs w:val="16"/>
          <w:color w:val="202E39"/>
        </w:rPr>
        <w:t>In assessing individual executive performance and contributions for fiscal year 2018 base salary determination purposes, the Compensation and Human Resources Committee considered the individual contributions toward the achievement of key strategic objectives, such as the development and execution of strategies to facilitate global expansion, development progress on the ViaSat-2 and ViaSat-3 class satellites and associated ground technologies, performance and growth of our IFC business and strong positioning and growth of our government systems segment. In light of the foregoing, the Compensation and Human Resources Committee recommended to the Board new base salaries for each of the executive officers. The following table sets forth the base salaries for fiscal years 2017 and 2018 for each of our Named Executive Officers.</w:t>
      </w:r>
    </w:p>
    <w:p>
      <w:pPr>
        <w:spacing w:after="0" w:line="1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202E39"/>
        </w:rPr>
        <w:t>Fiscal Year 2017 and Fiscal Year 2018 Base Salary</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6300" w:type="dxa"/>
            <w:vAlign w:val="bottom"/>
            <w:tcBorders>
              <w:top w:val="single" w:sz="8" w:color="E8EAEB"/>
              <w:right w:val="single" w:sz="8" w:color="E8EAEB"/>
            </w:tcBorders>
          </w:tcPr>
          <w:p>
            <w:pPr>
              <w:spacing w:after="0"/>
              <w:rPr>
                <w:sz w:val="17"/>
                <w:szCs w:val="17"/>
                <w:color w:val="auto"/>
              </w:rPr>
            </w:pPr>
          </w:p>
        </w:tc>
        <w:tc>
          <w:tcPr>
            <w:tcW w:w="1780" w:type="dxa"/>
            <w:vAlign w:val="bottom"/>
            <w:tcBorders>
              <w:top w:val="single" w:sz="8" w:color="E8EAEB"/>
              <w:right w:val="single" w:sz="8" w:color="E8EAEB"/>
            </w:tcBorders>
          </w:tcPr>
          <w:p>
            <w:pPr>
              <w:jc w:val="right"/>
              <w:ind w:right="282"/>
              <w:spacing w:after="0"/>
              <w:rPr>
                <w:sz w:val="20"/>
                <w:szCs w:val="20"/>
                <w:color w:val="auto"/>
              </w:rPr>
            </w:pPr>
            <w:r>
              <w:rPr>
                <w:rFonts w:ascii="Arial" w:cs="Arial" w:eastAsia="Arial" w:hAnsi="Arial"/>
                <w:sz w:val="14"/>
                <w:szCs w:val="14"/>
                <w:b w:val="1"/>
                <w:bCs w:val="1"/>
                <w:color w:val="009FE3"/>
              </w:rPr>
              <w:t>Fiscal Year 2017</w:t>
            </w:r>
          </w:p>
        </w:tc>
        <w:tc>
          <w:tcPr>
            <w:tcW w:w="1780" w:type="dxa"/>
            <w:vAlign w:val="bottom"/>
            <w:tcBorders>
              <w:top w:val="single" w:sz="8" w:color="E8EAEB"/>
              <w:right w:val="single" w:sz="8" w:color="E8EAEB"/>
            </w:tcBorders>
          </w:tcPr>
          <w:p>
            <w:pPr>
              <w:jc w:val="right"/>
              <w:ind w:right="282"/>
              <w:spacing w:after="0"/>
              <w:rPr>
                <w:sz w:val="20"/>
                <w:szCs w:val="20"/>
                <w:color w:val="auto"/>
              </w:rPr>
            </w:pPr>
            <w:r>
              <w:rPr>
                <w:rFonts w:ascii="Arial" w:cs="Arial" w:eastAsia="Arial" w:hAnsi="Arial"/>
                <w:sz w:val="14"/>
                <w:szCs w:val="14"/>
                <w:b w:val="1"/>
                <w:bCs w:val="1"/>
                <w:color w:val="009FE3"/>
              </w:rPr>
              <w:t>Fiscal Year 2018</w:t>
            </w:r>
          </w:p>
        </w:tc>
        <w:tc>
          <w:tcPr>
            <w:tcW w:w="1160" w:type="dxa"/>
            <w:vAlign w:val="bottom"/>
            <w:tcBorders>
              <w:top w:val="single" w:sz="8" w:color="E8EAEB"/>
            </w:tcBorders>
          </w:tcPr>
          <w:p>
            <w:pPr>
              <w:jc w:val="right"/>
              <w:ind w:right="122"/>
              <w:spacing w:after="0"/>
              <w:rPr>
                <w:sz w:val="20"/>
                <w:szCs w:val="20"/>
                <w:color w:val="auto"/>
              </w:rPr>
            </w:pPr>
            <w:r>
              <w:rPr>
                <w:rFonts w:ascii="Arial" w:cs="Arial" w:eastAsia="Arial" w:hAnsi="Arial"/>
                <w:sz w:val="14"/>
                <w:szCs w:val="14"/>
                <w:b w:val="1"/>
                <w:bCs w:val="1"/>
                <w:color w:val="009FE3"/>
              </w:rPr>
              <w:t>Percentage</w:t>
            </w:r>
          </w:p>
        </w:tc>
      </w:tr>
      <w:tr>
        <w:trPr>
          <w:trHeight w:val="196"/>
        </w:trPr>
        <w:tc>
          <w:tcPr>
            <w:tcW w:w="6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Executive</w:t>
            </w:r>
          </w:p>
        </w:tc>
        <w:tc>
          <w:tcPr>
            <w:tcW w:w="1780" w:type="dxa"/>
            <w:vAlign w:val="bottom"/>
            <w:tcBorders>
              <w:bottom w:val="single" w:sz="8" w:color="009FE3"/>
              <w:right w:val="single" w:sz="8" w:color="E8EAEB"/>
            </w:tcBorders>
          </w:tcPr>
          <w:p>
            <w:pPr>
              <w:jc w:val="right"/>
              <w:ind w:right="322"/>
              <w:spacing w:after="0"/>
              <w:rPr>
                <w:sz w:val="20"/>
                <w:szCs w:val="20"/>
                <w:color w:val="auto"/>
              </w:rPr>
            </w:pPr>
            <w:r>
              <w:rPr>
                <w:rFonts w:ascii="Arial" w:cs="Arial" w:eastAsia="Arial" w:hAnsi="Arial"/>
                <w:sz w:val="14"/>
                <w:szCs w:val="14"/>
                <w:b w:val="1"/>
                <w:bCs w:val="1"/>
                <w:color w:val="009FE3"/>
              </w:rPr>
              <w:t>Base Salary ($)</w:t>
            </w:r>
          </w:p>
        </w:tc>
        <w:tc>
          <w:tcPr>
            <w:tcW w:w="1780" w:type="dxa"/>
            <w:vAlign w:val="bottom"/>
            <w:tcBorders>
              <w:bottom w:val="single" w:sz="8" w:color="009FE3"/>
              <w:right w:val="single" w:sz="8" w:color="E8EAEB"/>
            </w:tcBorders>
          </w:tcPr>
          <w:p>
            <w:pPr>
              <w:jc w:val="right"/>
              <w:ind w:right="322"/>
              <w:spacing w:after="0"/>
              <w:rPr>
                <w:sz w:val="20"/>
                <w:szCs w:val="20"/>
                <w:color w:val="auto"/>
              </w:rPr>
            </w:pPr>
            <w:r>
              <w:rPr>
                <w:rFonts w:ascii="Arial" w:cs="Arial" w:eastAsia="Arial" w:hAnsi="Arial"/>
                <w:sz w:val="14"/>
                <w:szCs w:val="14"/>
                <w:b w:val="1"/>
                <w:bCs w:val="1"/>
                <w:color w:val="009FE3"/>
              </w:rPr>
              <w:t>Base Salary ($)</w:t>
            </w:r>
          </w:p>
        </w:tc>
        <w:tc>
          <w:tcPr>
            <w:tcW w:w="1160" w:type="dxa"/>
            <w:vAlign w:val="bottom"/>
            <w:tcBorders>
              <w:bottom w:val="single" w:sz="8" w:color="009FE3"/>
            </w:tcBorders>
          </w:tcPr>
          <w:p>
            <w:pPr>
              <w:jc w:val="right"/>
              <w:ind w:right="82"/>
              <w:spacing w:after="0"/>
              <w:rPr>
                <w:sz w:val="20"/>
                <w:szCs w:val="20"/>
                <w:color w:val="auto"/>
              </w:rPr>
            </w:pPr>
            <w:r>
              <w:rPr>
                <w:rFonts w:ascii="Arial" w:cs="Arial" w:eastAsia="Arial" w:hAnsi="Arial"/>
                <w:sz w:val="14"/>
                <w:szCs w:val="14"/>
                <w:b w:val="1"/>
                <w:bCs w:val="1"/>
                <w:color w:val="009FE3"/>
              </w:rPr>
              <w:t>Increase (%)</w:t>
            </w:r>
          </w:p>
        </w:tc>
      </w:tr>
      <w:tr>
        <w:trPr>
          <w:trHeight w:val="250"/>
        </w:trPr>
        <w:tc>
          <w:tcPr>
            <w:tcW w:w="6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78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1,100,000</w:t>
            </w:r>
          </w:p>
        </w:tc>
        <w:tc>
          <w:tcPr>
            <w:tcW w:w="178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1,175,000</w:t>
            </w:r>
          </w:p>
        </w:tc>
        <w:tc>
          <w:tcPr>
            <w:tcW w:w="116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6.8</w:t>
            </w:r>
          </w:p>
        </w:tc>
      </w:tr>
      <w:tr>
        <w:trPr>
          <w:trHeight w:val="250"/>
        </w:trPr>
        <w:tc>
          <w:tcPr>
            <w:tcW w:w="6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78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875,000</w:t>
            </w:r>
          </w:p>
        </w:tc>
        <w:tc>
          <w:tcPr>
            <w:tcW w:w="178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1,000,000</w:t>
            </w:r>
          </w:p>
        </w:tc>
        <w:tc>
          <w:tcPr>
            <w:tcW w:w="116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14.3</w:t>
            </w:r>
          </w:p>
        </w:tc>
      </w:tr>
      <w:tr>
        <w:trPr>
          <w:trHeight w:val="250"/>
        </w:trPr>
        <w:tc>
          <w:tcPr>
            <w:tcW w:w="6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78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490,000</w:t>
            </w:r>
          </w:p>
        </w:tc>
        <w:tc>
          <w:tcPr>
            <w:tcW w:w="178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525,000</w:t>
            </w:r>
          </w:p>
        </w:tc>
        <w:tc>
          <w:tcPr>
            <w:tcW w:w="116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7.1</w:t>
            </w:r>
          </w:p>
        </w:tc>
      </w:tr>
      <w:tr>
        <w:trPr>
          <w:trHeight w:val="250"/>
        </w:trPr>
        <w:tc>
          <w:tcPr>
            <w:tcW w:w="6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Keven Lippert</w:t>
            </w:r>
          </w:p>
        </w:tc>
        <w:tc>
          <w:tcPr>
            <w:tcW w:w="178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550,000</w:t>
            </w:r>
          </w:p>
        </w:tc>
        <w:tc>
          <w:tcPr>
            <w:tcW w:w="178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585,000</w:t>
            </w:r>
          </w:p>
        </w:tc>
        <w:tc>
          <w:tcPr>
            <w:tcW w:w="116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6.4</w:t>
            </w:r>
          </w:p>
        </w:tc>
      </w:tr>
      <w:tr>
        <w:trPr>
          <w:trHeight w:val="250"/>
        </w:trPr>
        <w:tc>
          <w:tcPr>
            <w:tcW w:w="6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780" w:type="dxa"/>
            <w:vAlign w:val="bottom"/>
            <w:tcBorders>
              <w:bottom w:val="single" w:sz="8" w:color="009FE3"/>
              <w:right w:val="single" w:sz="8" w:color="E8EAEB"/>
            </w:tcBorders>
          </w:tcPr>
          <w:p>
            <w:pPr>
              <w:jc w:val="right"/>
              <w:ind w:right="122"/>
              <w:spacing w:after="0"/>
              <w:rPr>
                <w:sz w:val="20"/>
                <w:szCs w:val="20"/>
                <w:color w:val="auto"/>
              </w:rPr>
            </w:pPr>
            <w:r>
              <w:rPr>
                <w:rFonts w:ascii="Arial" w:cs="Arial" w:eastAsia="Arial" w:hAnsi="Arial"/>
                <w:sz w:val="16"/>
                <w:szCs w:val="16"/>
                <w:color w:val="202E39"/>
              </w:rPr>
              <w:t>450,000</w:t>
            </w:r>
          </w:p>
        </w:tc>
        <w:tc>
          <w:tcPr>
            <w:tcW w:w="1780" w:type="dxa"/>
            <w:vAlign w:val="bottom"/>
            <w:tcBorders>
              <w:bottom w:val="single" w:sz="8" w:color="009FE3"/>
              <w:right w:val="single" w:sz="8" w:color="E8EAEB"/>
            </w:tcBorders>
          </w:tcPr>
          <w:p>
            <w:pPr>
              <w:jc w:val="right"/>
              <w:ind w:right="122"/>
              <w:spacing w:after="0"/>
              <w:rPr>
                <w:sz w:val="20"/>
                <w:szCs w:val="20"/>
                <w:color w:val="auto"/>
              </w:rPr>
            </w:pPr>
            <w:r>
              <w:rPr>
                <w:rFonts w:ascii="Arial" w:cs="Arial" w:eastAsia="Arial" w:hAnsi="Arial"/>
                <w:sz w:val="16"/>
                <w:szCs w:val="16"/>
                <w:color w:val="202E39"/>
              </w:rPr>
              <w:t>475,000</w:t>
            </w:r>
          </w:p>
        </w:tc>
        <w:tc>
          <w:tcPr>
            <w:tcW w:w="1160" w:type="dxa"/>
            <w:vAlign w:val="bottom"/>
            <w:tcBorders>
              <w:bottom w:val="single" w:sz="8" w:color="009FE3"/>
            </w:tcBorders>
          </w:tcPr>
          <w:p>
            <w:pPr>
              <w:jc w:val="right"/>
              <w:ind w:right="122"/>
              <w:spacing w:after="0"/>
              <w:rPr>
                <w:sz w:val="20"/>
                <w:szCs w:val="20"/>
                <w:color w:val="auto"/>
              </w:rPr>
            </w:pPr>
            <w:r>
              <w:rPr>
                <w:rFonts w:ascii="Arial" w:cs="Arial" w:eastAsia="Arial" w:hAnsi="Arial"/>
                <w:sz w:val="16"/>
                <w:szCs w:val="16"/>
                <w:color w:val="202E39"/>
              </w:rPr>
              <w:t>5.6</w:t>
            </w:r>
          </w:p>
        </w:tc>
      </w:tr>
    </w:tbl>
    <w:p>
      <w:pPr>
        <w:spacing w:after="0" w:line="94" w:lineRule="exact"/>
        <w:rPr>
          <w:sz w:val="20"/>
          <w:szCs w:val="20"/>
          <w:color w:val="auto"/>
        </w:rPr>
      </w:pPr>
    </w:p>
    <w:p>
      <w:pPr>
        <w:ind w:left="200" w:right="100"/>
        <w:spacing w:after="0" w:line="252" w:lineRule="auto"/>
        <w:rPr>
          <w:sz w:val="20"/>
          <w:szCs w:val="20"/>
          <w:color w:val="auto"/>
        </w:rPr>
      </w:pPr>
      <w:r>
        <w:rPr>
          <w:rFonts w:ascii="Arial" w:cs="Arial" w:eastAsia="Arial" w:hAnsi="Arial"/>
          <w:sz w:val="16"/>
          <w:szCs w:val="16"/>
          <w:i w:val="1"/>
          <w:iCs w:val="1"/>
          <w:color w:val="009FE3"/>
        </w:rPr>
        <w:t xml:space="preserve">Annual Bonuses. </w:t>
      </w:r>
      <w:r>
        <w:rPr>
          <w:rFonts w:ascii="Arial" w:cs="Arial" w:eastAsia="Arial" w:hAnsi="Arial"/>
          <w:sz w:val="16"/>
          <w:szCs w:val="16"/>
          <w:color w:val="202E39"/>
        </w:rPr>
        <w:t>Consistent with our overall compensation objectives of linking compensation to performance, aligning executive compensation with</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 interests, and attracting and retaining top level executive officers in our industry, our Compensation and Human Resources Committee approved annual bonuses for fiscal year 2018. Under our executive compensation program, target ranges for annual bonuses are established and actual award amounts are determined based on the achievement of certain company and individual performance objectives. For fiscal year 2018, the target bonus amount for each Named Executive Officer was determined by the Compensation and Human Resources Committee primarily based on industry compensation surveys and validated with compensation data from peer group companies. In determining the target bonus amounts, the Compensation and Human Resources Committee also considered the expected individual contributions of each executive toward the overall success of the company.</w:t>
      </w:r>
    </w:p>
    <w:p>
      <w:pPr>
        <w:spacing w:after="0" w:line="121"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31</w:t>
            </w:r>
          </w:p>
        </w:tc>
      </w:tr>
    </w:tbl>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7" w:lineRule="exact"/>
        <w:rPr>
          <w:sz w:val="20"/>
          <w:szCs w:val="20"/>
          <w:color w:val="auto"/>
        </w:rPr>
      </w:pPr>
    </w:p>
    <w:p>
      <w:pPr>
        <w:ind w:left="200" w:right="160"/>
        <w:spacing w:after="0" w:line="250" w:lineRule="auto"/>
        <w:rPr>
          <w:sz w:val="20"/>
          <w:szCs w:val="20"/>
          <w:color w:val="auto"/>
        </w:rPr>
      </w:pPr>
      <w:r>
        <w:rPr>
          <w:rFonts w:ascii="Arial" w:cs="Arial" w:eastAsia="Arial" w:hAnsi="Arial"/>
          <w:sz w:val="16"/>
          <w:szCs w:val="16"/>
          <w:color w:val="202E39"/>
        </w:rPr>
        <w:t>The executive bonus program does not have any pre-established minimum or maximum payout. While the Compensation and Human Resources Committee reviews a targeted range of bonuses for our executive officers for the fiscal year, the Board and the Compensation and Human Resources Committee retain the discretion to take additional factors into account in determining final annual bonus awards (such as market conditions, key awards, total executive compensation, strategic positioning, additional company financial metrics or extraordinary individual contributions) and may make adjustments to bonus payouts to the extent appropriate.</w:t>
      </w:r>
    </w:p>
    <w:p>
      <w:pPr>
        <w:spacing w:after="0" w:line="95"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For fiscal year 2018, the metrics considered for determining annual bonuses for our Named Executive Officers included Viasat’s annual financial performance and individual performance. The financial objectives set for fiscal year 2018 were based on the year’s internally-developed financial plan, which was approved by our Board at the beginning of the fiscal year. The individual performance objectives for the executive officers (excluding the Chief Executive Officer and President) were determined by the Compensation and Human Resources Committee, with the objectives for the executive officers (other than our Chief Executive Officer and President) based on input and recommendations from our Chief Executive Officer and President. These individual performance objectives are qualitative in nature and each individual executive officer’s attainment of individual performance objectives, while made in the context of such pre-established objectives, is based upon a subjective evaluation of individual performance by the Compensation and Human Resources Committee. The annual performance metrics for determining annual bonuses, both financial and individual, are intended to be challenging and rigorous but achievable. The table below describes the company financial and individual objectives and weighting of each objective used for determining annual bonuses for our executive officers (other than our Chief Executive Officer and President) for fiscal year 2018.</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202E39"/>
        </w:rPr>
        <w:t>Fiscal Year 2018 Bonus Objectives</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6160" w:type="dxa"/>
            <w:vAlign w:val="bottom"/>
            <w:tcBorders>
              <w:top w:val="single" w:sz="8" w:color="E8EAEB"/>
              <w:right w:val="single" w:sz="8" w:color="E8EAEB"/>
            </w:tcBorders>
          </w:tcPr>
          <w:p>
            <w:pPr>
              <w:spacing w:after="0"/>
              <w:rPr>
                <w:sz w:val="17"/>
                <w:szCs w:val="17"/>
                <w:color w:val="auto"/>
              </w:rPr>
            </w:pPr>
          </w:p>
        </w:tc>
        <w:tc>
          <w:tcPr>
            <w:tcW w:w="980" w:type="dxa"/>
            <w:vAlign w:val="bottom"/>
            <w:tcBorders>
              <w:top w:val="single" w:sz="8" w:color="E8EAEB"/>
              <w:right w:val="single" w:sz="8" w:color="E8EAEB"/>
            </w:tcBorders>
          </w:tcPr>
          <w:p>
            <w:pPr>
              <w:jc w:val="right"/>
              <w:spacing w:after="0"/>
              <w:rPr>
                <w:sz w:val="20"/>
                <w:szCs w:val="20"/>
                <w:color w:val="auto"/>
              </w:rPr>
            </w:pPr>
            <w:r>
              <w:rPr>
                <w:rFonts w:ascii="Arial" w:cs="Arial" w:eastAsia="Arial" w:hAnsi="Arial"/>
                <w:sz w:val="14"/>
                <w:szCs w:val="14"/>
                <w:b w:val="1"/>
                <w:bCs w:val="1"/>
                <w:color w:val="009FE3"/>
              </w:rPr>
              <w:t>Approximate</w:t>
            </w:r>
          </w:p>
        </w:tc>
        <w:tc>
          <w:tcPr>
            <w:tcW w:w="1940" w:type="dxa"/>
            <w:vAlign w:val="bottom"/>
            <w:tcBorders>
              <w:top w:val="single" w:sz="8" w:color="E8EAEB"/>
              <w:right w:val="single" w:sz="8" w:color="E8EAEB"/>
            </w:tcBorders>
          </w:tcPr>
          <w:p>
            <w:pPr>
              <w:jc w:val="right"/>
              <w:ind w:right="641"/>
              <w:spacing w:after="0"/>
              <w:rPr>
                <w:sz w:val="20"/>
                <w:szCs w:val="20"/>
                <w:color w:val="auto"/>
              </w:rPr>
            </w:pPr>
            <w:r>
              <w:rPr>
                <w:rFonts w:ascii="Arial" w:cs="Arial" w:eastAsia="Arial" w:hAnsi="Arial"/>
                <w:sz w:val="14"/>
                <w:szCs w:val="14"/>
                <w:b w:val="1"/>
                <w:bCs w:val="1"/>
                <w:color w:val="009FE3"/>
              </w:rPr>
              <w:t>FY 2018</w:t>
            </w:r>
          </w:p>
        </w:tc>
        <w:tc>
          <w:tcPr>
            <w:tcW w:w="1940" w:type="dxa"/>
            <w:vAlign w:val="bottom"/>
            <w:tcBorders>
              <w:top w:val="single" w:sz="8" w:color="E8EAEB"/>
            </w:tcBorders>
          </w:tcPr>
          <w:p>
            <w:pPr>
              <w:jc w:val="right"/>
              <w:ind w:right="641"/>
              <w:spacing w:after="0"/>
              <w:rPr>
                <w:sz w:val="20"/>
                <w:szCs w:val="20"/>
                <w:color w:val="auto"/>
              </w:rPr>
            </w:pPr>
            <w:r>
              <w:rPr>
                <w:rFonts w:ascii="Arial" w:cs="Arial" w:eastAsia="Arial" w:hAnsi="Arial"/>
                <w:sz w:val="14"/>
                <w:szCs w:val="14"/>
                <w:b w:val="1"/>
                <w:bCs w:val="1"/>
                <w:color w:val="009FE3"/>
              </w:rPr>
              <w:t>FY 2018</w:t>
            </w:r>
          </w:p>
        </w:tc>
      </w:tr>
      <w:tr>
        <w:trPr>
          <w:trHeight w:val="196"/>
        </w:trPr>
        <w:tc>
          <w:tcPr>
            <w:tcW w:w="61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Performance Metric</w:t>
            </w:r>
          </w:p>
        </w:tc>
        <w:tc>
          <w:tcPr>
            <w:tcW w:w="980" w:type="dxa"/>
            <w:vAlign w:val="bottom"/>
            <w:tcBorders>
              <w:bottom w:val="single" w:sz="8" w:color="009FE3"/>
              <w:right w:val="single" w:sz="8" w:color="E8EAEB"/>
            </w:tcBorders>
          </w:tcPr>
          <w:p>
            <w:pPr>
              <w:jc w:val="right"/>
              <w:spacing w:after="0"/>
              <w:rPr>
                <w:sz w:val="20"/>
                <w:szCs w:val="20"/>
                <w:color w:val="auto"/>
              </w:rPr>
            </w:pPr>
            <w:r>
              <w:rPr>
                <w:rFonts w:ascii="Arial" w:cs="Arial" w:eastAsia="Arial" w:hAnsi="Arial"/>
                <w:sz w:val="14"/>
                <w:szCs w:val="14"/>
                <w:b w:val="1"/>
                <w:bCs w:val="1"/>
                <w:color w:val="009FE3"/>
              </w:rPr>
              <w:t>Weighting (%)</w:t>
            </w:r>
          </w:p>
        </w:tc>
        <w:tc>
          <w:tcPr>
            <w:tcW w:w="1940" w:type="dxa"/>
            <w:vAlign w:val="bottom"/>
            <w:tcBorders>
              <w:bottom w:val="single" w:sz="8" w:color="009FE3"/>
              <w:right w:val="single" w:sz="8" w:color="E8EAEB"/>
            </w:tcBorders>
          </w:tcPr>
          <w:p>
            <w:pPr>
              <w:jc w:val="right"/>
              <w:ind w:right="581"/>
              <w:spacing w:after="0"/>
              <w:rPr>
                <w:sz w:val="20"/>
                <w:szCs w:val="20"/>
                <w:color w:val="auto"/>
              </w:rPr>
            </w:pPr>
            <w:r>
              <w:rPr>
                <w:rFonts w:ascii="Arial" w:cs="Arial" w:eastAsia="Arial" w:hAnsi="Arial"/>
                <w:sz w:val="14"/>
                <w:szCs w:val="14"/>
                <w:b w:val="1"/>
                <w:bCs w:val="1"/>
                <w:color w:val="009FE3"/>
              </w:rPr>
              <w:t>Objective</w:t>
            </w:r>
          </w:p>
        </w:tc>
        <w:tc>
          <w:tcPr>
            <w:tcW w:w="1940" w:type="dxa"/>
            <w:vAlign w:val="bottom"/>
            <w:tcBorders>
              <w:bottom w:val="single" w:sz="8" w:color="009FE3"/>
            </w:tcBorders>
          </w:tcPr>
          <w:p>
            <w:pPr>
              <w:jc w:val="right"/>
              <w:ind w:right="401"/>
              <w:spacing w:after="0"/>
              <w:rPr>
                <w:sz w:val="20"/>
                <w:szCs w:val="20"/>
                <w:color w:val="auto"/>
              </w:rPr>
            </w:pPr>
            <w:r>
              <w:rPr>
                <w:rFonts w:ascii="Arial" w:cs="Arial" w:eastAsia="Arial" w:hAnsi="Arial"/>
                <w:sz w:val="14"/>
                <w:szCs w:val="14"/>
                <w:b w:val="1"/>
                <w:bCs w:val="1"/>
                <w:color w:val="009FE3"/>
              </w:rPr>
              <w:t>Actual Results</w:t>
            </w:r>
          </w:p>
        </w:tc>
      </w:tr>
      <w:tr>
        <w:trPr>
          <w:trHeight w:val="231"/>
        </w:trPr>
        <w:tc>
          <w:tcPr>
            <w:tcW w:w="61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Financial — Non-GAAP Diluted Net (Loss) Income Per Share Attributable to Viasat,</w:t>
            </w:r>
          </w:p>
        </w:tc>
        <w:tc>
          <w:tcPr>
            <w:tcW w:w="980" w:type="dxa"/>
            <w:vAlign w:val="bottom"/>
            <w:tcBorders>
              <w:right w:val="single" w:sz="8" w:color="E8EAEB"/>
            </w:tcBorders>
          </w:tcPr>
          <w:p>
            <w:pPr>
              <w:jc w:val="right"/>
              <w:ind w:right="121"/>
              <w:spacing w:after="0"/>
              <w:rPr>
                <w:sz w:val="20"/>
                <w:szCs w:val="20"/>
                <w:color w:val="auto"/>
              </w:rPr>
            </w:pPr>
            <w:r>
              <w:rPr>
                <w:rFonts w:ascii="Arial" w:cs="Arial" w:eastAsia="Arial" w:hAnsi="Arial"/>
                <w:sz w:val="16"/>
                <w:szCs w:val="16"/>
                <w:color w:val="202E39"/>
              </w:rPr>
              <w:t>10</w:t>
            </w:r>
          </w:p>
        </w:tc>
        <w:tc>
          <w:tcPr>
            <w:tcW w:w="1940" w:type="dxa"/>
            <w:vAlign w:val="bottom"/>
            <w:tcBorders>
              <w:right w:val="single" w:sz="8" w:color="E8EAEB"/>
            </w:tcBorders>
          </w:tcPr>
          <w:p>
            <w:pPr>
              <w:jc w:val="right"/>
              <w:ind w:right="121"/>
              <w:spacing w:after="0"/>
              <w:rPr>
                <w:sz w:val="20"/>
                <w:szCs w:val="20"/>
                <w:color w:val="auto"/>
              </w:rPr>
            </w:pPr>
            <w:r>
              <w:rPr>
                <w:rFonts w:ascii="Arial" w:cs="Arial" w:eastAsia="Arial" w:hAnsi="Arial"/>
                <w:sz w:val="16"/>
                <w:szCs w:val="16"/>
                <w:color w:val="202E39"/>
              </w:rPr>
              <w:t>$(0.20)</w:t>
            </w:r>
          </w:p>
        </w:tc>
        <w:tc>
          <w:tcPr>
            <w:tcW w:w="1940" w:type="dxa"/>
            <w:vAlign w:val="bottom"/>
          </w:tcPr>
          <w:p>
            <w:pPr>
              <w:jc w:val="right"/>
              <w:ind w:right="121"/>
              <w:spacing w:after="0"/>
              <w:rPr>
                <w:sz w:val="20"/>
                <w:szCs w:val="20"/>
                <w:color w:val="auto"/>
              </w:rPr>
            </w:pPr>
            <w:r>
              <w:rPr>
                <w:rFonts w:ascii="Arial" w:cs="Arial" w:eastAsia="Arial" w:hAnsi="Arial"/>
                <w:sz w:val="16"/>
                <w:szCs w:val="16"/>
                <w:color w:val="202E39"/>
              </w:rPr>
              <w:t>$0.04</w:t>
            </w:r>
          </w:p>
        </w:tc>
      </w:tr>
      <w:tr>
        <w:trPr>
          <w:trHeight w:val="208"/>
        </w:trPr>
        <w:tc>
          <w:tcPr>
            <w:tcW w:w="61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Inc. Common Stockholders (1)</w:t>
            </w:r>
          </w:p>
        </w:tc>
        <w:tc>
          <w:tcPr>
            <w:tcW w:w="980" w:type="dxa"/>
            <w:vAlign w:val="bottom"/>
            <w:tcBorders>
              <w:bottom w:val="single" w:sz="8" w:color="E8EAEB"/>
              <w:right w:val="single" w:sz="8" w:color="E8EAEB"/>
            </w:tcBorders>
          </w:tcPr>
          <w:p>
            <w:pPr>
              <w:spacing w:after="0"/>
              <w:rPr>
                <w:sz w:val="18"/>
                <w:szCs w:val="18"/>
                <w:color w:val="auto"/>
              </w:rPr>
            </w:pPr>
          </w:p>
        </w:tc>
        <w:tc>
          <w:tcPr>
            <w:tcW w:w="1940" w:type="dxa"/>
            <w:vAlign w:val="bottom"/>
            <w:tcBorders>
              <w:bottom w:val="single" w:sz="8" w:color="E8EAEB"/>
              <w:right w:val="single" w:sz="8" w:color="E8EAEB"/>
            </w:tcBorders>
          </w:tcPr>
          <w:p>
            <w:pPr>
              <w:spacing w:after="0"/>
              <w:rPr>
                <w:sz w:val="18"/>
                <w:szCs w:val="18"/>
                <w:color w:val="auto"/>
              </w:rPr>
            </w:pPr>
          </w:p>
        </w:tc>
        <w:tc>
          <w:tcPr>
            <w:tcW w:w="1940" w:type="dxa"/>
            <w:vAlign w:val="bottom"/>
            <w:tcBorders>
              <w:bottom w:val="single" w:sz="8" w:color="E8EAEB"/>
            </w:tcBorders>
          </w:tcPr>
          <w:p>
            <w:pPr>
              <w:spacing w:after="0"/>
              <w:rPr>
                <w:sz w:val="18"/>
                <w:szCs w:val="18"/>
                <w:color w:val="auto"/>
              </w:rPr>
            </w:pPr>
          </w:p>
        </w:tc>
      </w:tr>
      <w:tr>
        <w:trPr>
          <w:trHeight w:val="250"/>
        </w:trPr>
        <w:tc>
          <w:tcPr>
            <w:tcW w:w="61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Financial — Adjusted EBITDA (2)</w:t>
            </w:r>
          </w:p>
        </w:tc>
        <w:tc>
          <w:tcPr>
            <w:tcW w:w="98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12.5</w:t>
            </w:r>
          </w:p>
        </w:tc>
        <w:tc>
          <w:tcPr>
            <w:tcW w:w="194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$270.1 million</w:t>
            </w:r>
          </w:p>
        </w:tc>
        <w:tc>
          <w:tcPr>
            <w:tcW w:w="1940" w:type="dxa"/>
            <w:vAlign w:val="bottom"/>
            <w:tcBorders>
              <w:bottom w:val="single" w:sz="8" w:color="E8EAEB"/>
            </w:tcBorders>
          </w:tcPr>
          <w:p>
            <w:pPr>
              <w:jc w:val="right"/>
              <w:ind w:right="121"/>
              <w:spacing w:after="0"/>
              <w:rPr>
                <w:sz w:val="20"/>
                <w:szCs w:val="20"/>
                <w:color w:val="auto"/>
              </w:rPr>
            </w:pPr>
            <w:r>
              <w:rPr>
                <w:rFonts w:ascii="Arial" w:cs="Arial" w:eastAsia="Arial" w:hAnsi="Arial"/>
                <w:sz w:val="16"/>
                <w:szCs w:val="16"/>
                <w:color w:val="202E39"/>
              </w:rPr>
              <w:t>$235.0 million</w:t>
            </w:r>
          </w:p>
        </w:tc>
      </w:tr>
      <w:tr>
        <w:trPr>
          <w:trHeight w:val="250"/>
        </w:trPr>
        <w:tc>
          <w:tcPr>
            <w:tcW w:w="61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Financial — New Contract Awards</w:t>
            </w:r>
          </w:p>
        </w:tc>
        <w:tc>
          <w:tcPr>
            <w:tcW w:w="98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7.5</w:t>
            </w:r>
          </w:p>
        </w:tc>
        <w:tc>
          <w:tcPr>
            <w:tcW w:w="194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$1,790.7 million</w:t>
            </w:r>
          </w:p>
        </w:tc>
        <w:tc>
          <w:tcPr>
            <w:tcW w:w="1940" w:type="dxa"/>
            <w:vAlign w:val="bottom"/>
            <w:tcBorders>
              <w:bottom w:val="single" w:sz="8" w:color="E8EAEB"/>
            </w:tcBorders>
          </w:tcPr>
          <w:p>
            <w:pPr>
              <w:jc w:val="right"/>
              <w:ind w:right="121"/>
              <w:spacing w:after="0"/>
              <w:rPr>
                <w:sz w:val="20"/>
                <w:szCs w:val="20"/>
                <w:color w:val="auto"/>
              </w:rPr>
            </w:pPr>
            <w:r>
              <w:rPr>
                <w:rFonts w:ascii="Arial" w:cs="Arial" w:eastAsia="Arial" w:hAnsi="Arial"/>
                <w:sz w:val="16"/>
                <w:szCs w:val="16"/>
                <w:color w:val="202E39"/>
              </w:rPr>
              <w:t>$1,666.6 million</w:t>
            </w:r>
          </w:p>
        </w:tc>
      </w:tr>
      <w:tr>
        <w:trPr>
          <w:trHeight w:val="250"/>
        </w:trPr>
        <w:tc>
          <w:tcPr>
            <w:tcW w:w="61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Financial — Total Revenues</w:t>
            </w:r>
          </w:p>
        </w:tc>
        <w:tc>
          <w:tcPr>
            <w:tcW w:w="98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12.5</w:t>
            </w:r>
          </w:p>
        </w:tc>
        <w:tc>
          <w:tcPr>
            <w:tcW w:w="194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$1,688.4 million</w:t>
            </w:r>
          </w:p>
        </w:tc>
        <w:tc>
          <w:tcPr>
            <w:tcW w:w="1940" w:type="dxa"/>
            <w:vAlign w:val="bottom"/>
            <w:tcBorders>
              <w:bottom w:val="single" w:sz="8" w:color="E8EAEB"/>
            </w:tcBorders>
          </w:tcPr>
          <w:p>
            <w:pPr>
              <w:jc w:val="right"/>
              <w:ind w:right="121"/>
              <w:spacing w:after="0"/>
              <w:rPr>
                <w:sz w:val="20"/>
                <w:szCs w:val="20"/>
                <w:color w:val="auto"/>
              </w:rPr>
            </w:pPr>
            <w:r>
              <w:rPr>
                <w:rFonts w:ascii="Arial" w:cs="Arial" w:eastAsia="Arial" w:hAnsi="Arial"/>
                <w:sz w:val="16"/>
                <w:szCs w:val="16"/>
                <w:color w:val="202E39"/>
              </w:rPr>
              <w:t>$1,594.6 million</w:t>
            </w:r>
          </w:p>
        </w:tc>
      </w:tr>
      <w:tr>
        <w:trPr>
          <w:trHeight w:val="250"/>
        </w:trPr>
        <w:tc>
          <w:tcPr>
            <w:tcW w:w="61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Financial — Net Operating Asset Turnover</w:t>
            </w:r>
          </w:p>
        </w:tc>
        <w:tc>
          <w:tcPr>
            <w:tcW w:w="98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7.5</w:t>
            </w:r>
          </w:p>
        </w:tc>
        <w:tc>
          <w:tcPr>
            <w:tcW w:w="194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6.13</w:t>
            </w:r>
          </w:p>
        </w:tc>
        <w:tc>
          <w:tcPr>
            <w:tcW w:w="1940" w:type="dxa"/>
            <w:vAlign w:val="bottom"/>
            <w:tcBorders>
              <w:bottom w:val="single" w:sz="8" w:color="E8EAEB"/>
            </w:tcBorders>
          </w:tcPr>
          <w:p>
            <w:pPr>
              <w:jc w:val="right"/>
              <w:ind w:right="121"/>
              <w:spacing w:after="0"/>
              <w:rPr>
                <w:sz w:val="20"/>
                <w:szCs w:val="20"/>
                <w:color w:val="auto"/>
              </w:rPr>
            </w:pPr>
            <w:r>
              <w:rPr>
                <w:rFonts w:ascii="Arial" w:cs="Arial" w:eastAsia="Arial" w:hAnsi="Arial"/>
                <w:sz w:val="16"/>
                <w:szCs w:val="16"/>
                <w:color w:val="202E39"/>
              </w:rPr>
              <w:t>8.62</w:t>
            </w:r>
          </w:p>
        </w:tc>
      </w:tr>
      <w:tr>
        <w:trPr>
          <w:trHeight w:val="291"/>
        </w:trPr>
        <w:tc>
          <w:tcPr>
            <w:tcW w:w="61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Individual — Contribution Toward Achievement of Company Financial Targets</w:t>
            </w:r>
          </w:p>
        </w:tc>
        <w:tc>
          <w:tcPr>
            <w:tcW w:w="98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30</w:t>
            </w:r>
          </w:p>
        </w:tc>
        <w:tc>
          <w:tcPr>
            <w:tcW w:w="1940" w:type="dxa"/>
            <w:vAlign w:val="bottom"/>
            <w:tcBorders>
              <w:bottom w:val="single" w:sz="8" w:color="E8EAEB"/>
              <w:right w:val="single" w:sz="8" w:color="E8EAEB"/>
            </w:tcBorders>
          </w:tcPr>
          <w:p>
            <w:pPr>
              <w:jc w:val="right"/>
              <w:ind w:right="221"/>
              <w:spacing w:after="0"/>
              <w:rPr>
                <w:sz w:val="20"/>
                <w:szCs w:val="20"/>
                <w:color w:val="auto"/>
              </w:rPr>
            </w:pPr>
            <w:r>
              <w:rPr>
                <w:rFonts w:ascii="Arial" w:cs="Arial" w:eastAsia="Arial" w:hAnsi="Arial"/>
                <w:sz w:val="16"/>
                <w:szCs w:val="16"/>
                <w:color w:val="202E39"/>
              </w:rPr>
              <w:t>—</w:t>
            </w:r>
          </w:p>
        </w:tc>
        <w:tc>
          <w:tcPr>
            <w:tcW w:w="1940" w:type="dxa"/>
            <w:vAlign w:val="bottom"/>
            <w:tcBorders>
              <w:bottom w:val="single" w:sz="8" w:color="E8EAEB"/>
            </w:tcBorders>
          </w:tcPr>
          <w:p>
            <w:pPr>
              <w:jc w:val="right"/>
              <w:ind w:right="201"/>
              <w:spacing w:after="0"/>
              <w:rPr>
                <w:sz w:val="20"/>
                <w:szCs w:val="20"/>
                <w:color w:val="auto"/>
              </w:rPr>
            </w:pPr>
            <w:r>
              <w:rPr>
                <w:rFonts w:ascii="Arial" w:cs="Arial" w:eastAsia="Arial" w:hAnsi="Arial"/>
                <w:sz w:val="16"/>
                <w:szCs w:val="16"/>
                <w:color w:val="202E39"/>
              </w:rPr>
              <w:t>—</w:t>
            </w:r>
          </w:p>
        </w:tc>
      </w:tr>
      <w:tr>
        <w:trPr>
          <w:trHeight w:val="250"/>
        </w:trPr>
        <w:tc>
          <w:tcPr>
            <w:tcW w:w="61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Individual — Achievement of Individual Goals</w:t>
            </w:r>
          </w:p>
        </w:tc>
        <w:tc>
          <w:tcPr>
            <w:tcW w:w="980" w:type="dxa"/>
            <w:vAlign w:val="bottom"/>
            <w:tcBorders>
              <w:bottom w:val="single" w:sz="8" w:color="009FE3"/>
              <w:right w:val="single" w:sz="8" w:color="E8EAEB"/>
            </w:tcBorders>
          </w:tcPr>
          <w:p>
            <w:pPr>
              <w:jc w:val="right"/>
              <w:ind w:right="121"/>
              <w:spacing w:after="0"/>
              <w:rPr>
                <w:sz w:val="20"/>
                <w:szCs w:val="20"/>
                <w:color w:val="auto"/>
              </w:rPr>
            </w:pPr>
            <w:r>
              <w:rPr>
                <w:rFonts w:ascii="Arial" w:cs="Arial" w:eastAsia="Arial" w:hAnsi="Arial"/>
                <w:sz w:val="16"/>
                <w:szCs w:val="16"/>
                <w:color w:val="202E39"/>
              </w:rPr>
              <w:t>20</w:t>
            </w:r>
          </w:p>
        </w:tc>
        <w:tc>
          <w:tcPr>
            <w:tcW w:w="1940" w:type="dxa"/>
            <w:vAlign w:val="bottom"/>
            <w:tcBorders>
              <w:bottom w:val="single" w:sz="8" w:color="009FE3"/>
              <w:right w:val="single" w:sz="8" w:color="E8EAEB"/>
            </w:tcBorders>
          </w:tcPr>
          <w:p>
            <w:pPr>
              <w:jc w:val="right"/>
              <w:ind w:right="221"/>
              <w:spacing w:after="0"/>
              <w:rPr>
                <w:sz w:val="20"/>
                <w:szCs w:val="20"/>
                <w:color w:val="auto"/>
              </w:rPr>
            </w:pPr>
            <w:r>
              <w:rPr>
                <w:rFonts w:ascii="Arial" w:cs="Arial" w:eastAsia="Arial" w:hAnsi="Arial"/>
                <w:sz w:val="16"/>
                <w:szCs w:val="16"/>
                <w:color w:val="202E39"/>
              </w:rPr>
              <w:t>—</w:t>
            </w:r>
          </w:p>
        </w:tc>
        <w:tc>
          <w:tcPr>
            <w:tcW w:w="1940" w:type="dxa"/>
            <w:vAlign w:val="bottom"/>
            <w:tcBorders>
              <w:bottom w:val="single" w:sz="8" w:color="009FE3"/>
            </w:tcBorders>
          </w:tcPr>
          <w:p>
            <w:pPr>
              <w:jc w:val="right"/>
              <w:ind w:right="201"/>
              <w:spacing w:after="0"/>
              <w:rPr>
                <w:sz w:val="20"/>
                <w:szCs w:val="20"/>
                <w:color w:val="auto"/>
              </w:rPr>
            </w:pPr>
            <w:r>
              <w:rPr>
                <w:rFonts w:ascii="Arial" w:cs="Arial" w:eastAsia="Arial" w:hAnsi="Arial"/>
                <w:sz w:val="16"/>
                <w:szCs w:val="16"/>
                <w:color w:val="202E39"/>
              </w:rPr>
              <w:t>—</w:t>
            </w:r>
          </w:p>
        </w:tc>
      </w:tr>
    </w:tbl>
    <w:p>
      <w:pPr>
        <w:spacing w:after="0" w:line="126" w:lineRule="exact"/>
        <w:rPr>
          <w:sz w:val="20"/>
          <w:szCs w:val="20"/>
          <w:color w:val="auto"/>
        </w:rPr>
      </w:pPr>
    </w:p>
    <w:p>
      <w:pPr>
        <w:ind w:left="520" w:right="60" w:hanging="316"/>
        <w:spacing w:after="0" w:line="258" w:lineRule="auto"/>
        <w:tabs>
          <w:tab w:leader="none" w:pos="520" w:val="left"/>
        </w:tabs>
        <w:numPr>
          <w:ilvl w:val="0"/>
          <w:numId w:val="30"/>
        </w:numPr>
        <w:rPr>
          <w:rFonts w:ascii="Arial" w:cs="Arial" w:eastAsia="Arial" w:hAnsi="Arial"/>
          <w:sz w:val="14"/>
          <w:szCs w:val="14"/>
          <w:color w:val="202E39"/>
        </w:rPr>
      </w:pPr>
      <w:r>
        <w:rPr>
          <w:rFonts w:ascii="Arial" w:cs="Arial" w:eastAsia="Arial" w:hAnsi="Arial"/>
          <w:sz w:val="14"/>
          <w:szCs w:val="14"/>
          <w:color w:val="202E39"/>
        </w:rPr>
        <w:t>An itemized reconciliation between net income (loss) per share attributable to Viasat, Inc. common stockholders on a GAAP and non-GAAP basis for fiscal year 2018 is set forth below:</w:t>
      </w:r>
    </w:p>
    <w:p>
      <w:pPr>
        <w:spacing w:after="0" w:line="75" w:lineRule="exact"/>
        <w:rPr>
          <w:sz w:val="20"/>
          <w:szCs w:val="20"/>
          <w:color w:val="auto"/>
        </w:rPr>
      </w:pPr>
    </w:p>
    <w:tbl>
      <w:tblPr>
        <w:tblLayout w:type="fixed"/>
        <w:tblInd w:w="2420" w:type="dxa"/>
        <w:tblCellMar>
          <w:top w:w="0" w:type="dxa"/>
          <w:left w:w="0" w:type="dxa"/>
          <w:bottom w:w="0" w:type="dxa"/>
          <w:right w:w="0" w:type="dxa"/>
        </w:tblCellMar>
      </w:tblPr>
      <w:tr>
        <w:trPr>
          <w:trHeight w:val="203"/>
        </w:trPr>
        <w:tc>
          <w:tcPr>
            <w:tcW w:w="4560" w:type="dxa"/>
            <w:vAlign w:val="bottom"/>
            <w:tcBorders>
              <w:top w:val="single" w:sz="8" w:color="E8EAEB"/>
              <w:right w:val="single" w:sz="8" w:color="E8EAEB"/>
            </w:tcBorders>
          </w:tcPr>
          <w:p>
            <w:pPr>
              <w:spacing w:after="0"/>
              <w:rPr>
                <w:sz w:val="17"/>
                <w:szCs w:val="17"/>
                <w:color w:val="auto"/>
              </w:rPr>
            </w:pPr>
          </w:p>
        </w:tc>
        <w:tc>
          <w:tcPr>
            <w:tcW w:w="340" w:type="dxa"/>
            <w:vAlign w:val="bottom"/>
            <w:tcBorders>
              <w:top w:val="single" w:sz="8" w:color="E8EAEB"/>
            </w:tcBorders>
          </w:tcPr>
          <w:p>
            <w:pPr>
              <w:spacing w:after="0"/>
              <w:rPr>
                <w:sz w:val="17"/>
                <w:szCs w:val="17"/>
                <w:color w:val="auto"/>
              </w:rPr>
            </w:pPr>
          </w:p>
        </w:tc>
        <w:tc>
          <w:tcPr>
            <w:tcW w:w="1700" w:type="dxa"/>
            <w:vAlign w:val="bottom"/>
            <w:tcBorders>
              <w:top w:val="single" w:sz="8" w:color="E8EAEB"/>
            </w:tcBorders>
          </w:tcPr>
          <w:p>
            <w:pPr>
              <w:jc w:val="right"/>
              <w:ind w:right="328"/>
              <w:spacing w:after="0"/>
              <w:rPr>
                <w:sz w:val="20"/>
                <w:szCs w:val="20"/>
                <w:color w:val="auto"/>
              </w:rPr>
            </w:pPr>
            <w:r>
              <w:rPr>
                <w:rFonts w:ascii="Arial" w:cs="Arial" w:eastAsia="Arial" w:hAnsi="Arial"/>
                <w:sz w:val="14"/>
                <w:szCs w:val="14"/>
                <w:b w:val="1"/>
                <w:bCs w:val="1"/>
                <w:color w:val="009FE3"/>
              </w:rPr>
              <w:t>Fiscal Year Ended</w:t>
            </w:r>
          </w:p>
        </w:tc>
      </w:tr>
      <w:tr>
        <w:trPr>
          <w:trHeight w:val="196"/>
        </w:trPr>
        <w:tc>
          <w:tcPr>
            <w:tcW w:w="4560" w:type="dxa"/>
            <w:vAlign w:val="bottom"/>
            <w:tcBorders>
              <w:bottom w:val="single" w:sz="8" w:color="009FE3"/>
              <w:right w:val="single" w:sz="8" w:color="E8EAEB"/>
            </w:tcBorders>
          </w:tcPr>
          <w:p>
            <w:pPr>
              <w:spacing w:after="0"/>
              <w:rPr>
                <w:sz w:val="17"/>
                <w:szCs w:val="17"/>
                <w:color w:val="auto"/>
              </w:rPr>
            </w:pPr>
          </w:p>
        </w:tc>
        <w:tc>
          <w:tcPr>
            <w:tcW w:w="340" w:type="dxa"/>
            <w:vAlign w:val="bottom"/>
            <w:tcBorders>
              <w:bottom w:val="single" w:sz="8" w:color="009FE3"/>
            </w:tcBorders>
          </w:tcPr>
          <w:p>
            <w:pPr>
              <w:spacing w:after="0"/>
              <w:rPr>
                <w:sz w:val="17"/>
                <w:szCs w:val="17"/>
                <w:color w:val="auto"/>
              </w:rPr>
            </w:pPr>
          </w:p>
        </w:tc>
        <w:tc>
          <w:tcPr>
            <w:tcW w:w="1700" w:type="dxa"/>
            <w:vAlign w:val="bottom"/>
            <w:tcBorders>
              <w:bottom w:val="single" w:sz="8" w:color="009FE3"/>
            </w:tcBorders>
          </w:tcPr>
          <w:p>
            <w:pPr>
              <w:jc w:val="right"/>
              <w:ind w:right="428"/>
              <w:spacing w:after="0"/>
              <w:rPr>
                <w:sz w:val="20"/>
                <w:szCs w:val="20"/>
                <w:color w:val="auto"/>
              </w:rPr>
            </w:pPr>
            <w:r>
              <w:rPr>
                <w:rFonts w:ascii="Arial" w:cs="Arial" w:eastAsia="Arial" w:hAnsi="Arial"/>
                <w:sz w:val="14"/>
                <w:szCs w:val="14"/>
                <w:b w:val="1"/>
                <w:bCs w:val="1"/>
                <w:color w:val="009FE3"/>
              </w:rPr>
              <w:t>March 31, 2018</w:t>
            </w:r>
          </w:p>
        </w:tc>
      </w:tr>
      <w:tr>
        <w:trPr>
          <w:trHeight w:val="223"/>
        </w:trPr>
        <w:tc>
          <w:tcPr>
            <w:tcW w:w="45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b w:val="1"/>
                <w:bCs w:val="1"/>
                <w:color w:val="202E39"/>
              </w:rPr>
              <w:t>(In thousands, except per share data)</w:t>
            </w:r>
          </w:p>
        </w:tc>
        <w:tc>
          <w:tcPr>
            <w:tcW w:w="340" w:type="dxa"/>
            <w:vAlign w:val="bottom"/>
            <w:tcBorders>
              <w:bottom w:val="single" w:sz="8" w:color="E8EAEB"/>
            </w:tcBorders>
          </w:tcPr>
          <w:p>
            <w:pPr>
              <w:spacing w:after="0"/>
              <w:rPr>
                <w:sz w:val="19"/>
                <w:szCs w:val="19"/>
                <w:color w:val="auto"/>
              </w:rPr>
            </w:pPr>
          </w:p>
        </w:tc>
        <w:tc>
          <w:tcPr>
            <w:tcW w:w="1700" w:type="dxa"/>
            <w:vAlign w:val="bottom"/>
            <w:tcBorders>
              <w:bottom w:val="single" w:sz="8" w:color="E8EAEB"/>
            </w:tcBorders>
          </w:tcPr>
          <w:p>
            <w:pPr>
              <w:spacing w:after="0"/>
              <w:rPr>
                <w:sz w:val="19"/>
                <w:szCs w:val="19"/>
                <w:color w:val="auto"/>
              </w:rPr>
            </w:pPr>
          </w:p>
        </w:tc>
      </w:tr>
      <w:tr>
        <w:trPr>
          <w:trHeight w:val="223"/>
        </w:trPr>
        <w:tc>
          <w:tcPr>
            <w:tcW w:w="45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GAAP net loss attributable to Viasat, Inc.</w:t>
            </w:r>
          </w:p>
        </w:tc>
        <w:tc>
          <w:tcPr>
            <w:tcW w:w="340" w:type="dxa"/>
            <w:vAlign w:val="bottom"/>
            <w:tcBorders>
              <w:bottom w:val="single" w:sz="8" w:color="E8EAEB"/>
            </w:tcBorders>
          </w:tcPr>
          <w:p>
            <w:pPr>
              <w:jc w:val="right"/>
              <w:ind w:right="8"/>
              <w:spacing w:after="0"/>
              <w:rPr>
                <w:sz w:val="20"/>
                <w:szCs w:val="20"/>
                <w:color w:val="auto"/>
              </w:rPr>
            </w:pPr>
            <w:r>
              <w:rPr>
                <w:rFonts w:ascii="Arial" w:cs="Arial" w:eastAsia="Arial" w:hAnsi="Arial"/>
                <w:sz w:val="14"/>
                <w:szCs w:val="14"/>
                <w:color w:val="202E39"/>
              </w:rPr>
              <w:t>$</w:t>
            </w:r>
          </w:p>
        </w:tc>
        <w:tc>
          <w:tcPr>
            <w:tcW w:w="170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(67,305)</w:t>
            </w:r>
          </w:p>
        </w:tc>
      </w:tr>
      <w:tr>
        <w:trPr>
          <w:trHeight w:val="223"/>
        </w:trPr>
        <w:tc>
          <w:tcPr>
            <w:tcW w:w="45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Amortization of acquired intangible assets</w:t>
            </w:r>
          </w:p>
        </w:tc>
        <w:tc>
          <w:tcPr>
            <w:tcW w:w="340" w:type="dxa"/>
            <w:vAlign w:val="bottom"/>
            <w:tcBorders>
              <w:bottom w:val="single" w:sz="8" w:color="E8EAEB"/>
            </w:tcBorders>
          </w:tcPr>
          <w:p>
            <w:pPr>
              <w:spacing w:after="0"/>
              <w:rPr>
                <w:sz w:val="19"/>
                <w:szCs w:val="19"/>
                <w:color w:val="auto"/>
              </w:rPr>
            </w:pPr>
          </w:p>
        </w:tc>
        <w:tc>
          <w:tcPr>
            <w:tcW w:w="170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12,231</w:t>
            </w:r>
          </w:p>
        </w:tc>
      </w:tr>
      <w:tr>
        <w:trPr>
          <w:trHeight w:val="223"/>
        </w:trPr>
        <w:tc>
          <w:tcPr>
            <w:tcW w:w="45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Stock-based compensation expense</w:t>
            </w:r>
          </w:p>
        </w:tc>
        <w:tc>
          <w:tcPr>
            <w:tcW w:w="340" w:type="dxa"/>
            <w:vAlign w:val="bottom"/>
            <w:tcBorders>
              <w:bottom w:val="single" w:sz="8" w:color="E8EAEB"/>
            </w:tcBorders>
          </w:tcPr>
          <w:p>
            <w:pPr>
              <w:spacing w:after="0"/>
              <w:rPr>
                <w:sz w:val="19"/>
                <w:szCs w:val="19"/>
                <w:color w:val="auto"/>
              </w:rPr>
            </w:pPr>
          </w:p>
        </w:tc>
        <w:tc>
          <w:tcPr>
            <w:tcW w:w="170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68,545</w:t>
            </w:r>
          </w:p>
        </w:tc>
      </w:tr>
      <w:tr>
        <w:trPr>
          <w:trHeight w:val="217"/>
        </w:trPr>
        <w:tc>
          <w:tcPr>
            <w:tcW w:w="456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Loss on extinguishment of debt</w:t>
            </w:r>
          </w:p>
        </w:tc>
        <w:tc>
          <w:tcPr>
            <w:tcW w:w="340" w:type="dxa"/>
            <w:vAlign w:val="bottom"/>
          </w:tcPr>
          <w:p>
            <w:pPr>
              <w:spacing w:after="0"/>
              <w:rPr>
                <w:sz w:val="18"/>
                <w:szCs w:val="18"/>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202E39"/>
              </w:rPr>
              <w:t>10,217</w:t>
            </w:r>
          </w:p>
        </w:tc>
      </w:tr>
      <w:tr>
        <w:trPr>
          <w:trHeight w:val="236"/>
        </w:trPr>
        <w:tc>
          <w:tcPr>
            <w:tcW w:w="45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color w:val="202E39"/>
              </w:rPr>
              <w:t>Income tax effect</w:t>
            </w:r>
          </w:p>
        </w:tc>
        <w:tc>
          <w:tcPr>
            <w:tcW w:w="340" w:type="dxa"/>
            <w:vAlign w:val="bottom"/>
            <w:tcBorders>
              <w:bottom w:val="single" w:sz="8" w:color="009FE3"/>
            </w:tcBorders>
          </w:tcPr>
          <w:p>
            <w:pPr>
              <w:spacing w:after="0"/>
              <w:rPr>
                <w:sz w:val="20"/>
                <w:szCs w:val="20"/>
                <w:color w:val="auto"/>
              </w:rPr>
            </w:pPr>
          </w:p>
        </w:tc>
        <w:tc>
          <w:tcPr>
            <w:tcW w:w="1700" w:type="dxa"/>
            <w:vAlign w:val="bottom"/>
            <w:tcBorders>
              <w:bottom w:val="single" w:sz="8" w:color="009FE3"/>
            </w:tcBorders>
          </w:tcPr>
          <w:p>
            <w:pPr>
              <w:jc w:val="right"/>
              <w:ind w:right="108"/>
              <w:spacing w:after="0"/>
              <w:rPr>
                <w:sz w:val="20"/>
                <w:szCs w:val="20"/>
                <w:color w:val="auto"/>
              </w:rPr>
            </w:pPr>
            <w:r>
              <w:rPr>
                <w:rFonts w:ascii="Arial" w:cs="Arial" w:eastAsia="Arial" w:hAnsi="Arial"/>
                <w:sz w:val="14"/>
                <w:szCs w:val="14"/>
                <w:color w:val="202E39"/>
              </w:rPr>
              <w:t>(21,508)</w:t>
            </w:r>
          </w:p>
        </w:tc>
      </w:tr>
      <w:tr>
        <w:trPr>
          <w:trHeight w:val="223"/>
        </w:trPr>
        <w:tc>
          <w:tcPr>
            <w:tcW w:w="45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color w:val="202E39"/>
              </w:rPr>
              <w:t>Non-GAAP net income attributable to Viasat, Inc.</w:t>
            </w:r>
          </w:p>
        </w:tc>
        <w:tc>
          <w:tcPr>
            <w:tcW w:w="340" w:type="dxa"/>
            <w:vAlign w:val="bottom"/>
            <w:tcBorders>
              <w:bottom w:val="single" w:sz="8" w:color="009FE3"/>
            </w:tcBorders>
          </w:tcPr>
          <w:p>
            <w:pPr>
              <w:jc w:val="right"/>
              <w:ind w:right="8"/>
              <w:spacing w:after="0"/>
              <w:rPr>
                <w:sz w:val="20"/>
                <w:szCs w:val="20"/>
                <w:color w:val="auto"/>
              </w:rPr>
            </w:pPr>
            <w:r>
              <w:rPr>
                <w:rFonts w:ascii="Arial" w:cs="Arial" w:eastAsia="Arial" w:hAnsi="Arial"/>
                <w:sz w:val="14"/>
                <w:szCs w:val="14"/>
                <w:color w:val="202E39"/>
              </w:rPr>
              <w:t>$</w:t>
            </w:r>
          </w:p>
        </w:tc>
        <w:tc>
          <w:tcPr>
            <w:tcW w:w="1700" w:type="dxa"/>
            <w:vAlign w:val="bottom"/>
            <w:tcBorders>
              <w:bottom w:val="single" w:sz="8" w:color="009FE3"/>
            </w:tcBorders>
          </w:tcPr>
          <w:p>
            <w:pPr>
              <w:jc w:val="right"/>
              <w:ind w:right="108"/>
              <w:spacing w:after="0"/>
              <w:rPr>
                <w:sz w:val="20"/>
                <w:szCs w:val="20"/>
                <w:color w:val="auto"/>
              </w:rPr>
            </w:pPr>
            <w:r>
              <w:rPr>
                <w:rFonts w:ascii="Arial" w:cs="Arial" w:eastAsia="Arial" w:hAnsi="Arial"/>
                <w:sz w:val="14"/>
                <w:szCs w:val="14"/>
                <w:color w:val="202E39"/>
              </w:rPr>
              <w:t>2,180</w:t>
            </w:r>
          </w:p>
        </w:tc>
      </w:tr>
      <w:tr>
        <w:trPr>
          <w:trHeight w:val="207"/>
        </w:trPr>
        <w:tc>
          <w:tcPr>
            <w:tcW w:w="456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Non-GAAP diluted net income per share attributable to Viasat, Inc.</w:t>
            </w: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78"/>
        </w:trPr>
        <w:tc>
          <w:tcPr>
            <w:tcW w:w="45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common stockholders</w:t>
            </w:r>
          </w:p>
        </w:tc>
        <w:tc>
          <w:tcPr>
            <w:tcW w:w="340" w:type="dxa"/>
            <w:vAlign w:val="bottom"/>
            <w:tcBorders>
              <w:bottom w:val="single" w:sz="8" w:color="E8EAEB"/>
            </w:tcBorders>
          </w:tcPr>
          <w:p>
            <w:pPr>
              <w:jc w:val="right"/>
              <w:ind w:right="8"/>
              <w:spacing w:after="0"/>
              <w:rPr>
                <w:sz w:val="20"/>
                <w:szCs w:val="20"/>
                <w:color w:val="auto"/>
              </w:rPr>
            </w:pPr>
            <w:r>
              <w:rPr>
                <w:rFonts w:ascii="Arial" w:cs="Arial" w:eastAsia="Arial" w:hAnsi="Arial"/>
                <w:sz w:val="14"/>
                <w:szCs w:val="14"/>
                <w:color w:val="202E39"/>
              </w:rPr>
              <w:t>$</w:t>
            </w:r>
          </w:p>
        </w:tc>
        <w:tc>
          <w:tcPr>
            <w:tcW w:w="170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0.04</w:t>
            </w:r>
          </w:p>
        </w:tc>
      </w:tr>
      <w:tr>
        <w:trPr>
          <w:trHeight w:val="223"/>
        </w:trPr>
        <w:tc>
          <w:tcPr>
            <w:tcW w:w="45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color w:val="202E39"/>
              </w:rPr>
              <w:t>Shares used in computing diluted net income per share</w:t>
            </w:r>
          </w:p>
        </w:tc>
        <w:tc>
          <w:tcPr>
            <w:tcW w:w="340" w:type="dxa"/>
            <w:vAlign w:val="bottom"/>
            <w:tcBorders>
              <w:bottom w:val="single" w:sz="8" w:color="009FE3"/>
            </w:tcBorders>
          </w:tcPr>
          <w:p>
            <w:pPr>
              <w:spacing w:after="0"/>
              <w:rPr>
                <w:sz w:val="19"/>
                <w:szCs w:val="19"/>
                <w:color w:val="auto"/>
              </w:rPr>
            </w:pPr>
          </w:p>
        </w:tc>
        <w:tc>
          <w:tcPr>
            <w:tcW w:w="1700" w:type="dxa"/>
            <w:vAlign w:val="bottom"/>
            <w:tcBorders>
              <w:bottom w:val="single" w:sz="8" w:color="009FE3"/>
            </w:tcBorders>
          </w:tcPr>
          <w:p>
            <w:pPr>
              <w:jc w:val="right"/>
              <w:ind w:right="108"/>
              <w:spacing w:after="0"/>
              <w:rPr>
                <w:sz w:val="20"/>
                <w:szCs w:val="20"/>
                <w:color w:val="auto"/>
              </w:rPr>
            </w:pPr>
            <w:r>
              <w:rPr>
                <w:rFonts w:ascii="Arial" w:cs="Arial" w:eastAsia="Arial" w:hAnsi="Arial"/>
                <w:sz w:val="14"/>
                <w:szCs w:val="14"/>
                <w:color w:val="202E39"/>
              </w:rPr>
              <w:t>58,438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94615</wp:posOffset>
            </wp:positionV>
            <wp:extent cx="42862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32</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271" w:lineRule="exact"/>
        <w:rPr>
          <w:sz w:val="20"/>
          <w:szCs w:val="20"/>
          <w:color w:val="auto"/>
        </w:rPr>
      </w:pPr>
    </w:p>
    <w:p>
      <w:pPr>
        <w:ind w:left="520" w:right="240" w:hanging="316"/>
        <w:spacing w:after="0" w:line="247" w:lineRule="auto"/>
        <w:tabs>
          <w:tab w:leader="none" w:pos="520" w:val="left"/>
        </w:tabs>
        <w:numPr>
          <w:ilvl w:val="0"/>
          <w:numId w:val="31"/>
        </w:numPr>
        <w:rPr>
          <w:rFonts w:ascii="Arial" w:cs="Arial" w:eastAsia="Arial" w:hAnsi="Arial"/>
          <w:sz w:val="14"/>
          <w:szCs w:val="14"/>
          <w:color w:val="202E39"/>
        </w:rPr>
      </w:pPr>
      <w:r>
        <w:rPr>
          <w:rFonts w:ascii="Arial" w:cs="Arial" w:eastAsia="Arial" w:hAnsi="Arial"/>
          <w:sz w:val="14"/>
          <w:szCs w:val="14"/>
          <w:color w:val="202E39"/>
        </w:rPr>
        <w:t>We define Adjusted EBITDA as net income (loss) attributable to Viasat, Inc. before interest, income taxes, depreciation and amortization, adjusted to exclude certain significant items as set forth below. We use Adjusted EBITDA to evaluate our operating performance, to allocate resources and capital, to measure performance for incentive compensation programs and to evaluate future growth opportunities. An itemized reconciliation between net income (loss) attributable to Viasat, Inc. and Adjusted EBITDA for fiscal year 2018 is set forth below:</w:t>
      </w:r>
    </w:p>
    <w:p>
      <w:pPr>
        <w:spacing w:after="0" w:line="204" w:lineRule="exact"/>
        <w:rPr>
          <w:sz w:val="20"/>
          <w:szCs w:val="20"/>
          <w:color w:val="auto"/>
        </w:rPr>
      </w:pPr>
    </w:p>
    <w:tbl>
      <w:tblPr>
        <w:tblLayout w:type="fixed"/>
        <w:tblInd w:w="2960" w:type="dxa"/>
        <w:tblCellMar>
          <w:top w:w="0" w:type="dxa"/>
          <w:left w:w="0" w:type="dxa"/>
          <w:bottom w:w="0" w:type="dxa"/>
          <w:right w:w="0" w:type="dxa"/>
        </w:tblCellMar>
      </w:tblPr>
      <w:tr>
        <w:trPr>
          <w:trHeight w:val="203"/>
        </w:trPr>
        <w:tc>
          <w:tcPr>
            <w:tcW w:w="3600" w:type="dxa"/>
            <w:vAlign w:val="bottom"/>
            <w:tcBorders>
              <w:top w:val="single" w:sz="8" w:color="E8EAEB"/>
              <w:right w:val="single" w:sz="8" w:color="E8EAEB"/>
            </w:tcBorders>
          </w:tcPr>
          <w:p>
            <w:pPr>
              <w:spacing w:after="0"/>
              <w:rPr>
                <w:sz w:val="17"/>
                <w:szCs w:val="17"/>
                <w:color w:val="auto"/>
              </w:rPr>
            </w:pPr>
          </w:p>
        </w:tc>
        <w:tc>
          <w:tcPr>
            <w:tcW w:w="300" w:type="dxa"/>
            <w:vAlign w:val="bottom"/>
            <w:tcBorders>
              <w:top w:val="single" w:sz="8" w:color="E8EAEB"/>
            </w:tcBorders>
          </w:tcPr>
          <w:p>
            <w:pPr>
              <w:spacing w:after="0"/>
              <w:rPr>
                <w:sz w:val="17"/>
                <w:szCs w:val="17"/>
                <w:color w:val="auto"/>
              </w:rPr>
            </w:pPr>
          </w:p>
        </w:tc>
        <w:tc>
          <w:tcPr>
            <w:tcW w:w="1620" w:type="dxa"/>
            <w:vAlign w:val="bottom"/>
            <w:tcBorders>
              <w:top w:val="single" w:sz="8" w:color="E8EAEB"/>
            </w:tcBorders>
          </w:tcPr>
          <w:p>
            <w:pPr>
              <w:jc w:val="right"/>
              <w:ind w:right="268"/>
              <w:spacing w:after="0"/>
              <w:rPr>
                <w:sz w:val="20"/>
                <w:szCs w:val="20"/>
                <w:color w:val="auto"/>
              </w:rPr>
            </w:pPr>
            <w:r>
              <w:rPr>
                <w:rFonts w:ascii="Arial" w:cs="Arial" w:eastAsia="Arial" w:hAnsi="Arial"/>
                <w:sz w:val="14"/>
                <w:szCs w:val="14"/>
                <w:b w:val="1"/>
                <w:bCs w:val="1"/>
                <w:color w:val="009FE3"/>
              </w:rPr>
              <w:t>Fiscal Year Ended</w:t>
            </w:r>
          </w:p>
        </w:tc>
      </w:tr>
      <w:tr>
        <w:trPr>
          <w:trHeight w:val="196"/>
        </w:trPr>
        <w:tc>
          <w:tcPr>
            <w:tcW w:w="3600" w:type="dxa"/>
            <w:vAlign w:val="bottom"/>
            <w:tcBorders>
              <w:bottom w:val="single" w:sz="8" w:color="009FE3"/>
              <w:right w:val="single" w:sz="8" w:color="E8EAEB"/>
            </w:tcBorders>
          </w:tcPr>
          <w:p>
            <w:pPr>
              <w:spacing w:after="0"/>
              <w:rPr>
                <w:sz w:val="17"/>
                <w:szCs w:val="17"/>
                <w:color w:val="auto"/>
              </w:rPr>
            </w:pPr>
          </w:p>
        </w:tc>
        <w:tc>
          <w:tcPr>
            <w:tcW w:w="300" w:type="dxa"/>
            <w:vAlign w:val="bottom"/>
            <w:tcBorders>
              <w:bottom w:val="single" w:sz="8" w:color="009FE3"/>
            </w:tcBorders>
          </w:tcPr>
          <w:p>
            <w:pPr>
              <w:spacing w:after="0"/>
              <w:rPr>
                <w:sz w:val="17"/>
                <w:szCs w:val="17"/>
                <w:color w:val="auto"/>
              </w:rPr>
            </w:pPr>
          </w:p>
        </w:tc>
        <w:tc>
          <w:tcPr>
            <w:tcW w:w="1620" w:type="dxa"/>
            <w:vAlign w:val="bottom"/>
            <w:tcBorders>
              <w:bottom w:val="single" w:sz="8" w:color="009FE3"/>
            </w:tcBorders>
          </w:tcPr>
          <w:p>
            <w:pPr>
              <w:jc w:val="right"/>
              <w:ind w:right="388"/>
              <w:spacing w:after="0"/>
              <w:rPr>
                <w:sz w:val="20"/>
                <w:szCs w:val="20"/>
                <w:color w:val="auto"/>
              </w:rPr>
            </w:pPr>
            <w:r>
              <w:rPr>
                <w:rFonts w:ascii="Arial" w:cs="Arial" w:eastAsia="Arial" w:hAnsi="Arial"/>
                <w:sz w:val="14"/>
                <w:szCs w:val="14"/>
                <w:b w:val="1"/>
                <w:bCs w:val="1"/>
                <w:color w:val="009FE3"/>
              </w:rPr>
              <w:t>March 31, 2018</w:t>
            </w: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b w:val="1"/>
                <w:bCs w:val="1"/>
                <w:color w:val="202E39"/>
              </w:rPr>
              <w:t>(In thousands)</w:t>
            </w:r>
          </w:p>
        </w:tc>
        <w:tc>
          <w:tcPr>
            <w:tcW w:w="300" w:type="dxa"/>
            <w:vAlign w:val="bottom"/>
            <w:tcBorders>
              <w:bottom w:val="single" w:sz="8" w:color="E8EAEB"/>
            </w:tcBorders>
          </w:tcPr>
          <w:p>
            <w:pPr>
              <w:spacing w:after="0"/>
              <w:rPr>
                <w:sz w:val="19"/>
                <w:szCs w:val="19"/>
                <w:color w:val="auto"/>
              </w:rPr>
            </w:pPr>
          </w:p>
        </w:tc>
        <w:tc>
          <w:tcPr>
            <w:tcW w:w="1620" w:type="dxa"/>
            <w:vAlign w:val="bottom"/>
            <w:tcBorders>
              <w:bottom w:val="single" w:sz="8" w:color="E8EAEB"/>
            </w:tcBorders>
          </w:tcPr>
          <w:p>
            <w:pPr>
              <w:spacing w:after="0"/>
              <w:rPr>
                <w:sz w:val="19"/>
                <w:szCs w:val="19"/>
                <w:color w:val="auto"/>
              </w:rPr>
            </w:pP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GAAP net loss attributable to Viasat, Inc.</w:t>
            </w:r>
          </w:p>
        </w:tc>
        <w:tc>
          <w:tcPr>
            <w:tcW w:w="30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w:t>
            </w:r>
          </w:p>
        </w:tc>
        <w:tc>
          <w:tcPr>
            <w:tcW w:w="1620" w:type="dxa"/>
            <w:vAlign w:val="bottom"/>
            <w:tcBorders>
              <w:bottom w:val="single" w:sz="8" w:color="E8EAEB"/>
            </w:tcBorders>
          </w:tcPr>
          <w:p>
            <w:pPr>
              <w:jc w:val="right"/>
              <w:ind w:right="68"/>
              <w:spacing w:after="0"/>
              <w:rPr>
                <w:sz w:val="20"/>
                <w:szCs w:val="20"/>
                <w:color w:val="auto"/>
              </w:rPr>
            </w:pPr>
            <w:r>
              <w:rPr>
                <w:rFonts w:ascii="Arial" w:cs="Arial" w:eastAsia="Arial" w:hAnsi="Arial"/>
                <w:sz w:val="14"/>
                <w:szCs w:val="14"/>
                <w:color w:val="202E39"/>
              </w:rPr>
              <w:t>(67,305)</w:t>
            </w: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Benefit for income taxes</w:t>
            </w:r>
          </w:p>
        </w:tc>
        <w:tc>
          <w:tcPr>
            <w:tcW w:w="300" w:type="dxa"/>
            <w:vAlign w:val="bottom"/>
            <w:tcBorders>
              <w:bottom w:val="single" w:sz="8" w:color="E8EAEB"/>
            </w:tcBorders>
          </w:tcPr>
          <w:p>
            <w:pPr>
              <w:spacing w:after="0"/>
              <w:rPr>
                <w:sz w:val="19"/>
                <w:szCs w:val="19"/>
                <w:color w:val="auto"/>
              </w:rPr>
            </w:pPr>
          </w:p>
        </w:tc>
        <w:tc>
          <w:tcPr>
            <w:tcW w:w="1620" w:type="dxa"/>
            <w:vAlign w:val="bottom"/>
            <w:tcBorders>
              <w:bottom w:val="single" w:sz="8" w:color="E8EAEB"/>
            </w:tcBorders>
          </w:tcPr>
          <w:p>
            <w:pPr>
              <w:jc w:val="right"/>
              <w:ind w:right="68"/>
              <w:spacing w:after="0"/>
              <w:rPr>
                <w:sz w:val="20"/>
                <w:szCs w:val="20"/>
                <w:color w:val="auto"/>
              </w:rPr>
            </w:pPr>
            <w:r>
              <w:rPr>
                <w:rFonts w:ascii="Arial" w:cs="Arial" w:eastAsia="Arial" w:hAnsi="Arial"/>
                <w:sz w:val="14"/>
                <w:szCs w:val="14"/>
                <w:color w:val="202E39"/>
              </w:rPr>
              <w:t>(35,217)</w:t>
            </w: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Interest expense, net</w:t>
            </w:r>
          </w:p>
        </w:tc>
        <w:tc>
          <w:tcPr>
            <w:tcW w:w="300" w:type="dxa"/>
            <w:vAlign w:val="bottom"/>
            <w:tcBorders>
              <w:bottom w:val="single" w:sz="8" w:color="E8EAEB"/>
            </w:tcBorders>
          </w:tcPr>
          <w:p>
            <w:pPr>
              <w:spacing w:after="0"/>
              <w:rPr>
                <w:sz w:val="19"/>
                <w:szCs w:val="19"/>
                <w:color w:val="auto"/>
              </w:rPr>
            </w:pPr>
          </w:p>
        </w:tc>
        <w:tc>
          <w:tcPr>
            <w:tcW w:w="162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3,066</w:t>
            </w: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Depreciation and amortization</w:t>
            </w:r>
          </w:p>
        </w:tc>
        <w:tc>
          <w:tcPr>
            <w:tcW w:w="300" w:type="dxa"/>
            <w:vAlign w:val="bottom"/>
            <w:tcBorders>
              <w:bottom w:val="single" w:sz="8" w:color="E8EAEB"/>
            </w:tcBorders>
          </w:tcPr>
          <w:p>
            <w:pPr>
              <w:spacing w:after="0"/>
              <w:rPr>
                <w:sz w:val="19"/>
                <w:szCs w:val="19"/>
                <w:color w:val="auto"/>
              </w:rPr>
            </w:pPr>
          </w:p>
        </w:tc>
        <w:tc>
          <w:tcPr>
            <w:tcW w:w="162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255,652</w:t>
            </w: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Stock-based compensation expense</w:t>
            </w:r>
          </w:p>
        </w:tc>
        <w:tc>
          <w:tcPr>
            <w:tcW w:w="300" w:type="dxa"/>
            <w:vAlign w:val="bottom"/>
            <w:tcBorders>
              <w:bottom w:val="single" w:sz="8" w:color="E8EAEB"/>
            </w:tcBorders>
          </w:tcPr>
          <w:p>
            <w:pPr>
              <w:spacing w:after="0"/>
              <w:rPr>
                <w:sz w:val="19"/>
                <w:szCs w:val="19"/>
                <w:color w:val="auto"/>
              </w:rPr>
            </w:pPr>
          </w:p>
        </w:tc>
        <w:tc>
          <w:tcPr>
            <w:tcW w:w="162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68,545</w:t>
            </w:r>
          </w:p>
        </w:tc>
      </w:tr>
      <w:tr>
        <w:trPr>
          <w:trHeight w:val="223"/>
        </w:trPr>
        <w:tc>
          <w:tcPr>
            <w:tcW w:w="36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color w:val="202E39"/>
              </w:rPr>
              <w:t>Loss on extinguishment of debt</w:t>
            </w:r>
          </w:p>
        </w:tc>
        <w:tc>
          <w:tcPr>
            <w:tcW w:w="300" w:type="dxa"/>
            <w:vAlign w:val="bottom"/>
            <w:tcBorders>
              <w:bottom w:val="single" w:sz="8" w:color="009FE3"/>
            </w:tcBorders>
          </w:tcPr>
          <w:p>
            <w:pPr>
              <w:spacing w:after="0"/>
              <w:rPr>
                <w:sz w:val="19"/>
                <w:szCs w:val="19"/>
                <w:color w:val="auto"/>
              </w:rPr>
            </w:pPr>
          </w:p>
        </w:tc>
        <w:tc>
          <w:tcPr>
            <w:tcW w:w="1620" w:type="dxa"/>
            <w:vAlign w:val="bottom"/>
            <w:tcBorders>
              <w:bottom w:val="single" w:sz="8" w:color="009FE3"/>
            </w:tcBorders>
          </w:tcPr>
          <w:p>
            <w:pPr>
              <w:jc w:val="right"/>
              <w:ind w:right="108"/>
              <w:spacing w:after="0"/>
              <w:rPr>
                <w:sz w:val="20"/>
                <w:szCs w:val="20"/>
                <w:color w:val="auto"/>
              </w:rPr>
            </w:pPr>
            <w:r>
              <w:rPr>
                <w:rFonts w:ascii="Arial" w:cs="Arial" w:eastAsia="Arial" w:hAnsi="Arial"/>
                <w:sz w:val="14"/>
                <w:szCs w:val="14"/>
                <w:color w:val="202E39"/>
              </w:rPr>
              <w:t>10,217</w:t>
            </w:r>
          </w:p>
        </w:tc>
      </w:tr>
      <w:tr>
        <w:trPr>
          <w:trHeight w:val="223"/>
        </w:trPr>
        <w:tc>
          <w:tcPr>
            <w:tcW w:w="36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color w:val="202E39"/>
              </w:rPr>
              <w:t>Adjusted EBITDA</w:t>
            </w:r>
          </w:p>
        </w:tc>
        <w:tc>
          <w:tcPr>
            <w:tcW w:w="300" w:type="dxa"/>
            <w:vAlign w:val="bottom"/>
            <w:tcBorders>
              <w:bottom w:val="single" w:sz="8" w:color="009FE3"/>
            </w:tcBorders>
          </w:tcPr>
          <w:p>
            <w:pPr>
              <w:jc w:val="right"/>
              <w:spacing w:after="0"/>
              <w:rPr>
                <w:sz w:val="20"/>
                <w:szCs w:val="20"/>
                <w:color w:val="auto"/>
              </w:rPr>
            </w:pPr>
            <w:r>
              <w:rPr>
                <w:rFonts w:ascii="Arial" w:cs="Arial" w:eastAsia="Arial" w:hAnsi="Arial"/>
                <w:sz w:val="14"/>
                <w:szCs w:val="14"/>
                <w:color w:val="202E39"/>
              </w:rPr>
              <w:t>$</w:t>
            </w:r>
          </w:p>
        </w:tc>
        <w:tc>
          <w:tcPr>
            <w:tcW w:w="1620" w:type="dxa"/>
            <w:vAlign w:val="bottom"/>
            <w:tcBorders>
              <w:bottom w:val="single" w:sz="8" w:color="009FE3"/>
            </w:tcBorders>
          </w:tcPr>
          <w:p>
            <w:pPr>
              <w:jc w:val="right"/>
              <w:ind w:right="108"/>
              <w:spacing w:after="0"/>
              <w:rPr>
                <w:sz w:val="20"/>
                <w:szCs w:val="20"/>
                <w:color w:val="auto"/>
              </w:rPr>
            </w:pPr>
            <w:r>
              <w:rPr>
                <w:rFonts w:ascii="Arial" w:cs="Arial" w:eastAsia="Arial" w:hAnsi="Arial"/>
                <w:sz w:val="14"/>
                <w:szCs w:val="14"/>
                <w:color w:val="202E39"/>
              </w:rPr>
              <w:t>234,958</w:t>
            </w:r>
          </w:p>
        </w:tc>
      </w:tr>
    </w:tbl>
    <w:p>
      <w:pPr>
        <w:spacing w:after="0" w:line="218" w:lineRule="exact"/>
        <w:rPr>
          <w:sz w:val="20"/>
          <w:szCs w:val="20"/>
          <w:color w:val="auto"/>
        </w:rPr>
      </w:pPr>
    </w:p>
    <w:p>
      <w:pPr>
        <w:ind w:left="200" w:right="160"/>
        <w:spacing w:after="0" w:line="251" w:lineRule="auto"/>
        <w:rPr>
          <w:sz w:val="20"/>
          <w:szCs w:val="20"/>
          <w:color w:val="auto"/>
        </w:rPr>
      </w:pPr>
      <w:r>
        <w:rPr>
          <w:rFonts w:ascii="Arial" w:cs="Arial" w:eastAsia="Arial" w:hAnsi="Arial"/>
          <w:sz w:val="16"/>
          <w:szCs w:val="16"/>
          <w:color w:val="202E39"/>
        </w:rPr>
        <w:t>For purposes of determining the annual bonus for our Chief Executive Officer in fiscal year 2018, the Compensation and Human Resources Committee relied on an assessment of our Chief Executive Officer’s performance completed by the Nomination, Evaluation and Corporate Governance Committee. The criteria used by the Nomination, Evaluation and Corporate Governance Committee for our Chief Executive Officer’s fiscal year 2018 evaluation included the following, with equal weighting (33%) applied to each of the three main categories:</w:t>
      </w:r>
    </w:p>
    <w:p>
      <w:pPr>
        <w:spacing w:after="0" w:line="108" w:lineRule="exact"/>
        <w:rPr>
          <w:sz w:val="20"/>
          <w:szCs w:val="20"/>
          <w:color w:val="auto"/>
        </w:rPr>
      </w:pPr>
    </w:p>
    <w:p>
      <w:pPr>
        <w:ind w:left="640" w:right="220" w:hanging="220"/>
        <w:spacing w:after="0" w:line="260" w:lineRule="auto"/>
        <w:tabs>
          <w:tab w:leader="none" w:pos="640" w:val="left"/>
        </w:tabs>
        <w:numPr>
          <w:ilvl w:val="0"/>
          <w:numId w:val="32"/>
        </w:numPr>
        <w:rPr>
          <w:rFonts w:ascii="Arial" w:cs="Arial" w:eastAsia="Arial" w:hAnsi="Arial"/>
          <w:sz w:val="16"/>
          <w:szCs w:val="16"/>
          <w:color w:val="009FE3"/>
        </w:rPr>
      </w:pPr>
      <w:r>
        <w:rPr>
          <w:rFonts w:ascii="Arial" w:cs="Arial" w:eastAsia="Arial" w:hAnsi="Arial"/>
          <w:sz w:val="16"/>
          <w:szCs w:val="16"/>
          <w:color w:val="009FE3"/>
        </w:rPr>
        <w:t xml:space="preserve">Company Financial Performance. </w:t>
      </w:r>
      <w:r>
        <w:rPr>
          <w:rFonts w:ascii="Arial" w:cs="Arial" w:eastAsia="Arial" w:hAnsi="Arial"/>
          <w:sz w:val="16"/>
          <w:szCs w:val="16"/>
          <w:color w:val="202E39"/>
        </w:rPr>
        <w:t>Non-GAAP diluted net income per share attributable to Viasat, Inc. common stockholders, Adjusted EBITDA,</w:t>
      </w:r>
      <w:r>
        <w:rPr>
          <w:rFonts w:ascii="Arial" w:cs="Arial" w:eastAsia="Arial" w:hAnsi="Arial"/>
          <w:sz w:val="16"/>
          <w:szCs w:val="16"/>
          <w:color w:val="009FE3"/>
        </w:rPr>
        <w:t xml:space="preserve"> </w:t>
      </w:r>
      <w:r>
        <w:rPr>
          <w:rFonts w:ascii="Arial" w:cs="Arial" w:eastAsia="Arial" w:hAnsi="Arial"/>
          <w:sz w:val="16"/>
          <w:szCs w:val="16"/>
          <w:color w:val="202E39"/>
        </w:rPr>
        <w:t>new contract awards, total revenues and net operating asset turnover (at the same levels as set forth in the table above).</w:t>
      </w:r>
    </w:p>
    <w:p>
      <w:pPr>
        <w:spacing w:after="0" w:line="47" w:lineRule="exact"/>
        <w:rPr>
          <w:rFonts w:ascii="Arial" w:cs="Arial" w:eastAsia="Arial" w:hAnsi="Arial"/>
          <w:sz w:val="16"/>
          <w:szCs w:val="16"/>
          <w:color w:val="009FE3"/>
        </w:rPr>
      </w:pPr>
    </w:p>
    <w:p>
      <w:pPr>
        <w:ind w:left="640" w:hanging="220"/>
        <w:spacing w:after="0"/>
        <w:tabs>
          <w:tab w:leader="none" w:pos="640" w:val="left"/>
        </w:tabs>
        <w:numPr>
          <w:ilvl w:val="0"/>
          <w:numId w:val="32"/>
        </w:numPr>
        <w:rPr>
          <w:rFonts w:ascii="Arial" w:cs="Arial" w:eastAsia="Arial" w:hAnsi="Arial"/>
          <w:sz w:val="16"/>
          <w:szCs w:val="16"/>
          <w:color w:val="009FE3"/>
        </w:rPr>
      </w:pPr>
      <w:r>
        <w:rPr>
          <w:rFonts w:ascii="Arial" w:cs="Arial" w:eastAsia="Arial" w:hAnsi="Arial"/>
          <w:sz w:val="16"/>
          <w:szCs w:val="16"/>
          <w:color w:val="009FE3"/>
        </w:rPr>
        <w:t xml:space="preserve">Leadership.  </w:t>
      </w:r>
      <w:r>
        <w:rPr>
          <w:rFonts w:ascii="Arial" w:cs="Arial" w:eastAsia="Arial" w:hAnsi="Arial"/>
          <w:sz w:val="16"/>
          <w:szCs w:val="16"/>
          <w:color w:val="202E39"/>
        </w:rPr>
        <w:t>Defining, managing and attaining corporate goals, exemplifying and promoting ethics and integrity throughout the company.</w:t>
      </w:r>
    </w:p>
    <w:p>
      <w:pPr>
        <w:spacing w:after="0" w:line="72" w:lineRule="exact"/>
        <w:rPr>
          <w:rFonts w:ascii="Arial" w:cs="Arial" w:eastAsia="Arial" w:hAnsi="Arial"/>
          <w:sz w:val="16"/>
          <w:szCs w:val="16"/>
          <w:color w:val="009FE3"/>
        </w:rPr>
      </w:pPr>
    </w:p>
    <w:p>
      <w:pPr>
        <w:ind w:left="640" w:right="280" w:hanging="220"/>
        <w:spacing w:after="0" w:line="260" w:lineRule="auto"/>
        <w:tabs>
          <w:tab w:leader="none" w:pos="640" w:val="left"/>
        </w:tabs>
        <w:numPr>
          <w:ilvl w:val="0"/>
          <w:numId w:val="32"/>
        </w:numPr>
        <w:rPr>
          <w:rFonts w:ascii="Arial" w:cs="Arial" w:eastAsia="Arial" w:hAnsi="Arial"/>
          <w:sz w:val="16"/>
          <w:szCs w:val="16"/>
          <w:color w:val="009FE3"/>
        </w:rPr>
      </w:pPr>
      <w:r>
        <w:rPr>
          <w:rFonts w:ascii="Arial" w:cs="Arial" w:eastAsia="Arial" w:hAnsi="Arial"/>
          <w:sz w:val="16"/>
          <w:szCs w:val="16"/>
          <w:color w:val="009FE3"/>
        </w:rPr>
        <w:t xml:space="preserve">Strategic. </w:t>
      </w:r>
      <w:r>
        <w:rPr>
          <w:rFonts w:ascii="Arial" w:cs="Arial" w:eastAsia="Arial" w:hAnsi="Arial"/>
          <w:sz w:val="16"/>
          <w:szCs w:val="16"/>
          <w:color w:val="202E39"/>
        </w:rPr>
        <w:t>Industry positioning, short-term and long-term strategies, measurable progress in key business areas and effective pursuit of growth</w:t>
      </w:r>
      <w:r>
        <w:rPr>
          <w:rFonts w:ascii="Arial" w:cs="Arial" w:eastAsia="Arial" w:hAnsi="Arial"/>
          <w:sz w:val="16"/>
          <w:szCs w:val="16"/>
          <w:color w:val="009FE3"/>
        </w:rPr>
        <w:t xml:space="preserve"> </w:t>
      </w:r>
      <w:r>
        <w:rPr>
          <w:rFonts w:ascii="Arial" w:cs="Arial" w:eastAsia="Arial" w:hAnsi="Arial"/>
          <w:sz w:val="16"/>
          <w:szCs w:val="16"/>
          <w:color w:val="202E39"/>
        </w:rPr>
        <w:t>strategies.</w:t>
      </w:r>
    </w:p>
    <w:p>
      <w:pPr>
        <w:spacing w:after="0" w:line="88" w:lineRule="exact"/>
        <w:rPr>
          <w:sz w:val="20"/>
          <w:szCs w:val="20"/>
          <w:color w:val="auto"/>
        </w:rPr>
      </w:pPr>
    </w:p>
    <w:p>
      <w:pPr>
        <w:ind w:left="200" w:right="100"/>
        <w:spacing w:after="0" w:line="249" w:lineRule="auto"/>
        <w:rPr>
          <w:sz w:val="20"/>
          <w:szCs w:val="20"/>
          <w:color w:val="auto"/>
        </w:rPr>
      </w:pPr>
      <w:r>
        <w:rPr>
          <w:rFonts w:ascii="Arial" w:cs="Arial" w:eastAsia="Arial" w:hAnsi="Arial"/>
          <w:sz w:val="16"/>
          <w:szCs w:val="16"/>
          <w:color w:val="202E39"/>
        </w:rPr>
        <w:t>As a result, the performance metrics for determining the annual bonus for our Chief Executive Officer consist of both objective and subjective criteria. Under the objective performance factors, the company was to achieve quantifiable financial performance metrics, as described above. The attainment of our Chief Executive Officer’s leadership and strategic individual performance factors, while made in the context of the company’s achievement relative to the objective financial criteria described above, was based upon a subjective evaluation of his individual performance by the Nomination, Evaluation and Corporate Governance Committee. With respect to leadership performance, the Nomination, Evaluation and Corporate Governance Committee determined that Mr. Dankberg achieved, among other things:</w:t>
      </w:r>
    </w:p>
    <w:p>
      <w:pPr>
        <w:spacing w:after="0" w:line="111" w:lineRule="exact"/>
        <w:rPr>
          <w:sz w:val="20"/>
          <w:szCs w:val="20"/>
          <w:color w:val="auto"/>
        </w:rPr>
      </w:pPr>
    </w:p>
    <w:p>
      <w:pPr>
        <w:ind w:left="640" w:hanging="220"/>
        <w:spacing w:after="0"/>
        <w:tabs>
          <w:tab w:leader="none" w:pos="640" w:val="left"/>
        </w:tabs>
        <w:numPr>
          <w:ilvl w:val="0"/>
          <w:numId w:val="33"/>
        </w:numPr>
        <w:rPr>
          <w:rFonts w:ascii="Arial" w:cs="Arial" w:eastAsia="Arial" w:hAnsi="Arial"/>
          <w:sz w:val="16"/>
          <w:szCs w:val="16"/>
          <w:color w:val="009FE3"/>
        </w:rPr>
      </w:pPr>
      <w:r>
        <w:rPr>
          <w:rFonts w:ascii="Arial" w:cs="Arial" w:eastAsia="Arial" w:hAnsi="Arial"/>
          <w:sz w:val="16"/>
          <w:szCs w:val="16"/>
          <w:color w:val="202E39"/>
        </w:rPr>
        <w:t>launched new, unified Viasat brand identity to grow market, talent and consumer awareness globally;</w:t>
      </w:r>
    </w:p>
    <w:p>
      <w:pPr>
        <w:spacing w:after="0" w:line="72" w:lineRule="exact"/>
        <w:rPr>
          <w:rFonts w:ascii="Arial" w:cs="Arial" w:eastAsia="Arial" w:hAnsi="Arial"/>
          <w:sz w:val="16"/>
          <w:szCs w:val="16"/>
          <w:color w:val="009FE3"/>
        </w:rPr>
      </w:pPr>
    </w:p>
    <w:p>
      <w:pPr>
        <w:ind w:left="640" w:right="360" w:hanging="220"/>
        <w:spacing w:after="0" w:line="260" w:lineRule="auto"/>
        <w:tabs>
          <w:tab w:leader="none" w:pos="640" w:val="left"/>
        </w:tabs>
        <w:numPr>
          <w:ilvl w:val="0"/>
          <w:numId w:val="33"/>
        </w:numPr>
        <w:rPr>
          <w:rFonts w:ascii="Arial" w:cs="Arial" w:eastAsia="Arial" w:hAnsi="Arial"/>
          <w:sz w:val="16"/>
          <w:szCs w:val="16"/>
          <w:color w:val="009FE3"/>
        </w:rPr>
      </w:pPr>
      <w:r>
        <w:rPr>
          <w:rFonts w:ascii="Arial" w:cs="Arial" w:eastAsia="Arial" w:hAnsi="Arial"/>
          <w:sz w:val="16"/>
          <w:szCs w:val="16"/>
          <w:color w:val="202E39"/>
        </w:rPr>
        <w:t>continued progress towards a global constellation of next-generation broadband satellites, with the first two ViaSat-3 class satellites completing critical developmental milestones and entering into the phase of full construction; and</w:t>
      </w:r>
    </w:p>
    <w:p>
      <w:pPr>
        <w:spacing w:after="0" w:line="47" w:lineRule="exact"/>
        <w:rPr>
          <w:rFonts w:ascii="Arial" w:cs="Arial" w:eastAsia="Arial" w:hAnsi="Arial"/>
          <w:sz w:val="16"/>
          <w:szCs w:val="16"/>
          <w:color w:val="009FE3"/>
        </w:rPr>
      </w:pPr>
    </w:p>
    <w:p>
      <w:pPr>
        <w:ind w:left="640" w:hanging="220"/>
        <w:spacing w:after="0"/>
        <w:tabs>
          <w:tab w:leader="none" w:pos="640" w:val="left"/>
        </w:tabs>
        <w:numPr>
          <w:ilvl w:val="0"/>
          <w:numId w:val="33"/>
        </w:numPr>
        <w:rPr>
          <w:rFonts w:ascii="Arial" w:cs="Arial" w:eastAsia="Arial" w:hAnsi="Arial"/>
          <w:sz w:val="16"/>
          <w:szCs w:val="16"/>
          <w:color w:val="009FE3"/>
        </w:rPr>
      </w:pPr>
      <w:r>
        <w:rPr>
          <w:rFonts w:ascii="Arial" w:cs="Arial" w:eastAsia="Arial" w:hAnsi="Arial"/>
          <w:sz w:val="16"/>
          <w:szCs w:val="16"/>
          <w:color w:val="202E39"/>
        </w:rPr>
        <w:t>continued commitment to a culture of ethical leadership with employee engagement at levels surpassing high tech industry benchmarks.</w:t>
      </w:r>
    </w:p>
    <w:p>
      <w:pPr>
        <w:spacing w:after="0" w:line="113" w:lineRule="exact"/>
        <w:rPr>
          <w:sz w:val="20"/>
          <w:szCs w:val="20"/>
          <w:color w:val="auto"/>
        </w:rPr>
      </w:pPr>
    </w:p>
    <w:p>
      <w:pPr>
        <w:ind w:left="200" w:right="280"/>
        <w:spacing w:after="0" w:line="260" w:lineRule="auto"/>
        <w:rPr>
          <w:sz w:val="20"/>
          <w:szCs w:val="20"/>
          <w:color w:val="auto"/>
        </w:rPr>
      </w:pPr>
      <w:r>
        <w:rPr>
          <w:rFonts w:ascii="Arial" w:cs="Arial" w:eastAsia="Arial" w:hAnsi="Arial"/>
          <w:sz w:val="16"/>
          <w:szCs w:val="16"/>
          <w:color w:val="202E39"/>
        </w:rPr>
        <w:t>In terms of strategic objectives, the Nomination, Evaluation and Corporate Governance Committee noted the following achievements by Mr. Dankberg during fiscal year 2018, among other things:</w:t>
      </w:r>
    </w:p>
    <w:p>
      <w:pPr>
        <w:spacing w:after="0" w:line="101" w:lineRule="exact"/>
        <w:rPr>
          <w:sz w:val="20"/>
          <w:szCs w:val="20"/>
          <w:color w:val="auto"/>
        </w:rPr>
      </w:pPr>
    </w:p>
    <w:p>
      <w:pPr>
        <w:jc w:val="both"/>
        <w:ind w:left="640" w:right="80" w:hanging="220"/>
        <w:spacing w:after="0" w:line="253" w:lineRule="auto"/>
        <w:tabs>
          <w:tab w:leader="none" w:pos="640" w:val="left"/>
        </w:tabs>
        <w:numPr>
          <w:ilvl w:val="0"/>
          <w:numId w:val="34"/>
        </w:numPr>
        <w:rPr>
          <w:rFonts w:ascii="Arial" w:cs="Arial" w:eastAsia="Arial" w:hAnsi="Arial"/>
          <w:sz w:val="16"/>
          <w:szCs w:val="16"/>
          <w:color w:val="009FE3"/>
        </w:rPr>
      </w:pPr>
      <w:r>
        <w:rPr>
          <w:rFonts w:ascii="Arial" w:cs="Arial" w:eastAsia="Arial" w:hAnsi="Arial"/>
          <w:sz w:val="16"/>
          <w:szCs w:val="16"/>
          <w:color w:val="202E39"/>
        </w:rPr>
        <w:t>successful launch of commercial broadband services on our next-generation high-capacity ViaSat-2 satellite, which significantly expanded our data throughput capacity and supports the flexible allocation of capacity, enabling us to improve the speed, availability and geographic coverage area of our broadband services and dynamically respond to changing capacity demands across different geographic areas and service offerings;</w:t>
      </w:r>
    </w:p>
    <w:p>
      <w:pPr>
        <w:spacing w:after="0" w:line="52" w:lineRule="exact"/>
        <w:rPr>
          <w:rFonts w:ascii="Arial" w:cs="Arial" w:eastAsia="Arial" w:hAnsi="Arial"/>
          <w:sz w:val="16"/>
          <w:szCs w:val="16"/>
          <w:color w:val="009FE3"/>
        </w:rPr>
      </w:pPr>
    </w:p>
    <w:p>
      <w:pPr>
        <w:ind w:left="640" w:right="260" w:hanging="220"/>
        <w:spacing w:after="0" w:line="260" w:lineRule="auto"/>
        <w:tabs>
          <w:tab w:leader="none" w:pos="640" w:val="left"/>
        </w:tabs>
        <w:numPr>
          <w:ilvl w:val="0"/>
          <w:numId w:val="34"/>
        </w:numPr>
        <w:rPr>
          <w:rFonts w:ascii="Arial" w:cs="Arial" w:eastAsia="Arial" w:hAnsi="Arial"/>
          <w:sz w:val="16"/>
          <w:szCs w:val="16"/>
          <w:color w:val="009FE3"/>
        </w:rPr>
      </w:pPr>
      <w:r>
        <w:rPr>
          <w:rFonts w:ascii="Arial" w:cs="Arial" w:eastAsia="Arial" w:hAnsi="Arial"/>
          <w:sz w:val="16"/>
          <w:szCs w:val="16"/>
          <w:color w:val="202E39"/>
        </w:rPr>
        <w:t>continued disruption of the IFC market, with 635 commercial aircraft in service utilizing our IFC systems as of the end of fiscal year 2018 and our IFC systems expected to be installed on approximately 955 additional commercial aircraft under existing customer agreements;</w:t>
      </w:r>
    </w:p>
    <w:p>
      <w:pPr>
        <w:spacing w:after="0" w:line="47" w:lineRule="exact"/>
        <w:rPr>
          <w:rFonts w:ascii="Arial" w:cs="Arial" w:eastAsia="Arial" w:hAnsi="Arial"/>
          <w:sz w:val="16"/>
          <w:szCs w:val="16"/>
          <w:color w:val="009FE3"/>
        </w:rPr>
      </w:pPr>
    </w:p>
    <w:p>
      <w:pPr>
        <w:ind w:left="640" w:hanging="220"/>
        <w:spacing w:after="0"/>
        <w:tabs>
          <w:tab w:leader="none" w:pos="640" w:val="left"/>
        </w:tabs>
        <w:numPr>
          <w:ilvl w:val="0"/>
          <w:numId w:val="34"/>
        </w:numPr>
        <w:rPr>
          <w:rFonts w:ascii="Arial" w:cs="Arial" w:eastAsia="Arial" w:hAnsi="Arial"/>
          <w:sz w:val="16"/>
          <w:szCs w:val="16"/>
          <w:color w:val="009FE3"/>
        </w:rPr>
      </w:pPr>
      <w:r>
        <w:rPr>
          <w:rFonts w:ascii="Arial" w:cs="Arial" w:eastAsia="Arial" w:hAnsi="Arial"/>
          <w:sz w:val="16"/>
          <w:szCs w:val="16"/>
          <w:color w:val="202E39"/>
        </w:rPr>
        <w:t>validated community Wi-Fi hotspot business model in parts of Mexico, with plans for ongoing expansion; and</w:t>
      </w:r>
    </w:p>
    <w:p>
      <w:pPr>
        <w:spacing w:after="0" w:line="72" w:lineRule="exact"/>
        <w:rPr>
          <w:rFonts w:ascii="Arial" w:cs="Arial" w:eastAsia="Arial" w:hAnsi="Arial"/>
          <w:sz w:val="16"/>
          <w:szCs w:val="16"/>
          <w:color w:val="009FE3"/>
        </w:rPr>
      </w:pPr>
    </w:p>
    <w:p>
      <w:pPr>
        <w:ind w:left="640" w:right="380" w:hanging="220"/>
        <w:spacing w:after="0" w:line="260" w:lineRule="auto"/>
        <w:tabs>
          <w:tab w:leader="none" w:pos="640" w:val="left"/>
        </w:tabs>
        <w:numPr>
          <w:ilvl w:val="0"/>
          <w:numId w:val="34"/>
        </w:numPr>
        <w:rPr>
          <w:rFonts w:ascii="Arial" w:cs="Arial" w:eastAsia="Arial" w:hAnsi="Arial"/>
          <w:sz w:val="16"/>
          <w:szCs w:val="16"/>
          <w:color w:val="009FE3"/>
        </w:rPr>
      </w:pPr>
      <w:r>
        <w:rPr>
          <w:rFonts w:ascii="Arial" w:cs="Arial" w:eastAsia="Arial" w:hAnsi="Arial"/>
          <w:sz w:val="16"/>
          <w:szCs w:val="16"/>
          <w:color w:val="202E39"/>
        </w:rPr>
        <w:t>record profitability in our government systems segment, including our cybersecurity and information assurance products, and tactical data links business.</w:t>
      </w:r>
    </w:p>
    <w:p>
      <w:pPr>
        <w:spacing w:after="0" w:line="113"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33</w:t>
            </w:r>
          </w:p>
        </w:tc>
      </w:tr>
    </w:tbl>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7" w:lineRule="exact"/>
        <w:rPr>
          <w:sz w:val="20"/>
          <w:szCs w:val="20"/>
          <w:color w:val="auto"/>
        </w:rPr>
      </w:pPr>
    </w:p>
    <w:p>
      <w:pPr>
        <w:ind w:left="200" w:right="400"/>
        <w:spacing w:after="0" w:line="260" w:lineRule="auto"/>
        <w:rPr>
          <w:sz w:val="20"/>
          <w:szCs w:val="20"/>
          <w:color w:val="auto"/>
        </w:rPr>
      </w:pPr>
      <w:r>
        <w:rPr>
          <w:rFonts w:ascii="Arial" w:cs="Arial" w:eastAsia="Arial" w:hAnsi="Arial"/>
          <w:sz w:val="16"/>
          <w:szCs w:val="16"/>
          <w:color w:val="202E39"/>
        </w:rPr>
        <w:t>The Compensation and Human Resources Committee considered the foregoing evaluations in determining Mr. Dankberg’s final annual bonus award recommendation to the Board.</w:t>
      </w:r>
    </w:p>
    <w:p>
      <w:pPr>
        <w:spacing w:after="0" w:line="88"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Based upon Viasat’s financial results for fiscal year 2018 relative to the pre-established financial objectives described above and the Compensation and Human Resources Committee’s subjective evaluation of Viasat’s other corporate achievements during fiscal year 2018 and individual executive performance, the Compensation and Human Resources Committee, acting under delegation of authority from the Board, approved the bonuses in the table below for our Named Executive Officers for fiscal year 2018. The fiscal year 2018 bonuses for our Named Executive Officers were paid in fiscal year 2019 and in the form of Viasat stock, which was done to help preserve cash to allow us flexibility to pursue strategic objectives in the future. The Compensation and Human Resources Committee determined that the company’s achievement relative to the pre-established financial objectives described above was approximately 107%.</w:t>
      </w:r>
    </w:p>
    <w:p>
      <w:pPr>
        <w:spacing w:after="0" w:line="101" w:lineRule="exact"/>
        <w:rPr>
          <w:sz w:val="20"/>
          <w:szCs w:val="20"/>
          <w:color w:val="auto"/>
        </w:rPr>
      </w:pPr>
    </w:p>
    <w:p>
      <w:pPr>
        <w:ind w:left="200" w:right="60"/>
        <w:spacing w:after="0" w:line="250" w:lineRule="auto"/>
        <w:rPr>
          <w:sz w:val="20"/>
          <w:szCs w:val="20"/>
          <w:color w:val="auto"/>
        </w:rPr>
      </w:pPr>
      <w:r>
        <w:rPr>
          <w:rFonts w:ascii="Arial" w:cs="Arial" w:eastAsia="Arial" w:hAnsi="Arial"/>
          <w:sz w:val="16"/>
          <w:szCs w:val="16"/>
          <w:color w:val="202E39"/>
        </w:rPr>
        <w:t>In making its overall determinations relative to the individual component of each executive’s bonus, the Compensation and Human Resources Committee placed special emphasis on the leadership provided by the executive team in the achievement of critical non-financial, operational and strategic business objectives during fiscal year 2018, specifically including each executive officer’s contributions during the fiscal year to the service launch of our ViaSat-2 satellite and development of our ViaSat-3 class satellites, Viasat’s transformation of the IFC market, continued growth in our government systems segment and overall strong strategic positioning, which resulted in the bonus awards reflected in the following table.</w:t>
      </w:r>
    </w:p>
    <w:p>
      <w:pPr>
        <w:spacing w:after="0" w:line="17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202E39"/>
        </w:rPr>
        <w:t>Fiscal Year 2018 Bonuses</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840" w:type="dxa"/>
            <w:vAlign w:val="bottom"/>
            <w:tcBorders>
              <w:top w:val="single" w:sz="8" w:color="E8EAEB"/>
              <w:right w:val="single" w:sz="8" w:color="E8EAEB"/>
            </w:tcBorders>
          </w:tcPr>
          <w:p>
            <w:pPr>
              <w:spacing w:after="0"/>
              <w:rPr>
                <w:sz w:val="17"/>
                <w:szCs w:val="17"/>
                <w:color w:val="auto"/>
              </w:rPr>
            </w:pPr>
          </w:p>
        </w:tc>
        <w:tc>
          <w:tcPr>
            <w:tcW w:w="1440" w:type="dxa"/>
            <w:vAlign w:val="bottom"/>
            <w:tcBorders>
              <w:top w:val="single" w:sz="8" w:color="E8EAEB"/>
              <w:right w:val="single" w:sz="8" w:color="E8EAEB"/>
            </w:tcBorders>
          </w:tcPr>
          <w:p>
            <w:pPr>
              <w:spacing w:after="0"/>
              <w:rPr>
                <w:sz w:val="17"/>
                <w:szCs w:val="17"/>
                <w:color w:val="auto"/>
              </w:rPr>
            </w:pPr>
          </w:p>
        </w:tc>
        <w:tc>
          <w:tcPr>
            <w:tcW w:w="2100" w:type="dxa"/>
            <w:vAlign w:val="bottom"/>
            <w:tcBorders>
              <w:top w:val="single" w:sz="8" w:color="E8EAEB"/>
              <w:right w:val="single" w:sz="8" w:color="E8EAEB"/>
            </w:tcBorders>
          </w:tcPr>
          <w:p>
            <w:pPr>
              <w:spacing w:after="0"/>
              <w:rPr>
                <w:sz w:val="17"/>
                <w:szCs w:val="17"/>
                <w:color w:val="auto"/>
              </w:rPr>
            </w:pPr>
          </w:p>
        </w:tc>
        <w:tc>
          <w:tcPr>
            <w:tcW w:w="164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Actual Bonuses</w:t>
            </w:r>
          </w:p>
        </w:tc>
      </w:tr>
      <w:tr>
        <w:trPr>
          <w:trHeight w:val="162"/>
        </w:trPr>
        <w:tc>
          <w:tcPr>
            <w:tcW w:w="5840" w:type="dxa"/>
            <w:vAlign w:val="bottom"/>
            <w:tcBorders>
              <w:right w:val="single" w:sz="8" w:color="E8EAEB"/>
            </w:tcBorders>
          </w:tcPr>
          <w:p>
            <w:pPr>
              <w:spacing w:after="0"/>
              <w:rPr>
                <w:sz w:val="14"/>
                <w:szCs w:val="14"/>
                <w:color w:val="auto"/>
              </w:rPr>
            </w:pPr>
          </w:p>
        </w:tc>
        <w:tc>
          <w:tcPr>
            <w:tcW w:w="14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Target Bonus Range</w:t>
            </w:r>
          </w:p>
        </w:tc>
        <w:tc>
          <w:tcPr>
            <w:tcW w:w="2100" w:type="dxa"/>
            <w:vAlign w:val="bottom"/>
            <w:tcBorders>
              <w:right w:val="single" w:sz="8" w:color="E8EAEB"/>
            </w:tcBorders>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009FE3"/>
              </w:rPr>
              <w:t>As Percentage</w:t>
            </w:r>
          </w:p>
        </w:tc>
      </w:tr>
      <w:tr>
        <w:trPr>
          <w:trHeight w:val="162"/>
        </w:trPr>
        <w:tc>
          <w:tcPr>
            <w:tcW w:w="5840" w:type="dxa"/>
            <w:vAlign w:val="bottom"/>
            <w:tcBorders>
              <w:right w:val="single" w:sz="8" w:color="E8EAEB"/>
            </w:tcBorders>
          </w:tcPr>
          <w:p>
            <w:pPr>
              <w:spacing w:after="0"/>
              <w:rPr>
                <w:sz w:val="14"/>
                <w:szCs w:val="14"/>
                <w:color w:val="auto"/>
              </w:rPr>
            </w:pPr>
          </w:p>
        </w:tc>
        <w:tc>
          <w:tcPr>
            <w:tcW w:w="14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As Percentage of</w:t>
            </w:r>
          </w:p>
        </w:tc>
        <w:tc>
          <w:tcPr>
            <w:tcW w:w="2100" w:type="dxa"/>
            <w:vAlign w:val="bottom"/>
            <w:tcBorders>
              <w:right w:val="single" w:sz="8" w:color="E8EAEB"/>
            </w:tcBorders>
          </w:tcPr>
          <w:p>
            <w:pPr>
              <w:jc w:val="right"/>
              <w:ind w:right="442"/>
              <w:spacing w:after="0"/>
              <w:rPr>
                <w:sz w:val="20"/>
                <w:szCs w:val="20"/>
                <w:color w:val="auto"/>
              </w:rPr>
            </w:pPr>
            <w:r>
              <w:rPr>
                <w:rFonts w:ascii="Arial" w:cs="Arial" w:eastAsia="Arial" w:hAnsi="Arial"/>
                <w:sz w:val="14"/>
                <w:szCs w:val="14"/>
                <w:b w:val="1"/>
                <w:bCs w:val="1"/>
                <w:color w:val="009FE3"/>
              </w:rPr>
              <w:t>Actual Bonuses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009FE3"/>
                <w:w w:val="90"/>
              </w:rPr>
              <w:t>of</w:t>
            </w:r>
          </w:p>
        </w:tc>
      </w:tr>
      <w:tr>
        <w:trPr>
          <w:trHeight w:val="196"/>
        </w:trPr>
        <w:tc>
          <w:tcPr>
            <w:tcW w:w="58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Executive</w:t>
            </w:r>
          </w:p>
        </w:tc>
        <w:tc>
          <w:tcPr>
            <w:tcW w:w="14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Base Salary (%)</w:t>
            </w:r>
          </w:p>
        </w:tc>
        <w:tc>
          <w:tcPr>
            <w:tcW w:w="2100" w:type="dxa"/>
            <w:vAlign w:val="bottom"/>
            <w:tcBorders>
              <w:bottom w:val="single" w:sz="8" w:color="009FE3"/>
              <w:right w:val="single" w:sz="8" w:color="E8EAEB"/>
            </w:tcBorders>
          </w:tcPr>
          <w:p>
            <w:pPr>
              <w:jc w:val="right"/>
              <w:ind w:right="782"/>
              <w:spacing w:after="0"/>
              <w:rPr>
                <w:sz w:val="20"/>
                <w:szCs w:val="20"/>
                <w:color w:val="auto"/>
              </w:rPr>
            </w:pPr>
            <w:r>
              <w:rPr>
                <w:rFonts w:ascii="Arial" w:cs="Arial" w:eastAsia="Arial" w:hAnsi="Arial"/>
                <w:sz w:val="14"/>
                <w:szCs w:val="14"/>
                <w:b w:val="1"/>
                <w:bCs w:val="1"/>
                <w:color w:val="009FE3"/>
              </w:rPr>
              <w:t>($) (1)</w:t>
            </w:r>
          </w:p>
        </w:tc>
        <w:tc>
          <w:tcPr>
            <w:tcW w:w="164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Base Salary (%)</w:t>
            </w:r>
          </w:p>
        </w:tc>
      </w:tr>
      <w:tr>
        <w:trPr>
          <w:trHeight w:val="250"/>
        </w:trPr>
        <w:tc>
          <w:tcPr>
            <w:tcW w:w="58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4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100-125</w:t>
            </w:r>
          </w:p>
        </w:tc>
        <w:tc>
          <w:tcPr>
            <w:tcW w:w="210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1,335,018</w:t>
            </w:r>
          </w:p>
        </w:tc>
        <w:tc>
          <w:tcPr>
            <w:tcW w:w="1640" w:type="dxa"/>
            <w:vAlign w:val="bottom"/>
            <w:tcBorders>
              <w:bottom w:val="single" w:sz="8" w:color="E8EAEB"/>
            </w:tcBorders>
          </w:tcPr>
          <w:p>
            <w:pPr>
              <w:jc w:val="right"/>
              <w:ind w:right="123"/>
              <w:spacing w:after="0"/>
              <w:rPr>
                <w:sz w:val="20"/>
                <w:szCs w:val="20"/>
                <w:color w:val="auto"/>
              </w:rPr>
            </w:pPr>
            <w:r>
              <w:rPr>
                <w:rFonts w:ascii="Arial" w:cs="Arial" w:eastAsia="Arial" w:hAnsi="Arial"/>
                <w:sz w:val="16"/>
                <w:szCs w:val="16"/>
                <w:color w:val="202E39"/>
              </w:rPr>
              <w:t>114</w:t>
            </w:r>
          </w:p>
        </w:tc>
      </w:tr>
      <w:tr>
        <w:trPr>
          <w:trHeight w:val="250"/>
        </w:trPr>
        <w:tc>
          <w:tcPr>
            <w:tcW w:w="58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4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100-125</w:t>
            </w:r>
          </w:p>
        </w:tc>
        <w:tc>
          <w:tcPr>
            <w:tcW w:w="210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1,157,032</w:t>
            </w:r>
          </w:p>
        </w:tc>
        <w:tc>
          <w:tcPr>
            <w:tcW w:w="1640" w:type="dxa"/>
            <w:vAlign w:val="bottom"/>
            <w:tcBorders>
              <w:bottom w:val="single" w:sz="8" w:color="E8EAEB"/>
            </w:tcBorders>
          </w:tcPr>
          <w:p>
            <w:pPr>
              <w:jc w:val="right"/>
              <w:ind w:right="123"/>
              <w:spacing w:after="0"/>
              <w:rPr>
                <w:sz w:val="20"/>
                <w:szCs w:val="20"/>
                <w:color w:val="auto"/>
              </w:rPr>
            </w:pPr>
            <w:r>
              <w:rPr>
                <w:rFonts w:ascii="Arial" w:cs="Arial" w:eastAsia="Arial" w:hAnsi="Arial"/>
                <w:sz w:val="16"/>
                <w:szCs w:val="16"/>
                <w:color w:val="202E39"/>
              </w:rPr>
              <w:t>116</w:t>
            </w:r>
          </w:p>
        </w:tc>
      </w:tr>
      <w:tr>
        <w:trPr>
          <w:trHeight w:val="250"/>
        </w:trPr>
        <w:tc>
          <w:tcPr>
            <w:tcW w:w="58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4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100-125</w:t>
            </w:r>
          </w:p>
        </w:tc>
        <w:tc>
          <w:tcPr>
            <w:tcW w:w="210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400,562</w:t>
            </w:r>
          </w:p>
        </w:tc>
        <w:tc>
          <w:tcPr>
            <w:tcW w:w="1640" w:type="dxa"/>
            <w:vAlign w:val="bottom"/>
            <w:tcBorders>
              <w:bottom w:val="single" w:sz="8" w:color="E8EAEB"/>
            </w:tcBorders>
          </w:tcPr>
          <w:p>
            <w:pPr>
              <w:jc w:val="right"/>
              <w:ind w:right="123"/>
              <w:spacing w:after="0"/>
              <w:rPr>
                <w:sz w:val="20"/>
                <w:szCs w:val="20"/>
                <w:color w:val="auto"/>
              </w:rPr>
            </w:pPr>
            <w:r>
              <w:rPr>
                <w:rFonts w:ascii="Arial" w:cs="Arial" w:eastAsia="Arial" w:hAnsi="Arial"/>
                <w:sz w:val="16"/>
                <w:szCs w:val="16"/>
                <w:color w:val="202E39"/>
              </w:rPr>
              <w:t>76</w:t>
            </w:r>
          </w:p>
        </w:tc>
      </w:tr>
      <w:tr>
        <w:trPr>
          <w:trHeight w:val="250"/>
        </w:trPr>
        <w:tc>
          <w:tcPr>
            <w:tcW w:w="58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Keven Lippert</w:t>
            </w:r>
          </w:p>
        </w:tc>
        <w:tc>
          <w:tcPr>
            <w:tcW w:w="14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100-125</w:t>
            </w:r>
          </w:p>
        </w:tc>
        <w:tc>
          <w:tcPr>
            <w:tcW w:w="210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534,020</w:t>
            </w:r>
          </w:p>
        </w:tc>
        <w:tc>
          <w:tcPr>
            <w:tcW w:w="1640" w:type="dxa"/>
            <w:vAlign w:val="bottom"/>
            <w:tcBorders>
              <w:bottom w:val="single" w:sz="8" w:color="E8EAEB"/>
            </w:tcBorders>
          </w:tcPr>
          <w:p>
            <w:pPr>
              <w:jc w:val="right"/>
              <w:ind w:right="123"/>
              <w:spacing w:after="0"/>
              <w:rPr>
                <w:sz w:val="20"/>
                <w:szCs w:val="20"/>
                <w:color w:val="auto"/>
              </w:rPr>
            </w:pPr>
            <w:r>
              <w:rPr>
                <w:rFonts w:ascii="Arial" w:cs="Arial" w:eastAsia="Arial" w:hAnsi="Arial"/>
                <w:sz w:val="16"/>
                <w:szCs w:val="16"/>
                <w:color w:val="202E39"/>
              </w:rPr>
              <w:t>91</w:t>
            </w:r>
          </w:p>
        </w:tc>
      </w:tr>
      <w:tr>
        <w:trPr>
          <w:trHeight w:val="250"/>
        </w:trPr>
        <w:tc>
          <w:tcPr>
            <w:tcW w:w="58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4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6"/>
                <w:szCs w:val="16"/>
                <w:color w:val="202E39"/>
                <w:w w:val="98"/>
              </w:rPr>
              <w:t>100-125</w:t>
            </w:r>
          </w:p>
        </w:tc>
        <w:tc>
          <w:tcPr>
            <w:tcW w:w="2100" w:type="dxa"/>
            <w:vAlign w:val="bottom"/>
            <w:tcBorders>
              <w:bottom w:val="single" w:sz="8" w:color="009FE3"/>
              <w:right w:val="single" w:sz="8" w:color="E8EAEB"/>
            </w:tcBorders>
          </w:tcPr>
          <w:p>
            <w:pPr>
              <w:jc w:val="right"/>
              <w:ind w:right="122"/>
              <w:spacing w:after="0"/>
              <w:rPr>
                <w:sz w:val="20"/>
                <w:szCs w:val="20"/>
                <w:color w:val="auto"/>
              </w:rPr>
            </w:pPr>
            <w:r>
              <w:rPr>
                <w:rFonts w:ascii="Arial" w:cs="Arial" w:eastAsia="Arial" w:hAnsi="Arial"/>
                <w:sz w:val="16"/>
                <w:szCs w:val="16"/>
                <w:color w:val="202E39"/>
              </w:rPr>
              <w:t>534,020</w:t>
            </w:r>
          </w:p>
        </w:tc>
        <w:tc>
          <w:tcPr>
            <w:tcW w:w="1640" w:type="dxa"/>
            <w:vAlign w:val="bottom"/>
            <w:tcBorders>
              <w:bottom w:val="single" w:sz="8" w:color="009FE3"/>
            </w:tcBorders>
          </w:tcPr>
          <w:p>
            <w:pPr>
              <w:jc w:val="right"/>
              <w:ind w:right="123"/>
              <w:spacing w:after="0"/>
              <w:rPr>
                <w:sz w:val="20"/>
                <w:szCs w:val="20"/>
                <w:color w:val="auto"/>
              </w:rPr>
            </w:pPr>
            <w:r>
              <w:rPr>
                <w:rFonts w:ascii="Arial" w:cs="Arial" w:eastAsia="Arial" w:hAnsi="Arial"/>
                <w:sz w:val="16"/>
                <w:szCs w:val="16"/>
                <w:color w:val="202E39"/>
              </w:rPr>
              <w:t>112</w:t>
            </w:r>
          </w:p>
        </w:tc>
      </w:tr>
    </w:tbl>
    <w:p>
      <w:pPr>
        <w:spacing w:after="0" w:line="126" w:lineRule="exact"/>
        <w:rPr>
          <w:sz w:val="20"/>
          <w:szCs w:val="20"/>
          <w:color w:val="auto"/>
        </w:rPr>
      </w:pPr>
    </w:p>
    <w:p>
      <w:pPr>
        <w:ind w:left="520" w:right="40" w:hanging="316"/>
        <w:spacing w:after="0" w:line="244" w:lineRule="auto"/>
        <w:tabs>
          <w:tab w:leader="none" w:pos="520" w:val="left"/>
        </w:tabs>
        <w:numPr>
          <w:ilvl w:val="0"/>
          <w:numId w:val="35"/>
        </w:numPr>
        <w:rPr>
          <w:rFonts w:ascii="Arial" w:cs="Arial" w:eastAsia="Arial" w:hAnsi="Arial"/>
          <w:sz w:val="14"/>
          <w:szCs w:val="14"/>
          <w:color w:val="202E39"/>
        </w:rPr>
      </w:pPr>
      <w:r>
        <w:rPr>
          <w:rFonts w:ascii="Arial" w:cs="Arial" w:eastAsia="Arial" w:hAnsi="Arial"/>
          <w:sz w:val="14"/>
          <w:szCs w:val="14"/>
          <w:color w:val="202E39"/>
        </w:rPr>
        <w:t>For purposes of the fiscal year 2018 annual bonuses, our Compensation and Human Resources Committee determined the total annual bonuses payable to the Named Executive Officers for fiscal year 2018 and then determined to pay all of such bonuses in the form of fully vested shares of our common stock issued under our Equity Plan. The total bonus payable to each Named Executive Officer was converted into a number of shares based on the closing price per share of our common stock on June 1, 2018 ($63.25), and the shares were issued to the Named Executive Officers on that date (less a number of shares with a fair market value on the date of issuance sufficient to cover the applicable tax withholding obligation and withheld by us from the shares issued to the Named Executive Officers). The aggregate number of shares of our common stock issued to the Named Executive Officers in June 2018 in satisfaction of their fiscal year 2018 annual bonuses was as follows (prior to any tax withholding): Mr. Dankberg, 21,107 shares; Mr. Baldridge, 18,293 shares; Ms. Duffy, 6,333 shares; Mr. Lippert, 8,443 shares; and Mr. Peterman, 8,443 shares.</w:t>
      </w:r>
    </w:p>
    <w:p>
      <w:pPr>
        <w:spacing w:after="0" w:line="348"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i w:val="1"/>
          <w:iCs w:val="1"/>
          <w:color w:val="009FE3"/>
        </w:rPr>
        <w:t xml:space="preserve">Equity-Based Compensation. </w:t>
      </w:r>
      <w:r>
        <w:rPr>
          <w:rFonts w:ascii="Arial" w:cs="Arial" w:eastAsia="Arial" w:hAnsi="Arial"/>
          <w:sz w:val="16"/>
          <w:szCs w:val="16"/>
          <w:color w:val="202E39"/>
        </w:rPr>
        <w:t>Consistent with our belief that equity-based compensation is a key component of an effective executive compensation</w:t>
      </w:r>
      <w:r>
        <w:rPr>
          <w:rFonts w:ascii="Arial" w:cs="Arial" w:eastAsia="Arial" w:hAnsi="Arial"/>
          <w:sz w:val="16"/>
          <w:szCs w:val="16"/>
          <w:i w:val="1"/>
          <w:iCs w:val="1"/>
          <w:color w:val="009FE3"/>
        </w:rPr>
        <w:t xml:space="preserve"> </w:t>
      </w:r>
      <w:r>
        <w:rPr>
          <w:rFonts w:ascii="Arial" w:cs="Arial" w:eastAsia="Arial" w:hAnsi="Arial"/>
          <w:sz w:val="16"/>
          <w:szCs w:val="16"/>
          <w:color w:val="202E39"/>
        </w:rPr>
        <w:t>program at growth-oriented technology companies, our Board approved (upon recommendation of our Compensation and Human Resources Committee) long-term equity awards to our executive officers in fiscal year 2018. Our Compensation and Human Resources Committee determined equity award levels for fiscal year 2018 in a manner consistent with the determination of base salary and annual bonuses. The Compensation and Human Resources Committee considered (1) the industry compensation data described above, (2) individual performance and contributions, (3) total executive compensation, (4) stockholder feedback on our executive pay programs, and (5) the availability and affordability of shares for equity grants in determining equity compensation for executive officers. In determining the availability and affordability of shares for the 2018 equity incentive awards for the executive officers, the Compensation and Human Resources Committee also considered:</w:t>
      </w:r>
    </w:p>
    <w:p>
      <w:pPr>
        <w:spacing w:after="0" w:line="111" w:lineRule="exact"/>
        <w:rPr>
          <w:sz w:val="20"/>
          <w:szCs w:val="20"/>
          <w:color w:val="auto"/>
        </w:rPr>
      </w:pPr>
    </w:p>
    <w:p>
      <w:pPr>
        <w:ind w:left="640" w:hanging="220"/>
        <w:spacing w:after="0"/>
        <w:tabs>
          <w:tab w:leader="none" w:pos="640" w:val="left"/>
        </w:tabs>
        <w:numPr>
          <w:ilvl w:val="0"/>
          <w:numId w:val="36"/>
        </w:numPr>
        <w:rPr>
          <w:rFonts w:ascii="Arial" w:cs="Arial" w:eastAsia="Arial" w:hAnsi="Arial"/>
          <w:sz w:val="16"/>
          <w:szCs w:val="16"/>
          <w:color w:val="009FE3"/>
        </w:rPr>
      </w:pPr>
      <w:r>
        <w:rPr>
          <w:rFonts w:ascii="Arial" w:cs="Arial" w:eastAsia="Arial" w:hAnsi="Arial"/>
          <w:sz w:val="16"/>
          <w:szCs w:val="16"/>
          <w:color w:val="202E39"/>
        </w:rPr>
        <w:t>the peer group data and compensation survey data from Radford,</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6"/>
        </w:numPr>
        <w:rPr>
          <w:rFonts w:ascii="Arial" w:cs="Arial" w:eastAsia="Arial" w:hAnsi="Arial"/>
          <w:sz w:val="16"/>
          <w:szCs w:val="16"/>
          <w:color w:val="009FE3"/>
        </w:rPr>
      </w:pPr>
      <w:r>
        <w:rPr>
          <w:rFonts w:ascii="Arial" w:cs="Arial" w:eastAsia="Arial" w:hAnsi="Arial"/>
          <w:sz w:val="16"/>
          <w:szCs w:val="16"/>
          <w:color w:val="202E39"/>
        </w:rPr>
        <w:t>the number of shares available for issuance under our equity plan,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6"/>
        </w:numPr>
        <w:rPr>
          <w:rFonts w:ascii="Arial" w:cs="Arial" w:eastAsia="Arial" w:hAnsi="Arial"/>
          <w:sz w:val="16"/>
          <w:szCs w:val="16"/>
          <w:color w:val="009FE3"/>
        </w:rPr>
      </w:pPr>
      <w:r>
        <w:rPr>
          <w:rFonts w:ascii="Arial" w:cs="Arial" w:eastAsia="Arial" w:hAnsi="Arial"/>
          <w:sz w:val="16"/>
          <w:szCs w:val="16"/>
          <w:color w:val="202E39"/>
        </w:rPr>
        <w:t>the number of shares budgeted for non-executive equity awards,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6"/>
        </w:numPr>
        <w:rPr>
          <w:rFonts w:ascii="Arial" w:cs="Arial" w:eastAsia="Arial" w:hAnsi="Arial"/>
          <w:sz w:val="16"/>
          <w:szCs w:val="16"/>
          <w:color w:val="009FE3"/>
        </w:rPr>
      </w:pPr>
      <w:r>
        <w:rPr>
          <w:rFonts w:ascii="Arial" w:cs="Arial" w:eastAsia="Arial" w:hAnsi="Arial"/>
          <w:sz w:val="16"/>
          <w:szCs w:val="16"/>
          <w:color w:val="202E39"/>
        </w:rPr>
        <w:t>the expected future retention and new hire grants to executives and non-executives,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6"/>
        </w:numPr>
        <w:rPr>
          <w:rFonts w:ascii="Arial" w:cs="Arial" w:eastAsia="Arial" w:hAnsi="Arial"/>
          <w:sz w:val="16"/>
          <w:szCs w:val="16"/>
          <w:color w:val="009FE3"/>
        </w:rPr>
      </w:pPr>
      <w:r>
        <w:rPr>
          <w:rFonts w:ascii="Arial" w:cs="Arial" w:eastAsia="Arial" w:hAnsi="Arial"/>
          <w:sz w:val="16"/>
          <w:szCs w:val="16"/>
          <w:color w:val="202E39"/>
        </w:rPr>
        <w:t>annual dilution (burn) rate associated with the grant of equity awards,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6"/>
        </w:numPr>
        <w:rPr>
          <w:rFonts w:ascii="Arial" w:cs="Arial" w:eastAsia="Arial" w:hAnsi="Arial"/>
          <w:sz w:val="16"/>
          <w:szCs w:val="16"/>
          <w:color w:val="009FE3"/>
        </w:rPr>
      </w:pPr>
      <w:r>
        <w:rPr>
          <w:rFonts w:ascii="Arial" w:cs="Arial" w:eastAsia="Arial" w:hAnsi="Arial"/>
          <w:sz w:val="16"/>
          <w:szCs w:val="16"/>
          <w:color w:val="202E39"/>
        </w:rPr>
        <w:t>Viasat’s equity overhang levels,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6"/>
        </w:numPr>
        <w:rPr>
          <w:rFonts w:ascii="Arial" w:cs="Arial" w:eastAsia="Arial" w:hAnsi="Arial"/>
          <w:sz w:val="16"/>
          <w:szCs w:val="16"/>
          <w:color w:val="009FE3"/>
        </w:rPr>
      </w:pPr>
      <w:r>
        <w:rPr>
          <w:rFonts w:ascii="Arial" w:cs="Arial" w:eastAsia="Arial" w:hAnsi="Arial"/>
          <w:sz w:val="16"/>
          <w:szCs w:val="16"/>
          <w:color w:val="202E39"/>
        </w:rPr>
        <w:t>the estimated accounting expense of potential equity awards, and</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6"/>
        </w:numPr>
        <w:rPr>
          <w:rFonts w:ascii="Arial" w:cs="Arial" w:eastAsia="Arial" w:hAnsi="Arial"/>
          <w:sz w:val="16"/>
          <w:szCs w:val="16"/>
          <w:color w:val="009FE3"/>
        </w:rPr>
      </w:pPr>
      <w:r>
        <w:rPr>
          <w:rFonts w:ascii="Arial" w:cs="Arial" w:eastAsia="Arial" w:hAnsi="Arial"/>
          <w:sz w:val="16"/>
          <w:szCs w:val="16"/>
          <w:color w:val="202E39"/>
        </w:rPr>
        <w:t>the tax consequences associated with the grant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96520</wp:posOffset>
            </wp:positionV>
            <wp:extent cx="42862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34</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8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7" w:lineRule="exact"/>
        <w:rPr>
          <w:sz w:val="20"/>
          <w:szCs w:val="20"/>
          <w:color w:val="auto"/>
        </w:rPr>
      </w:pPr>
    </w:p>
    <w:p>
      <w:pPr>
        <w:ind w:left="200" w:right="140"/>
        <w:spacing w:after="0" w:line="251" w:lineRule="auto"/>
        <w:rPr>
          <w:sz w:val="20"/>
          <w:szCs w:val="20"/>
          <w:color w:val="auto"/>
        </w:rPr>
      </w:pPr>
      <w:r>
        <w:rPr>
          <w:rFonts w:ascii="Arial" w:cs="Arial" w:eastAsia="Arial" w:hAnsi="Arial"/>
          <w:sz w:val="16"/>
          <w:szCs w:val="16"/>
          <w:color w:val="202E39"/>
        </w:rPr>
        <w:t>Based on the factors discussed above, our Board (upon recommendation from the Compensation and Human Resources Committee) approved equity awards in a combination of restricted stock units and newly-introduced performance-based stock options for our Named Executive Officers in November 2017. Our Board determined that this combination of equity awards balances executive retention and motivation while also further promoting the alignment of executive compensation with the creation of long-term stockholder value.</w:t>
      </w:r>
    </w:p>
    <w:p>
      <w:pPr>
        <w:spacing w:after="0" w:line="95" w:lineRule="exact"/>
        <w:rPr>
          <w:sz w:val="20"/>
          <w:szCs w:val="20"/>
          <w:color w:val="auto"/>
        </w:rPr>
      </w:pPr>
    </w:p>
    <w:p>
      <w:pPr>
        <w:ind w:left="200" w:right="100"/>
        <w:spacing w:after="0" w:line="248" w:lineRule="auto"/>
        <w:rPr>
          <w:sz w:val="20"/>
          <w:szCs w:val="20"/>
          <w:color w:val="auto"/>
        </w:rPr>
      </w:pPr>
      <w:r>
        <w:rPr>
          <w:rFonts w:ascii="Arial" w:cs="Arial" w:eastAsia="Arial" w:hAnsi="Arial"/>
          <w:sz w:val="16"/>
          <w:szCs w:val="16"/>
          <w:color w:val="202E39"/>
        </w:rPr>
        <w:t>Performance-based stock options were introduced during fiscal year 2018 to promote stockholder value creation over a multi-year period by rewarding our executive officers for long-term stock price appreciation. Our Board selected total stockholder return over a four-year period as the sole performance metric for the performance-based stock options as our Board members believe total stockholder return is a good indicator of long-term stockholder value creation. Delivering the award in the form of a performance-based stock option provides for further alignment with stockholders as any stock price gains realized by executives would be in proportion to those realized by our stockholders. Furthermore, as these awards are stock options, if Viasat’s stock price falls below the exercise price, which is equal to the closing price on the day of grant, any vested stock options would retain no value until the stock price increases above the exercise price.</w:t>
      </w:r>
    </w:p>
    <w:p>
      <w:pPr>
        <w:spacing w:after="0" w:line="101" w:lineRule="exact"/>
        <w:rPr>
          <w:sz w:val="20"/>
          <w:szCs w:val="20"/>
          <w:color w:val="auto"/>
        </w:rPr>
      </w:pPr>
    </w:p>
    <w:p>
      <w:pPr>
        <w:ind w:left="200" w:right="200"/>
        <w:spacing w:after="0" w:line="250" w:lineRule="auto"/>
        <w:rPr>
          <w:sz w:val="20"/>
          <w:szCs w:val="20"/>
          <w:color w:val="auto"/>
        </w:rPr>
      </w:pPr>
      <w:r>
        <w:rPr>
          <w:rFonts w:ascii="Arial" w:cs="Arial" w:eastAsia="Arial" w:hAnsi="Arial"/>
          <w:sz w:val="16"/>
          <w:szCs w:val="16"/>
          <w:color w:val="202E39"/>
        </w:rPr>
        <w:t>If Viasat’s total stockholder return performance relative to the S&amp;P MidCap 400 index is between the 25th and 100th percentiles after the four year performance period, the awards will vest between a range of 50% and 175% of target (with the resulting number of stock options that ultimately vest at the end of the performance period referred to as the performance-adjusted options). If Viasat’s total stockholder return does not meet the minimum performance target of a relative total stockholder return at least at the 25th percentile relative to the S&amp;P MidCap 400 index for the performance period, then no performance-based stock options will vest and they will be forfeited by the Named Executive Officer.</w:t>
      </w:r>
    </w:p>
    <w:p>
      <w:pPr>
        <w:spacing w:after="0" w:line="95"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The performance-based stock options are also subject to a time-based vesting component. A Named Executive Officer will become eligible to vest in 25% of the performance-adjusted options at the end of the performance period on each of the first four anniversaries of the grant date, subject to continued employment through each such date. In the event of a Named Executive Officer’s termination of employment prior to the end of the performance period, he or she will remain eligible to vest, at the end of the performance period, in such portion of the performance-adjusted options as had vested as of the date of termination in accordance with the time-based vesting schedule described above (and, in the case of a Named Executive Officer’s death or disability, he or she will be given full credit under the time-based vesting schedule and will remain eligible to vest in any and all of the performance-adjusted options at the end of the performance period).</w:t>
      </w:r>
    </w:p>
    <w:p>
      <w:pPr>
        <w:spacing w:after="0" w:line="101" w:lineRule="exact"/>
        <w:rPr>
          <w:sz w:val="20"/>
          <w:szCs w:val="20"/>
          <w:color w:val="auto"/>
        </w:rPr>
      </w:pPr>
    </w:p>
    <w:p>
      <w:pPr>
        <w:ind w:left="200" w:right="40"/>
        <w:spacing w:after="0" w:line="250" w:lineRule="auto"/>
        <w:rPr>
          <w:sz w:val="20"/>
          <w:szCs w:val="20"/>
          <w:color w:val="auto"/>
        </w:rPr>
      </w:pPr>
      <w:r>
        <w:rPr>
          <w:rFonts w:ascii="Arial" w:cs="Arial" w:eastAsia="Arial" w:hAnsi="Arial"/>
          <w:sz w:val="16"/>
          <w:szCs w:val="16"/>
          <w:color w:val="202E39"/>
        </w:rPr>
        <w:t>In the event of a change in control prior to the end of the four-year performance period, the number of performance-adjusted options in which a Named Executive Officer will be eligible to vest based on the time-based vesting schedule described above will be determined and will be the greater of (1) the “target” number of options subject to the award or (2) the number of performance-adjusted options determined on the date of the change in control based on the company’s relative total stockholder return compared to the S&amp;P MidCap 400 index for the portion of the performance period ending on the date of the change in control.</w:t>
      </w:r>
    </w:p>
    <w:p>
      <w:pPr>
        <w:spacing w:after="0" w:line="95"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202E39"/>
        </w:rPr>
        <w:t>Following a change in control, the Named Executive Officers may also be eligible for accelerated vesting of any portion of the performance-adjusted options (as determined at the time of the change in control) that remain eligible to vest based on continued service after a change in control in accordance with the terms of their change in control severance agreements, as described below.</w:t>
      </w:r>
    </w:p>
    <w:p>
      <w:pPr>
        <w:spacing w:after="0" w:line="93" w:lineRule="exact"/>
        <w:rPr>
          <w:sz w:val="20"/>
          <w:szCs w:val="20"/>
          <w:color w:val="auto"/>
        </w:rPr>
      </w:pPr>
    </w:p>
    <w:p>
      <w:pPr>
        <w:ind w:left="200" w:right="440"/>
        <w:spacing w:after="0" w:line="260" w:lineRule="auto"/>
        <w:rPr>
          <w:sz w:val="20"/>
          <w:szCs w:val="20"/>
          <w:color w:val="auto"/>
        </w:rPr>
      </w:pPr>
      <w:r>
        <w:rPr>
          <w:rFonts w:ascii="Arial" w:cs="Arial" w:eastAsia="Arial" w:hAnsi="Arial"/>
          <w:sz w:val="16"/>
          <w:szCs w:val="16"/>
          <w:color w:val="202E39"/>
        </w:rPr>
        <w:t>For more information on the restricted stock units and the performance-based stock options granted during fiscal year 2018, see the Grants of Plan-Based Awards in Fiscal Year 2018 table below.</w:t>
      </w:r>
    </w:p>
    <w:p>
      <w:pPr>
        <w:spacing w:after="0" w:line="72" w:lineRule="exact"/>
        <w:rPr>
          <w:sz w:val="20"/>
          <w:szCs w:val="20"/>
          <w:color w:val="auto"/>
        </w:rPr>
      </w:pPr>
    </w:p>
    <w:p>
      <w:pPr>
        <w:ind w:left="200"/>
        <w:spacing w:after="0" w:line="255" w:lineRule="auto"/>
        <w:rPr>
          <w:sz w:val="20"/>
          <w:szCs w:val="20"/>
          <w:color w:val="auto"/>
        </w:rPr>
      </w:pPr>
      <w:r>
        <w:rPr>
          <w:rFonts w:ascii="Arial" w:cs="Arial" w:eastAsia="Arial" w:hAnsi="Arial"/>
          <w:sz w:val="16"/>
          <w:szCs w:val="16"/>
          <w:i w:val="1"/>
          <w:iCs w:val="1"/>
          <w:color w:val="009FE3"/>
        </w:rPr>
        <w:t xml:space="preserve">Equity Grant Process. </w:t>
      </w:r>
      <w:r>
        <w:rPr>
          <w:rFonts w:ascii="Arial" w:cs="Arial" w:eastAsia="Arial" w:hAnsi="Arial"/>
          <w:sz w:val="16"/>
          <w:szCs w:val="16"/>
          <w:color w:val="202E39"/>
        </w:rPr>
        <w:t>The company’s general practice is to grant equity awards in approximately 12-month cycles. Grant approval for executive officers</w:t>
      </w:r>
      <w:r>
        <w:rPr>
          <w:rFonts w:ascii="Arial" w:cs="Arial" w:eastAsia="Arial" w:hAnsi="Arial"/>
          <w:sz w:val="16"/>
          <w:szCs w:val="16"/>
          <w:i w:val="1"/>
          <w:iCs w:val="1"/>
          <w:color w:val="009FE3"/>
        </w:rPr>
        <w:t xml:space="preserve"> </w:t>
      </w:r>
      <w:r>
        <w:rPr>
          <w:rFonts w:ascii="Arial" w:cs="Arial" w:eastAsia="Arial" w:hAnsi="Arial"/>
          <w:sz w:val="16"/>
          <w:szCs w:val="16"/>
          <w:color w:val="202E39"/>
        </w:rPr>
        <w:t>occurs at meetings of the Board. Because of the more extensive process for determining executive equity grants, executive equity grants are not always made at the same time as grants to all other eligible employees. Additionally, the timing of grants is not coordinated with the release of material non-public information. Stock option awards are priced at fair market value on the date of grant (as defined under our equity plan) and awards of restricted stock units are also made in accordance with the terms of our equity plan.</w:t>
      </w:r>
    </w:p>
    <w:p>
      <w:pPr>
        <w:spacing w:after="0" w:line="92" w:lineRule="exact"/>
        <w:rPr>
          <w:sz w:val="20"/>
          <w:szCs w:val="20"/>
          <w:color w:val="auto"/>
        </w:rPr>
      </w:pPr>
    </w:p>
    <w:p>
      <w:pPr>
        <w:ind w:left="200" w:right="40"/>
        <w:spacing w:after="0" w:line="250" w:lineRule="auto"/>
        <w:rPr>
          <w:sz w:val="20"/>
          <w:szCs w:val="20"/>
          <w:color w:val="auto"/>
        </w:rPr>
      </w:pPr>
      <w:r>
        <w:rPr>
          <w:rFonts w:ascii="Arial" w:cs="Arial" w:eastAsia="Arial" w:hAnsi="Arial"/>
          <w:sz w:val="16"/>
          <w:szCs w:val="16"/>
          <w:color w:val="202E39"/>
        </w:rPr>
        <w:t>In addition to grants made as part of our annual equity grant process for our current employees, grants may also be made during the year to newly-hired employees as part of the in-hire package, as well as to existing employees for purposes of retention, as part of a special incentive program or in recognition of special achievements. In the event of newly-hired employees or retention and recognition awards to existing employees, those grants are generally made once per quarter. We do not grant “re-load” options, make loans to executives for any purpose, including to exercise stock options, nor do we grant stock options at a discount.</w:t>
      </w:r>
    </w:p>
    <w:p>
      <w:pPr>
        <w:spacing w:after="0" w:line="121"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35</w:t>
            </w:r>
          </w:p>
        </w:tc>
      </w:tr>
    </w:tbl>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Other Benefits</w:t>
      </w:r>
    </w:p>
    <w:p>
      <w:pPr>
        <w:spacing w:after="0" w:line="133" w:lineRule="exact"/>
        <w:rPr>
          <w:sz w:val="20"/>
          <w:szCs w:val="20"/>
          <w:color w:val="auto"/>
        </w:rPr>
      </w:pPr>
    </w:p>
    <w:p>
      <w:pPr>
        <w:ind w:left="200" w:right="460"/>
        <w:spacing w:after="0" w:line="251" w:lineRule="auto"/>
        <w:rPr>
          <w:sz w:val="20"/>
          <w:szCs w:val="20"/>
          <w:color w:val="auto"/>
        </w:rPr>
      </w:pPr>
      <w:r>
        <w:rPr>
          <w:rFonts w:ascii="Arial" w:cs="Arial" w:eastAsia="Arial" w:hAnsi="Arial"/>
          <w:sz w:val="16"/>
          <w:szCs w:val="16"/>
          <w:color w:val="202E39"/>
        </w:rPr>
        <w:t>We provide a comprehensive benefits package to all of our employees, including our executive officers, which includes medical, dental, vision care, disability insurance, life insurance benefits, flexible spending plan, 401(k) savings plan, educational reimbursement program, employee assistance program, employee stock purchase plan, holidays and personal time off which includes vacation and sick days as needed. We do not currently offer defined benefit pension or supplemental executive retirement plans to any of our employees.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Perquisites and Other Personal Benefits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Certain executive officers also receive access to our sports and golf club memberships.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Additional Information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Stock Ownership Guidelines</w:t>
      </w:r>
    </w:p>
    <w:p>
      <w:pPr>
        <w:spacing w:after="0" w:line="133" w:lineRule="exact"/>
        <w:rPr>
          <w:sz w:val="20"/>
          <w:szCs w:val="20"/>
          <w:color w:val="auto"/>
        </w:rPr>
      </w:pPr>
    </w:p>
    <w:p>
      <w:pPr>
        <w:ind w:left="200" w:right="60"/>
        <w:spacing w:after="0" w:line="250" w:lineRule="auto"/>
        <w:rPr>
          <w:sz w:val="20"/>
          <w:szCs w:val="20"/>
          <w:color w:val="auto"/>
        </w:rPr>
      </w:pPr>
      <w:r>
        <w:rPr>
          <w:rFonts w:ascii="Arial" w:cs="Arial" w:eastAsia="Arial" w:hAnsi="Arial"/>
          <w:sz w:val="16"/>
          <w:szCs w:val="16"/>
          <w:color w:val="202E39"/>
        </w:rPr>
        <w:t>To enhance our overall corporate governance practices and executive compensation program, our Board has adopted stock ownership guidelines for our executive officers. These guidelines are designed to align our executive officers’ interests with our stockholders’ long-term interests by promoting long-term ownership of Viasat common stock, which reduces the incentive for excessive short-term risk taking. These guidelines provide that, within five years of his or her appointment as an executive officer, our executive officers should attain an investment position in shares of Viasat common stock having a value not less than the amounts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144780</wp:posOffset>
            </wp:positionV>
            <wp:extent cx="3498850" cy="728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98850" cy="728980"/>
                    </a:xfrm>
                    <a:prstGeom prst="rect">
                      <a:avLst/>
                    </a:prstGeom>
                    <a:noFill/>
                  </pic:spPr>
                </pic:pic>
              </a:graphicData>
            </a:graphic>
          </wp:anchor>
        </w:drawing>
      </w:r>
    </w:p>
    <w:p>
      <w:pPr>
        <w:spacing w:after="0" w:line="196"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2960" w:type="dxa"/>
            <w:vAlign w:val="bottom"/>
            <w:shd w:val="clear" w:color="auto" w:fill="009FE3"/>
          </w:tcPr>
          <w:p>
            <w:pPr>
              <w:spacing w:after="0"/>
              <w:rPr>
                <w:sz w:val="14"/>
                <w:szCs w:val="14"/>
                <w:color w:val="auto"/>
              </w:rPr>
            </w:pPr>
          </w:p>
        </w:tc>
        <w:tc>
          <w:tcPr>
            <w:tcW w:w="2560" w:type="dxa"/>
            <w:vAlign w:val="bottom"/>
            <w:shd w:val="clear" w:color="auto" w:fill="009FE3"/>
          </w:tcPr>
          <w:p>
            <w:pPr>
              <w:jc w:val="center"/>
              <w:ind w:left="43"/>
              <w:spacing w:after="0"/>
              <w:rPr>
                <w:sz w:val="20"/>
                <w:szCs w:val="20"/>
                <w:color w:val="auto"/>
              </w:rPr>
            </w:pPr>
            <w:r>
              <w:rPr>
                <w:rFonts w:ascii="Arial" w:cs="Arial" w:eastAsia="Arial" w:hAnsi="Arial"/>
                <w:sz w:val="14"/>
                <w:szCs w:val="14"/>
                <w:b w:val="1"/>
                <w:bCs w:val="1"/>
                <w:color w:val="FFFFFF"/>
              </w:rPr>
              <w:t>Stock Ownership Guideline</w:t>
            </w:r>
          </w:p>
        </w:tc>
      </w:tr>
      <w:tr>
        <w:trPr>
          <w:trHeight w:val="189"/>
        </w:trPr>
        <w:tc>
          <w:tcPr>
            <w:tcW w:w="2960" w:type="dxa"/>
            <w:vAlign w:val="bottom"/>
            <w:shd w:val="clear" w:color="auto" w:fill="009FE3"/>
          </w:tcPr>
          <w:p>
            <w:pPr>
              <w:ind w:left="940"/>
              <w:spacing w:after="0"/>
              <w:rPr>
                <w:sz w:val="20"/>
                <w:szCs w:val="20"/>
                <w:color w:val="auto"/>
              </w:rPr>
            </w:pPr>
            <w:r>
              <w:rPr>
                <w:rFonts w:ascii="Arial" w:cs="Arial" w:eastAsia="Arial" w:hAnsi="Arial"/>
                <w:sz w:val="14"/>
                <w:szCs w:val="14"/>
                <w:b w:val="1"/>
                <w:bCs w:val="1"/>
                <w:color w:val="FFFFFF"/>
              </w:rPr>
              <w:t>Executive Officer</w:t>
            </w:r>
          </w:p>
        </w:tc>
        <w:tc>
          <w:tcPr>
            <w:tcW w:w="2560" w:type="dxa"/>
            <w:vAlign w:val="bottom"/>
            <w:shd w:val="clear" w:color="auto" w:fill="009FE3"/>
          </w:tcPr>
          <w:p>
            <w:pPr>
              <w:jc w:val="center"/>
              <w:ind w:left="43"/>
              <w:spacing w:after="0"/>
              <w:rPr>
                <w:sz w:val="20"/>
                <w:szCs w:val="20"/>
                <w:color w:val="auto"/>
              </w:rPr>
            </w:pPr>
            <w:r>
              <w:rPr>
                <w:rFonts w:ascii="Arial" w:cs="Arial" w:eastAsia="Arial" w:hAnsi="Arial"/>
                <w:sz w:val="14"/>
                <w:szCs w:val="14"/>
                <w:b w:val="1"/>
                <w:bCs w:val="1"/>
                <w:color w:val="FFFFFF"/>
              </w:rPr>
              <w:t>(as a multiple of base salary)</w:t>
            </w:r>
          </w:p>
        </w:tc>
      </w:tr>
      <w:tr>
        <w:trPr>
          <w:trHeight w:val="237"/>
        </w:trPr>
        <w:tc>
          <w:tcPr>
            <w:tcW w:w="2960" w:type="dxa"/>
            <w:vAlign w:val="bottom"/>
            <w:shd w:val="clear" w:color="auto" w:fill="EDEEEF"/>
          </w:tcPr>
          <w:p>
            <w:pPr>
              <w:jc w:val="center"/>
              <w:ind w:right="1"/>
              <w:spacing w:after="0"/>
              <w:rPr>
                <w:sz w:val="20"/>
                <w:szCs w:val="20"/>
                <w:color w:val="auto"/>
              </w:rPr>
            </w:pPr>
            <w:r>
              <w:rPr>
                <w:rFonts w:ascii="Arial" w:cs="Arial" w:eastAsia="Arial" w:hAnsi="Arial"/>
                <w:sz w:val="16"/>
                <w:szCs w:val="16"/>
                <w:color w:val="202E39"/>
              </w:rPr>
              <w:t>Chief Executive Officer</w:t>
            </w:r>
          </w:p>
        </w:tc>
        <w:tc>
          <w:tcPr>
            <w:tcW w:w="2560" w:type="dxa"/>
            <w:vAlign w:val="bottom"/>
            <w:shd w:val="clear" w:color="auto" w:fill="EDEEEF"/>
          </w:tcPr>
          <w:p>
            <w:pPr>
              <w:jc w:val="center"/>
              <w:ind w:left="43"/>
              <w:spacing w:after="0"/>
              <w:rPr>
                <w:sz w:val="20"/>
                <w:szCs w:val="20"/>
                <w:color w:val="auto"/>
              </w:rPr>
            </w:pPr>
            <w:r>
              <w:rPr>
                <w:rFonts w:ascii="Arial" w:cs="Arial" w:eastAsia="Arial" w:hAnsi="Arial"/>
                <w:sz w:val="16"/>
                <w:szCs w:val="16"/>
                <w:color w:val="202E39"/>
                <w:w w:val="99"/>
              </w:rPr>
              <w:t>Three times</w:t>
            </w:r>
          </w:p>
        </w:tc>
      </w:tr>
      <w:tr>
        <w:trPr>
          <w:trHeight w:val="270"/>
        </w:trPr>
        <w:tc>
          <w:tcPr>
            <w:tcW w:w="2960" w:type="dxa"/>
            <w:vAlign w:val="bottom"/>
            <w:shd w:val="clear" w:color="auto" w:fill="EDEEEF"/>
          </w:tcPr>
          <w:p>
            <w:pPr>
              <w:jc w:val="center"/>
              <w:ind w:right="21"/>
              <w:spacing w:after="0"/>
              <w:rPr>
                <w:sz w:val="20"/>
                <w:szCs w:val="20"/>
                <w:color w:val="auto"/>
              </w:rPr>
            </w:pPr>
            <w:r>
              <w:rPr>
                <w:rFonts w:ascii="Arial" w:cs="Arial" w:eastAsia="Arial" w:hAnsi="Arial"/>
                <w:sz w:val="16"/>
                <w:szCs w:val="16"/>
                <w:color w:val="202E39"/>
              </w:rPr>
              <w:t>President and Chief Operating Officer</w:t>
            </w:r>
          </w:p>
        </w:tc>
        <w:tc>
          <w:tcPr>
            <w:tcW w:w="2560" w:type="dxa"/>
            <w:vAlign w:val="bottom"/>
            <w:shd w:val="clear" w:color="auto" w:fill="EDEEEF"/>
          </w:tcPr>
          <w:p>
            <w:pPr>
              <w:jc w:val="center"/>
              <w:ind w:left="43"/>
              <w:spacing w:after="0"/>
              <w:rPr>
                <w:sz w:val="20"/>
                <w:szCs w:val="20"/>
                <w:color w:val="auto"/>
              </w:rPr>
            </w:pPr>
            <w:r>
              <w:rPr>
                <w:rFonts w:ascii="Arial" w:cs="Arial" w:eastAsia="Arial" w:hAnsi="Arial"/>
                <w:sz w:val="16"/>
                <w:szCs w:val="16"/>
                <w:color w:val="202E39"/>
                <w:w w:val="99"/>
              </w:rPr>
              <w:t>Three times</w:t>
            </w:r>
          </w:p>
        </w:tc>
      </w:tr>
      <w:tr>
        <w:trPr>
          <w:trHeight w:val="283"/>
        </w:trPr>
        <w:tc>
          <w:tcPr>
            <w:tcW w:w="2960" w:type="dxa"/>
            <w:vAlign w:val="bottom"/>
            <w:tcBorders>
              <w:bottom w:val="single" w:sz="8" w:color="009FE3"/>
            </w:tcBorders>
            <w:shd w:val="clear" w:color="auto" w:fill="EDEEEF"/>
          </w:tcPr>
          <w:p>
            <w:pPr>
              <w:jc w:val="center"/>
              <w:ind w:right="1"/>
              <w:spacing w:after="0"/>
              <w:rPr>
                <w:sz w:val="20"/>
                <w:szCs w:val="20"/>
                <w:color w:val="auto"/>
              </w:rPr>
            </w:pPr>
            <w:r>
              <w:rPr>
                <w:rFonts w:ascii="Arial" w:cs="Arial" w:eastAsia="Arial" w:hAnsi="Arial"/>
                <w:sz w:val="16"/>
                <w:szCs w:val="16"/>
                <w:color w:val="202E39"/>
              </w:rPr>
              <w:t>Other Executive Officers</w:t>
            </w:r>
          </w:p>
        </w:tc>
        <w:tc>
          <w:tcPr>
            <w:tcW w:w="2560" w:type="dxa"/>
            <w:vAlign w:val="bottom"/>
            <w:tcBorders>
              <w:bottom w:val="single" w:sz="8" w:color="009FE3"/>
            </w:tcBorders>
            <w:shd w:val="clear" w:color="auto" w:fill="EDEEEF"/>
          </w:tcPr>
          <w:p>
            <w:pPr>
              <w:jc w:val="center"/>
              <w:ind w:left="43"/>
              <w:spacing w:after="0"/>
              <w:rPr>
                <w:sz w:val="20"/>
                <w:szCs w:val="20"/>
                <w:color w:val="auto"/>
              </w:rPr>
            </w:pPr>
            <w:r>
              <w:rPr>
                <w:rFonts w:ascii="Arial" w:cs="Arial" w:eastAsia="Arial" w:hAnsi="Arial"/>
                <w:sz w:val="16"/>
                <w:szCs w:val="16"/>
                <w:color w:val="202E39"/>
                <w:w w:val="98"/>
              </w:rPr>
              <w:t>One time</w:t>
            </w:r>
          </w:p>
        </w:tc>
      </w:tr>
    </w:tbl>
    <w:p>
      <w:pPr>
        <w:spacing w:after="0" w:line="19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Hedging, Short Sale and Pledging Policies</w:t>
      </w:r>
    </w:p>
    <w:p>
      <w:pPr>
        <w:spacing w:after="0" w:line="133"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202E39"/>
        </w:rPr>
        <w:t>Viasat’s policies prohibit all of our directors and executive officers from trading in put and call options and engaging in short sales with respect to shares of Viasat common stock. Viasat also strongly discourages any pledges of Viasat common stock that could have any adverse impact on the company. Our policies require all pledges of Viasat common stock by our directors and executive officers, including the establishment of a margin account containing Viasat common stock, to be pre-cleared by our General Counsel.</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Tax and Accounting Considerations</w:t>
      </w:r>
    </w:p>
    <w:p>
      <w:pPr>
        <w:spacing w:after="0" w:line="133" w:lineRule="exact"/>
        <w:rPr>
          <w:sz w:val="20"/>
          <w:szCs w:val="20"/>
          <w:color w:val="auto"/>
        </w:rPr>
      </w:pPr>
    </w:p>
    <w:p>
      <w:pPr>
        <w:ind w:left="200" w:right="140"/>
        <w:spacing w:after="0" w:line="248" w:lineRule="auto"/>
        <w:rPr>
          <w:sz w:val="20"/>
          <w:szCs w:val="20"/>
          <w:color w:val="auto"/>
        </w:rPr>
      </w:pPr>
      <w:r>
        <w:rPr>
          <w:rFonts w:ascii="Arial" w:cs="Arial" w:eastAsia="Arial" w:hAnsi="Arial"/>
          <w:sz w:val="16"/>
          <w:szCs w:val="16"/>
          <w:color w:val="202E39"/>
        </w:rPr>
        <w:t>We select and implement the components of our executive compensation program primarily for their ability to help us achieve the company’s objectives and not on the basis of any unique or preferential financial tax or accounting treatment. In addition, Section 162(m) of the Internal Revenue Code generally sets a limit of $1.0 million on the amount of annual compensation that we may deduct for federal income tax purposes for certain covered individuals. We have not adopted a policy requiring that all compensation be deductible, although the Compensation and Human Resources Committee will continue to review the Section 162(m) deductibility of our compensation arrangements in fiscal year 2018 and future fiscal years. The Compensation and Human Resources Committee retains the discretion to approve compensation that may not qualify for the compensation deduction if, in light of all applicable circumstances, it would be in our best interest for such compensation to be paid without regard to whether it may be tax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88265</wp:posOffset>
            </wp:positionV>
            <wp:extent cx="42862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Committee Report</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Compensation Committee Report</w:t>
      </w:r>
    </w:p>
    <w:p>
      <w:pPr>
        <w:spacing w:after="0" w:line="145" w:lineRule="exact"/>
        <w:rPr>
          <w:sz w:val="20"/>
          <w:szCs w:val="20"/>
          <w:color w:val="auto"/>
        </w:rPr>
      </w:pPr>
    </w:p>
    <w:p>
      <w:pPr>
        <w:ind w:left="200" w:right="200"/>
        <w:spacing w:after="0" w:line="253" w:lineRule="auto"/>
        <w:rPr>
          <w:sz w:val="20"/>
          <w:szCs w:val="20"/>
          <w:color w:val="auto"/>
        </w:rPr>
      </w:pPr>
      <w:r>
        <w:rPr>
          <w:rFonts w:ascii="Arial" w:cs="Arial" w:eastAsia="Arial" w:hAnsi="Arial"/>
          <w:sz w:val="16"/>
          <w:szCs w:val="16"/>
          <w:color w:val="202E39"/>
        </w:rPr>
        <w:t>The Compensation and Human Resources Committee has reviewed and discussed the Compensation Discussion and Analysis with management and, based on such review and discussions, the Compensation and Human Resources Committee recommended to the Board of Directors that the Compensation Discussion and Analysis be included in this proxy statement.</w:t>
      </w:r>
    </w:p>
    <w:p>
      <w:pPr>
        <w:spacing w:after="0" w:line="77" w:lineRule="exact"/>
        <w:rPr>
          <w:sz w:val="20"/>
          <w:szCs w:val="20"/>
          <w:color w:val="auto"/>
        </w:rPr>
      </w:pPr>
    </w:p>
    <w:p>
      <w:pPr>
        <w:jc w:val="both"/>
        <w:ind w:left="200"/>
        <w:spacing w:after="0" w:line="258" w:lineRule="auto"/>
        <w:rPr>
          <w:sz w:val="20"/>
          <w:szCs w:val="20"/>
          <w:color w:val="auto"/>
        </w:rPr>
      </w:pPr>
      <w:r>
        <w:rPr>
          <w:rFonts w:ascii="Arial" w:cs="Arial" w:eastAsia="Arial" w:hAnsi="Arial"/>
          <w:sz w:val="16"/>
          <w:szCs w:val="16"/>
          <w:i w:val="1"/>
          <w:iCs w:val="1"/>
          <w:color w:val="202E39"/>
        </w:rPr>
        <w:t>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89"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Respectfully Submitted by the</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Compensation and Human Resources Committee</w:t>
      </w:r>
    </w:p>
    <w:p>
      <w:pPr>
        <w:spacing w:after="0" w:line="221"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Jeffrey Nash (Chair)</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Frank J. Biondi, Jr.</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Varsha Rao</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John Stenbit</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Harvey White</w:t>
      </w:r>
    </w:p>
    <w:p>
      <w:pPr>
        <w:spacing w:after="0" w:line="139"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37</w:t>
            </w:r>
          </w:p>
        </w:tc>
      </w:tr>
    </w:tbl>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Summary Compensation Table</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Summary Compensation Table</w:t>
      </w:r>
    </w:p>
    <w:p>
      <w:pPr>
        <w:spacing w:after="0" w:line="145" w:lineRule="exact"/>
        <w:rPr>
          <w:sz w:val="20"/>
          <w:szCs w:val="20"/>
          <w:color w:val="auto"/>
        </w:rPr>
      </w:pPr>
    </w:p>
    <w:p>
      <w:pPr>
        <w:ind w:left="200" w:right="200"/>
        <w:spacing w:after="0" w:line="253" w:lineRule="auto"/>
        <w:rPr>
          <w:sz w:val="20"/>
          <w:szCs w:val="20"/>
          <w:color w:val="auto"/>
        </w:rPr>
      </w:pPr>
      <w:r>
        <w:rPr>
          <w:rFonts w:ascii="Arial" w:cs="Arial" w:eastAsia="Arial" w:hAnsi="Arial"/>
          <w:sz w:val="16"/>
          <w:szCs w:val="16"/>
          <w:color w:val="202E39"/>
        </w:rPr>
        <w:t>The following table sets forth the compensation earned during the fiscal years ended March 31, 2018, March 31, 2017 and March 31, 2016 by our Chief Executive Officer and Chief Financial Officer, as well as our three other most highly compensated executive officers (collectively, the Named Executive Officers).</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3300" w:type="dxa"/>
            <w:vAlign w:val="bottom"/>
            <w:tcBorders>
              <w:top w:val="single" w:sz="8" w:color="E8EAEB"/>
              <w:right w:val="single" w:sz="8" w:color="E8EAEB"/>
            </w:tcBorders>
          </w:tcPr>
          <w:p>
            <w:pPr>
              <w:spacing w:after="0"/>
              <w:rPr>
                <w:sz w:val="17"/>
                <w:szCs w:val="17"/>
                <w:color w:val="auto"/>
              </w:rPr>
            </w:pPr>
          </w:p>
        </w:tc>
        <w:tc>
          <w:tcPr>
            <w:tcW w:w="72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spacing w:after="0"/>
              <w:rPr>
                <w:sz w:val="17"/>
                <w:szCs w:val="17"/>
                <w:color w:val="auto"/>
              </w:rPr>
            </w:pPr>
          </w:p>
        </w:tc>
        <w:tc>
          <w:tcPr>
            <w:tcW w:w="62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Non-Equity</w:t>
            </w:r>
          </w:p>
        </w:tc>
        <w:tc>
          <w:tcPr>
            <w:tcW w:w="1020" w:type="dxa"/>
            <w:vAlign w:val="bottom"/>
            <w:tcBorders>
              <w:top w:val="single" w:sz="8" w:color="E8EAEB"/>
              <w:right w:val="single" w:sz="8" w:color="E8EAEB"/>
            </w:tcBorders>
          </w:tcPr>
          <w:p>
            <w:pPr>
              <w:spacing w:after="0"/>
              <w:rPr>
                <w:sz w:val="17"/>
                <w:szCs w:val="17"/>
                <w:color w:val="auto"/>
              </w:rPr>
            </w:pPr>
          </w:p>
        </w:tc>
        <w:tc>
          <w:tcPr>
            <w:tcW w:w="1120" w:type="dxa"/>
            <w:vAlign w:val="bottom"/>
            <w:tcBorders>
              <w:top w:val="single" w:sz="8" w:color="E8EAEB"/>
            </w:tcBorders>
          </w:tcPr>
          <w:p>
            <w:pPr>
              <w:spacing w:after="0"/>
              <w:rPr>
                <w:sz w:val="17"/>
                <w:szCs w:val="17"/>
                <w:color w:val="auto"/>
              </w:rPr>
            </w:pPr>
          </w:p>
        </w:tc>
      </w:tr>
      <w:tr>
        <w:trPr>
          <w:trHeight w:val="162"/>
        </w:trPr>
        <w:tc>
          <w:tcPr>
            <w:tcW w:w="330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62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Incentive Plan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1120" w:type="dxa"/>
            <w:vAlign w:val="bottom"/>
          </w:tcPr>
          <w:p>
            <w:pPr>
              <w:spacing w:after="0"/>
              <w:rPr>
                <w:sz w:val="14"/>
                <w:szCs w:val="14"/>
                <w:color w:val="auto"/>
              </w:rPr>
            </w:pPr>
          </w:p>
        </w:tc>
      </w:tr>
      <w:tr>
        <w:trPr>
          <w:trHeight w:val="162"/>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 and</w:t>
            </w:r>
          </w:p>
        </w:tc>
        <w:tc>
          <w:tcPr>
            <w:tcW w:w="720" w:type="dxa"/>
            <w:vAlign w:val="bottom"/>
            <w:tcBorders>
              <w:right w:val="single" w:sz="8" w:color="E8EAEB"/>
            </w:tcBorders>
          </w:tcPr>
          <w:p>
            <w:pPr>
              <w:ind w:left="140"/>
              <w:spacing w:after="0"/>
              <w:rPr>
                <w:sz w:val="20"/>
                <w:szCs w:val="20"/>
                <w:color w:val="auto"/>
              </w:rPr>
            </w:pPr>
            <w:r>
              <w:rPr>
                <w:rFonts w:ascii="Arial" w:cs="Arial" w:eastAsia="Arial" w:hAnsi="Arial"/>
                <w:sz w:val="14"/>
                <w:szCs w:val="14"/>
                <w:b w:val="1"/>
                <w:bCs w:val="1"/>
                <w:color w:val="009FE3"/>
              </w:rPr>
              <w:t>Fiscal</w:t>
            </w:r>
          </w:p>
        </w:tc>
        <w:tc>
          <w:tcPr>
            <w:tcW w:w="1060" w:type="dxa"/>
            <w:vAlign w:val="bottom"/>
            <w:tcBorders>
              <w:right w:val="single" w:sz="8" w:color="E8EAEB"/>
            </w:tcBorders>
          </w:tcPr>
          <w:p>
            <w:pPr>
              <w:jc w:val="right"/>
              <w:ind w:right="268"/>
              <w:spacing w:after="0"/>
              <w:rPr>
                <w:sz w:val="20"/>
                <w:szCs w:val="20"/>
                <w:color w:val="auto"/>
              </w:rPr>
            </w:pPr>
            <w:r>
              <w:rPr>
                <w:rFonts w:ascii="Arial" w:cs="Arial" w:eastAsia="Arial" w:hAnsi="Arial"/>
                <w:sz w:val="14"/>
                <w:szCs w:val="14"/>
                <w:b w:val="1"/>
                <w:bCs w:val="1"/>
                <w:color w:val="009FE3"/>
              </w:rPr>
              <w:t>Salary</w:t>
            </w:r>
          </w:p>
        </w:tc>
        <w:tc>
          <w:tcPr>
            <w:tcW w:w="62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Bonus</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8"/>
              </w:rPr>
              <w:t>Awards</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120" w:type="dxa"/>
            <w:vAlign w:val="bottom"/>
          </w:tcPr>
          <w:p>
            <w:pPr>
              <w:jc w:val="right"/>
              <w:ind w:right="328"/>
              <w:spacing w:after="0"/>
              <w:rPr>
                <w:sz w:val="20"/>
                <w:szCs w:val="20"/>
                <w:color w:val="auto"/>
              </w:rPr>
            </w:pPr>
            <w:r>
              <w:rPr>
                <w:rFonts w:ascii="Arial" w:cs="Arial" w:eastAsia="Arial" w:hAnsi="Arial"/>
                <w:sz w:val="14"/>
                <w:szCs w:val="14"/>
                <w:b w:val="1"/>
                <w:bCs w:val="1"/>
                <w:color w:val="009FE3"/>
              </w:rPr>
              <w:t>Total</w:t>
            </w:r>
          </w:p>
        </w:tc>
      </w:tr>
      <w:tr>
        <w:trPr>
          <w:trHeight w:val="189"/>
        </w:trPr>
        <w:tc>
          <w:tcPr>
            <w:tcW w:w="3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Principal Position</w:t>
            </w:r>
          </w:p>
        </w:tc>
        <w:tc>
          <w:tcPr>
            <w:tcW w:w="720" w:type="dxa"/>
            <w:vAlign w:val="bottom"/>
            <w:tcBorders>
              <w:bottom w:val="single" w:sz="8" w:color="009FE3"/>
              <w:right w:val="single" w:sz="8" w:color="E8EAEB"/>
            </w:tcBorders>
          </w:tcPr>
          <w:p>
            <w:pPr>
              <w:ind w:left="180"/>
              <w:spacing w:after="0"/>
              <w:rPr>
                <w:sz w:val="20"/>
                <w:szCs w:val="20"/>
                <w:color w:val="auto"/>
              </w:rPr>
            </w:pPr>
            <w:r>
              <w:rPr>
                <w:rFonts w:ascii="Arial" w:cs="Arial" w:eastAsia="Arial" w:hAnsi="Arial"/>
                <w:sz w:val="14"/>
                <w:szCs w:val="14"/>
                <w:b w:val="1"/>
                <w:bCs w:val="1"/>
                <w:color w:val="009FE3"/>
              </w:rPr>
              <w:t>Year</w:t>
            </w:r>
          </w:p>
        </w:tc>
        <w:tc>
          <w:tcPr>
            <w:tcW w:w="1060" w:type="dxa"/>
            <w:vAlign w:val="bottom"/>
            <w:tcBorders>
              <w:bottom w:val="single" w:sz="8" w:color="009FE3"/>
              <w:right w:val="single" w:sz="8" w:color="E8EAEB"/>
            </w:tcBorders>
          </w:tcPr>
          <w:p>
            <w:pPr>
              <w:jc w:val="right"/>
              <w:ind w:right="388"/>
              <w:spacing w:after="0"/>
              <w:rPr>
                <w:sz w:val="20"/>
                <w:szCs w:val="20"/>
                <w:color w:val="auto"/>
              </w:rPr>
            </w:pPr>
            <w:r>
              <w:rPr>
                <w:rFonts w:ascii="Arial" w:cs="Arial" w:eastAsia="Arial" w:hAnsi="Arial"/>
                <w:sz w:val="14"/>
                <w:szCs w:val="14"/>
                <w:b w:val="1"/>
                <w:bCs w:val="1"/>
                <w:color w:val="009FE3"/>
              </w:rPr>
              <w:t>($)</w:t>
            </w:r>
          </w:p>
        </w:tc>
        <w:tc>
          <w:tcPr>
            <w:tcW w:w="620" w:type="dxa"/>
            <w:vAlign w:val="bottom"/>
            <w:tcBorders>
              <w:bottom w:val="single" w:sz="8" w:color="009FE3"/>
              <w:right w:val="single" w:sz="8" w:color="E8EAEB"/>
            </w:tcBorders>
          </w:tcPr>
          <w:p>
            <w:pPr>
              <w:ind w:left="200"/>
              <w:spacing w:after="0"/>
              <w:rPr>
                <w:sz w:val="20"/>
                <w:szCs w:val="20"/>
                <w:color w:val="auto"/>
              </w:rPr>
            </w:pPr>
            <w:r>
              <w:rPr>
                <w:rFonts w:ascii="Arial" w:cs="Arial" w:eastAsia="Arial" w:hAnsi="Arial"/>
                <w:sz w:val="14"/>
                <w:szCs w:val="14"/>
                <w:b w:val="1"/>
                <w:bCs w:val="1"/>
                <w:color w:val="009FE3"/>
              </w:rPr>
              <w:t>($)</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(1)</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(1)</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(2)</w:t>
            </w:r>
          </w:p>
        </w:tc>
        <w:tc>
          <w:tcPr>
            <w:tcW w:w="10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(3)</w:t>
            </w:r>
          </w:p>
        </w:tc>
        <w:tc>
          <w:tcPr>
            <w:tcW w:w="1120" w:type="dxa"/>
            <w:vAlign w:val="bottom"/>
            <w:tcBorders>
              <w:bottom w:val="single" w:sz="8" w:color="009FE3"/>
            </w:tcBorders>
          </w:tcPr>
          <w:p>
            <w:pPr>
              <w:jc w:val="right"/>
              <w:ind w:right="408"/>
              <w:spacing w:after="0"/>
              <w:rPr>
                <w:sz w:val="20"/>
                <w:szCs w:val="20"/>
                <w:color w:val="auto"/>
              </w:rPr>
            </w:pPr>
            <w:r>
              <w:rPr>
                <w:rFonts w:ascii="Arial" w:cs="Arial" w:eastAsia="Arial" w:hAnsi="Arial"/>
                <w:sz w:val="14"/>
                <w:szCs w:val="14"/>
                <w:b w:val="1"/>
                <w:bCs w:val="1"/>
                <w:color w:val="009FE3"/>
              </w:rPr>
              <w:t>($)</w:t>
            </w:r>
          </w:p>
        </w:tc>
      </w:tr>
      <w:tr>
        <w:trPr>
          <w:trHeight w:val="214"/>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Mark Dankberg</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2018</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1,175,000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3,442,625</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4,485,810</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1,335,018</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50,872</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10,489,325</w:t>
            </w:r>
          </w:p>
        </w:tc>
      </w:tr>
      <w:tr>
        <w:trPr>
          <w:trHeight w:val="162"/>
        </w:trPr>
        <w:tc>
          <w:tcPr>
            <w:tcW w:w="330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Chairman and Chief</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1,100,000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3,254,557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3,300,192</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1,350,000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17,389</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9,022,138</w:t>
            </w:r>
          </w:p>
        </w:tc>
      </w:tr>
      <w:tr>
        <w:trPr>
          <w:trHeight w:val="178"/>
        </w:trPr>
        <w:tc>
          <w:tcPr>
            <w:tcW w:w="330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Executive Officer</w:t>
            </w:r>
          </w:p>
        </w:tc>
        <w:tc>
          <w:tcPr>
            <w:tcW w:w="72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2016</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1,025,000</w:t>
            </w:r>
          </w:p>
        </w:tc>
        <w:tc>
          <w:tcPr>
            <w:tcW w:w="62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2,552,520</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2,547,950</w:t>
            </w:r>
          </w:p>
        </w:tc>
        <w:tc>
          <w:tcPr>
            <w:tcW w:w="106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1,200,000</w:t>
            </w:r>
          </w:p>
        </w:tc>
        <w:tc>
          <w:tcPr>
            <w:tcW w:w="10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10,279</w:t>
            </w:r>
          </w:p>
        </w:tc>
        <w:tc>
          <w:tcPr>
            <w:tcW w:w="112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7,335,749</w:t>
            </w: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Richard Baldridge</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2018</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1,000,000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2,766,375</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3,604,669</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1,157,032</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13,086</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8,541,162</w:t>
            </w:r>
          </w:p>
        </w:tc>
      </w:tr>
      <w:tr>
        <w:trPr>
          <w:trHeight w:val="162"/>
        </w:trPr>
        <w:tc>
          <w:tcPr>
            <w:tcW w:w="330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Director, President and</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875,000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2,615,250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2,651,940</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1,150,000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13,077</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7,305,267</w:t>
            </w:r>
          </w:p>
        </w:tc>
      </w:tr>
      <w:tr>
        <w:trPr>
          <w:trHeight w:val="178"/>
        </w:trPr>
        <w:tc>
          <w:tcPr>
            <w:tcW w:w="330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Chief Operating Officer</w:t>
            </w:r>
          </w:p>
        </w:tc>
        <w:tc>
          <w:tcPr>
            <w:tcW w:w="72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2016</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850,000</w:t>
            </w:r>
          </w:p>
        </w:tc>
        <w:tc>
          <w:tcPr>
            <w:tcW w:w="62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1,939,920</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1,936,442</w:t>
            </w:r>
          </w:p>
        </w:tc>
        <w:tc>
          <w:tcPr>
            <w:tcW w:w="106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975,000</w:t>
            </w:r>
          </w:p>
        </w:tc>
        <w:tc>
          <w:tcPr>
            <w:tcW w:w="10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11,519</w:t>
            </w:r>
          </w:p>
        </w:tc>
        <w:tc>
          <w:tcPr>
            <w:tcW w:w="112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5,712,881</w:t>
            </w: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Shawn Duffy</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2018</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525,000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737,700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961,245</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400,562</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20,457</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2,644,964</w:t>
            </w:r>
          </w:p>
        </w:tc>
      </w:tr>
      <w:tr>
        <w:trPr>
          <w:trHeight w:val="162"/>
        </w:trPr>
        <w:tc>
          <w:tcPr>
            <w:tcW w:w="330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Senior Vice President and</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490,000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639,307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648,252</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470,000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9,842</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2,257,401</w:t>
            </w:r>
          </w:p>
        </w:tc>
      </w:tr>
      <w:tr>
        <w:trPr>
          <w:trHeight w:val="178"/>
        </w:trPr>
        <w:tc>
          <w:tcPr>
            <w:tcW w:w="330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Chief Financial Officer</w:t>
            </w:r>
          </w:p>
        </w:tc>
        <w:tc>
          <w:tcPr>
            <w:tcW w:w="72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2016</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450,000</w:t>
            </w:r>
          </w:p>
        </w:tc>
        <w:tc>
          <w:tcPr>
            <w:tcW w:w="62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561,570</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560,549</w:t>
            </w:r>
          </w:p>
        </w:tc>
        <w:tc>
          <w:tcPr>
            <w:tcW w:w="106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450,000</w:t>
            </w:r>
          </w:p>
        </w:tc>
        <w:tc>
          <w:tcPr>
            <w:tcW w:w="10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8,885</w:t>
            </w:r>
          </w:p>
        </w:tc>
        <w:tc>
          <w:tcPr>
            <w:tcW w:w="112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2,031,004</w:t>
            </w: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Keven Lippert</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2018</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585,000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1,106,550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1,441,868</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534,020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15,216</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3,682,654</w:t>
            </w:r>
          </w:p>
        </w:tc>
      </w:tr>
      <w:tr>
        <w:trPr>
          <w:trHeight w:val="176"/>
        </w:trPr>
        <w:tc>
          <w:tcPr>
            <w:tcW w:w="330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Executive Vice President,</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550,000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1,046,100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1,060,776</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550,000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17,609</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3,224,485</w:t>
            </w:r>
          </w:p>
        </w:tc>
      </w:tr>
      <w:tr>
        <w:trPr>
          <w:trHeight w:val="172"/>
        </w:trPr>
        <w:tc>
          <w:tcPr>
            <w:tcW w:w="330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Corporate Development and</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2016</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500,000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765,750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764,385</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525,000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18,370</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2,573,505</w:t>
            </w:r>
          </w:p>
        </w:tc>
      </w:tr>
      <w:tr>
        <w:trPr>
          <w:trHeight w:val="201"/>
        </w:trPr>
        <w:tc>
          <w:tcPr>
            <w:tcW w:w="330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Chief Administrative Officer</w:t>
            </w:r>
          </w:p>
        </w:tc>
        <w:tc>
          <w:tcPr>
            <w:tcW w:w="720" w:type="dxa"/>
            <w:vAlign w:val="bottom"/>
            <w:tcBorders>
              <w:bottom w:val="single" w:sz="8" w:color="E8EAEB"/>
              <w:right w:val="single" w:sz="8" w:color="E8EAEB"/>
            </w:tcBorders>
          </w:tcPr>
          <w:p>
            <w:pPr>
              <w:spacing w:after="0"/>
              <w:rPr>
                <w:sz w:val="17"/>
                <w:szCs w:val="17"/>
                <w:color w:val="auto"/>
              </w:rPr>
            </w:pPr>
          </w:p>
        </w:tc>
        <w:tc>
          <w:tcPr>
            <w:tcW w:w="1060" w:type="dxa"/>
            <w:vAlign w:val="bottom"/>
            <w:tcBorders>
              <w:bottom w:val="single" w:sz="8" w:color="E8EAEB"/>
              <w:right w:val="single" w:sz="8" w:color="E8EAEB"/>
            </w:tcBorders>
          </w:tcPr>
          <w:p>
            <w:pPr>
              <w:spacing w:after="0"/>
              <w:rPr>
                <w:sz w:val="17"/>
                <w:szCs w:val="17"/>
                <w:color w:val="auto"/>
              </w:rPr>
            </w:pPr>
          </w:p>
        </w:tc>
        <w:tc>
          <w:tcPr>
            <w:tcW w:w="620" w:type="dxa"/>
            <w:vAlign w:val="bottom"/>
            <w:tcBorders>
              <w:bottom w:val="single" w:sz="8" w:color="E8EAEB"/>
              <w:right w:val="single" w:sz="8" w:color="E8EAEB"/>
            </w:tcBorders>
          </w:tcPr>
          <w:p>
            <w:pPr>
              <w:spacing w:after="0"/>
              <w:rPr>
                <w:sz w:val="17"/>
                <w:szCs w:val="17"/>
                <w:color w:val="auto"/>
              </w:rPr>
            </w:pPr>
          </w:p>
        </w:tc>
        <w:tc>
          <w:tcPr>
            <w:tcW w:w="1060" w:type="dxa"/>
            <w:vAlign w:val="bottom"/>
            <w:tcBorders>
              <w:bottom w:val="single" w:sz="8" w:color="E8EAEB"/>
              <w:right w:val="single" w:sz="8" w:color="E8EAEB"/>
            </w:tcBorders>
          </w:tcPr>
          <w:p>
            <w:pPr>
              <w:spacing w:after="0"/>
              <w:rPr>
                <w:sz w:val="17"/>
                <w:szCs w:val="17"/>
                <w:color w:val="auto"/>
              </w:rPr>
            </w:pPr>
          </w:p>
        </w:tc>
        <w:tc>
          <w:tcPr>
            <w:tcW w:w="1060" w:type="dxa"/>
            <w:vAlign w:val="bottom"/>
            <w:tcBorders>
              <w:bottom w:val="single" w:sz="8" w:color="E8EAEB"/>
              <w:right w:val="single" w:sz="8" w:color="E8EAEB"/>
            </w:tcBorders>
          </w:tcPr>
          <w:p>
            <w:pPr>
              <w:spacing w:after="0"/>
              <w:rPr>
                <w:sz w:val="17"/>
                <w:szCs w:val="17"/>
                <w:color w:val="auto"/>
              </w:rPr>
            </w:pPr>
          </w:p>
        </w:tc>
        <w:tc>
          <w:tcPr>
            <w:tcW w:w="1060" w:type="dxa"/>
            <w:vAlign w:val="bottom"/>
            <w:tcBorders>
              <w:bottom w:val="single" w:sz="8" w:color="E8EAEB"/>
              <w:right w:val="single" w:sz="8" w:color="E8EAEB"/>
            </w:tcBorders>
          </w:tcPr>
          <w:p>
            <w:pPr>
              <w:spacing w:after="0"/>
              <w:rPr>
                <w:sz w:val="17"/>
                <w:szCs w:val="17"/>
                <w:color w:val="auto"/>
              </w:rPr>
            </w:pPr>
          </w:p>
        </w:tc>
        <w:tc>
          <w:tcPr>
            <w:tcW w:w="1020" w:type="dxa"/>
            <w:vAlign w:val="bottom"/>
            <w:tcBorders>
              <w:bottom w:val="single" w:sz="8" w:color="E8EAEB"/>
              <w:right w:val="single" w:sz="8" w:color="E8EAEB"/>
            </w:tcBorders>
          </w:tcPr>
          <w:p>
            <w:pPr>
              <w:spacing w:after="0"/>
              <w:rPr>
                <w:sz w:val="17"/>
                <w:szCs w:val="17"/>
                <w:color w:val="auto"/>
              </w:rPr>
            </w:pPr>
          </w:p>
        </w:tc>
        <w:tc>
          <w:tcPr>
            <w:tcW w:w="1120" w:type="dxa"/>
            <w:vAlign w:val="bottom"/>
            <w:tcBorders>
              <w:bottom w:val="single" w:sz="8" w:color="E8EAEB"/>
            </w:tcBorders>
          </w:tcPr>
          <w:p>
            <w:pPr>
              <w:spacing w:after="0"/>
              <w:rPr>
                <w:sz w:val="17"/>
                <w:szCs w:val="17"/>
                <w:color w:val="auto"/>
              </w:rPr>
            </w:pPr>
          </w:p>
        </w:tc>
      </w:tr>
      <w:tr>
        <w:trPr>
          <w:trHeight w:val="214"/>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Ken Peterman</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2018</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475,000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737,700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961,245</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534,020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13,500</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2,721,465</w:t>
            </w:r>
          </w:p>
        </w:tc>
      </w:tr>
      <w:tr>
        <w:trPr>
          <w:trHeight w:val="162"/>
        </w:trPr>
        <w:tc>
          <w:tcPr>
            <w:tcW w:w="330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Senior Vice President and</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450,000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499,827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506,815</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425,000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104,158</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1,985,800</w:t>
            </w:r>
          </w:p>
        </w:tc>
      </w:tr>
      <w:tr>
        <w:trPr>
          <w:trHeight w:val="178"/>
        </w:trPr>
        <w:tc>
          <w:tcPr>
            <w:tcW w:w="3300" w:type="dxa"/>
            <w:vAlign w:val="bottom"/>
            <w:tcBorders>
              <w:bottom w:val="single" w:sz="8" w:color="009FE3"/>
              <w:right w:val="single" w:sz="8" w:color="E8EAEB"/>
            </w:tcBorders>
          </w:tcPr>
          <w:p>
            <w:pPr>
              <w:ind w:left="200"/>
              <w:spacing w:after="0"/>
              <w:rPr>
                <w:sz w:val="20"/>
                <w:szCs w:val="20"/>
                <w:color w:val="auto"/>
              </w:rPr>
            </w:pPr>
            <w:r>
              <w:rPr>
                <w:rFonts w:ascii="Arial" w:cs="Arial" w:eastAsia="Arial" w:hAnsi="Arial"/>
                <w:sz w:val="14"/>
                <w:szCs w:val="14"/>
                <w:color w:val="202E39"/>
              </w:rPr>
              <w:t>President, Government Systems</w:t>
            </w:r>
          </w:p>
        </w:tc>
        <w:tc>
          <w:tcPr>
            <w:tcW w:w="720" w:type="dxa"/>
            <w:vAlign w:val="bottom"/>
            <w:tcBorders>
              <w:bottom w:val="single" w:sz="8" w:color="009FE3"/>
              <w:right w:val="single" w:sz="8" w:color="E8EAEB"/>
            </w:tcBorders>
          </w:tcPr>
          <w:p>
            <w:pPr>
              <w:ind w:left="200"/>
              <w:spacing w:after="0"/>
              <w:rPr>
                <w:sz w:val="20"/>
                <w:szCs w:val="20"/>
                <w:color w:val="auto"/>
              </w:rPr>
            </w:pPr>
            <w:r>
              <w:rPr>
                <w:rFonts w:ascii="Arial" w:cs="Arial" w:eastAsia="Arial" w:hAnsi="Arial"/>
                <w:sz w:val="14"/>
                <w:szCs w:val="14"/>
                <w:color w:val="202E39"/>
              </w:rPr>
              <w:t>2016</w:t>
            </w:r>
          </w:p>
        </w:tc>
        <w:tc>
          <w:tcPr>
            <w:tcW w:w="106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425,000</w:t>
            </w:r>
          </w:p>
        </w:tc>
        <w:tc>
          <w:tcPr>
            <w:tcW w:w="620" w:type="dxa"/>
            <w:vAlign w:val="bottom"/>
            <w:tcBorders>
              <w:bottom w:val="single" w:sz="8" w:color="009FE3"/>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459,450</w:t>
            </w:r>
          </w:p>
        </w:tc>
        <w:tc>
          <w:tcPr>
            <w:tcW w:w="106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458,631</w:t>
            </w:r>
          </w:p>
        </w:tc>
        <w:tc>
          <w:tcPr>
            <w:tcW w:w="1060" w:type="dxa"/>
            <w:vAlign w:val="bottom"/>
            <w:tcBorders>
              <w:bottom w:val="single" w:sz="8" w:color="009FE3"/>
              <w:right w:val="single" w:sz="8" w:color="E8EAEB"/>
            </w:tcBorders>
          </w:tcPr>
          <w:p>
            <w:pPr>
              <w:jc w:val="right"/>
              <w:ind w:right="148"/>
              <w:spacing w:after="0"/>
              <w:rPr>
                <w:sz w:val="20"/>
                <w:szCs w:val="20"/>
                <w:color w:val="auto"/>
              </w:rPr>
            </w:pPr>
            <w:r>
              <w:rPr>
                <w:rFonts w:ascii="Arial" w:cs="Arial" w:eastAsia="Arial" w:hAnsi="Arial"/>
                <w:sz w:val="14"/>
                <w:szCs w:val="14"/>
                <w:color w:val="202E39"/>
              </w:rPr>
              <w:t>400,000</w:t>
            </w:r>
          </w:p>
        </w:tc>
        <w:tc>
          <w:tcPr>
            <w:tcW w:w="102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171,188</w:t>
            </w:r>
          </w:p>
        </w:tc>
        <w:tc>
          <w:tcPr>
            <w:tcW w:w="1120" w:type="dxa"/>
            <w:vAlign w:val="bottom"/>
            <w:tcBorders>
              <w:bottom w:val="single" w:sz="8" w:color="009FE3"/>
            </w:tcBorders>
          </w:tcPr>
          <w:p>
            <w:pPr>
              <w:jc w:val="right"/>
              <w:ind w:right="128"/>
              <w:spacing w:after="0"/>
              <w:rPr>
                <w:sz w:val="20"/>
                <w:szCs w:val="20"/>
                <w:color w:val="auto"/>
              </w:rPr>
            </w:pPr>
            <w:r>
              <w:rPr>
                <w:rFonts w:ascii="Arial" w:cs="Arial" w:eastAsia="Arial" w:hAnsi="Arial"/>
                <w:sz w:val="14"/>
                <w:szCs w:val="14"/>
                <w:color w:val="202E39"/>
              </w:rPr>
              <w:t>1,914,269</w:t>
            </w:r>
          </w:p>
        </w:tc>
      </w:tr>
    </w:tbl>
    <w:p>
      <w:pPr>
        <w:spacing w:after="0" w:line="126" w:lineRule="exact"/>
        <w:rPr>
          <w:sz w:val="20"/>
          <w:szCs w:val="20"/>
          <w:color w:val="auto"/>
        </w:rPr>
      </w:pPr>
    </w:p>
    <w:p>
      <w:pPr>
        <w:ind w:left="520" w:right="60" w:hanging="316"/>
        <w:spacing w:after="0" w:line="243" w:lineRule="auto"/>
        <w:tabs>
          <w:tab w:leader="none" w:pos="520" w:val="left"/>
        </w:tabs>
        <w:numPr>
          <w:ilvl w:val="0"/>
          <w:numId w:val="37"/>
        </w:numPr>
        <w:rPr>
          <w:rFonts w:ascii="Arial" w:cs="Arial" w:eastAsia="Arial" w:hAnsi="Arial"/>
          <w:sz w:val="14"/>
          <w:szCs w:val="14"/>
          <w:color w:val="202E39"/>
        </w:rPr>
      </w:pPr>
      <w:r>
        <w:rPr>
          <w:rFonts w:ascii="Arial" w:cs="Arial" w:eastAsia="Arial" w:hAnsi="Arial"/>
          <w:sz w:val="14"/>
          <w:szCs w:val="14"/>
          <w:color w:val="202E39"/>
        </w:rPr>
        <w:t>These columns represent the aggregate grant date fair value, calculated in accordance with SEC rules, of performance-based stock options and restricted stock unit awards granted in fiscal year 2018, and time-based stock options and restricted stock unit awards granted in fiscal years 2017 and 2016. These amounts generally reflect the amount that we expect to expense in our financial statements over the award’s vesting schedule, and do not correspond to the actual value that will be realized by the Named Executive Officers. In November 2017, the Named Executive Officers were granted performance-based stock options which vest, in part, dependent upon continued service over a four year vesting schedule and, in part, dependent upon the achievement of the company’s total stockholder return compared to its peer group during the four-year performance period ending October 31, 2021. The grant date fair value of the performance-based stock options was calculated using a Monte Carlo simulation which considered the likelihood of achieving the vesting conditions. For additional information on the valuation assumptions used in the calculation of these amounts for the respective year end, refer to note 6 to the financial statements included in our annual report on Form 10-K for the fiscal year ended March 31, 2018, as filed with the SEC.</w:t>
      </w:r>
    </w:p>
    <w:p>
      <w:pPr>
        <w:spacing w:after="0" w:line="222" w:lineRule="exact"/>
        <w:rPr>
          <w:rFonts w:ascii="Arial" w:cs="Arial" w:eastAsia="Arial" w:hAnsi="Arial"/>
          <w:sz w:val="14"/>
          <w:szCs w:val="14"/>
          <w:color w:val="202E39"/>
        </w:rPr>
      </w:pPr>
    </w:p>
    <w:p>
      <w:pPr>
        <w:ind w:left="520" w:right="140" w:hanging="316"/>
        <w:spacing w:after="0" w:line="243" w:lineRule="auto"/>
        <w:tabs>
          <w:tab w:leader="none" w:pos="520" w:val="left"/>
        </w:tabs>
        <w:numPr>
          <w:ilvl w:val="0"/>
          <w:numId w:val="37"/>
        </w:numPr>
        <w:rPr>
          <w:rFonts w:ascii="Arial" w:cs="Arial" w:eastAsia="Arial" w:hAnsi="Arial"/>
          <w:sz w:val="14"/>
          <w:szCs w:val="14"/>
          <w:color w:val="202E39"/>
        </w:rPr>
      </w:pPr>
      <w:r>
        <w:rPr>
          <w:rFonts w:ascii="Arial" w:cs="Arial" w:eastAsia="Arial" w:hAnsi="Arial"/>
          <w:sz w:val="14"/>
          <w:szCs w:val="14"/>
          <w:color w:val="202E39"/>
        </w:rPr>
        <w:t>Represents amounts earned under our annual bonus program. For purposes of the fiscal year 2018 annual bonuses, our Compensation and Human Resources Committee determined the total bonuses payable to the Named Executive Officers for fiscal year 2018 annual bonus purposes and then determined to pay all of such bonuses in the form of fully vested shares of our common stock issued under our 1996 Equity Participation Plan. The total bonus payable to each Named Executive Officer was converted into a number of shares based on the closing price per share of our common stock on June 1, 2018 ($63.25), and the shares were issued to the Named Executive Officers on that date (less a number of shares with a fair market value on the date of issuance sufficient to cover the applicable tax withholding obligations and withheld by us from the shares issued to the Named Executive Officer). The aggregate number of shares of our common stock issued to the Named Executive Officers in June 2018 in satisfaction of their fiscal year 2018 annual bonuses was as follows (prior to any tax withholding): Mr. Dankberg (21,107); Mr. Baldridge (18,293); Ms. Duffy (6,333); Mr. Lippert (8,443); and Mr. Peterman (8,443).</w:t>
      </w:r>
    </w:p>
    <w:p>
      <w:pPr>
        <w:spacing w:after="0" w:line="59" w:lineRule="exact"/>
        <w:rPr>
          <w:rFonts w:ascii="Arial" w:cs="Arial" w:eastAsia="Arial" w:hAnsi="Arial"/>
          <w:sz w:val="14"/>
          <w:szCs w:val="14"/>
          <w:color w:val="202E39"/>
        </w:rPr>
      </w:pPr>
    </w:p>
    <w:p>
      <w:pPr>
        <w:ind w:left="520" w:right="120" w:hanging="316"/>
        <w:spacing w:after="0" w:line="250" w:lineRule="auto"/>
        <w:tabs>
          <w:tab w:leader="none" w:pos="520" w:val="left"/>
        </w:tabs>
        <w:numPr>
          <w:ilvl w:val="0"/>
          <w:numId w:val="37"/>
        </w:numPr>
        <w:rPr>
          <w:rFonts w:ascii="Arial" w:cs="Arial" w:eastAsia="Arial" w:hAnsi="Arial"/>
          <w:sz w:val="14"/>
          <w:szCs w:val="14"/>
          <w:color w:val="202E39"/>
        </w:rPr>
      </w:pPr>
      <w:r>
        <w:rPr>
          <w:rFonts w:ascii="Arial" w:cs="Arial" w:eastAsia="Arial" w:hAnsi="Arial"/>
          <w:sz w:val="14"/>
          <w:szCs w:val="14"/>
          <w:color w:val="202E39"/>
        </w:rPr>
        <w:t>The amounts for fiscal year 2018 include the following: reimbursement of club dues for Mr. Dankberg, Ms. Duffy and Mr. Lippert in the amount of $40,122, $11,174 and $10,928, respectively; patent awards for Mr. Dankberg, in the amount of $1,500; matching 401(k) contributions for Mr. Dankberg, Mr. Baldridge, Ms. Duffy, Mr. Lippert and Mr. Peterman in the amount of $9,250, $12,841, $9,283, $4,288 and $13,500, respectively; and spousal travel on a single business trip for Mr. Baldridge.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80645</wp:posOffset>
            </wp:positionV>
            <wp:extent cx="42862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38</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86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Grants of Plan-Based Awards in Fiscal Year 2018</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Grants of Plan-Based Awards in Fiscal Year 2018</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following table sets forth information regarding grants of plan-based awards to each of the Named Executive Officers during fiscal year 2018.</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1240" w:type="dxa"/>
            <w:vAlign w:val="bottom"/>
            <w:tcBorders>
              <w:top w:val="single" w:sz="8" w:color="E8EAEB"/>
              <w:right w:val="single" w:sz="8" w:color="E8EAEB"/>
            </w:tcBorders>
          </w:tcPr>
          <w:p>
            <w:pPr>
              <w:spacing w:after="0"/>
              <w:rPr>
                <w:sz w:val="17"/>
                <w:szCs w:val="17"/>
                <w:color w:val="auto"/>
              </w:rPr>
            </w:pPr>
          </w:p>
        </w:tc>
        <w:tc>
          <w:tcPr>
            <w:tcW w:w="1140" w:type="dxa"/>
            <w:vAlign w:val="bottom"/>
            <w:tcBorders>
              <w:top w:val="single" w:sz="8" w:color="E8EAEB"/>
              <w:right w:val="single" w:sz="8" w:color="E8EAEB"/>
            </w:tcBorders>
          </w:tcPr>
          <w:p>
            <w:pPr>
              <w:spacing w:after="0"/>
              <w:rPr>
                <w:sz w:val="17"/>
                <w:szCs w:val="17"/>
                <w:color w:val="auto"/>
              </w:rPr>
            </w:pPr>
          </w:p>
        </w:tc>
        <w:tc>
          <w:tcPr>
            <w:tcW w:w="700" w:type="dxa"/>
            <w:vAlign w:val="bottom"/>
            <w:tcBorders>
              <w:top w:val="single" w:sz="8" w:color="E8EAEB"/>
            </w:tcBorders>
          </w:tcPr>
          <w:p>
            <w:pPr>
              <w:spacing w:after="0"/>
              <w:rPr>
                <w:sz w:val="17"/>
                <w:szCs w:val="17"/>
                <w:color w:val="auto"/>
              </w:rPr>
            </w:pPr>
          </w:p>
        </w:tc>
        <w:tc>
          <w:tcPr>
            <w:tcW w:w="1060" w:type="dxa"/>
            <w:vAlign w:val="bottom"/>
            <w:tcBorders>
              <w:top w:val="single" w:sz="8" w:color="E8EAEB"/>
            </w:tcBorders>
          </w:tcPr>
          <w:p>
            <w:pPr>
              <w:spacing w:after="0"/>
              <w:rPr>
                <w:sz w:val="17"/>
                <w:szCs w:val="17"/>
                <w:color w:val="auto"/>
              </w:rPr>
            </w:pPr>
          </w:p>
        </w:tc>
        <w:tc>
          <w:tcPr>
            <w:tcW w:w="700" w:type="dxa"/>
            <w:vAlign w:val="bottom"/>
            <w:tcBorders>
              <w:top w:val="single" w:sz="8" w:color="E8EAEB"/>
              <w:right w:val="single" w:sz="8" w:color="E8EAEB"/>
            </w:tcBorders>
          </w:tcPr>
          <w:p>
            <w:pPr>
              <w:spacing w:after="0"/>
              <w:rPr>
                <w:sz w:val="17"/>
                <w:szCs w:val="17"/>
                <w:color w:val="auto"/>
              </w:rPr>
            </w:pPr>
          </w:p>
        </w:tc>
        <w:tc>
          <w:tcPr>
            <w:tcW w:w="760" w:type="dxa"/>
            <w:vAlign w:val="bottom"/>
            <w:tcBorders>
              <w:top w:val="single" w:sz="8" w:color="E8EAEB"/>
            </w:tcBorders>
          </w:tcPr>
          <w:p>
            <w:pPr>
              <w:spacing w:after="0"/>
              <w:rPr>
                <w:sz w:val="17"/>
                <w:szCs w:val="17"/>
                <w:color w:val="auto"/>
              </w:rPr>
            </w:pPr>
          </w:p>
        </w:tc>
        <w:tc>
          <w:tcPr>
            <w:tcW w:w="80" w:type="dxa"/>
            <w:vAlign w:val="bottom"/>
            <w:tcBorders>
              <w:top w:val="single" w:sz="8" w:color="E8EAEB"/>
            </w:tcBorders>
          </w:tcPr>
          <w:p>
            <w:pPr>
              <w:spacing w:after="0"/>
              <w:rPr>
                <w:sz w:val="17"/>
                <w:szCs w:val="17"/>
                <w:color w:val="auto"/>
              </w:rPr>
            </w:pPr>
          </w:p>
        </w:tc>
        <w:tc>
          <w:tcPr>
            <w:tcW w:w="940" w:type="dxa"/>
            <w:vAlign w:val="bottom"/>
            <w:tcBorders>
              <w:top w:val="single" w:sz="8" w:color="E8EAEB"/>
            </w:tcBorders>
          </w:tcPr>
          <w:p>
            <w:pPr>
              <w:spacing w:after="0"/>
              <w:rPr>
                <w:sz w:val="17"/>
                <w:szCs w:val="17"/>
                <w:color w:val="auto"/>
              </w:rPr>
            </w:pPr>
          </w:p>
        </w:tc>
        <w:tc>
          <w:tcPr>
            <w:tcW w:w="100" w:type="dxa"/>
            <w:vAlign w:val="bottom"/>
            <w:tcBorders>
              <w:top w:val="single" w:sz="8" w:color="E8EAEB"/>
            </w:tcBorders>
          </w:tcPr>
          <w:p>
            <w:pPr>
              <w:spacing w:after="0"/>
              <w:rPr>
                <w:sz w:val="17"/>
                <w:szCs w:val="17"/>
                <w:color w:val="auto"/>
              </w:rPr>
            </w:pPr>
          </w:p>
        </w:tc>
        <w:tc>
          <w:tcPr>
            <w:tcW w:w="820" w:type="dxa"/>
            <w:vAlign w:val="bottom"/>
            <w:tcBorders>
              <w:top w:val="single" w:sz="8" w:color="E8EAEB"/>
              <w:right w:val="single" w:sz="8" w:color="E8EAEB"/>
            </w:tcBorders>
          </w:tcPr>
          <w:p>
            <w:pPr>
              <w:spacing w:after="0"/>
              <w:rPr>
                <w:sz w:val="17"/>
                <w:szCs w:val="17"/>
                <w:color w:val="auto"/>
              </w:rPr>
            </w:pPr>
          </w:p>
        </w:tc>
        <w:tc>
          <w:tcPr>
            <w:tcW w:w="8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7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820" w:type="dxa"/>
            <w:vAlign w:val="bottom"/>
            <w:tcBorders>
              <w:top w:val="single" w:sz="8" w:color="E8EAEB"/>
              <w:right w:val="single" w:sz="8" w:color="E8EAEB"/>
            </w:tcBorders>
          </w:tcPr>
          <w:p>
            <w:pPr>
              <w:spacing w:after="0"/>
              <w:rPr>
                <w:sz w:val="17"/>
                <w:szCs w:val="17"/>
                <w:color w:val="auto"/>
              </w:rPr>
            </w:pPr>
          </w:p>
        </w:tc>
        <w:tc>
          <w:tcPr>
            <w:tcW w:w="1040" w:type="dxa"/>
            <w:vAlign w:val="bottom"/>
            <w:tcBorders>
              <w:top w:val="single" w:sz="8" w:color="E8EAEB"/>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tcBorders>
              <w:right w:val="single" w:sz="8" w:color="E8EAEB"/>
            </w:tcBorders>
          </w:tcPr>
          <w:p>
            <w:pPr>
              <w:spacing w:after="0"/>
              <w:rPr>
                <w:sz w:val="16"/>
                <w:szCs w:val="16"/>
                <w:color w:val="auto"/>
              </w:rPr>
            </w:pPr>
          </w:p>
        </w:tc>
        <w:tc>
          <w:tcPr>
            <w:tcW w:w="1140" w:type="dxa"/>
            <w:vAlign w:val="bottom"/>
            <w:tcBorders>
              <w:right w:val="single" w:sz="8" w:color="E8EAEB"/>
            </w:tcBorders>
          </w:tcPr>
          <w:p>
            <w:pPr>
              <w:spacing w:after="0"/>
              <w:rPr>
                <w:sz w:val="16"/>
                <w:szCs w:val="16"/>
                <w:color w:val="auto"/>
              </w:rPr>
            </w:pPr>
          </w:p>
        </w:tc>
        <w:tc>
          <w:tcPr>
            <w:tcW w:w="2460" w:type="dxa"/>
            <w:vAlign w:val="bottom"/>
            <w:tcBorders>
              <w:right w:val="single" w:sz="8" w:color="E8EAEB"/>
            </w:tcBorders>
            <w:gridSpan w:val="3"/>
          </w:tcPr>
          <w:p>
            <w:pPr>
              <w:jc w:val="center"/>
              <w:spacing w:after="0"/>
              <w:rPr>
                <w:sz w:val="20"/>
                <w:szCs w:val="20"/>
                <w:color w:val="auto"/>
              </w:rPr>
            </w:pPr>
            <w:r>
              <w:rPr>
                <w:rFonts w:ascii="Arial" w:cs="Arial" w:eastAsia="Arial" w:hAnsi="Arial"/>
                <w:sz w:val="14"/>
                <w:szCs w:val="14"/>
                <w:b w:val="1"/>
                <w:bCs w:val="1"/>
                <w:color w:val="009FE3"/>
              </w:rPr>
              <w:t>Estimated Future Payouts</w:t>
            </w:r>
          </w:p>
        </w:tc>
        <w:tc>
          <w:tcPr>
            <w:tcW w:w="2700" w:type="dxa"/>
            <w:vAlign w:val="bottom"/>
            <w:tcBorders>
              <w:right w:val="single" w:sz="8" w:color="E8EAEB"/>
            </w:tcBorders>
            <w:gridSpan w:val="5"/>
          </w:tcPr>
          <w:p>
            <w:pPr>
              <w:ind w:left="440"/>
              <w:spacing w:after="0"/>
              <w:rPr>
                <w:sz w:val="20"/>
                <w:szCs w:val="20"/>
                <w:color w:val="auto"/>
              </w:rPr>
            </w:pPr>
            <w:r>
              <w:rPr>
                <w:rFonts w:ascii="Arial" w:cs="Arial" w:eastAsia="Arial" w:hAnsi="Arial"/>
                <w:sz w:val="14"/>
                <w:szCs w:val="14"/>
                <w:b w:val="1"/>
                <w:bCs w:val="1"/>
                <w:color w:val="009FE3"/>
              </w:rPr>
              <w:t>Estimated Future Payouts</w:t>
            </w:r>
          </w:p>
        </w:tc>
        <w:tc>
          <w:tcPr>
            <w:tcW w:w="8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Stock</w:t>
            </w:r>
          </w:p>
        </w:tc>
        <w:tc>
          <w:tcPr>
            <w:tcW w:w="7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w:t>
            </w:r>
          </w:p>
        </w:tc>
        <w:tc>
          <w:tcPr>
            <w:tcW w:w="820" w:type="dxa"/>
            <w:vAlign w:val="bottom"/>
            <w:tcBorders>
              <w:right w:val="single" w:sz="8" w:color="E8EAEB"/>
            </w:tcBorders>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9FE3"/>
              </w:rPr>
              <w:t>Grant Date</w:t>
            </w: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1140" w:type="dxa"/>
            <w:vAlign w:val="bottom"/>
            <w:tcBorders>
              <w:right w:val="single" w:sz="8" w:color="E8EAEB"/>
            </w:tcBorders>
          </w:tcPr>
          <w:p>
            <w:pPr>
              <w:spacing w:after="0"/>
              <w:rPr>
                <w:sz w:val="14"/>
                <w:szCs w:val="14"/>
                <w:color w:val="auto"/>
              </w:rPr>
            </w:pPr>
          </w:p>
        </w:tc>
        <w:tc>
          <w:tcPr>
            <w:tcW w:w="2460" w:type="dxa"/>
            <w:vAlign w:val="bottom"/>
            <w:tcBorders>
              <w:right w:val="single" w:sz="8" w:color="E8EAEB"/>
            </w:tcBorders>
            <w:gridSpan w:val="3"/>
          </w:tcPr>
          <w:p>
            <w:pPr>
              <w:jc w:val="center"/>
              <w:spacing w:after="0"/>
              <w:rPr>
                <w:sz w:val="20"/>
                <w:szCs w:val="20"/>
                <w:color w:val="auto"/>
              </w:rPr>
            </w:pPr>
            <w:r>
              <w:rPr>
                <w:rFonts w:ascii="Arial" w:cs="Arial" w:eastAsia="Arial" w:hAnsi="Arial"/>
                <w:sz w:val="14"/>
                <w:szCs w:val="14"/>
                <w:b w:val="1"/>
                <w:bCs w:val="1"/>
                <w:color w:val="009FE3"/>
              </w:rPr>
              <w:t>Under Non-Equity Incentive</w:t>
            </w:r>
          </w:p>
        </w:tc>
        <w:tc>
          <w:tcPr>
            <w:tcW w:w="2700" w:type="dxa"/>
            <w:vAlign w:val="bottom"/>
            <w:tcBorders>
              <w:right w:val="single" w:sz="8" w:color="E8EAEB"/>
            </w:tcBorders>
            <w:gridSpan w:val="5"/>
          </w:tcPr>
          <w:p>
            <w:pPr>
              <w:jc w:val="center"/>
              <w:spacing w:after="0"/>
              <w:rPr>
                <w:sz w:val="20"/>
                <w:szCs w:val="20"/>
                <w:color w:val="auto"/>
              </w:rPr>
            </w:pPr>
            <w:r>
              <w:rPr>
                <w:rFonts w:ascii="Arial" w:cs="Arial" w:eastAsia="Arial" w:hAnsi="Arial"/>
                <w:sz w:val="14"/>
                <w:szCs w:val="14"/>
                <w:b w:val="1"/>
                <w:bCs w:val="1"/>
                <w:color w:val="009FE3"/>
              </w:rPr>
              <w:t>Under Equity Incentive</w:t>
            </w:r>
          </w:p>
        </w:tc>
        <w:tc>
          <w:tcPr>
            <w:tcW w:w="8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7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820" w:type="dxa"/>
            <w:vAlign w:val="bottom"/>
            <w:tcBorders>
              <w:right w:val="single" w:sz="8" w:color="E8EAEB"/>
            </w:tcBorders>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9FE3"/>
              </w:rPr>
              <w:t>Fair Value</w:t>
            </w: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1140" w:type="dxa"/>
            <w:vAlign w:val="bottom"/>
            <w:tcBorders>
              <w:right w:val="single" w:sz="8" w:color="E8EAEB"/>
            </w:tcBorders>
          </w:tcPr>
          <w:p>
            <w:pPr>
              <w:spacing w:after="0"/>
              <w:rPr>
                <w:sz w:val="14"/>
                <w:szCs w:val="14"/>
                <w:color w:val="auto"/>
              </w:rPr>
            </w:pPr>
          </w:p>
        </w:tc>
        <w:tc>
          <w:tcPr>
            <w:tcW w:w="176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009FE3"/>
              </w:rPr>
              <w:t>Plan Awards (1)</w:t>
            </w:r>
          </w:p>
        </w:tc>
        <w:tc>
          <w:tcPr>
            <w:tcW w:w="700" w:type="dxa"/>
            <w:vAlign w:val="bottom"/>
            <w:tcBorders>
              <w:right w:val="single" w:sz="8" w:color="E8EAEB"/>
            </w:tcBorders>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009FE3"/>
              </w:rPr>
              <w:t>Plan Awards (2)</w:t>
            </w:r>
          </w:p>
        </w:tc>
        <w:tc>
          <w:tcPr>
            <w:tcW w:w="820" w:type="dxa"/>
            <w:vAlign w:val="bottom"/>
            <w:tcBorders>
              <w:right w:val="single" w:sz="8" w:color="E8EAEB"/>
            </w:tcBorders>
          </w:tcPr>
          <w:p>
            <w:pPr>
              <w:spacing w:after="0"/>
              <w:rPr>
                <w:sz w:val="14"/>
                <w:szCs w:val="14"/>
                <w:color w:val="auto"/>
              </w:rPr>
            </w:pPr>
          </w:p>
        </w:tc>
        <w:tc>
          <w:tcPr>
            <w:tcW w:w="8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w:t>
            </w:r>
          </w:p>
        </w:tc>
        <w:tc>
          <w:tcPr>
            <w:tcW w:w="7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w:t>
            </w:r>
          </w:p>
        </w:tc>
        <w:tc>
          <w:tcPr>
            <w:tcW w:w="8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Exercise or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9FE3"/>
              </w:rPr>
              <w:t>of Stock</w:t>
            </w:r>
          </w:p>
        </w:tc>
        <w:tc>
          <w:tcPr>
            <w:tcW w:w="0" w:type="dxa"/>
            <w:vAlign w:val="bottom"/>
          </w:tcPr>
          <w:p>
            <w:pPr>
              <w:spacing w:after="0"/>
              <w:rPr>
                <w:sz w:val="1"/>
                <w:szCs w:val="1"/>
                <w:color w:val="auto"/>
              </w:rPr>
            </w:pPr>
          </w:p>
        </w:tc>
      </w:tr>
      <w:tr>
        <w:trPr>
          <w:trHeight w:val="54"/>
        </w:trPr>
        <w:tc>
          <w:tcPr>
            <w:tcW w:w="1240" w:type="dxa"/>
            <w:vAlign w:val="bottom"/>
            <w:tcBorders>
              <w:right w:val="single" w:sz="8" w:color="E8EAEB"/>
            </w:tcBorders>
          </w:tcPr>
          <w:p>
            <w:pPr>
              <w:spacing w:after="0"/>
              <w:rPr>
                <w:sz w:val="4"/>
                <w:szCs w:val="4"/>
                <w:color w:val="auto"/>
              </w:rPr>
            </w:pPr>
          </w:p>
        </w:tc>
        <w:tc>
          <w:tcPr>
            <w:tcW w:w="1140" w:type="dxa"/>
            <w:vAlign w:val="bottom"/>
            <w:tcBorders>
              <w:right w:val="single" w:sz="8" w:color="E8EAEB"/>
            </w:tcBorders>
          </w:tcPr>
          <w:p>
            <w:pPr>
              <w:spacing w:after="0"/>
              <w:rPr>
                <w:sz w:val="4"/>
                <w:szCs w:val="4"/>
                <w:color w:val="auto"/>
              </w:rPr>
            </w:pPr>
          </w:p>
        </w:tc>
        <w:tc>
          <w:tcPr>
            <w:tcW w:w="700" w:type="dxa"/>
            <w:vAlign w:val="bottom"/>
            <w:tcBorders>
              <w:bottom w:val="single" w:sz="8" w:color="009FE3"/>
            </w:tcBorders>
          </w:tcPr>
          <w:p>
            <w:pPr>
              <w:spacing w:after="0"/>
              <w:rPr>
                <w:sz w:val="4"/>
                <w:szCs w:val="4"/>
                <w:color w:val="auto"/>
              </w:rPr>
            </w:pPr>
          </w:p>
        </w:tc>
        <w:tc>
          <w:tcPr>
            <w:tcW w:w="1060" w:type="dxa"/>
            <w:vAlign w:val="bottom"/>
            <w:tcBorders>
              <w:bottom w:val="single" w:sz="8" w:color="009FE3"/>
            </w:tcBorders>
          </w:tcPr>
          <w:p>
            <w:pPr>
              <w:spacing w:after="0"/>
              <w:rPr>
                <w:sz w:val="4"/>
                <w:szCs w:val="4"/>
                <w:color w:val="auto"/>
              </w:rPr>
            </w:pPr>
          </w:p>
        </w:tc>
        <w:tc>
          <w:tcPr>
            <w:tcW w:w="700" w:type="dxa"/>
            <w:vAlign w:val="bottom"/>
            <w:tcBorders>
              <w:bottom w:val="single" w:sz="8" w:color="009FE3"/>
              <w:right w:val="single" w:sz="8" w:color="E8EAEB"/>
            </w:tcBorders>
          </w:tcPr>
          <w:p>
            <w:pPr>
              <w:spacing w:after="0"/>
              <w:rPr>
                <w:sz w:val="4"/>
                <w:szCs w:val="4"/>
                <w:color w:val="auto"/>
              </w:rPr>
            </w:pPr>
          </w:p>
        </w:tc>
        <w:tc>
          <w:tcPr>
            <w:tcW w:w="760" w:type="dxa"/>
            <w:vAlign w:val="bottom"/>
            <w:tcBorders>
              <w:bottom w:val="single" w:sz="8" w:color="009FE3"/>
            </w:tcBorders>
          </w:tcPr>
          <w:p>
            <w:pPr>
              <w:spacing w:after="0"/>
              <w:rPr>
                <w:sz w:val="4"/>
                <w:szCs w:val="4"/>
                <w:color w:val="auto"/>
              </w:rPr>
            </w:pPr>
          </w:p>
        </w:tc>
        <w:tc>
          <w:tcPr>
            <w:tcW w:w="80" w:type="dxa"/>
            <w:vAlign w:val="bottom"/>
            <w:tcBorders>
              <w:bottom w:val="single" w:sz="8" w:color="009FE3"/>
            </w:tcBorders>
          </w:tcPr>
          <w:p>
            <w:pPr>
              <w:spacing w:after="0"/>
              <w:rPr>
                <w:sz w:val="4"/>
                <w:szCs w:val="4"/>
                <w:color w:val="auto"/>
              </w:rPr>
            </w:pPr>
          </w:p>
        </w:tc>
        <w:tc>
          <w:tcPr>
            <w:tcW w:w="940" w:type="dxa"/>
            <w:vAlign w:val="bottom"/>
            <w:tcBorders>
              <w:bottom w:val="single" w:sz="8" w:color="009FE3"/>
            </w:tcBorders>
          </w:tcPr>
          <w:p>
            <w:pPr>
              <w:spacing w:after="0"/>
              <w:rPr>
                <w:sz w:val="4"/>
                <w:szCs w:val="4"/>
                <w:color w:val="auto"/>
              </w:rPr>
            </w:pPr>
          </w:p>
        </w:tc>
        <w:tc>
          <w:tcPr>
            <w:tcW w:w="100" w:type="dxa"/>
            <w:vAlign w:val="bottom"/>
            <w:tcBorders>
              <w:bottom w:val="single" w:sz="8" w:color="009FE3"/>
            </w:tcBorders>
          </w:tcPr>
          <w:p>
            <w:pPr>
              <w:spacing w:after="0"/>
              <w:rPr>
                <w:sz w:val="4"/>
                <w:szCs w:val="4"/>
                <w:color w:val="auto"/>
              </w:rPr>
            </w:pPr>
          </w:p>
        </w:tc>
        <w:tc>
          <w:tcPr>
            <w:tcW w:w="820" w:type="dxa"/>
            <w:vAlign w:val="bottom"/>
            <w:tcBorders>
              <w:bottom w:val="single" w:sz="8" w:color="009FE3"/>
              <w:right w:val="single" w:sz="8" w:color="E8EAEB"/>
            </w:tcBorders>
          </w:tcPr>
          <w:p>
            <w:pPr>
              <w:spacing w:after="0"/>
              <w:rPr>
                <w:sz w:val="4"/>
                <w:szCs w:val="4"/>
                <w:color w:val="auto"/>
              </w:rPr>
            </w:pPr>
          </w:p>
        </w:tc>
        <w:tc>
          <w:tcPr>
            <w:tcW w:w="860" w:type="dxa"/>
            <w:vAlign w:val="bottom"/>
            <w:tcBorders>
              <w:right w:val="single" w:sz="8" w:color="E8EAEB"/>
            </w:tcBorders>
            <w:vMerge w:val="restart"/>
          </w:tcPr>
          <w:p>
            <w:pPr>
              <w:jc w:val="center"/>
              <w:spacing w:after="0" w:line="135" w:lineRule="exact"/>
              <w:rPr>
                <w:sz w:val="20"/>
                <w:szCs w:val="20"/>
                <w:color w:val="auto"/>
              </w:rPr>
            </w:pPr>
            <w:r>
              <w:rPr>
                <w:rFonts w:ascii="Arial" w:cs="Arial" w:eastAsia="Arial" w:hAnsi="Arial"/>
                <w:sz w:val="14"/>
                <w:szCs w:val="14"/>
                <w:b w:val="1"/>
                <w:bCs w:val="1"/>
                <w:color w:val="009FE3"/>
              </w:rPr>
              <w:t>Shares of</w:t>
            </w:r>
          </w:p>
        </w:tc>
        <w:tc>
          <w:tcPr>
            <w:tcW w:w="760" w:type="dxa"/>
            <w:vAlign w:val="bottom"/>
            <w:tcBorders>
              <w:right w:val="single" w:sz="8" w:color="E8EAEB"/>
            </w:tcBorders>
            <w:vMerge w:val="restart"/>
          </w:tcPr>
          <w:p>
            <w:pPr>
              <w:jc w:val="center"/>
              <w:spacing w:after="0" w:line="135" w:lineRule="exact"/>
              <w:rPr>
                <w:sz w:val="20"/>
                <w:szCs w:val="20"/>
                <w:color w:val="auto"/>
              </w:rPr>
            </w:pPr>
            <w:r>
              <w:rPr>
                <w:rFonts w:ascii="Arial" w:cs="Arial" w:eastAsia="Arial" w:hAnsi="Arial"/>
                <w:sz w:val="14"/>
                <w:szCs w:val="14"/>
                <w:b w:val="1"/>
                <w:bCs w:val="1"/>
                <w:color w:val="009FE3"/>
              </w:rPr>
              <w:t>Securities</w:t>
            </w:r>
          </w:p>
        </w:tc>
        <w:tc>
          <w:tcPr>
            <w:tcW w:w="820" w:type="dxa"/>
            <w:vAlign w:val="bottom"/>
            <w:tcBorders>
              <w:right w:val="single" w:sz="8" w:color="E8EAEB"/>
            </w:tcBorders>
            <w:vMerge w:val="restart"/>
          </w:tcPr>
          <w:p>
            <w:pPr>
              <w:jc w:val="center"/>
              <w:spacing w:after="0" w:line="135" w:lineRule="exact"/>
              <w:rPr>
                <w:sz w:val="20"/>
                <w:szCs w:val="20"/>
                <w:color w:val="auto"/>
              </w:rPr>
            </w:pPr>
            <w:r>
              <w:rPr>
                <w:rFonts w:ascii="Arial" w:cs="Arial" w:eastAsia="Arial" w:hAnsi="Arial"/>
                <w:sz w:val="14"/>
                <w:szCs w:val="14"/>
                <w:b w:val="1"/>
                <w:bCs w:val="1"/>
                <w:color w:val="009FE3"/>
              </w:rPr>
              <w:t>Base Price</w:t>
            </w:r>
          </w:p>
        </w:tc>
        <w:tc>
          <w:tcPr>
            <w:tcW w:w="10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009FE3"/>
              </w:rPr>
              <w:t>and</w:t>
            </w:r>
          </w:p>
        </w:tc>
        <w:tc>
          <w:tcPr>
            <w:tcW w:w="0" w:type="dxa"/>
            <w:vAlign w:val="bottom"/>
          </w:tcPr>
          <w:p>
            <w:pPr>
              <w:spacing w:after="0"/>
              <w:rPr>
                <w:sz w:val="1"/>
                <w:szCs w:val="1"/>
                <w:color w:val="auto"/>
              </w:rPr>
            </w:pPr>
          </w:p>
        </w:tc>
      </w:tr>
      <w:tr>
        <w:trPr>
          <w:trHeight w:val="61"/>
        </w:trPr>
        <w:tc>
          <w:tcPr>
            <w:tcW w:w="1240" w:type="dxa"/>
            <w:vAlign w:val="bottom"/>
            <w:tcBorders>
              <w:right w:val="single" w:sz="8" w:color="E8EAEB"/>
            </w:tcBorders>
          </w:tcPr>
          <w:p>
            <w:pPr>
              <w:spacing w:after="0"/>
              <w:rPr>
                <w:sz w:val="5"/>
                <w:szCs w:val="5"/>
                <w:color w:val="auto"/>
              </w:rPr>
            </w:pPr>
          </w:p>
        </w:tc>
        <w:tc>
          <w:tcPr>
            <w:tcW w:w="1140" w:type="dxa"/>
            <w:vAlign w:val="bottom"/>
            <w:tcBorders>
              <w:right w:val="single" w:sz="8" w:color="E8EAEB"/>
            </w:tcBorders>
          </w:tcPr>
          <w:p>
            <w:pPr>
              <w:spacing w:after="0"/>
              <w:rPr>
                <w:sz w:val="5"/>
                <w:szCs w:val="5"/>
                <w:color w:val="auto"/>
              </w:rPr>
            </w:pPr>
          </w:p>
        </w:tc>
        <w:tc>
          <w:tcPr>
            <w:tcW w:w="700" w:type="dxa"/>
            <w:vAlign w:val="bottom"/>
            <w:tcBorders>
              <w:right w:val="single" w:sz="8" w:color="E8EAEB"/>
            </w:tcBorders>
          </w:tcPr>
          <w:p>
            <w:pPr>
              <w:spacing w:after="0"/>
              <w:rPr>
                <w:sz w:val="5"/>
                <w:szCs w:val="5"/>
                <w:color w:val="auto"/>
              </w:rPr>
            </w:pPr>
          </w:p>
        </w:tc>
        <w:tc>
          <w:tcPr>
            <w:tcW w:w="1060" w:type="dxa"/>
            <w:vAlign w:val="bottom"/>
            <w:tcBorders>
              <w:right w:val="single" w:sz="8" w:color="E8EAEB"/>
            </w:tcBorders>
          </w:tcPr>
          <w:p>
            <w:pPr>
              <w:spacing w:after="0"/>
              <w:rPr>
                <w:sz w:val="5"/>
                <w:szCs w:val="5"/>
                <w:color w:val="auto"/>
              </w:rPr>
            </w:pPr>
          </w:p>
        </w:tc>
        <w:tc>
          <w:tcPr>
            <w:tcW w:w="700" w:type="dxa"/>
            <w:vAlign w:val="bottom"/>
            <w:tcBorders>
              <w:right w:val="single" w:sz="8" w:color="E8EAEB"/>
            </w:tcBorders>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Borders>
              <w:right w:val="single" w:sz="8" w:color="E8EAEB"/>
            </w:tcBorders>
          </w:tcPr>
          <w:p>
            <w:pPr>
              <w:spacing w:after="0"/>
              <w:rPr>
                <w:sz w:val="5"/>
                <w:szCs w:val="5"/>
                <w:color w:val="auto"/>
              </w:rPr>
            </w:pPr>
          </w:p>
        </w:tc>
        <w:tc>
          <w:tcPr>
            <w:tcW w:w="940" w:type="dxa"/>
            <w:vAlign w:val="bottom"/>
            <w:tcBorders>
              <w:right w:val="single" w:sz="8" w:color="E8EAEB"/>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right w:val="single" w:sz="8" w:color="E8EAEB"/>
            </w:tcBorders>
          </w:tcPr>
          <w:p>
            <w:pPr>
              <w:spacing w:after="0"/>
              <w:rPr>
                <w:sz w:val="5"/>
                <w:szCs w:val="5"/>
                <w:color w:val="auto"/>
              </w:rPr>
            </w:pPr>
          </w:p>
        </w:tc>
        <w:tc>
          <w:tcPr>
            <w:tcW w:w="860" w:type="dxa"/>
            <w:vAlign w:val="bottom"/>
            <w:tcBorders>
              <w:right w:val="single" w:sz="8" w:color="E8EAEB"/>
            </w:tcBorders>
            <w:vMerge w:val="continue"/>
          </w:tcPr>
          <w:p>
            <w:pPr>
              <w:spacing w:after="0"/>
              <w:rPr>
                <w:sz w:val="5"/>
                <w:szCs w:val="5"/>
                <w:color w:val="auto"/>
              </w:rPr>
            </w:pPr>
          </w:p>
        </w:tc>
        <w:tc>
          <w:tcPr>
            <w:tcW w:w="760" w:type="dxa"/>
            <w:vAlign w:val="bottom"/>
            <w:tcBorders>
              <w:right w:val="single" w:sz="8" w:color="E8EAEB"/>
            </w:tcBorders>
            <w:vMerge w:val="continue"/>
          </w:tcPr>
          <w:p>
            <w:pPr>
              <w:spacing w:after="0"/>
              <w:rPr>
                <w:sz w:val="5"/>
                <w:szCs w:val="5"/>
                <w:color w:val="auto"/>
              </w:rPr>
            </w:pPr>
          </w:p>
        </w:tc>
        <w:tc>
          <w:tcPr>
            <w:tcW w:w="820" w:type="dxa"/>
            <w:vAlign w:val="bottom"/>
            <w:tcBorders>
              <w:right w:val="single" w:sz="8" w:color="E8EAEB"/>
            </w:tcBorders>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1140" w:type="dxa"/>
            <w:vAlign w:val="bottom"/>
            <w:tcBorders>
              <w:right w:val="single" w:sz="8" w:color="E8EAEB"/>
            </w:tcBorders>
          </w:tcPr>
          <w:p>
            <w:pPr>
              <w:spacing w:after="0"/>
              <w:rPr>
                <w:sz w:val="14"/>
                <w:szCs w:val="14"/>
                <w:color w:val="auto"/>
              </w:rPr>
            </w:pPr>
          </w:p>
        </w:tc>
        <w:tc>
          <w:tcPr>
            <w:tcW w:w="70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700" w:type="dxa"/>
            <w:vAlign w:val="bottom"/>
            <w:tcBorders>
              <w:right w:val="single" w:sz="8" w:color="E8EAEB"/>
            </w:tcBorders>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right w:val="single" w:sz="8" w:color="E8EAEB"/>
            </w:tcBorders>
          </w:tcPr>
          <w:p>
            <w:pPr>
              <w:spacing w:after="0"/>
              <w:rPr>
                <w:sz w:val="14"/>
                <w:szCs w:val="14"/>
                <w:color w:val="auto"/>
              </w:rPr>
            </w:pPr>
          </w:p>
        </w:tc>
        <w:tc>
          <w:tcPr>
            <w:tcW w:w="8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 or</w:t>
            </w:r>
          </w:p>
        </w:tc>
        <w:tc>
          <w:tcPr>
            <w:tcW w:w="7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Underlying</w:t>
            </w:r>
          </w:p>
        </w:tc>
        <w:tc>
          <w:tcPr>
            <w:tcW w:w="8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of Option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9FE3"/>
              </w:rPr>
              <w:t>Option</w:t>
            </w: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Grant</w:t>
            </w:r>
          </w:p>
        </w:tc>
        <w:tc>
          <w:tcPr>
            <w:tcW w:w="700" w:type="dxa"/>
            <w:vAlign w:val="bottom"/>
            <w:tcBorders>
              <w:right w:val="single" w:sz="8" w:color="E8EAEB"/>
            </w:tcBorders>
          </w:tcPr>
          <w:p>
            <w:pPr>
              <w:spacing w:after="0"/>
              <w:rPr>
                <w:sz w:val="20"/>
                <w:szCs w:val="20"/>
                <w:color w:val="auto"/>
              </w:rPr>
            </w:pPr>
            <w:r>
              <w:rPr>
                <w:rFonts w:ascii="Arial" w:cs="Arial" w:eastAsia="Arial" w:hAnsi="Arial"/>
                <w:sz w:val="14"/>
                <w:szCs w:val="14"/>
                <w:b w:val="1"/>
                <w:bCs w:val="1"/>
                <w:color w:val="009FE3"/>
                <w:w w:val="97"/>
              </w:rPr>
              <w:t>Threshold</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Target</w:t>
            </w:r>
          </w:p>
        </w:tc>
        <w:tc>
          <w:tcPr>
            <w:tcW w:w="700" w:type="dxa"/>
            <w:vAlign w:val="bottom"/>
            <w:tcBorders>
              <w:right w:val="single" w:sz="8" w:color="E8EAEB"/>
            </w:tcBorders>
          </w:tcPr>
          <w:p>
            <w:pPr>
              <w:spacing w:after="0"/>
              <w:rPr>
                <w:sz w:val="20"/>
                <w:szCs w:val="20"/>
                <w:color w:val="auto"/>
              </w:rPr>
            </w:pPr>
            <w:r>
              <w:rPr>
                <w:rFonts w:ascii="Arial" w:cs="Arial" w:eastAsia="Arial" w:hAnsi="Arial"/>
                <w:sz w:val="14"/>
                <w:szCs w:val="14"/>
                <w:b w:val="1"/>
                <w:bCs w:val="1"/>
                <w:color w:val="009FE3"/>
              </w:rPr>
              <w:t>Maximum</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9FE3"/>
              </w:rPr>
              <w:t>Threshold</w:t>
            </w:r>
          </w:p>
        </w:tc>
        <w:tc>
          <w:tcPr>
            <w:tcW w:w="8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b w:val="1"/>
                <w:bCs w:val="1"/>
                <w:color w:val="009FE3"/>
              </w:rPr>
              <w:t>Target</w:t>
            </w:r>
          </w:p>
        </w:tc>
        <w:tc>
          <w:tcPr>
            <w:tcW w:w="100" w:type="dxa"/>
            <w:vAlign w:val="bottom"/>
          </w:tcPr>
          <w:p>
            <w:pPr>
              <w:spacing w:after="0"/>
              <w:rPr>
                <w:sz w:val="14"/>
                <w:szCs w:val="14"/>
                <w:color w:val="auto"/>
              </w:rPr>
            </w:pPr>
          </w:p>
        </w:tc>
        <w:tc>
          <w:tcPr>
            <w:tcW w:w="82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b w:val="1"/>
                <w:bCs w:val="1"/>
                <w:color w:val="009FE3"/>
              </w:rPr>
              <w:t>Maximum</w:t>
            </w:r>
          </w:p>
        </w:tc>
        <w:tc>
          <w:tcPr>
            <w:tcW w:w="8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Units</w:t>
            </w:r>
          </w:p>
        </w:tc>
        <w:tc>
          <w:tcPr>
            <w:tcW w:w="7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Options</w:t>
            </w:r>
          </w:p>
        </w:tc>
        <w:tc>
          <w:tcPr>
            <w:tcW w:w="8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9FE3"/>
              </w:rPr>
              <w:t>Awards</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1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8"/>
              </w:rPr>
              <w:t>Date</w:t>
            </w:r>
          </w:p>
        </w:tc>
        <w:tc>
          <w:tcPr>
            <w:tcW w:w="700" w:type="dxa"/>
            <w:vAlign w:val="bottom"/>
            <w:tcBorders>
              <w:bottom w:val="single" w:sz="8" w:color="009FE3"/>
              <w:right w:val="single" w:sz="8" w:color="E8EAEB"/>
            </w:tcBorders>
          </w:tcPr>
          <w:p>
            <w:pPr>
              <w:ind w:left="240"/>
              <w:spacing w:after="0"/>
              <w:rPr>
                <w:sz w:val="20"/>
                <w:szCs w:val="20"/>
                <w:color w:val="auto"/>
              </w:rPr>
            </w:pPr>
            <w:r>
              <w:rPr>
                <w:rFonts w:ascii="Arial" w:cs="Arial" w:eastAsia="Arial" w:hAnsi="Arial"/>
                <w:sz w:val="14"/>
                <w:szCs w:val="14"/>
                <w:b w:val="1"/>
                <w:bCs w:val="1"/>
                <w:color w:val="009FE3"/>
              </w:rPr>
              <w:t>($)</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700" w:type="dxa"/>
            <w:vAlign w:val="bottom"/>
            <w:tcBorders>
              <w:bottom w:val="single" w:sz="8" w:color="009FE3"/>
              <w:right w:val="single" w:sz="8" w:color="E8EAEB"/>
            </w:tcBorders>
          </w:tcPr>
          <w:p>
            <w:pPr>
              <w:ind w:left="240"/>
              <w:spacing w:after="0"/>
              <w:rPr>
                <w:sz w:val="20"/>
                <w:szCs w:val="20"/>
                <w:color w:val="auto"/>
              </w:rPr>
            </w:pPr>
            <w:r>
              <w:rPr>
                <w:rFonts w:ascii="Arial" w:cs="Arial" w:eastAsia="Arial" w:hAnsi="Arial"/>
                <w:sz w:val="14"/>
                <w:szCs w:val="14"/>
                <w:b w:val="1"/>
                <w:bCs w:val="1"/>
                <w:color w:val="009FE3"/>
              </w:rPr>
              <w:t>($)</w:t>
            </w:r>
          </w:p>
        </w:tc>
        <w:tc>
          <w:tcPr>
            <w:tcW w:w="76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w:t>
            </w:r>
          </w:p>
        </w:tc>
        <w:tc>
          <w:tcPr>
            <w:tcW w:w="80" w:type="dxa"/>
            <w:vAlign w:val="bottom"/>
            <w:tcBorders>
              <w:bottom w:val="single" w:sz="8" w:color="009FE3"/>
              <w:right w:val="single" w:sz="8" w:color="E8EAEB"/>
            </w:tcBorders>
          </w:tcPr>
          <w:p>
            <w:pPr>
              <w:spacing w:after="0"/>
              <w:rPr>
                <w:sz w:val="17"/>
                <w:szCs w:val="17"/>
                <w:color w:val="auto"/>
              </w:rPr>
            </w:pPr>
          </w:p>
        </w:tc>
        <w:tc>
          <w:tcPr>
            <w:tcW w:w="940" w:type="dxa"/>
            <w:vAlign w:val="bottom"/>
            <w:tcBorders>
              <w:bottom w:val="single" w:sz="8" w:color="009FE3"/>
              <w:right w:val="single" w:sz="8" w:color="E8EAEB"/>
            </w:tcBorders>
          </w:tcPr>
          <w:p>
            <w:pPr>
              <w:jc w:val="right"/>
              <w:ind w:right="328"/>
              <w:spacing w:after="0"/>
              <w:rPr>
                <w:sz w:val="20"/>
                <w:szCs w:val="20"/>
                <w:color w:val="auto"/>
              </w:rPr>
            </w:pPr>
            <w:r>
              <w:rPr>
                <w:rFonts w:ascii="Arial" w:cs="Arial" w:eastAsia="Arial" w:hAnsi="Arial"/>
                <w:sz w:val="14"/>
                <w:szCs w:val="14"/>
                <w:b w:val="1"/>
                <w:bCs w:val="1"/>
                <w:color w:val="009FE3"/>
              </w:rPr>
              <w:t>(#)</w:t>
            </w:r>
          </w:p>
        </w:tc>
        <w:tc>
          <w:tcPr>
            <w:tcW w:w="100" w:type="dxa"/>
            <w:vAlign w:val="bottom"/>
            <w:tcBorders>
              <w:bottom w:val="single" w:sz="8" w:color="009FE3"/>
            </w:tcBorders>
          </w:tcPr>
          <w:p>
            <w:pPr>
              <w:spacing w:after="0"/>
              <w:rPr>
                <w:sz w:val="17"/>
                <w:szCs w:val="17"/>
                <w:color w:val="auto"/>
              </w:rPr>
            </w:pPr>
          </w:p>
        </w:tc>
        <w:tc>
          <w:tcPr>
            <w:tcW w:w="820" w:type="dxa"/>
            <w:vAlign w:val="bottom"/>
            <w:tcBorders>
              <w:bottom w:val="single" w:sz="8" w:color="009FE3"/>
              <w:right w:val="single" w:sz="8" w:color="E8EAEB"/>
            </w:tcBorders>
          </w:tcPr>
          <w:p>
            <w:pPr>
              <w:jc w:val="right"/>
              <w:ind w:right="328"/>
              <w:spacing w:after="0"/>
              <w:rPr>
                <w:sz w:val="20"/>
                <w:szCs w:val="20"/>
                <w:color w:val="auto"/>
              </w:rPr>
            </w:pPr>
            <w:r>
              <w:rPr>
                <w:rFonts w:ascii="Arial" w:cs="Arial" w:eastAsia="Arial" w:hAnsi="Arial"/>
                <w:sz w:val="14"/>
                <w:szCs w:val="14"/>
                <w:b w:val="1"/>
                <w:bCs w:val="1"/>
                <w:color w:val="009FE3"/>
              </w:rPr>
              <w:t>(#)</w:t>
            </w:r>
          </w:p>
        </w:tc>
        <w:tc>
          <w:tcPr>
            <w:tcW w:w="8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(#)(3)</w:t>
            </w:r>
          </w:p>
        </w:tc>
        <w:tc>
          <w:tcPr>
            <w:tcW w:w="7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8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($/Sh)(4)</w:t>
            </w:r>
          </w:p>
        </w:tc>
        <w:tc>
          <w:tcPr>
            <w:tcW w:w="104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($)(5)</w:t>
            </w:r>
          </w:p>
        </w:tc>
        <w:tc>
          <w:tcPr>
            <w:tcW w:w="0" w:type="dxa"/>
            <w:vAlign w:val="bottom"/>
          </w:tcPr>
          <w:p>
            <w:pPr>
              <w:spacing w:after="0"/>
              <w:rPr>
                <w:sz w:val="1"/>
                <w:szCs w:val="1"/>
                <w:color w:val="auto"/>
              </w:rPr>
            </w:pPr>
          </w:p>
        </w:tc>
      </w:tr>
      <w:tr>
        <w:trPr>
          <w:trHeight w:val="175"/>
        </w:trPr>
        <w:tc>
          <w:tcPr>
            <w:tcW w:w="12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Mark Dankberg</w:t>
            </w:r>
          </w:p>
        </w:tc>
        <w:tc>
          <w:tcPr>
            <w:tcW w:w="1140" w:type="dxa"/>
            <w:vAlign w:val="bottom"/>
            <w:tcBorders>
              <w:right w:val="single" w:sz="8" w:color="E8EAEB"/>
            </w:tcBorders>
          </w:tcPr>
          <w:p>
            <w:pPr>
              <w:ind w:left="700"/>
              <w:spacing w:after="0"/>
              <w:rPr>
                <w:sz w:val="20"/>
                <w:szCs w:val="20"/>
                <w:color w:val="auto"/>
              </w:rPr>
            </w:pPr>
            <w:r>
              <w:rPr>
                <w:rFonts w:ascii="Arial" w:cs="Arial" w:eastAsia="Arial" w:hAnsi="Arial"/>
                <w:sz w:val="14"/>
                <w:szCs w:val="14"/>
                <w:color w:val="202E39"/>
              </w:rPr>
              <w:t>—</w:t>
            </w:r>
          </w:p>
        </w:tc>
        <w:tc>
          <w:tcPr>
            <w:tcW w:w="700" w:type="dxa"/>
            <w:vAlign w:val="bottom"/>
            <w:tcBorders>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1,175,000</w:t>
            </w:r>
          </w:p>
        </w:tc>
        <w:tc>
          <w:tcPr>
            <w:tcW w:w="700" w:type="dxa"/>
            <w:vAlign w:val="bottom"/>
            <w:tcBorders>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Pr>
          <w:p>
            <w:pPr>
              <w:ind w:left="4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5"/>
                <w:szCs w:val="15"/>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5"/>
                <w:szCs w:val="15"/>
                <w:color w:val="auto"/>
              </w:rPr>
            </w:pPr>
          </w:p>
        </w:tc>
        <w:tc>
          <w:tcPr>
            <w:tcW w:w="82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76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400"/>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20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7"/>
        </w:trPr>
        <w:tc>
          <w:tcPr>
            <w:tcW w:w="1240" w:type="dxa"/>
            <w:vAlign w:val="bottom"/>
            <w:tcBorders>
              <w:right w:val="single" w:sz="8" w:color="E8EAEB"/>
            </w:tcBorders>
          </w:tcPr>
          <w:p>
            <w:pPr>
              <w:spacing w:after="0"/>
              <w:rPr>
                <w:sz w:val="14"/>
                <w:szCs w:val="14"/>
                <w:color w:val="auto"/>
              </w:rPr>
            </w:pP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11/17/2017</w:t>
            </w:r>
          </w:p>
        </w:tc>
        <w:tc>
          <w:tcPr>
            <w:tcW w:w="700" w:type="dxa"/>
            <w:vAlign w:val="bottom"/>
            <w:tcBorders>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00" w:type="dxa"/>
            <w:vAlign w:val="bottom"/>
            <w:tcBorders>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Pr>
          <w:p>
            <w:pPr>
              <w:ind w:left="4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2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46,667</w:t>
            </w:r>
          </w:p>
        </w:tc>
        <w:tc>
          <w:tcPr>
            <w:tcW w:w="76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400"/>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202E39"/>
              </w:rPr>
              <w:t>3,442,625</w:t>
            </w:r>
          </w:p>
        </w:tc>
        <w:tc>
          <w:tcPr>
            <w:tcW w:w="0" w:type="dxa"/>
            <w:vAlign w:val="bottom"/>
          </w:tcPr>
          <w:p>
            <w:pPr>
              <w:spacing w:after="0"/>
              <w:rPr>
                <w:sz w:val="1"/>
                <w:szCs w:val="1"/>
                <w:color w:val="auto"/>
              </w:rPr>
            </w:pPr>
          </w:p>
        </w:tc>
      </w:tr>
      <w:tr>
        <w:trPr>
          <w:trHeight w:val="171"/>
        </w:trPr>
        <w:tc>
          <w:tcPr>
            <w:tcW w:w="1240" w:type="dxa"/>
            <w:vAlign w:val="bottom"/>
            <w:tcBorders>
              <w:bottom w:val="single" w:sz="8" w:color="E8EAEB"/>
              <w:right w:val="single" w:sz="8" w:color="E8EAEB"/>
            </w:tcBorders>
          </w:tcPr>
          <w:p>
            <w:pPr>
              <w:spacing w:after="0"/>
              <w:rPr>
                <w:sz w:val="14"/>
                <w:szCs w:val="14"/>
                <w:color w:val="auto"/>
              </w:rPr>
            </w:pPr>
          </w:p>
        </w:tc>
        <w:tc>
          <w:tcPr>
            <w:tcW w:w="11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11/17/2017</w:t>
            </w:r>
          </w:p>
        </w:tc>
        <w:tc>
          <w:tcPr>
            <w:tcW w:w="7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bottom w:val="single" w:sz="8" w:color="E8EAEB"/>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0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Borders>
              <w:bottom w:val="single" w:sz="8" w:color="E8EAEB"/>
            </w:tcBorders>
          </w:tcPr>
          <w:p>
            <w:pPr>
              <w:jc w:val="center"/>
              <w:ind w:left="8"/>
              <w:spacing w:after="0"/>
              <w:rPr>
                <w:sz w:val="20"/>
                <w:szCs w:val="20"/>
                <w:color w:val="auto"/>
              </w:rPr>
            </w:pPr>
            <w:r>
              <w:rPr>
                <w:rFonts w:ascii="Arial" w:cs="Arial" w:eastAsia="Arial" w:hAnsi="Arial"/>
                <w:sz w:val="14"/>
                <w:szCs w:val="14"/>
                <w:color w:val="202E39"/>
              </w:rPr>
              <w:t>70,000</w:t>
            </w:r>
          </w:p>
        </w:tc>
        <w:tc>
          <w:tcPr>
            <w:tcW w:w="80" w:type="dxa"/>
            <w:vAlign w:val="bottom"/>
            <w:tcBorders>
              <w:bottom w:val="single" w:sz="8" w:color="E8EAEB"/>
              <w:right w:val="single" w:sz="8" w:color="E8EAEB"/>
            </w:tcBorders>
          </w:tcPr>
          <w:p>
            <w:pPr>
              <w:spacing w:after="0"/>
              <w:rPr>
                <w:sz w:val="14"/>
                <w:szCs w:val="14"/>
                <w:color w:val="auto"/>
              </w:rPr>
            </w:pPr>
          </w:p>
        </w:tc>
        <w:tc>
          <w:tcPr>
            <w:tcW w:w="94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140,000</w:t>
            </w:r>
          </w:p>
        </w:tc>
        <w:tc>
          <w:tcPr>
            <w:tcW w:w="100" w:type="dxa"/>
            <w:vAlign w:val="bottom"/>
            <w:tcBorders>
              <w:bottom w:val="single" w:sz="8" w:color="E8EAEB"/>
            </w:tcBorders>
          </w:tcPr>
          <w:p>
            <w:pPr>
              <w:spacing w:after="0"/>
              <w:rPr>
                <w:sz w:val="14"/>
                <w:szCs w:val="14"/>
                <w:color w:val="auto"/>
              </w:rPr>
            </w:pPr>
          </w:p>
        </w:tc>
        <w:tc>
          <w:tcPr>
            <w:tcW w:w="8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245,000</w:t>
            </w:r>
          </w:p>
        </w:tc>
        <w:tc>
          <w:tcPr>
            <w:tcW w:w="860" w:type="dxa"/>
            <w:vAlign w:val="bottom"/>
            <w:tcBorders>
              <w:bottom w:val="single" w:sz="8" w:color="E8EAEB"/>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760" w:type="dxa"/>
            <w:vAlign w:val="bottom"/>
            <w:tcBorders>
              <w:bottom w:val="single" w:sz="8" w:color="E8EAEB"/>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$73.77</w:t>
            </w:r>
          </w:p>
        </w:tc>
        <w:tc>
          <w:tcPr>
            <w:tcW w:w="104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4,485,810</w:t>
            </w:r>
          </w:p>
        </w:tc>
        <w:tc>
          <w:tcPr>
            <w:tcW w:w="0" w:type="dxa"/>
            <w:vAlign w:val="bottom"/>
          </w:tcPr>
          <w:p>
            <w:pPr>
              <w:spacing w:after="0"/>
              <w:rPr>
                <w:sz w:val="1"/>
                <w:szCs w:val="1"/>
                <w:color w:val="auto"/>
              </w:rPr>
            </w:pPr>
          </w:p>
        </w:tc>
      </w:tr>
      <w:tr>
        <w:trPr>
          <w:trHeight w:val="169"/>
        </w:trPr>
        <w:tc>
          <w:tcPr>
            <w:tcW w:w="12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Richard Baldridge</w:t>
            </w:r>
          </w:p>
        </w:tc>
        <w:tc>
          <w:tcPr>
            <w:tcW w:w="1140" w:type="dxa"/>
            <w:vAlign w:val="bottom"/>
            <w:tcBorders>
              <w:right w:val="single" w:sz="8" w:color="E8EAEB"/>
            </w:tcBorders>
          </w:tcPr>
          <w:p>
            <w:pPr>
              <w:ind w:left="700"/>
              <w:spacing w:after="0"/>
              <w:rPr>
                <w:sz w:val="20"/>
                <w:szCs w:val="20"/>
                <w:color w:val="auto"/>
              </w:rPr>
            </w:pPr>
            <w:r>
              <w:rPr>
                <w:rFonts w:ascii="Arial" w:cs="Arial" w:eastAsia="Arial" w:hAnsi="Arial"/>
                <w:sz w:val="14"/>
                <w:szCs w:val="14"/>
                <w:color w:val="202E39"/>
              </w:rPr>
              <w:t>—</w:t>
            </w:r>
          </w:p>
        </w:tc>
        <w:tc>
          <w:tcPr>
            <w:tcW w:w="700" w:type="dxa"/>
            <w:vAlign w:val="bottom"/>
            <w:tcBorders>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1,000,000</w:t>
            </w:r>
          </w:p>
        </w:tc>
        <w:tc>
          <w:tcPr>
            <w:tcW w:w="700" w:type="dxa"/>
            <w:vAlign w:val="bottom"/>
            <w:tcBorders>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Pr>
          <w:p>
            <w:pPr>
              <w:ind w:left="4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2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76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400"/>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20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7"/>
        </w:trPr>
        <w:tc>
          <w:tcPr>
            <w:tcW w:w="1240" w:type="dxa"/>
            <w:vAlign w:val="bottom"/>
            <w:tcBorders>
              <w:right w:val="single" w:sz="8" w:color="E8EAEB"/>
            </w:tcBorders>
          </w:tcPr>
          <w:p>
            <w:pPr>
              <w:spacing w:after="0"/>
              <w:rPr>
                <w:sz w:val="14"/>
                <w:szCs w:val="14"/>
                <w:color w:val="auto"/>
              </w:rPr>
            </w:pP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11/17/2017</w:t>
            </w:r>
          </w:p>
        </w:tc>
        <w:tc>
          <w:tcPr>
            <w:tcW w:w="700" w:type="dxa"/>
            <w:vAlign w:val="bottom"/>
            <w:tcBorders>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00" w:type="dxa"/>
            <w:vAlign w:val="bottom"/>
            <w:tcBorders>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Pr>
          <w:p>
            <w:pPr>
              <w:ind w:left="4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2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37,500</w:t>
            </w:r>
          </w:p>
        </w:tc>
        <w:tc>
          <w:tcPr>
            <w:tcW w:w="76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400"/>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202E39"/>
              </w:rPr>
              <w:t>2,766,375</w:t>
            </w:r>
          </w:p>
        </w:tc>
        <w:tc>
          <w:tcPr>
            <w:tcW w:w="0" w:type="dxa"/>
            <w:vAlign w:val="bottom"/>
          </w:tcPr>
          <w:p>
            <w:pPr>
              <w:spacing w:after="0"/>
              <w:rPr>
                <w:sz w:val="1"/>
                <w:szCs w:val="1"/>
                <w:color w:val="auto"/>
              </w:rPr>
            </w:pPr>
          </w:p>
        </w:tc>
      </w:tr>
      <w:tr>
        <w:trPr>
          <w:trHeight w:val="171"/>
        </w:trPr>
        <w:tc>
          <w:tcPr>
            <w:tcW w:w="1240" w:type="dxa"/>
            <w:vAlign w:val="bottom"/>
            <w:tcBorders>
              <w:bottom w:val="single" w:sz="8" w:color="E8EAEB"/>
              <w:right w:val="single" w:sz="8" w:color="E8EAEB"/>
            </w:tcBorders>
          </w:tcPr>
          <w:p>
            <w:pPr>
              <w:spacing w:after="0"/>
              <w:rPr>
                <w:sz w:val="14"/>
                <w:szCs w:val="14"/>
                <w:color w:val="auto"/>
              </w:rPr>
            </w:pPr>
          </w:p>
        </w:tc>
        <w:tc>
          <w:tcPr>
            <w:tcW w:w="11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11/17/2017</w:t>
            </w:r>
          </w:p>
        </w:tc>
        <w:tc>
          <w:tcPr>
            <w:tcW w:w="7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bottom w:val="single" w:sz="8" w:color="E8EAEB"/>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0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Borders>
              <w:bottom w:val="single" w:sz="8" w:color="E8EAEB"/>
            </w:tcBorders>
          </w:tcPr>
          <w:p>
            <w:pPr>
              <w:jc w:val="center"/>
              <w:ind w:left="8"/>
              <w:spacing w:after="0"/>
              <w:rPr>
                <w:sz w:val="20"/>
                <w:szCs w:val="20"/>
                <w:color w:val="auto"/>
              </w:rPr>
            </w:pPr>
            <w:r>
              <w:rPr>
                <w:rFonts w:ascii="Arial" w:cs="Arial" w:eastAsia="Arial" w:hAnsi="Arial"/>
                <w:sz w:val="14"/>
                <w:szCs w:val="14"/>
                <w:color w:val="202E39"/>
              </w:rPr>
              <w:t>56,250</w:t>
            </w:r>
          </w:p>
        </w:tc>
        <w:tc>
          <w:tcPr>
            <w:tcW w:w="80" w:type="dxa"/>
            <w:vAlign w:val="bottom"/>
            <w:tcBorders>
              <w:bottom w:val="single" w:sz="8" w:color="E8EAEB"/>
              <w:right w:val="single" w:sz="8" w:color="E8EAEB"/>
            </w:tcBorders>
          </w:tcPr>
          <w:p>
            <w:pPr>
              <w:spacing w:after="0"/>
              <w:rPr>
                <w:sz w:val="14"/>
                <w:szCs w:val="14"/>
                <w:color w:val="auto"/>
              </w:rPr>
            </w:pPr>
          </w:p>
        </w:tc>
        <w:tc>
          <w:tcPr>
            <w:tcW w:w="94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112,500</w:t>
            </w:r>
          </w:p>
        </w:tc>
        <w:tc>
          <w:tcPr>
            <w:tcW w:w="100" w:type="dxa"/>
            <w:vAlign w:val="bottom"/>
            <w:tcBorders>
              <w:bottom w:val="single" w:sz="8" w:color="E8EAEB"/>
            </w:tcBorders>
          </w:tcPr>
          <w:p>
            <w:pPr>
              <w:spacing w:after="0"/>
              <w:rPr>
                <w:sz w:val="14"/>
                <w:szCs w:val="14"/>
                <w:color w:val="auto"/>
              </w:rPr>
            </w:pPr>
          </w:p>
        </w:tc>
        <w:tc>
          <w:tcPr>
            <w:tcW w:w="8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196,875</w:t>
            </w:r>
          </w:p>
        </w:tc>
        <w:tc>
          <w:tcPr>
            <w:tcW w:w="860" w:type="dxa"/>
            <w:vAlign w:val="bottom"/>
            <w:tcBorders>
              <w:bottom w:val="single" w:sz="8" w:color="E8EAEB"/>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760" w:type="dxa"/>
            <w:vAlign w:val="bottom"/>
            <w:tcBorders>
              <w:bottom w:val="single" w:sz="8" w:color="E8EAEB"/>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$73.77</w:t>
            </w:r>
          </w:p>
        </w:tc>
        <w:tc>
          <w:tcPr>
            <w:tcW w:w="104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3,604,669</w:t>
            </w:r>
          </w:p>
        </w:tc>
        <w:tc>
          <w:tcPr>
            <w:tcW w:w="0" w:type="dxa"/>
            <w:vAlign w:val="bottom"/>
          </w:tcPr>
          <w:p>
            <w:pPr>
              <w:spacing w:after="0"/>
              <w:rPr>
                <w:sz w:val="1"/>
                <w:szCs w:val="1"/>
                <w:color w:val="auto"/>
              </w:rPr>
            </w:pPr>
          </w:p>
        </w:tc>
      </w:tr>
      <w:tr>
        <w:trPr>
          <w:trHeight w:val="169"/>
        </w:trPr>
        <w:tc>
          <w:tcPr>
            <w:tcW w:w="12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Shawn Duffy</w:t>
            </w:r>
          </w:p>
        </w:tc>
        <w:tc>
          <w:tcPr>
            <w:tcW w:w="1140" w:type="dxa"/>
            <w:vAlign w:val="bottom"/>
            <w:tcBorders>
              <w:right w:val="single" w:sz="8" w:color="E8EAEB"/>
            </w:tcBorders>
          </w:tcPr>
          <w:p>
            <w:pPr>
              <w:ind w:left="700"/>
              <w:spacing w:after="0"/>
              <w:rPr>
                <w:sz w:val="20"/>
                <w:szCs w:val="20"/>
                <w:color w:val="auto"/>
              </w:rPr>
            </w:pPr>
            <w:r>
              <w:rPr>
                <w:rFonts w:ascii="Arial" w:cs="Arial" w:eastAsia="Arial" w:hAnsi="Arial"/>
                <w:sz w:val="14"/>
                <w:szCs w:val="14"/>
                <w:color w:val="202E39"/>
              </w:rPr>
              <w:t>—</w:t>
            </w:r>
          </w:p>
        </w:tc>
        <w:tc>
          <w:tcPr>
            <w:tcW w:w="700" w:type="dxa"/>
            <w:vAlign w:val="bottom"/>
            <w:tcBorders>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525,000</w:t>
            </w:r>
          </w:p>
        </w:tc>
        <w:tc>
          <w:tcPr>
            <w:tcW w:w="700" w:type="dxa"/>
            <w:vAlign w:val="bottom"/>
            <w:tcBorders>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Pr>
          <w:p>
            <w:pPr>
              <w:ind w:left="4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2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76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400"/>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20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7"/>
        </w:trPr>
        <w:tc>
          <w:tcPr>
            <w:tcW w:w="1240" w:type="dxa"/>
            <w:vAlign w:val="bottom"/>
            <w:tcBorders>
              <w:right w:val="single" w:sz="8" w:color="E8EAEB"/>
            </w:tcBorders>
          </w:tcPr>
          <w:p>
            <w:pPr>
              <w:spacing w:after="0"/>
              <w:rPr>
                <w:sz w:val="14"/>
                <w:szCs w:val="14"/>
                <w:color w:val="auto"/>
              </w:rPr>
            </w:pP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11/17/2017</w:t>
            </w:r>
          </w:p>
        </w:tc>
        <w:tc>
          <w:tcPr>
            <w:tcW w:w="700" w:type="dxa"/>
            <w:vAlign w:val="bottom"/>
            <w:tcBorders>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00" w:type="dxa"/>
            <w:vAlign w:val="bottom"/>
            <w:tcBorders>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Pr>
          <w:p>
            <w:pPr>
              <w:ind w:left="4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2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10,000</w:t>
            </w:r>
          </w:p>
        </w:tc>
        <w:tc>
          <w:tcPr>
            <w:tcW w:w="76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400"/>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202E39"/>
              </w:rPr>
              <w:t>737,700</w:t>
            </w:r>
          </w:p>
        </w:tc>
        <w:tc>
          <w:tcPr>
            <w:tcW w:w="0" w:type="dxa"/>
            <w:vAlign w:val="bottom"/>
          </w:tcPr>
          <w:p>
            <w:pPr>
              <w:spacing w:after="0"/>
              <w:rPr>
                <w:sz w:val="1"/>
                <w:szCs w:val="1"/>
                <w:color w:val="auto"/>
              </w:rPr>
            </w:pPr>
          </w:p>
        </w:tc>
      </w:tr>
      <w:tr>
        <w:trPr>
          <w:trHeight w:val="171"/>
        </w:trPr>
        <w:tc>
          <w:tcPr>
            <w:tcW w:w="1240" w:type="dxa"/>
            <w:vAlign w:val="bottom"/>
            <w:tcBorders>
              <w:bottom w:val="single" w:sz="8" w:color="E8EAEB"/>
              <w:right w:val="single" w:sz="8" w:color="E8EAEB"/>
            </w:tcBorders>
          </w:tcPr>
          <w:p>
            <w:pPr>
              <w:spacing w:after="0"/>
              <w:rPr>
                <w:sz w:val="14"/>
                <w:szCs w:val="14"/>
                <w:color w:val="auto"/>
              </w:rPr>
            </w:pPr>
          </w:p>
        </w:tc>
        <w:tc>
          <w:tcPr>
            <w:tcW w:w="11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11/17/2017</w:t>
            </w:r>
          </w:p>
        </w:tc>
        <w:tc>
          <w:tcPr>
            <w:tcW w:w="7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bottom w:val="single" w:sz="8" w:color="E8EAEB"/>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0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Borders>
              <w:bottom w:val="single" w:sz="8" w:color="E8EAEB"/>
            </w:tcBorders>
          </w:tcPr>
          <w:p>
            <w:pPr>
              <w:jc w:val="center"/>
              <w:ind w:left="8"/>
              <w:spacing w:after="0"/>
              <w:rPr>
                <w:sz w:val="20"/>
                <w:szCs w:val="20"/>
                <w:color w:val="auto"/>
              </w:rPr>
            </w:pPr>
            <w:r>
              <w:rPr>
                <w:rFonts w:ascii="Arial" w:cs="Arial" w:eastAsia="Arial" w:hAnsi="Arial"/>
                <w:sz w:val="14"/>
                <w:szCs w:val="14"/>
                <w:color w:val="202E39"/>
              </w:rPr>
              <w:t>15,000</w:t>
            </w:r>
          </w:p>
        </w:tc>
        <w:tc>
          <w:tcPr>
            <w:tcW w:w="80" w:type="dxa"/>
            <w:vAlign w:val="bottom"/>
            <w:tcBorders>
              <w:bottom w:val="single" w:sz="8" w:color="E8EAEB"/>
              <w:right w:val="single" w:sz="8" w:color="E8EAEB"/>
            </w:tcBorders>
          </w:tcPr>
          <w:p>
            <w:pPr>
              <w:spacing w:after="0"/>
              <w:rPr>
                <w:sz w:val="14"/>
                <w:szCs w:val="14"/>
                <w:color w:val="auto"/>
              </w:rPr>
            </w:pPr>
          </w:p>
        </w:tc>
        <w:tc>
          <w:tcPr>
            <w:tcW w:w="94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30,000</w:t>
            </w:r>
          </w:p>
        </w:tc>
        <w:tc>
          <w:tcPr>
            <w:tcW w:w="100" w:type="dxa"/>
            <w:vAlign w:val="bottom"/>
            <w:tcBorders>
              <w:bottom w:val="single" w:sz="8" w:color="E8EAEB"/>
            </w:tcBorders>
          </w:tcPr>
          <w:p>
            <w:pPr>
              <w:spacing w:after="0"/>
              <w:rPr>
                <w:sz w:val="14"/>
                <w:szCs w:val="14"/>
                <w:color w:val="auto"/>
              </w:rPr>
            </w:pPr>
          </w:p>
        </w:tc>
        <w:tc>
          <w:tcPr>
            <w:tcW w:w="8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52,500</w:t>
            </w:r>
          </w:p>
        </w:tc>
        <w:tc>
          <w:tcPr>
            <w:tcW w:w="860" w:type="dxa"/>
            <w:vAlign w:val="bottom"/>
            <w:tcBorders>
              <w:bottom w:val="single" w:sz="8" w:color="E8EAEB"/>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760" w:type="dxa"/>
            <w:vAlign w:val="bottom"/>
            <w:tcBorders>
              <w:bottom w:val="single" w:sz="8" w:color="E8EAEB"/>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$73.77</w:t>
            </w:r>
          </w:p>
        </w:tc>
        <w:tc>
          <w:tcPr>
            <w:tcW w:w="104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961,245</w:t>
            </w:r>
          </w:p>
        </w:tc>
        <w:tc>
          <w:tcPr>
            <w:tcW w:w="0" w:type="dxa"/>
            <w:vAlign w:val="bottom"/>
          </w:tcPr>
          <w:p>
            <w:pPr>
              <w:spacing w:after="0"/>
              <w:rPr>
                <w:sz w:val="1"/>
                <w:szCs w:val="1"/>
                <w:color w:val="auto"/>
              </w:rPr>
            </w:pPr>
          </w:p>
        </w:tc>
      </w:tr>
      <w:tr>
        <w:trPr>
          <w:trHeight w:val="169"/>
        </w:trPr>
        <w:tc>
          <w:tcPr>
            <w:tcW w:w="12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Keven Lippert</w:t>
            </w:r>
          </w:p>
        </w:tc>
        <w:tc>
          <w:tcPr>
            <w:tcW w:w="1140" w:type="dxa"/>
            <w:vAlign w:val="bottom"/>
            <w:tcBorders>
              <w:right w:val="single" w:sz="8" w:color="E8EAEB"/>
            </w:tcBorders>
          </w:tcPr>
          <w:p>
            <w:pPr>
              <w:ind w:left="700"/>
              <w:spacing w:after="0"/>
              <w:rPr>
                <w:sz w:val="20"/>
                <w:szCs w:val="20"/>
                <w:color w:val="auto"/>
              </w:rPr>
            </w:pPr>
            <w:r>
              <w:rPr>
                <w:rFonts w:ascii="Arial" w:cs="Arial" w:eastAsia="Arial" w:hAnsi="Arial"/>
                <w:sz w:val="14"/>
                <w:szCs w:val="14"/>
                <w:color w:val="202E39"/>
              </w:rPr>
              <w:t>—</w:t>
            </w:r>
          </w:p>
        </w:tc>
        <w:tc>
          <w:tcPr>
            <w:tcW w:w="700" w:type="dxa"/>
            <w:vAlign w:val="bottom"/>
            <w:tcBorders>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585,000</w:t>
            </w:r>
          </w:p>
        </w:tc>
        <w:tc>
          <w:tcPr>
            <w:tcW w:w="700" w:type="dxa"/>
            <w:vAlign w:val="bottom"/>
            <w:tcBorders>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Pr>
          <w:p>
            <w:pPr>
              <w:ind w:left="4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2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76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400"/>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20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7"/>
        </w:trPr>
        <w:tc>
          <w:tcPr>
            <w:tcW w:w="1240" w:type="dxa"/>
            <w:vAlign w:val="bottom"/>
            <w:tcBorders>
              <w:right w:val="single" w:sz="8" w:color="E8EAEB"/>
            </w:tcBorders>
          </w:tcPr>
          <w:p>
            <w:pPr>
              <w:spacing w:after="0"/>
              <w:rPr>
                <w:sz w:val="14"/>
                <w:szCs w:val="14"/>
                <w:color w:val="auto"/>
              </w:rPr>
            </w:pP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11/17/2017</w:t>
            </w:r>
          </w:p>
        </w:tc>
        <w:tc>
          <w:tcPr>
            <w:tcW w:w="700" w:type="dxa"/>
            <w:vAlign w:val="bottom"/>
            <w:tcBorders>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00" w:type="dxa"/>
            <w:vAlign w:val="bottom"/>
            <w:tcBorders>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Pr>
          <w:p>
            <w:pPr>
              <w:ind w:left="4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2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15,000</w:t>
            </w:r>
          </w:p>
        </w:tc>
        <w:tc>
          <w:tcPr>
            <w:tcW w:w="76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400"/>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202E39"/>
              </w:rPr>
              <w:t>1,106,550</w:t>
            </w:r>
          </w:p>
        </w:tc>
        <w:tc>
          <w:tcPr>
            <w:tcW w:w="0" w:type="dxa"/>
            <w:vAlign w:val="bottom"/>
          </w:tcPr>
          <w:p>
            <w:pPr>
              <w:spacing w:after="0"/>
              <w:rPr>
                <w:sz w:val="1"/>
                <w:szCs w:val="1"/>
                <w:color w:val="auto"/>
              </w:rPr>
            </w:pPr>
          </w:p>
        </w:tc>
      </w:tr>
      <w:tr>
        <w:trPr>
          <w:trHeight w:val="171"/>
        </w:trPr>
        <w:tc>
          <w:tcPr>
            <w:tcW w:w="1240" w:type="dxa"/>
            <w:vAlign w:val="bottom"/>
            <w:tcBorders>
              <w:bottom w:val="single" w:sz="8" w:color="E8EAEB"/>
              <w:right w:val="single" w:sz="8" w:color="E8EAEB"/>
            </w:tcBorders>
          </w:tcPr>
          <w:p>
            <w:pPr>
              <w:spacing w:after="0"/>
              <w:rPr>
                <w:sz w:val="14"/>
                <w:szCs w:val="14"/>
                <w:color w:val="auto"/>
              </w:rPr>
            </w:pPr>
          </w:p>
        </w:tc>
        <w:tc>
          <w:tcPr>
            <w:tcW w:w="11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11/17/2017</w:t>
            </w:r>
          </w:p>
        </w:tc>
        <w:tc>
          <w:tcPr>
            <w:tcW w:w="7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bottom w:val="single" w:sz="8" w:color="E8EAEB"/>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0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Borders>
              <w:bottom w:val="single" w:sz="8" w:color="E8EAEB"/>
            </w:tcBorders>
          </w:tcPr>
          <w:p>
            <w:pPr>
              <w:jc w:val="center"/>
              <w:ind w:left="8"/>
              <w:spacing w:after="0"/>
              <w:rPr>
                <w:sz w:val="20"/>
                <w:szCs w:val="20"/>
                <w:color w:val="auto"/>
              </w:rPr>
            </w:pPr>
            <w:r>
              <w:rPr>
                <w:rFonts w:ascii="Arial" w:cs="Arial" w:eastAsia="Arial" w:hAnsi="Arial"/>
                <w:sz w:val="14"/>
                <w:szCs w:val="14"/>
                <w:color w:val="202E39"/>
              </w:rPr>
              <w:t>22,500</w:t>
            </w:r>
          </w:p>
        </w:tc>
        <w:tc>
          <w:tcPr>
            <w:tcW w:w="80" w:type="dxa"/>
            <w:vAlign w:val="bottom"/>
            <w:tcBorders>
              <w:bottom w:val="single" w:sz="8" w:color="E8EAEB"/>
              <w:right w:val="single" w:sz="8" w:color="E8EAEB"/>
            </w:tcBorders>
          </w:tcPr>
          <w:p>
            <w:pPr>
              <w:spacing w:after="0"/>
              <w:rPr>
                <w:sz w:val="14"/>
                <w:szCs w:val="14"/>
                <w:color w:val="auto"/>
              </w:rPr>
            </w:pPr>
          </w:p>
        </w:tc>
        <w:tc>
          <w:tcPr>
            <w:tcW w:w="94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45,000</w:t>
            </w:r>
          </w:p>
        </w:tc>
        <w:tc>
          <w:tcPr>
            <w:tcW w:w="100" w:type="dxa"/>
            <w:vAlign w:val="bottom"/>
            <w:tcBorders>
              <w:bottom w:val="single" w:sz="8" w:color="E8EAEB"/>
            </w:tcBorders>
          </w:tcPr>
          <w:p>
            <w:pPr>
              <w:spacing w:after="0"/>
              <w:rPr>
                <w:sz w:val="14"/>
                <w:szCs w:val="14"/>
                <w:color w:val="auto"/>
              </w:rPr>
            </w:pPr>
          </w:p>
        </w:tc>
        <w:tc>
          <w:tcPr>
            <w:tcW w:w="8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78,750</w:t>
            </w:r>
          </w:p>
        </w:tc>
        <w:tc>
          <w:tcPr>
            <w:tcW w:w="860" w:type="dxa"/>
            <w:vAlign w:val="bottom"/>
            <w:tcBorders>
              <w:bottom w:val="single" w:sz="8" w:color="E8EAEB"/>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760" w:type="dxa"/>
            <w:vAlign w:val="bottom"/>
            <w:tcBorders>
              <w:bottom w:val="single" w:sz="8" w:color="E8EAEB"/>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$73.77</w:t>
            </w:r>
          </w:p>
        </w:tc>
        <w:tc>
          <w:tcPr>
            <w:tcW w:w="104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1,441,858</w:t>
            </w:r>
          </w:p>
        </w:tc>
        <w:tc>
          <w:tcPr>
            <w:tcW w:w="0" w:type="dxa"/>
            <w:vAlign w:val="bottom"/>
          </w:tcPr>
          <w:p>
            <w:pPr>
              <w:spacing w:after="0"/>
              <w:rPr>
                <w:sz w:val="1"/>
                <w:szCs w:val="1"/>
                <w:color w:val="auto"/>
              </w:rPr>
            </w:pPr>
          </w:p>
        </w:tc>
      </w:tr>
      <w:tr>
        <w:trPr>
          <w:trHeight w:val="169"/>
        </w:trPr>
        <w:tc>
          <w:tcPr>
            <w:tcW w:w="12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Ken Peterman</w:t>
            </w:r>
          </w:p>
        </w:tc>
        <w:tc>
          <w:tcPr>
            <w:tcW w:w="1140" w:type="dxa"/>
            <w:vAlign w:val="bottom"/>
            <w:tcBorders>
              <w:right w:val="single" w:sz="8" w:color="E8EAEB"/>
            </w:tcBorders>
          </w:tcPr>
          <w:p>
            <w:pPr>
              <w:ind w:left="700"/>
              <w:spacing w:after="0"/>
              <w:rPr>
                <w:sz w:val="20"/>
                <w:szCs w:val="20"/>
                <w:color w:val="auto"/>
              </w:rPr>
            </w:pPr>
            <w:r>
              <w:rPr>
                <w:rFonts w:ascii="Arial" w:cs="Arial" w:eastAsia="Arial" w:hAnsi="Arial"/>
                <w:sz w:val="14"/>
                <w:szCs w:val="14"/>
                <w:color w:val="202E39"/>
              </w:rPr>
              <w:t>—</w:t>
            </w:r>
          </w:p>
        </w:tc>
        <w:tc>
          <w:tcPr>
            <w:tcW w:w="700" w:type="dxa"/>
            <w:vAlign w:val="bottom"/>
            <w:tcBorders>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475,000</w:t>
            </w:r>
          </w:p>
        </w:tc>
        <w:tc>
          <w:tcPr>
            <w:tcW w:w="700" w:type="dxa"/>
            <w:vAlign w:val="bottom"/>
            <w:tcBorders>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Pr>
          <w:p>
            <w:pPr>
              <w:ind w:left="4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2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76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400"/>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20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7"/>
        </w:trPr>
        <w:tc>
          <w:tcPr>
            <w:tcW w:w="1240" w:type="dxa"/>
            <w:vAlign w:val="bottom"/>
            <w:tcBorders>
              <w:right w:val="single" w:sz="8" w:color="E8EAEB"/>
            </w:tcBorders>
          </w:tcPr>
          <w:p>
            <w:pPr>
              <w:spacing w:after="0"/>
              <w:rPr>
                <w:sz w:val="14"/>
                <w:szCs w:val="14"/>
                <w:color w:val="auto"/>
              </w:rPr>
            </w:pP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11/17/2017</w:t>
            </w:r>
          </w:p>
        </w:tc>
        <w:tc>
          <w:tcPr>
            <w:tcW w:w="700" w:type="dxa"/>
            <w:vAlign w:val="bottom"/>
            <w:tcBorders>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00" w:type="dxa"/>
            <w:vAlign w:val="bottom"/>
            <w:tcBorders>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Pr>
          <w:p>
            <w:pPr>
              <w:ind w:left="4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2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10,000</w:t>
            </w:r>
          </w:p>
        </w:tc>
        <w:tc>
          <w:tcPr>
            <w:tcW w:w="76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400"/>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202E39"/>
              </w:rPr>
              <w:t>737,700</w:t>
            </w:r>
          </w:p>
        </w:tc>
        <w:tc>
          <w:tcPr>
            <w:tcW w:w="0" w:type="dxa"/>
            <w:vAlign w:val="bottom"/>
          </w:tcPr>
          <w:p>
            <w:pPr>
              <w:spacing w:after="0"/>
              <w:rPr>
                <w:sz w:val="1"/>
                <w:szCs w:val="1"/>
                <w:color w:val="auto"/>
              </w:rPr>
            </w:pPr>
          </w:p>
        </w:tc>
      </w:tr>
      <w:tr>
        <w:trPr>
          <w:trHeight w:val="171"/>
        </w:trPr>
        <w:tc>
          <w:tcPr>
            <w:tcW w:w="1240" w:type="dxa"/>
            <w:vAlign w:val="bottom"/>
            <w:tcBorders>
              <w:bottom w:val="single" w:sz="8" w:color="009FE3"/>
              <w:right w:val="single" w:sz="8" w:color="E8EAEB"/>
            </w:tcBorders>
          </w:tcPr>
          <w:p>
            <w:pPr>
              <w:spacing w:after="0"/>
              <w:rPr>
                <w:sz w:val="14"/>
                <w:szCs w:val="14"/>
                <w:color w:val="auto"/>
              </w:rPr>
            </w:pPr>
          </w:p>
        </w:tc>
        <w:tc>
          <w:tcPr>
            <w:tcW w:w="11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color w:val="202E39"/>
              </w:rPr>
              <w:t>11/17/2017</w:t>
            </w:r>
          </w:p>
        </w:tc>
        <w:tc>
          <w:tcPr>
            <w:tcW w:w="700" w:type="dxa"/>
            <w:vAlign w:val="bottom"/>
            <w:tcBorders>
              <w:bottom w:val="single" w:sz="8" w:color="009FE3"/>
              <w:right w:val="single" w:sz="8" w:color="E8EAEB"/>
            </w:tcBorders>
          </w:tcPr>
          <w:p>
            <w:pPr>
              <w:ind w:left="360"/>
              <w:spacing w:after="0"/>
              <w:rPr>
                <w:sz w:val="20"/>
                <w:szCs w:val="20"/>
                <w:color w:val="auto"/>
              </w:rPr>
            </w:pPr>
            <w:r>
              <w:rPr>
                <w:rFonts w:ascii="Arial" w:cs="Arial" w:eastAsia="Arial" w:hAnsi="Arial"/>
                <w:sz w:val="14"/>
                <w:szCs w:val="14"/>
                <w:color w:val="202E39"/>
              </w:rPr>
              <w:t>—</w:t>
            </w:r>
          </w:p>
        </w:tc>
        <w:tc>
          <w:tcPr>
            <w:tcW w:w="1060" w:type="dxa"/>
            <w:vAlign w:val="bottom"/>
            <w:tcBorders>
              <w:bottom w:val="single" w:sz="8" w:color="009FE3"/>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00" w:type="dxa"/>
            <w:vAlign w:val="bottom"/>
            <w:tcBorders>
              <w:bottom w:val="single" w:sz="8" w:color="009FE3"/>
              <w:right w:val="single" w:sz="8" w:color="E8EAEB"/>
            </w:tcBorders>
          </w:tcPr>
          <w:p>
            <w:pPr>
              <w:ind w:left="340"/>
              <w:spacing w:after="0"/>
              <w:rPr>
                <w:sz w:val="20"/>
                <w:szCs w:val="20"/>
                <w:color w:val="auto"/>
              </w:rPr>
            </w:pPr>
            <w:r>
              <w:rPr>
                <w:rFonts w:ascii="Arial" w:cs="Arial" w:eastAsia="Arial" w:hAnsi="Arial"/>
                <w:sz w:val="14"/>
                <w:szCs w:val="14"/>
                <w:color w:val="202E39"/>
              </w:rPr>
              <w:t>—</w:t>
            </w:r>
          </w:p>
        </w:tc>
        <w:tc>
          <w:tcPr>
            <w:tcW w:w="760" w:type="dxa"/>
            <w:vAlign w:val="bottom"/>
            <w:tcBorders>
              <w:bottom w:val="single" w:sz="8" w:color="009FE3"/>
            </w:tcBorders>
          </w:tcPr>
          <w:p>
            <w:pPr>
              <w:jc w:val="center"/>
              <w:ind w:left="8"/>
              <w:spacing w:after="0"/>
              <w:rPr>
                <w:sz w:val="20"/>
                <w:szCs w:val="20"/>
                <w:color w:val="auto"/>
              </w:rPr>
            </w:pPr>
            <w:r>
              <w:rPr>
                <w:rFonts w:ascii="Arial" w:cs="Arial" w:eastAsia="Arial" w:hAnsi="Arial"/>
                <w:sz w:val="14"/>
                <w:szCs w:val="14"/>
                <w:color w:val="202E39"/>
              </w:rPr>
              <w:t>15,000</w:t>
            </w:r>
          </w:p>
        </w:tc>
        <w:tc>
          <w:tcPr>
            <w:tcW w:w="80" w:type="dxa"/>
            <w:vAlign w:val="bottom"/>
            <w:tcBorders>
              <w:bottom w:val="single" w:sz="8" w:color="009FE3"/>
              <w:right w:val="single" w:sz="8" w:color="E8EAEB"/>
            </w:tcBorders>
          </w:tcPr>
          <w:p>
            <w:pPr>
              <w:spacing w:after="0"/>
              <w:rPr>
                <w:sz w:val="14"/>
                <w:szCs w:val="14"/>
                <w:color w:val="auto"/>
              </w:rPr>
            </w:pPr>
          </w:p>
        </w:tc>
        <w:tc>
          <w:tcPr>
            <w:tcW w:w="94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30,000</w:t>
            </w:r>
          </w:p>
        </w:tc>
        <w:tc>
          <w:tcPr>
            <w:tcW w:w="100" w:type="dxa"/>
            <w:vAlign w:val="bottom"/>
            <w:tcBorders>
              <w:bottom w:val="single" w:sz="8" w:color="009FE3"/>
            </w:tcBorders>
          </w:tcPr>
          <w:p>
            <w:pPr>
              <w:spacing w:after="0"/>
              <w:rPr>
                <w:sz w:val="14"/>
                <w:szCs w:val="14"/>
                <w:color w:val="auto"/>
              </w:rPr>
            </w:pPr>
          </w:p>
        </w:tc>
        <w:tc>
          <w:tcPr>
            <w:tcW w:w="82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52,500</w:t>
            </w:r>
          </w:p>
        </w:tc>
        <w:tc>
          <w:tcPr>
            <w:tcW w:w="860" w:type="dxa"/>
            <w:vAlign w:val="bottom"/>
            <w:tcBorders>
              <w:bottom w:val="single" w:sz="8" w:color="009FE3"/>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760" w:type="dxa"/>
            <w:vAlign w:val="bottom"/>
            <w:tcBorders>
              <w:bottom w:val="single" w:sz="8" w:color="009FE3"/>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color w:val="202E39"/>
              </w:rPr>
              <w:t>$73.77</w:t>
            </w:r>
          </w:p>
        </w:tc>
        <w:tc>
          <w:tcPr>
            <w:tcW w:w="1040" w:type="dxa"/>
            <w:vAlign w:val="bottom"/>
            <w:tcBorders>
              <w:bottom w:val="single" w:sz="8" w:color="009FE3"/>
            </w:tcBorders>
          </w:tcPr>
          <w:p>
            <w:pPr>
              <w:jc w:val="right"/>
              <w:ind w:right="128"/>
              <w:spacing w:after="0"/>
              <w:rPr>
                <w:sz w:val="20"/>
                <w:szCs w:val="20"/>
                <w:color w:val="auto"/>
              </w:rPr>
            </w:pPr>
            <w:r>
              <w:rPr>
                <w:rFonts w:ascii="Arial" w:cs="Arial" w:eastAsia="Arial" w:hAnsi="Arial"/>
                <w:sz w:val="14"/>
                <w:szCs w:val="14"/>
                <w:color w:val="202E39"/>
              </w:rPr>
              <w:t>961,245</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20" w:right="20" w:hanging="316"/>
        <w:spacing w:after="0" w:line="250" w:lineRule="auto"/>
        <w:tabs>
          <w:tab w:leader="none" w:pos="520" w:val="left"/>
        </w:tabs>
        <w:numPr>
          <w:ilvl w:val="0"/>
          <w:numId w:val="38"/>
        </w:numPr>
        <w:rPr>
          <w:rFonts w:ascii="Arial" w:cs="Arial" w:eastAsia="Arial" w:hAnsi="Arial"/>
          <w:sz w:val="14"/>
          <w:szCs w:val="14"/>
          <w:color w:val="202E39"/>
        </w:rPr>
      </w:pPr>
      <w:r>
        <w:rPr>
          <w:rFonts w:ascii="Arial" w:cs="Arial" w:eastAsia="Arial" w:hAnsi="Arial"/>
          <w:sz w:val="14"/>
          <w:szCs w:val="14"/>
          <w:color w:val="202E39"/>
        </w:rPr>
        <w:t>Represents target amounts payable under our annual bonus program for fiscal year 2018. Actual amounts paid to the Named Executive Officers pursuant to such bonus program are disclosed in the Summary Compensation Table under the column heading Non-Equity Incentive Plan Compensation. The material terms of the bonus program are described in the Compensation Discussion and Analysis section.</w:t>
      </w:r>
    </w:p>
    <w:p>
      <w:pPr>
        <w:spacing w:after="0" w:line="50" w:lineRule="exact"/>
        <w:rPr>
          <w:rFonts w:ascii="Arial" w:cs="Arial" w:eastAsia="Arial" w:hAnsi="Arial"/>
          <w:sz w:val="14"/>
          <w:szCs w:val="14"/>
          <w:color w:val="202E39"/>
        </w:rPr>
      </w:pPr>
    </w:p>
    <w:p>
      <w:pPr>
        <w:ind w:left="520" w:right="20" w:hanging="316"/>
        <w:spacing w:after="0" w:line="244" w:lineRule="auto"/>
        <w:tabs>
          <w:tab w:leader="none" w:pos="520" w:val="left"/>
        </w:tabs>
        <w:numPr>
          <w:ilvl w:val="0"/>
          <w:numId w:val="38"/>
        </w:numPr>
        <w:rPr>
          <w:rFonts w:ascii="Arial" w:cs="Arial" w:eastAsia="Arial" w:hAnsi="Arial"/>
          <w:sz w:val="14"/>
          <w:szCs w:val="14"/>
          <w:color w:val="202E39"/>
        </w:rPr>
      </w:pPr>
      <w:r>
        <w:rPr>
          <w:rFonts w:ascii="Arial" w:cs="Arial" w:eastAsia="Arial" w:hAnsi="Arial"/>
          <w:sz w:val="14"/>
          <w:szCs w:val="14"/>
          <w:color w:val="202E39"/>
        </w:rPr>
        <w:t>Performance-based stock options that will become eligible to vest (a) in part dependent on the Named Executive Officer’s continued service over a four-year time-based vesting schedule, with the Named Executive Officer vesting in 25% of the performance-based options on each of the first four anniversaries of the date of grant, and (b) in part dependent on a comparison over the four-year performance period ending October 31, 2021 of our total stockholder return to the total stockholder return of the companies included in the S&amp;P Mid Cap 400 Index. The number of options that will ultimately become vested and exercisable at the end of the four year vesting schedule will range from 0% to 175% of the target number of options based on our relative total stockholder return ranking for the four-year performance period ending October 31, 2021. The performance-based stock options must be vested under both the time-based vesting schedule and the performance-based vesting conditions in order to become exercisable by the Named Executive Officer.</w:t>
      </w:r>
    </w:p>
    <w:p>
      <w:pPr>
        <w:spacing w:after="0" w:line="56" w:lineRule="exact"/>
        <w:rPr>
          <w:rFonts w:ascii="Arial" w:cs="Arial" w:eastAsia="Arial" w:hAnsi="Arial"/>
          <w:sz w:val="14"/>
          <w:szCs w:val="14"/>
          <w:color w:val="202E39"/>
        </w:rPr>
      </w:pPr>
    </w:p>
    <w:p>
      <w:pPr>
        <w:ind w:left="520" w:hanging="316"/>
        <w:spacing w:after="0"/>
        <w:tabs>
          <w:tab w:leader="none" w:pos="520" w:val="left"/>
        </w:tabs>
        <w:numPr>
          <w:ilvl w:val="0"/>
          <w:numId w:val="38"/>
        </w:numPr>
        <w:rPr>
          <w:rFonts w:ascii="Arial" w:cs="Arial" w:eastAsia="Arial" w:hAnsi="Arial"/>
          <w:sz w:val="14"/>
          <w:szCs w:val="14"/>
          <w:color w:val="202E39"/>
        </w:rPr>
      </w:pPr>
      <w:r>
        <w:rPr>
          <w:rFonts w:ascii="Arial" w:cs="Arial" w:eastAsia="Arial" w:hAnsi="Arial"/>
          <w:sz w:val="14"/>
          <w:szCs w:val="14"/>
          <w:color w:val="202E39"/>
        </w:rPr>
        <w:t>Restricted stock unit awards vest in four equal annual installments over the course of four years measured from the grant date.</w:t>
      </w:r>
    </w:p>
    <w:p>
      <w:pPr>
        <w:spacing w:after="0" w:line="68" w:lineRule="exact"/>
        <w:rPr>
          <w:rFonts w:ascii="Arial" w:cs="Arial" w:eastAsia="Arial" w:hAnsi="Arial"/>
          <w:sz w:val="14"/>
          <w:szCs w:val="14"/>
          <w:color w:val="202E39"/>
        </w:rPr>
      </w:pPr>
    </w:p>
    <w:p>
      <w:pPr>
        <w:ind w:left="520" w:right="240" w:hanging="316"/>
        <w:spacing w:after="0" w:line="258" w:lineRule="auto"/>
        <w:tabs>
          <w:tab w:leader="none" w:pos="520" w:val="left"/>
        </w:tabs>
        <w:numPr>
          <w:ilvl w:val="0"/>
          <w:numId w:val="38"/>
        </w:numPr>
        <w:rPr>
          <w:rFonts w:ascii="Arial" w:cs="Arial" w:eastAsia="Arial" w:hAnsi="Arial"/>
          <w:sz w:val="14"/>
          <w:szCs w:val="14"/>
          <w:color w:val="202E39"/>
        </w:rPr>
      </w:pPr>
      <w:r>
        <w:rPr>
          <w:rFonts w:ascii="Arial" w:cs="Arial" w:eastAsia="Arial" w:hAnsi="Arial"/>
          <w:sz w:val="14"/>
          <w:szCs w:val="14"/>
          <w:color w:val="202E39"/>
        </w:rPr>
        <w:t>The exercise price for option awards is the fair market value per share of our common stock, which is defined under our 1996 Equity Participation Plan as the closing price per share on the grant date.</w:t>
      </w:r>
    </w:p>
    <w:p>
      <w:pPr>
        <w:spacing w:after="0" w:line="45" w:lineRule="exact"/>
        <w:rPr>
          <w:rFonts w:ascii="Arial" w:cs="Arial" w:eastAsia="Arial" w:hAnsi="Arial"/>
          <w:sz w:val="14"/>
          <w:szCs w:val="14"/>
          <w:color w:val="202E39"/>
        </w:rPr>
      </w:pPr>
    </w:p>
    <w:p>
      <w:pPr>
        <w:ind w:left="520" w:right="40" w:hanging="316"/>
        <w:spacing w:after="0" w:line="245" w:lineRule="auto"/>
        <w:tabs>
          <w:tab w:leader="none" w:pos="520" w:val="left"/>
        </w:tabs>
        <w:numPr>
          <w:ilvl w:val="0"/>
          <w:numId w:val="38"/>
        </w:numPr>
        <w:rPr>
          <w:rFonts w:ascii="Arial" w:cs="Arial" w:eastAsia="Arial" w:hAnsi="Arial"/>
          <w:sz w:val="14"/>
          <w:szCs w:val="14"/>
          <w:color w:val="202E39"/>
        </w:rPr>
      </w:pPr>
      <w:r>
        <w:rPr>
          <w:rFonts w:ascii="Arial" w:cs="Arial" w:eastAsia="Arial" w:hAnsi="Arial"/>
          <w:sz w:val="14"/>
          <w:szCs w:val="14"/>
          <w:color w:val="202E39"/>
        </w:rPr>
        <w:t>This column represents the grant date fair value, calculated in accordance with SEC rules, of each equity award. These amounts generally reflect the amount that we expect to expense in our financial statements over the award’s vesting schedule, and do not correspond to the actual value that will be realized by the Named Executive Officers. The grant date fair value of the total stockholder return performance stock options was calculated using a Monte Carlo simulation which considered the likelihood of achieving the vesting conditions. For additional information on the valuation assumptions used in the calculation of these amounts, refer to note 6 to the financial statements included in our annual report on Form 10-K for the fiscal year ended March 31, 2018, as filed with the SEC.</w:t>
      </w:r>
    </w:p>
    <w:p>
      <w:pPr>
        <w:spacing w:after="0" w:line="119"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39</w:t>
            </w:r>
          </w:p>
        </w:tc>
      </w:tr>
    </w:tbl>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Outstanding Equity Awards at 2018 Fiscal Year End</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Outstanding Equity Awards at 2018 Fiscal Year End</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following table lists all outstanding equity awards held by each of the Named Executive Officers as of March 31, 2018.</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920" w:type="dxa"/>
            <w:vAlign w:val="bottom"/>
            <w:tcBorders>
              <w:top w:val="single" w:sz="8" w:color="E8EAEB"/>
              <w:right w:val="single" w:sz="8" w:color="E8EAEB"/>
            </w:tcBorders>
          </w:tcPr>
          <w:p>
            <w:pPr>
              <w:spacing w:after="0"/>
              <w:rPr>
                <w:sz w:val="18"/>
                <w:szCs w:val="18"/>
                <w:color w:val="auto"/>
              </w:rPr>
            </w:pPr>
          </w:p>
        </w:tc>
        <w:tc>
          <w:tcPr>
            <w:tcW w:w="900" w:type="dxa"/>
            <w:vAlign w:val="bottom"/>
            <w:tcBorders>
              <w:top w:val="single" w:sz="8" w:color="E8EAEB"/>
              <w:right w:val="single" w:sz="8" w:color="E8EAEB"/>
            </w:tcBorders>
          </w:tcPr>
          <w:p>
            <w:pPr>
              <w:spacing w:after="0"/>
              <w:rPr>
                <w:sz w:val="18"/>
                <w:szCs w:val="18"/>
                <w:color w:val="auto"/>
              </w:rPr>
            </w:pPr>
          </w:p>
        </w:tc>
        <w:tc>
          <w:tcPr>
            <w:tcW w:w="800" w:type="dxa"/>
            <w:vAlign w:val="bottom"/>
            <w:tcBorders>
              <w:top w:val="single" w:sz="8" w:color="E8EAEB"/>
            </w:tcBorders>
          </w:tcPr>
          <w:p>
            <w:pPr>
              <w:spacing w:after="0"/>
              <w:rPr>
                <w:sz w:val="18"/>
                <w:szCs w:val="18"/>
                <w:color w:val="auto"/>
              </w:rPr>
            </w:pPr>
          </w:p>
        </w:tc>
        <w:tc>
          <w:tcPr>
            <w:tcW w:w="80" w:type="dxa"/>
            <w:vAlign w:val="bottom"/>
            <w:tcBorders>
              <w:top w:val="single" w:sz="8" w:color="E8EAEB"/>
            </w:tcBorders>
          </w:tcPr>
          <w:p>
            <w:pPr>
              <w:spacing w:after="0"/>
              <w:rPr>
                <w:sz w:val="18"/>
                <w:szCs w:val="18"/>
                <w:color w:val="auto"/>
              </w:rPr>
            </w:pPr>
          </w:p>
        </w:tc>
        <w:tc>
          <w:tcPr>
            <w:tcW w:w="880" w:type="dxa"/>
            <w:vAlign w:val="bottom"/>
            <w:tcBorders>
              <w:top w:val="single" w:sz="8" w:color="E8EAEB"/>
            </w:tcBorders>
          </w:tcPr>
          <w:p>
            <w:pPr>
              <w:spacing w:after="0"/>
              <w:rPr>
                <w:sz w:val="18"/>
                <w:szCs w:val="18"/>
                <w:color w:val="auto"/>
              </w:rPr>
            </w:pPr>
          </w:p>
        </w:tc>
        <w:tc>
          <w:tcPr>
            <w:tcW w:w="1040" w:type="dxa"/>
            <w:vAlign w:val="bottom"/>
            <w:tcBorders>
              <w:top w:val="single" w:sz="8" w:color="E8EAEB"/>
            </w:tcBorders>
            <w:gridSpan w:val="2"/>
          </w:tcPr>
          <w:p>
            <w:pPr>
              <w:jc w:val="right"/>
              <w:ind w:right="158"/>
              <w:spacing w:after="0"/>
              <w:rPr>
                <w:sz w:val="20"/>
                <w:szCs w:val="20"/>
                <w:color w:val="auto"/>
              </w:rPr>
            </w:pPr>
            <w:r>
              <w:rPr>
                <w:rFonts w:ascii="Arial" w:cs="Arial" w:eastAsia="Arial" w:hAnsi="Arial"/>
                <w:sz w:val="12"/>
                <w:szCs w:val="12"/>
                <w:b w:val="1"/>
                <w:bCs w:val="1"/>
                <w:color w:val="009FE3"/>
                <w:w w:val="93"/>
              </w:rPr>
              <w:t>Option Awards</w:t>
            </w:r>
          </w:p>
        </w:tc>
        <w:tc>
          <w:tcPr>
            <w:tcW w:w="700" w:type="dxa"/>
            <w:vAlign w:val="bottom"/>
            <w:tcBorders>
              <w:top w:val="single" w:sz="8" w:color="E8EAEB"/>
            </w:tcBorders>
          </w:tcPr>
          <w:p>
            <w:pPr>
              <w:spacing w:after="0"/>
              <w:rPr>
                <w:sz w:val="18"/>
                <w:szCs w:val="18"/>
                <w:color w:val="auto"/>
              </w:rPr>
            </w:pPr>
          </w:p>
        </w:tc>
        <w:tc>
          <w:tcPr>
            <w:tcW w:w="900" w:type="dxa"/>
            <w:vAlign w:val="bottom"/>
            <w:tcBorders>
              <w:top w:val="single" w:sz="8" w:color="E8EAEB"/>
              <w:right w:val="single" w:sz="8" w:color="E8EAEB"/>
            </w:tcBorders>
          </w:tcPr>
          <w:p>
            <w:pPr>
              <w:spacing w:after="0"/>
              <w:rPr>
                <w:sz w:val="18"/>
                <w:szCs w:val="18"/>
                <w:color w:val="auto"/>
              </w:rPr>
            </w:pPr>
          </w:p>
        </w:tc>
        <w:tc>
          <w:tcPr>
            <w:tcW w:w="320" w:type="dxa"/>
            <w:vAlign w:val="bottom"/>
            <w:tcBorders>
              <w:top w:val="single" w:sz="8" w:color="E8EAEB"/>
              <w:right w:val="single" w:sz="8" w:color="E8EAEB"/>
            </w:tcBorders>
          </w:tcPr>
          <w:p>
            <w:pPr>
              <w:spacing w:after="0"/>
              <w:rPr>
                <w:sz w:val="18"/>
                <w:szCs w:val="18"/>
                <w:color w:val="auto"/>
              </w:rPr>
            </w:pPr>
          </w:p>
        </w:tc>
        <w:tc>
          <w:tcPr>
            <w:tcW w:w="1480" w:type="dxa"/>
            <w:vAlign w:val="bottom"/>
            <w:tcBorders>
              <w:top w:val="single" w:sz="8" w:color="E8EAEB"/>
            </w:tcBorders>
            <w:gridSpan w:val="2"/>
          </w:tcPr>
          <w:p>
            <w:pPr>
              <w:jc w:val="right"/>
              <w:ind w:right="318"/>
              <w:spacing w:after="0"/>
              <w:rPr>
                <w:sz w:val="20"/>
                <w:szCs w:val="20"/>
                <w:color w:val="auto"/>
              </w:rPr>
            </w:pPr>
            <w:r>
              <w:rPr>
                <w:rFonts w:ascii="Arial" w:cs="Arial" w:eastAsia="Arial" w:hAnsi="Arial"/>
                <w:sz w:val="12"/>
                <w:szCs w:val="12"/>
                <w:b w:val="1"/>
                <w:bCs w:val="1"/>
                <w:color w:val="009FE3"/>
              </w:rPr>
              <w:t>Stock Awards</w:t>
            </w:r>
          </w:p>
        </w:tc>
      </w:tr>
      <w:tr>
        <w:trPr>
          <w:trHeight w:val="157"/>
        </w:trPr>
        <w:tc>
          <w:tcPr>
            <w:tcW w:w="3920" w:type="dxa"/>
            <w:vAlign w:val="bottom"/>
            <w:tcBorders>
              <w:right w:val="single" w:sz="8" w:color="E8EAEB"/>
            </w:tcBorders>
          </w:tcPr>
          <w:p>
            <w:pPr>
              <w:spacing w:after="0"/>
              <w:rPr>
                <w:sz w:val="13"/>
                <w:szCs w:val="13"/>
                <w:color w:val="auto"/>
              </w:rPr>
            </w:pPr>
          </w:p>
        </w:tc>
        <w:tc>
          <w:tcPr>
            <w:tcW w:w="900" w:type="dxa"/>
            <w:vAlign w:val="bottom"/>
            <w:tcBorders>
              <w:right w:val="single" w:sz="8" w:color="E8EAEB"/>
            </w:tcBorders>
          </w:tcPr>
          <w:p>
            <w:pPr>
              <w:spacing w:after="0"/>
              <w:rPr>
                <w:sz w:val="13"/>
                <w:szCs w:val="13"/>
                <w:color w:val="auto"/>
              </w:rPr>
            </w:pPr>
          </w:p>
        </w:tc>
        <w:tc>
          <w:tcPr>
            <w:tcW w:w="1760" w:type="dxa"/>
            <w:vAlign w:val="bottom"/>
            <w:tcBorders>
              <w:top w:val="single" w:sz="8" w:color="009FE3"/>
            </w:tcBorders>
            <w:gridSpan w:val="3"/>
          </w:tcPr>
          <w:p>
            <w:pPr>
              <w:jc w:val="center"/>
              <w:spacing w:after="0"/>
              <w:rPr>
                <w:sz w:val="20"/>
                <w:szCs w:val="20"/>
                <w:color w:val="auto"/>
              </w:rPr>
            </w:pPr>
            <w:r>
              <w:rPr>
                <w:rFonts w:ascii="Arial" w:cs="Arial" w:eastAsia="Arial" w:hAnsi="Arial"/>
                <w:sz w:val="12"/>
                <w:szCs w:val="12"/>
                <w:b w:val="1"/>
                <w:bCs w:val="1"/>
                <w:color w:val="009FE3"/>
                <w:w w:val="97"/>
              </w:rPr>
              <w:t>Number of Securities</w:t>
            </w:r>
          </w:p>
        </w:tc>
        <w:tc>
          <w:tcPr>
            <w:tcW w:w="140" w:type="dxa"/>
            <w:vAlign w:val="bottom"/>
            <w:tcBorders>
              <w:top w:val="single" w:sz="8" w:color="009FE3"/>
              <w:right w:val="single" w:sz="8" w:color="E8EAEB"/>
            </w:tcBorders>
          </w:tcPr>
          <w:p>
            <w:pPr>
              <w:spacing w:after="0"/>
              <w:rPr>
                <w:sz w:val="13"/>
                <w:szCs w:val="13"/>
                <w:color w:val="auto"/>
              </w:rPr>
            </w:pPr>
          </w:p>
        </w:tc>
        <w:tc>
          <w:tcPr>
            <w:tcW w:w="900" w:type="dxa"/>
            <w:vAlign w:val="bottom"/>
            <w:tcBorders>
              <w:top w:val="single" w:sz="8" w:color="009FE3"/>
              <w:right w:val="single" w:sz="8" w:color="E8EAEB"/>
            </w:tcBorders>
          </w:tcPr>
          <w:p>
            <w:pPr>
              <w:spacing w:after="0"/>
              <w:rPr>
                <w:sz w:val="13"/>
                <w:szCs w:val="13"/>
                <w:color w:val="auto"/>
              </w:rPr>
            </w:pPr>
          </w:p>
        </w:tc>
        <w:tc>
          <w:tcPr>
            <w:tcW w:w="700" w:type="dxa"/>
            <w:vAlign w:val="bottom"/>
            <w:tcBorders>
              <w:top w:val="single" w:sz="8" w:color="009FE3"/>
              <w:right w:val="single" w:sz="8" w:color="E8EAEB"/>
            </w:tcBorders>
          </w:tcPr>
          <w:p>
            <w:pPr>
              <w:spacing w:after="0"/>
              <w:rPr>
                <w:sz w:val="13"/>
                <w:szCs w:val="13"/>
                <w:color w:val="auto"/>
              </w:rPr>
            </w:pPr>
          </w:p>
        </w:tc>
        <w:tc>
          <w:tcPr>
            <w:tcW w:w="900" w:type="dxa"/>
            <w:vAlign w:val="bottom"/>
            <w:tcBorders>
              <w:top w:val="single" w:sz="8" w:color="009FE3"/>
              <w:right w:val="single" w:sz="8" w:color="E8EAEB"/>
            </w:tcBorders>
          </w:tcPr>
          <w:p>
            <w:pPr>
              <w:spacing w:after="0"/>
              <w:rPr>
                <w:sz w:val="13"/>
                <w:szCs w:val="13"/>
                <w:color w:val="auto"/>
              </w:rPr>
            </w:pPr>
          </w:p>
        </w:tc>
        <w:tc>
          <w:tcPr>
            <w:tcW w:w="320" w:type="dxa"/>
            <w:vAlign w:val="bottom"/>
            <w:tcBorders>
              <w:right w:val="single" w:sz="8" w:color="E8EAEB"/>
            </w:tcBorders>
          </w:tcPr>
          <w:p>
            <w:pPr>
              <w:spacing w:after="0"/>
              <w:rPr>
                <w:sz w:val="13"/>
                <w:szCs w:val="13"/>
                <w:color w:val="auto"/>
              </w:rPr>
            </w:pPr>
          </w:p>
        </w:tc>
        <w:tc>
          <w:tcPr>
            <w:tcW w:w="660" w:type="dxa"/>
            <w:vAlign w:val="bottom"/>
            <w:tcBorders>
              <w:top w:val="single" w:sz="8" w:color="009FE3"/>
              <w:right w:val="single" w:sz="8" w:color="E8EAEB"/>
            </w:tcBorders>
          </w:tcPr>
          <w:p>
            <w:pPr>
              <w:spacing w:after="0"/>
              <w:rPr>
                <w:sz w:val="13"/>
                <w:szCs w:val="13"/>
                <w:color w:val="auto"/>
              </w:rPr>
            </w:pPr>
          </w:p>
        </w:tc>
        <w:tc>
          <w:tcPr>
            <w:tcW w:w="820" w:type="dxa"/>
            <w:vAlign w:val="bottom"/>
            <w:tcBorders>
              <w:top w:val="single" w:sz="8" w:color="009FE3"/>
            </w:tcBorders>
          </w:tcPr>
          <w:p>
            <w:pPr>
              <w:spacing w:after="0"/>
              <w:rPr>
                <w:sz w:val="13"/>
                <w:szCs w:val="13"/>
                <w:color w:val="auto"/>
              </w:rPr>
            </w:pP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17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009FE3"/>
                <w:w w:val="97"/>
              </w:rPr>
              <w:t>Underlying Unexercised</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70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1760" w:type="dxa"/>
            <w:vAlign w:val="bottom"/>
            <w:gridSpan w:val="3"/>
          </w:tcPr>
          <w:p>
            <w:pPr>
              <w:jc w:val="center"/>
              <w:ind w:left="17"/>
              <w:spacing w:after="0" w:line="135" w:lineRule="exact"/>
              <w:rPr>
                <w:sz w:val="20"/>
                <w:szCs w:val="20"/>
                <w:color w:val="auto"/>
              </w:rPr>
            </w:pPr>
            <w:r>
              <w:rPr>
                <w:rFonts w:ascii="Arial" w:cs="Arial" w:eastAsia="Arial" w:hAnsi="Arial"/>
                <w:sz w:val="12"/>
                <w:szCs w:val="12"/>
                <w:b w:val="1"/>
                <w:bCs w:val="1"/>
                <w:color w:val="009FE3"/>
                <w:w w:val="96"/>
              </w:rPr>
              <w:t>Options</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70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820" w:type="dxa"/>
            <w:vAlign w:val="bottom"/>
          </w:tcPr>
          <w:p>
            <w:pPr>
              <w:spacing w:after="0"/>
              <w:rPr>
                <w:sz w:val="11"/>
                <w:szCs w:val="11"/>
                <w:color w:val="auto"/>
              </w:rPr>
            </w:pPr>
          </w:p>
        </w:tc>
      </w:tr>
      <w:tr>
        <w:trPr>
          <w:trHeight w:val="174"/>
        </w:trPr>
        <w:tc>
          <w:tcPr>
            <w:tcW w:w="3920" w:type="dxa"/>
            <w:vAlign w:val="bottom"/>
            <w:tcBorders>
              <w:right w:val="single" w:sz="8" w:color="E8EAEB"/>
            </w:tcBorders>
          </w:tcPr>
          <w:p>
            <w:pPr>
              <w:spacing w:after="0"/>
              <w:rPr>
                <w:sz w:val="15"/>
                <w:szCs w:val="15"/>
                <w:color w:val="auto"/>
              </w:rPr>
            </w:pPr>
          </w:p>
        </w:tc>
        <w:tc>
          <w:tcPr>
            <w:tcW w:w="900" w:type="dxa"/>
            <w:vAlign w:val="bottom"/>
            <w:tcBorders>
              <w:right w:val="single" w:sz="8" w:color="E8EAEB"/>
            </w:tcBorders>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gridSpan w:val="2"/>
          </w:tcPr>
          <w:p>
            <w:pPr>
              <w:jc w:val="center"/>
              <w:ind w:right="677"/>
              <w:spacing w:after="0"/>
              <w:rPr>
                <w:sz w:val="20"/>
                <w:szCs w:val="20"/>
                <w:color w:val="auto"/>
              </w:rPr>
            </w:pPr>
            <w:r>
              <w:rPr>
                <w:rFonts w:ascii="Arial" w:cs="Arial" w:eastAsia="Arial" w:hAnsi="Arial"/>
                <w:sz w:val="12"/>
                <w:szCs w:val="12"/>
                <w:b w:val="1"/>
                <w:bCs w:val="1"/>
                <w:color w:val="009FE3"/>
                <w:w w:val="95"/>
              </w:rPr>
              <w:t>(#)</w:t>
            </w:r>
          </w:p>
        </w:tc>
        <w:tc>
          <w:tcPr>
            <w:tcW w:w="140" w:type="dxa"/>
            <w:vAlign w:val="bottom"/>
            <w:tcBorders>
              <w:right w:val="single" w:sz="8" w:color="E8EAEB"/>
            </w:tcBorders>
          </w:tcPr>
          <w:p>
            <w:pPr>
              <w:spacing w:after="0"/>
              <w:rPr>
                <w:sz w:val="15"/>
                <w:szCs w:val="15"/>
                <w:color w:val="auto"/>
              </w:rPr>
            </w:pPr>
          </w:p>
        </w:tc>
        <w:tc>
          <w:tcPr>
            <w:tcW w:w="900" w:type="dxa"/>
            <w:vAlign w:val="bottom"/>
            <w:tcBorders>
              <w:right w:val="single" w:sz="8" w:color="E8EAEB"/>
            </w:tcBorders>
          </w:tcPr>
          <w:p>
            <w:pPr>
              <w:spacing w:after="0"/>
              <w:rPr>
                <w:sz w:val="15"/>
                <w:szCs w:val="15"/>
                <w:color w:val="auto"/>
              </w:rPr>
            </w:pPr>
          </w:p>
        </w:tc>
        <w:tc>
          <w:tcPr>
            <w:tcW w:w="700" w:type="dxa"/>
            <w:vAlign w:val="bottom"/>
            <w:tcBorders>
              <w:right w:val="single" w:sz="8" w:color="E8EAEB"/>
            </w:tcBorders>
          </w:tcPr>
          <w:p>
            <w:pPr>
              <w:spacing w:after="0"/>
              <w:rPr>
                <w:sz w:val="15"/>
                <w:szCs w:val="15"/>
                <w:color w:val="auto"/>
              </w:rPr>
            </w:pPr>
          </w:p>
        </w:tc>
        <w:tc>
          <w:tcPr>
            <w:tcW w:w="900" w:type="dxa"/>
            <w:vAlign w:val="bottom"/>
            <w:tcBorders>
              <w:right w:val="single" w:sz="8" w:color="E8EAEB"/>
            </w:tcBorders>
          </w:tcPr>
          <w:p>
            <w:pPr>
              <w:spacing w:after="0"/>
              <w:rPr>
                <w:sz w:val="15"/>
                <w:szCs w:val="15"/>
                <w:color w:val="auto"/>
              </w:rPr>
            </w:pPr>
          </w:p>
        </w:tc>
        <w:tc>
          <w:tcPr>
            <w:tcW w:w="320" w:type="dxa"/>
            <w:vAlign w:val="bottom"/>
            <w:tcBorders>
              <w:right w:val="single" w:sz="8" w:color="E8EAEB"/>
            </w:tcBorders>
          </w:tcPr>
          <w:p>
            <w:pPr>
              <w:spacing w:after="0"/>
              <w:rPr>
                <w:sz w:val="15"/>
                <w:szCs w:val="15"/>
                <w:color w:val="auto"/>
              </w:rPr>
            </w:pPr>
          </w:p>
        </w:tc>
        <w:tc>
          <w:tcPr>
            <w:tcW w:w="660" w:type="dxa"/>
            <w:vAlign w:val="bottom"/>
            <w:tcBorders>
              <w:right w:val="single" w:sz="8" w:color="E8EAEB"/>
            </w:tcBorders>
          </w:tcPr>
          <w:p>
            <w:pPr>
              <w:spacing w:after="0"/>
              <w:rPr>
                <w:sz w:val="15"/>
                <w:szCs w:val="15"/>
                <w:color w:val="auto"/>
              </w:rPr>
            </w:pPr>
          </w:p>
        </w:tc>
        <w:tc>
          <w:tcPr>
            <w:tcW w:w="820" w:type="dxa"/>
            <w:vAlign w:val="bottom"/>
          </w:tcPr>
          <w:p>
            <w:pPr>
              <w:spacing w:after="0"/>
              <w:rPr>
                <w:sz w:val="15"/>
                <w:szCs w:val="15"/>
                <w:color w:val="auto"/>
              </w:rPr>
            </w:pPr>
          </w:p>
        </w:tc>
      </w:tr>
      <w:tr>
        <w:trPr>
          <w:trHeight w:val="103"/>
        </w:trPr>
        <w:tc>
          <w:tcPr>
            <w:tcW w:w="3920" w:type="dxa"/>
            <w:vAlign w:val="bottom"/>
            <w:tcBorders>
              <w:right w:val="single" w:sz="8" w:color="E8EAEB"/>
            </w:tcBorders>
          </w:tcPr>
          <w:p>
            <w:pPr>
              <w:spacing w:after="0"/>
              <w:rPr>
                <w:sz w:val="8"/>
                <w:szCs w:val="8"/>
                <w:color w:val="auto"/>
              </w:rPr>
            </w:pPr>
          </w:p>
        </w:tc>
        <w:tc>
          <w:tcPr>
            <w:tcW w:w="900" w:type="dxa"/>
            <w:vAlign w:val="bottom"/>
            <w:tcBorders>
              <w:right w:val="single" w:sz="8" w:color="E8EAEB"/>
            </w:tcBorders>
          </w:tcPr>
          <w:p>
            <w:pPr>
              <w:spacing w:after="0"/>
              <w:rPr>
                <w:sz w:val="8"/>
                <w:szCs w:val="8"/>
                <w:color w:val="auto"/>
              </w:rPr>
            </w:pPr>
          </w:p>
        </w:tc>
        <w:tc>
          <w:tcPr>
            <w:tcW w:w="800" w:type="dxa"/>
            <w:vAlign w:val="bottom"/>
            <w:tcBorders>
              <w:top w:val="single" w:sz="8" w:color="009FE3"/>
            </w:tcBorders>
          </w:tcPr>
          <w:p>
            <w:pPr>
              <w:spacing w:after="0"/>
              <w:rPr>
                <w:sz w:val="8"/>
                <w:szCs w:val="8"/>
                <w:color w:val="auto"/>
              </w:rPr>
            </w:pPr>
          </w:p>
        </w:tc>
        <w:tc>
          <w:tcPr>
            <w:tcW w:w="80" w:type="dxa"/>
            <w:vAlign w:val="bottom"/>
            <w:tcBorders>
              <w:top w:val="single" w:sz="8" w:color="009FE3"/>
              <w:right w:val="single" w:sz="8" w:color="E8EAEB"/>
            </w:tcBorders>
          </w:tcPr>
          <w:p>
            <w:pPr>
              <w:spacing w:after="0"/>
              <w:rPr>
                <w:sz w:val="8"/>
                <w:szCs w:val="8"/>
                <w:color w:val="auto"/>
              </w:rPr>
            </w:pPr>
          </w:p>
        </w:tc>
        <w:tc>
          <w:tcPr>
            <w:tcW w:w="880" w:type="dxa"/>
            <w:vAlign w:val="bottom"/>
            <w:tcBorders>
              <w:top w:val="single" w:sz="8" w:color="009FE3"/>
            </w:tcBorders>
          </w:tcPr>
          <w:p>
            <w:pPr>
              <w:spacing w:after="0"/>
              <w:rPr>
                <w:sz w:val="8"/>
                <w:szCs w:val="8"/>
                <w:color w:val="auto"/>
              </w:rPr>
            </w:pPr>
          </w:p>
        </w:tc>
        <w:tc>
          <w:tcPr>
            <w:tcW w:w="140" w:type="dxa"/>
            <w:vAlign w:val="bottom"/>
            <w:tcBorders>
              <w:top w:val="single" w:sz="8" w:color="009FE3"/>
              <w:right w:val="single" w:sz="8" w:color="E8EAEB"/>
            </w:tcBorders>
          </w:tcPr>
          <w:p>
            <w:pPr>
              <w:spacing w:after="0"/>
              <w:rPr>
                <w:sz w:val="8"/>
                <w:szCs w:val="8"/>
                <w:color w:val="auto"/>
              </w:rPr>
            </w:pPr>
          </w:p>
        </w:tc>
        <w:tc>
          <w:tcPr>
            <w:tcW w:w="900" w:type="dxa"/>
            <w:vAlign w:val="bottom"/>
            <w:tcBorders>
              <w:right w:val="single" w:sz="8" w:color="E8EAEB"/>
            </w:tcBorders>
          </w:tcPr>
          <w:p>
            <w:pPr>
              <w:jc w:val="center"/>
              <w:spacing w:after="0" w:line="103" w:lineRule="exact"/>
              <w:rPr>
                <w:sz w:val="20"/>
                <w:szCs w:val="20"/>
                <w:color w:val="auto"/>
              </w:rPr>
            </w:pPr>
            <w:r>
              <w:rPr>
                <w:rFonts w:ascii="Arial" w:cs="Arial" w:eastAsia="Arial" w:hAnsi="Arial"/>
                <w:sz w:val="11"/>
                <w:szCs w:val="11"/>
                <w:b w:val="1"/>
                <w:bCs w:val="1"/>
                <w:color w:val="009FE3"/>
              </w:rPr>
              <w:t>Equity</w:t>
            </w:r>
          </w:p>
        </w:tc>
        <w:tc>
          <w:tcPr>
            <w:tcW w:w="700" w:type="dxa"/>
            <w:vAlign w:val="bottom"/>
            <w:tcBorders>
              <w:right w:val="single" w:sz="8" w:color="E8EAEB"/>
            </w:tcBorders>
          </w:tcPr>
          <w:p>
            <w:pPr>
              <w:spacing w:after="0"/>
              <w:rPr>
                <w:sz w:val="8"/>
                <w:szCs w:val="8"/>
                <w:color w:val="auto"/>
              </w:rPr>
            </w:pPr>
          </w:p>
        </w:tc>
        <w:tc>
          <w:tcPr>
            <w:tcW w:w="900" w:type="dxa"/>
            <w:vAlign w:val="bottom"/>
            <w:tcBorders>
              <w:right w:val="single" w:sz="8" w:color="E8EAEB"/>
            </w:tcBorders>
          </w:tcPr>
          <w:p>
            <w:pPr>
              <w:spacing w:after="0"/>
              <w:rPr>
                <w:sz w:val="8"/>
                <w:szCs w:val="8"/>
                <w:color w:val="auto"/>
              </w:rPr>
            </w:pPr>
          </w:p>
        </w:tc>
        <w:tc>
          <w:tcPr>
            <w:tcW w:w="320" w:type="dxa"/>
            <w:vAlign w:val="bottom"/>
            <w:tcBorders>
              <w:right w:val="single" w:sz="8" w:color="E8EAEB"/>
            </w:tcBorders>
          </w:tcPr>
          <w:p>
            <w:pPr>
              <w:spacing w:after="0"/>
              <w:rPr>
                <w:sz w:val="8"/>
                <w:szCs w:val="8"/>
                <w:color w:val="auto"/>
              </w:rPr>
            </w:pPr>
          </w:p>
        </w:tc>
        <w:tc>
          <w:tcPr>
            <w:tcW w:w="660" w:type="dxa"/>
            <w:vAlign w:val="bottom"/>
            <w:tcBorders>
              <w:right w:val="single" w:sz="8" w:color="E8EAEB"/>
            </w:tcBorders>
          </w:tcPr>
          <w:p>
            <w:pPr>
              <w:jc w:val="center"/>
              <w:spacing w:after="0" w:line="103" w:lineRule="exact"/>
              <w:rPr>
                <w:sz w:val="20"/>
                <w:szCs w:val="20"/>
                <w:color w:val="auto"/>
              </w:rPr>
            </w:pPr>
            <w:r>
              <w:rPr>
                <w:rFonts w:ascii="Arial" w:cs="Arial" w:eastAsia="Arial" w:hAnsi="Arial"/>
                <w:sz w:val="11"/>
                <w:szCs w:val="11"/>
                <w:b w:val="1"/>
                <w:bCs w:val="1"/>
                <w:color w:val="009FE3"/>
              </w:rPr>
              <w:t>Number</w:t>
            </w:r>
          </w:p>
        </w:tc>
        <w:tc>
          <w:tcPr>
            <w:tcW w:w="820" w:type="dxa"/>
            <w:vAlign w:val="bottom"/>
          </w:tcPr>
          <w:p>
            <w:pPr>
              <w:spacing w:after="0"/>
              <w:rPr>
                <w:sz w:val="8"/>
                <w:szCs w:val="8"/>
                <w:color w:val="auto"/>
              </w:rPr>
            </w:pP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right w:val="single" w:sz="8" w:color="E8EAEB"/>
            </w:tcBorders>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9"/>
              </w:rPr>
              <w:t>Incentive</w:t>
            </w:r>
          </w:p>
        </w:tc>
        <w:tc>
          <w:tcPr>
            <w:tcW w:w="70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87"/>
              </w:rPr>
              <w:t>of</w:t>
            </w:r>
          </w:p>
        </w:tc>
        <w:tc>
          <w:tcPr>
            <w:tcW w:w="820" w:type="dxa"/>
            <w:vAlign w:val="bottom"/>
          </w:tcPr>
          <w:p>
            <w:pPr>
              <w:spacing w:after="0"/>
              <w:rPr>
                <w:sz w:val="11"/>
                <w:szCs w:val="11"/>
                <w:color w:val="auto"/>
              </w:rPr>
            </w:pP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right w:val="single" w:sz="8" w:color="E8EAEB"/>
            </w:tcBorders>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4"/>
              </w:rPr>
              <w:t>Plan</w:t>
            </w:r>
          </w:p>
        </w:tc>
        <w:tc>
          <w:tcPr>
            <w:tcW w:w="70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4"/>
              </w:rPr>
              <w:t>Shares</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8"/>
              </w:rPr>
              <w:t>Market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right w:val="single" w:sz="8" w:color="E8EAEB"/>
            </w:tcBorders>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Awards:</w:t>
            </w:r>
          </w:p>
        </w:tc>
        <w:tc>
          <w:tcPr>
            <w:tcW w:w="70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rPr>
              <w:t>or Units</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8"/>
              </w:rPr>
              <w:t>Value of</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right w:val="single" w:sz="8" w:color="E8EAEB"/>
            </w:tcBorders>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9"/>
              </w:rPr>
              <w:t>Number of</w:t>
            </w:r>
          </w:p>
        </w:tc>
        <w:tc>
          <w:tcPr>
            <w:tcW w:w="70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87"/>
              </w:rPr>
              <w:t>of</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7"/>
              </w:rPr>
              <w:t>Shares or</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right w:val="single" w:sz="8" w:color="E8EAEB"/>
            </w:tcBorders>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2"/>
                <w:szCs w:val="12"/>
                <w:b w:val="1"/>
                <w:bCs w:val="1"/>
                <w:color w:val="009FE3"/>
              </w:rPr>
              <w:t>Securities</w:t>
            </w:r>
          </w:p>
        </w:tc>
        <w:tc>
          <w:tcPr>
            <w:tcW w:w="70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2"/>
                <w:szCs w:val="12"/>
                <w:b w:val="1"/>
                <w:bCs w:val="1"/>
                <w:color w:val="009FE3"/>
              </w:rPr>
              <w:t>Stock</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3"/>
              </w:rPr>
              <w:t>Units of</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right w:val="single" w:sz="8" w:color="E8EAEB"/>
            </w:tcBorders>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5"/>
              </w:rPr>
              <w:t>Underlying</w:t>
            </w:r>
          </w:p>
        </w:tc>
        <w:tc>
          <w:tcPr>
            <w:tcW w:w="70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rPr>
              <w:t>That</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7"/>
              </w:rPr>
              <w:t>Stock</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right w:val="single" w:sz="8" w:color="E8EAEB"/>
            </w:tcBorders>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5"/>
              </w:rPr>
              <w:t>Unexercised</w:t>
            </w:r>
          </w:p>
        </w:tc>
        <w:tc>
          <w:tcPr>
            <w:tcW w:w="7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Option</w:t>
            </w:r>
          </w:p>
        </w:tc>
        <w:tc>
          <w:tcPr>
            <w:tcW w:w="900" w:type="dxa"/>
            <w:vAlign w:val="bottom"/>
            <w:tcBorders>
              <w:right w:val="single" w:sz="8" w:color="E8EAEB"/>
            </w:tcBorders>
          </w:tcPr>
          <w:p>
            <w:pPr>
              <w:spacing w:after="0"/>
              <w:rPr>
                <w:sz w:val="11"/>
                <w:szCs w:val="11"/>
                <w:color w:val="auto"/>
              </w:rPr>
            </w:pP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Have</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7"/>
              </w:rPr>
              <w:t>That Have</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right w:val="single" w:sz="8" w:color="E8EAEB"/>
            </w:tcBorders>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2"/>
                <w:szCs w:val="12"/>
                <w:b w:val="1"/>
                <w:bCs w:val="1"/>
                <w:color w:val="009FE3"/>
              </w:rPr>
              <w:t>Unearned</w:t>
            </w:r>
          </w:p>
        </w:tc>
        <w:tc>
          <w:tcPr>
            <w:tcW w:w="7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Exercise</w:t>
            </w:r>
          </w:p>
        </w:tc>
        <w:tc>
          <w:tcPr>
            <w:tcW w:w="900" w:type="dxa"/>
            <w:vAlign w:val="bottom"/>
            <w:tcBorders>
              <w:right w:val="single" w:sz="8" w:color="E8EAEB"/>
            </w:tcBorders>
          </w:tcPr>
          <w:p>
            <w:pPr>
              <w:ind w:left="240"/>
              <w:spacing w:after="0" w:line="135" w:lineRule="exact"/>
              <w:rPr>
                <w:sz w:val="20"/>
                <w:szCs w:val="20"/>
                <w:color w:val="auto"/>
              </w:rPr>
            </w:pPr>
            <w:r>
              <w:rPr>
                <w:rFonts w:ascii="Arial" w:cs="Arial" w:eastAsia="Arial" w:hAnsi="Arial"/>
                <w:sz w:val="12"/>
                <w:szCs w:val="12"/>
                <w:b w:val="1"/>
                <w:bCs w:val="1"/>
                <w:color w:val="009FE3"/>
              </w:rPr>
              <w:t>Option</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89"/>
              </w:rPr>
              <w:t>Not</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89"/>
              </w:rPr>
              <w:t>Not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09FE3"/>
              </w:rPr>
              <w:t>Unexercisable</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Options</w:t>
            </w:r>
          </w:p>
        </w:tc>
        <w:tc>
          <w:tcPr>
            <w:tcW w:w="7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rPr>
              <w:t>Price</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2"/>
                <w:szCs w:val="12"/>
                <w:b w:val="1"/>
                <w:bCs w:val="1"/>
                <w:color w:val="009FE3"/>
              </w:rPr>
              <w:t>Expiration</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Vested</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6"/>
              </w:rPr>
              <w:t>Vested</w:t>
            </w:r>
          </w:p>
        </w:tc>
      </w:tr>
      <w:tr>
        <w:trPr>
          <w:trHeight w:val="154"/>
        </w:trPr>
        <w:tc>
          <w:tcPr>
            <w:tcW w:w="3920" w:type="dxa"/>
            <w:vAlign w:val="bottom"/>
            <w:tcBorders>
              <w:right w:val="single" w:sz="8" w:color="E8EAEB"/>
            </w:tcBorders>
          </w:tcPr>
          <w:p>
            <w:pPr>
              <w:ind w:left="60"/>
              <w:spacing w:after="0"/>
              <w:rPr>
                <w:sz w:val="20"/>
                <w:szCs w:val="20"/>
                <w:color w:val="auto"/>
              </w:rPr>
            </w:pPr>
            <w:r>
              <w:rPr>
                <w:rFonts w:ascii="Arial" w:cs="Arial" w:eastAsia="Arial" w:hAnsi="Arial"/>
                <w:sz w:val="12"/>
                <w:szCs w:val="12"/>
                <w:b w:val="1"/>
                <w:bCs w:val="1"/>
                <w:color w:val="009FE3"/>
              </w:rPr>
              <w:t>Name</w:t>
            </w:r>
          </w:p>
        </w:tc>
        <w:tc>
          <w:tcPr>
            <w:tcW w:w="900" w:type="dxa"/>
            <w:vAlign w:val="bottom"/>
            <w:tcBorders>
              <w:right w:val="single" w:sz="8" w:color="E8EAEB"/>
            </w:tcBorders>
          </w:tcPr>
          <w:p>
            <w:pPr>
              <w:ind w:left="120"/>
              <w:spacing w:after="0"/>
              <w:rPr>
                <w:sz w:val="20"/>
                <w:szCs w:val="20"/>
                <w:color w:val="auto"/>
              </w:rPr>
            </w:pPr>
            <w:r>
              <w:rPr>
                <w:rFonts w:ascii="Arial" w:cs="Arial" w:eastAsia="Arial" w:hAnsi="Arial"/>
                <w:sz w:val="12"/>
                <w:szCs w:val="12"/>
                <w:b w:val="1"/>
                <w:bCs w:val="1"/>
                <w:color w:val="009FE3"/>
              </w:rPr>
              <w:t>Grant Date</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009FE3"/>
              </w:rPr>
              <w:t>Exercisable</w:t>
            </w:r>
          </w:p>
        </w:tc>
        <w:tc>
          <w:tcPr>
            <w:tcW w:w="80" w:type="dxa"/>
            <w:vAlign w:val="bottom"/>
            <w:tcBorders>
              <w:right w:val="single" w:sz="8" w:color="E8EAEB"/>
            </w:tcBorders>
          </w:tcPr>
          <w:p>
            <w:pPr>
              <w:spacing w:after="0"/>
              <w:rPr>
                <w:sz w:val="13"/>
                <w:szCs w:val="13"/>
                <w:color w:val="auto"/>
              </w:rPr>
            </w:pPr>
          </w:p>
        </w:tc>
        <w:tc>
          <w:tcPr>
            <w:tcW w:w="880" w:type="dxa"/>
            <w:vAlign w:val="bottom"/>
          </w:tcPr>
          <w:p>
            <w:pPr>
              <w:jc w:val="right"/>
              <w:ind w:right="277"/>
              <w:spacing w:after="0"/>
              <w:rPr>
                <w:sz w:val="20"/>
                <w:szCs w:val="20"/>
                <w:color w:val="auto"/>
              </w:rPr>
            </w:pPr>
            <w:r>
              <w:rPr>
                <w:rFonts w:ascii="Arial" w:cs="Arial" w:eastAsia="Arial" w:hAnsi="Arial"/>
                <w:sz w:val="12"/>
                <w:szCs w:val="12"/>
                <w:b w:val="1"/>
                <w:bCs w:val="1"/>
                <w:color w:val="009FE3"/>
              </w:rPr>
              <w:t>(1)</w:t>
            </w:r>
          </w:p>
        </w:tc>
        <w:tc>
          <w:tcPr>
            <w:tcW w:w="140" w:type="dxa"/>
            <w:vAlign w:val="bottom"/>
            <w:tcBorders>
              <w:right w:val="single" w:sz="8" w:color="E8EAEB"/>
            </w:tcBorders>
          </w:tcPr>
          <w:p>
            <w:pPr>
              <w:spacing w:after="0"/>
              <w:rPr>
                <w:sz w:val="13"/>
                <w:szCs w:val="13"/>
                <w:color w:val="auto"/>
              </w:rPr>
            </w:pPr>
          </w:p>
        </w:tc>
        <w:tc>
          <w:tcPr>
            <w:tcW w:w="900" w:type="dxa"/>
            <w:vAlign w:val="bottom"/>
            <w:tcBorders>
              <w:right w:val="single" w:sz="8" w:color="E8EAEB"/>
            </w:tcBorders>
          </w:tcPr>
          <w:p>
            <w:pPr>
              <w:jc w:val="center"/>
              <w:spacing w:after="0"/>
              <w:rPr>
                <w:sz w:val="20"/>
                <w:szCs w:val="20"/>
                <w:color w:val="auto"/>
              </w:rPr>
            </w:pPr>
            <w:r>
              <w:rPr>
                <w:rFonts w:ascii="Arial" w:cs="Arial" w:eastAsia="Arial" w:hAnsi="Arial"/>
                <w:sz w:val="12"/>
                <w:szCs w:val="12"/>
                <w:b w:val="1"/>
                <w:bCs w:val="1"/>
                <w:color w:val="009FE3"/>
                <w:w w:val="95"/>
              </w:rPr>
              <w:t>(#)(2)</w:t>
            </w:r>
          </w:p>
        </w:tc>
        <w:tc>
          <w:tcPr>
            <w:tcW w:w="700" w:type="dxa"/>
            <w:vAlign w:val="bottom"/>
            <w:tcBorders>
              <w:right w:val="single" w:sz="8" w:color="E8EAEB"/>
            </w:tcBorders>
          </w:tcPr>
          <w:p>
            <w:pPr>
              <w:ind w:left="260"/>
              <w:spacing w:after="0"/>
              <w:rPr>
                <w:sz w:val="20"/>
                <w:szCs w:val="20"/>
                <w:color w:val="auto"/>
              </w:rPr>
            </w:pPr>
            <w:r>
              <w:rPr>
                <w:rFonts w:ascii="Arial" w:cs="Arial" w:eastAsia="Arial" w:hAnsi="Arial"/>
                <w:sz w:val="12"/>
                <w:szCs w:val="12"/>
                <w:b w:val="1"/>
                <w:bCs w:val="1"/>
                <w:color w:val="009FE3"/>
              </w:rPr>
              <w:t>($)</w:t>
            </w:r>
          </w:p>
        </w:tc>
        <w:tc>
          <w:tcPr>
            <w:tcW w:w="900" w:type="dxa"/>
            <w:vAlign w:val="bottom"/>
            <w:tcBorders>
              <w:right w:val="single" w:sz="8" w:color="E8EAEB"/>
            </w:tcBorders>
          </w:tcPr>
          <w:p>
            <w:pPr>
              <w:ind w:left="300"/>
              <w:spacing w:after="0"/>
              <w:rPr>
                <w:sz w:val="20"/>
                <w:szCs w:val="20"/>
                <w:color w:val="auto"/>
              </w:rPr>
            </w:pPr>
            <w:r>
              <w:rPr>
                <w:rFonts w:ascii="Arial" w:cs="Arial" w:eastAsia="Arial" w:hAnsi="Arial"/>
                <w:sz w:val="12"/>
                <w:szCs w:val="12"/>
                <w:b w:val="1"/>
                <w:bCs w:val="1"/>
                <w:color w:val="009FE3"/>
              </w:rPr>
              <w:t>Date</w:t>
            </w:r>
          </w:p>
        </w:tc>
        <w:tc>
          <w:tcPr>
            <w:tcW w:w="320" w:type="dxa"/>
            <w:vAlign w:val="bottom"/>
            <w:tcBorders>
              <w:right w:val="single" w:sz="8" w:color="E8EAEB"/>
            </w:tcBorders>
          </w:tcPr>
          <w:p>
            <w:pPr>
              <w:spacing w:after="0"/>
              <w:rPr>
                <w:sz w:val="13"/>
                <w:szCs w:val="13"/>
                <w:color w:val="auto"/>
              </w:rPr>
            </w:pPr>
          </w:p>
        </w:tc>
        <w:tc>
          <w:tcPr>
            <w:tcW w:w="660" w:type="dxa"/>
            <w:vAlign w:val="bottom"/>
            <w:tcBorders>
              <w:right w:val="single" w:sz="8" w:color="E8EAEB"/>
            </w:tcBorders>
          </w:tcPr>
          <w:p>
            <w:pPr>
              <w:jc w:val="right"/>
              <w:ind w:right="138"/>
              <w:spacing w:after="0"/>
              <w:rPr>
                <w:sz w:val="20"/>
                <w:szCs w:val="20"/>
                <w:color w:val="auto"/>
              </w:rPr>
            </w:pPr>
            <w:r>
              <w:rPr>
                <w:rFonts w:ascii="Arial" w:cs="Arial" w:eastAsia="Arial" w:hAnsi="Arial"/>
                <w:sz w:val="12"/>
                <w:szCs w:val="12"/>
                <w:b w:val="1"/>
                <w:bCs w:val="1"/>
                <w:color w:val="009FE3"/>
              </w:rPr>
              <w:t>(#)(3)</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009FE3"/>
              </w:rPr>
              <w:t>($)(4)</w:t>
            </w:r>
          </w:p>
        </w:tc>
      </w:tr>
      <w:tr>
        <w:trPr>
          <w:trHeight w:val="20"/>
        </w:trPr>
        <w:tc>
          <w:tcPr>
            <w:tcW w:w="3920" w:type="dxa"/>
            <w:vAlign w:val="bottom"/>
            <w:tcBorders>
              <w:bottom w:val="single" w:sz="8" w:color="009FE3"/>
              <w:right w:val="single" w:sz="8" w:color="E8EAEB"/>
            </w:tcBorders>
          </w:tcPr>
          <w:p>
            <w:pPr>
              <w:spacing w:after="0" w:line="20" w:lineRule="exact"/>
              <w:rPr>
                <w:sz w:val="1"/>
                <w:szCs w:val="1"/>
                <w:color w:val="auto"/>
              </w:rPr>
            </w:pPr>
          </w:p>
        </w:tc>
        <w:tc>
          <w:tcPr>
            <w:tcW w:w="900" w:type="dxa"/>
            <w:vAlign w:val="bottom"/>
            <w:tcBorders>
              <w:bottom w:val="single" w:sz="8" w:color="009FE3"/>
              <w:right w:val="single" w:sz="8" w:color="E8EAEB"/>
            </w:tcBorders>
          </w:tcPr>
          <w:p>
            <w:pPr>
              <w:spacing w:after="0" w:line="20" w:lineRule="exact"/>
              <w:rPr>
                <w:sz w:val="1"/>
                <w:szCs w:val="1"/>
                <w:color w:val="auto"/>
              </w:rPr>
            </w:pPr>
          </w:p>
        </w:tc>
        <w:tc>
          <w:tcPr>
            <w:tcW w:w="800" w:type="dxa"/>
            <w:vAlign w:val="bottom"/>
            <w:tcBorders>
              <w:bottom w:val="single" w:sz="8" w:color="009FE3"/>
            </w:tcBorders>
          </w:tcPr>
          <w:p>
            <w:pPr>
              <w:spacing w:after="0" w:line="20" w:lineRule="exact"/>
              <w:rPr>
                <w:sz w:val="1"/>
                <w:szCs w:val="1"/>
                <w:color w:val="auto"/>
              </w:rPr>
            </w:pPr>
          </w:p>
        </w:tc>
        <w:tc>
          <w:tcPr>
            <w:tcW w:w="80" w:type="dxa"/>
            <w:vAlign w:val="bottom"/>
            <w:tcBorders>
              <w:bottom w:val="single" w:sz="8" w:color="009FE3"/>
              <w:right w:val="single" w:sz="8" w:color="E8EAEB"/>
            </w:tcBorders>
          </w:tcPr>
          <w:p>
            <w:pPr>
              <w:spacing w:after="0" w:line="20" w:lineRule="exact"/>
              <w:rPr>
                <w:sz w:val="1"/>
                <w:szCs w:val="1"/>
                <w:color w:val="auto"/>
              </w:rPr>
            </w:pPr>
          </w:p>
        </w:tc>
        <w:tc>
          <w:tcPr>
            <w:tcW w:w="880" w:type="dxa"/>
            <w:vAlign w:val="bottom"/>
            <w:tcBorders>
              <w:bottom w:val="single" w:sz="8" w:color="009FE3"/>
            </w:tcBorders>
          </w:tcPr>
          <w:p>
            <w:pPr>
              <w:spacing w:after="0" w:line="20" w:lineRule="exact"/>
              <w:rPr>
                <w:sz w:val="1"/>
                <w:szCs w:val="1"/>
                <w:color w:val="auto"/>
              </w:rPr>
            </w:pPr>
          </w:p>
        </w:tc>
        <w:tc>
          <w:tcPr>
            <w:tcW w:w="140" w:type="dxa"/>
            <w:vAlign w:val="bottom"/>
            <w:tcBorders>
              <w:bottom w:val="single" w:sz="8" w:color="009FE3"/>
              <w:right w:val="single" w:sz="8" w:color="E8EAEB"/>
            </w:tcBorders>
          </w:tcPr>
          <w:p>
            <w:pPr>
              <w:spacing w:after="0" w:line="20" w:lineRule="exact"/>
              <w:rPr>
                <w:sz w:val="1"/>
                <w:szCs w:val="1"/>
                <w:color w:val="auto"/>
              </w:rPr>
            </w:pPr>
          </w:p>
        </w:tc>
        <w:tc>
          <w:tcPr>
            <w:tcW w:w="900" w:type="dxa"/>
            <w:vAlign w:val="bottom"/>
            <w:tcBorders>
              <w:bottom w:val="single" w:sz="8" w:color="009FE3"/>
              <w:right w:val="single" w:sz="8" w:color="E8EAEB"/>
            </w:tcBorders>
          </w:tcPr>
          <w:p>
            <w:pPr>
              <w:spacing w:after="0" w:line="20" w:lineRule="exact"/>
              <w:rPr>
                <w:sz w:val="1"/>
                <w:szCs w:val="1"/>
                <w:color w:val="auto"/>
              </w:rPr>
            </w:pPr>
          </w:p>
        </w:tc>
        <w:tc>
          <w:tcPr>
            <w:tcW w:w="700" w:type="dxa"/>
            <w:vAlign w:val="bottom"/>
            <w:tcBorders>
              <w:bottom w:val="single" w:sz="8" w:color="009FE3"/>
              <w:right w:val="single" w:sz="8" w:color="E8EAEB"/>
            </w:tcBorders>
          </w:tcPr>
          <w:p>
            <w:pPr>
              <w:spacing w:after="0" w:line="20" w:lineRule="exact"/>
              <w:rPr>
                <w:sz w:val="1"/>
                <w:szCs w:val="1"/>
                <w:color w:val="auto"/>
              </w:rPr>
            </w:pPr>
          </w:p>
        </w:tc>
        <w:tc>
          <w:tcPr>
            <w:tcW w:w="900" w:type="dxa"/>
            <w:vAlign w:val="bottom"/>
            <w:tcBorders>
              <w:bottom w:val="single" w:sz="8" w:color="009FE3"/>
              <w:right w:val="single" w:sz="8" w:color="E8EAEB"/>
            </w:tcBorders>
          </w:tcPr>
          <w:p>
            <w:pPr>
              <w:spacing w:after="0" w:line="20" w:lineRule="exact"/>
              <w:rPr>
                <w:sz w:val="1"/>
                <w:szCs w:val="1"/>
                <w:color w:val="auto"/>
              </w:rPr>
            </w:pPr>
          </w:p>
        </w:tc>
        <w:tc>
          <w:tcPr>
            <w:tcW w:w="320" w:type="dxa"/>
            <w:vAlign w:val="bottom"/>
            <w:tcBorders>
              <w:bottom w:val="single" w:sz="8" w:color="009FE3"/>
              <w:right w:val="single" w:sz="8" w:color="E8EAEB"/>
            </w:tcBorders>
          </w:tcPr>
          <w:p>
            <w:pPr>
              <w:spacing w:after="0" w:line="20" w:lineRule="exact"/>
              <w:rPr>
                <w:sz w:val="1"/>
                <w:szCs w:val="1"/>
                <w:color w:val="auto"/>
              </w:rPr>
            </w:pPr>
          </w:p>
        </w:tc>
        <w:tc>
          <w:tcPr>
            <w:tcW w:w="660" w:type="dxa"/>
            <w:vAlign w:val="bottom"/>
            <w:tcBorders>
              <w:bottom w:val="single" w:sz="8" w:color="009FE3"/>
              <w:right w:val="single" w:sz="8" w:color="E8EAEB"/>
            </w:tcBorders>
          </w:tcPr>
          <w:p>
            <w:pPr>
              <w:spacing w:after="0" w:line="20" w:lineRule="exact"/>
              <w:rPr>
                <w:sz w:val="1"/>
                <w:szCs w:val="1"/>
                <w:color w:val="auto"/>
              </w:rPr>
            </w:pPr>
          </w:p>
        </w:tc>
        <w:tc>
          <w:tcPr>
            <w:tcW w:w="820" w:type="dxa"/>
            <w:vAlign w:val="bottom"/>
            <w:tcBorders>
              <w:bottom w:val="single" w:sz="8" w:color="009FE3"/>
            </w:tcBorders>
          </w:tcPr>
          <w:p>
            <w:pPr>
              <w:spacing w:after="0" w:line="20" w:lineRule="exact"/>
              <w:rPr>
                <w:sz w:val="1"/>
                <w:szCs w:val="1"/>
                <w:color w:val="auto"/>
              </w:rPr>
            </w:pPr>
          </w:p>
        </w:tc>
      </w:tr>
      <w:tr>
        <w:trPr>
          <w:trHeight w:val="177"/>
        </w:trPr>
        <w:tc>
          <w:tcPr>
            <w:tcW w:w="3920" w:type="dxa"/>
            <w:vAlign w:val="bottom"/>
            <w:tcBorders>
              <w:right w:val="single" w:sz="8" w:color="E8EAEB"/>
            </w:tcBorders>
          </w:tcPr>
          <w:p>
            <w:pPr>
              <w:ind w:left="60"/>
              <w:spacing w:after="0"/>
              <w:rPr>
                <w:sz w:val="20"/>
                <w:szCs w:val="20"/>
                <w:color w:val="auto"/>
              </w:rPr>
            </w:pPr>
            <w:r>
              <w:rPr>
                <w:rFonts w:ascii="Arial" w:cs="Arial" w:eastAsia="Arial" w:hAnsi="Arial"/>
                <w:sz w:val="13"/>
                <w:szCs w:val="13"/>
                <w:color w:val="202E39"/>
              </w:rPr>
              <w:t>Mark Dankberg</w:t>
            </w: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11/12/2012</w:t>
            </w:r>
          </w:p>
        </w:tc>
        <w:tc>
          <w:tcPr>
            <w:tcW w:w="800" w:type="dxa"/>
            <w:vAlign w:val="bottom"/>
          </w:tcPr>
          <w:p>
            <w:pPr>
              <w:jc w:val="right"/>
              <w:spacing w:after="0"/>
              <w:rPr>
                <w:sz w:val="20"/>
                <w:szCs w:val="20"/>
                <w:color w:val="auto"/>
              </w:rPr>
            </w:pPr>
            <w:r>
              <w:rPr>
                <w:rFonts w:ascii="Arial" w:cs="Arial" w:eastAsia="Arial" w:hAnsi="Arial"/>
                <w:sz w:val="13"/>
                <w:szCs w:val="13"/>
                <w:color w:val="202E39"/>
              </w:rPr>
              <w:t>119,000</w:t>
            </w:r>
          </w:p>
        </w:tc>
        <w:tc>
          <w:tcPr>
            <w:tcW w:w="80" w:type="dxa"/>
            <w:vAlign w:val="bottom"/>
            <w:tcBorders>
              <w:right w:val="single" w:sz="8" w:color="E8EAEB"/>
            </w:tcBorders>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5"/>
                <w:szCs w:val="15"/>
                <w:color w:val="auto"/>
              </w:rPr>
            </w:pPr>
          </w:p>
        </w:tc>
        <w:tc>
          <w:tcPr>
            <w:tcW w:w="90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rPr>
                <w:sz w:val="20"/>
                <w:szCs w:val="20"/>
                <w:color w:val="auto"/>
              </w:rPr>
            </w:pPr>
            <w:r>
              <w:rPr>
                <w:rFonts w:ascii="Arial" w:cs="Arial" w:eastAsia="Arial" w:hAnsi="Arial"/>
                <w:sz w:val="13"/>
                <w:szCs w:val="13"/>
                <w:color w:val="202E39"/>
              </w:rPr>
              <w:t>36.30</w:t>
            </w: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11/12/2018</w:t>
            </w:r>
          </w:p>
        </w:tc>
        <w:tc>
          <w:tcPr>
            <w:tcW w:w="320" w:type="dxa"/>
            <w:vAlign w:val="bottom"/>
            <w:tcBorders>
              <w:right w:val="single" w:sz="8" w:color="E8EAEB"/>
            </w:tcBorders>
          </w:tcPr>
          <w:p>
            <w:pPr>
              <w:spacing w:after="0"/>
              <w:rPr>
                <w:sz w:val="15"/>
                <w:szCs w:val="15"/>
                <w:color w:val="auto"/>
              </w:rPr>
            </w:pPr>
          </w:p>
        </w:tc>
        <w:tc>
          <w:tcPr>
            <w:tcW w:w="66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11/14/2013</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100,000</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60.91</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11/14/2019</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11/17/2014</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82,500</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202E39"/>
              </w:rPr>
              <w:t>27,500</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65.86</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11/17/2020</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11/17/2015</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62,500</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202E39"/>
              </w:rPr>
              <w:t>62,500</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61.26</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11/17/2021</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11/17/2016</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35,000</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202E39"/>
              </w:rPr>
              <w:t>105,00</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69.74</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11/17/2022</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52"/>
        </w:trPr>
        <w:tc>
          <w:tcPr>
            <w:tcW w:w="3920" w:type="dxa"/>
            <w:vAlign w:val="bottom"/>
            <w:tcBorders>
              <w:right w:val="single" w:sz="8" w:color="E8EAEB"/>
            </w:tcBorders>
          </w:tcPr>
          <w:p>
            <w:pPr>
              <w:spacing w:after="0"/>
              <w:rPr>
                <w:sz w:val="13"/>
                <w:szCs w:val="13"/>
                <w:color w:val="auto"/>
              </w:rPr>
            </w:pP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11/17/2017</w:t>
            </w:r>
          </w:p>
        </w:tc>
        <w:tc>
          <w:tcPr>
            <w:tcW w:w="800" w:type="dxa"/>
            <w:vAlign w:val="bottom"/>
          </w:tcPr>
          <w:p>
            <w:pPr>
              <w:jc w:val="right"/>
              <w:ind w:right="57"/>
              <w:spacing w:after="0"/>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3"/>
                <w:szCs w:val="13"/>
                <w:color w:val="auto"/>
              </w:rPr>
            </w:pPr>
          </w:p>
        </w:tc>
        <w:tc>
          <w:tcPr>
            <w:tcW w:w="900" w:type="dxa"/>
            <w:vAlign w:val="bottom"/>
            <w:tcBorders>
              <w:right w:val="single" w:sz="8" w:color="E8EAEB"/>
            </w:tcBorders>
          </w:tcPr>
          <w:p>
            <w:pPr>
              <w:jc w:val="right"/>
              <w:ind w:right="58"/>
              <w:spacing w:after="0"/>
              <w:rPr>
                <w:sz w:val="20"/>
                <w:szCs w:val="20"/>
                <w:color w:val="auto"/>
              </w:rPr>
            </w:pPr>
            <w:r>
              <w:rPr>
                <w:rFonts w:ascii="Arial" w:cs="Arial" w:eastAsia="Arial" w:hAnsi="Arial"/>
                <w:sz w:val="13"/>
                <w:szCs w:val="13"/>
                <w:color w:val="202E39"/>
              </w:rPr>
              <w:t>140,000</w:t>
            </w:r>
          </w:p>
        </w:tc>
        <w:tc>
          <w:tcPr>
            <w:tcW w:w="700" w:type="dxa"/>
            <w:vAlign w:val="bottom"/>
            <w:tcBorders>
              <w:right w:val="single" w:sz="8" w:color="E8EAEB"/>
            </w:tcBorders>
          </w:tcPr>
          <w:p>
            <w:pPr>
              <w:ind w:left="260"/>
              <w:spacing w:after="0"/>
              <w:rPr>
                <w:sz w:val="20"/>
                <w:szCs w:val="20"/>
                <w:color w:val="auto"/>
              </w:rPr>
            </w:pPr>
            <w:r>
              <w:rPr>
                <w:rFonts w:ascii="Arial" w:cs="Arial" w:eastAsia="Arial" w:hAnsi="Arial"/>
                <w:sz w:val="13"/>
                <w:szCs w:val="13"/>
                <w:color w:val="202E39"/>
              </w:rPr>
              <w:t>73.77</w:t>
            </w: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11/17/2023</w:t>
            </w:r>
          </w:p>
        </w:tc>
        <w:tc>
          <w:tcPr>
            <w:tcW w:w="320" w:type="dxa"/>
            <w:vAlign w:val="bottom"/>
            <w:tcBorders>
              <w:right w:val="single" w:sz="8" w:color="E8EAEB"/>
            </w:tcBorders>
          </w:tcPr>
          <w:p>
            <w:pPr>
              <w:spacing w:after="0"/>
              <w:rPr>
                <w:sz w:val="13"/>
                <w:szCs w:val="13"/>
                <w:color w:val="auto"/>
              </w:rPr>
            </w:pPr>
          </w:p>
        </w:tc>
        <w:tc>
          <w:tcPr>
            <w:tcW w:w="66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rPr>
                <w:sz w:val="20"/>
                <w:szCs w:val="20"/>
                <w:color w:val="auto"/>
              </w:rPr>
            </w:pPr>
            <w:r>
              <w:rPr>
                <w:rFonts w:ascii="Arial" w:cs="Arial" w:eastAsia="Arial" w:hAnsi="Arial"/>
                <w:sz w:val="13"/>
                <w:szCs w:val="13"/>
                <w:color w:val="202E39"/>
              </w:rPr>
              <w:t>—</w:t>
            </w:r>
          </w:p>
        </w:tc>
      </w:tr>
      <w:tr>
        <w:trPr>
          <w:trHeight w:val="145"/>
        </w:trPr>
        <w:tc>
          <w:tcPr>
            <w:tcW w:w="3920" w:type="dxa"/>
            <w:vAlign w:val="bottom"/>
            <w:tcBorders>
              <w:right w:val="single" w:sz="8" w:color="E8EAEB"/>
            </w:tcBorders>
          </w:tcPr>
          <w:p>
            <w:pPr>
              <w:spacing w:after="0"/>
              <w:rPr>
                <w:sz w:val="12"/>
                <w:szCs w:val="12"/>
                <w:color w:val="auto"/>
              </w:rPr>
            </w:pPr>
          </w:p>
        </w:tc>
        <w:tc>
          <w:tcPr>
            <w:tcW w:w="900" w:type="dxa"/>
            <w:vAlign w:val="bottom"/>
            <w:tcBorders>
              <w:right w:val="single" w:sz="8" w:color="E8EAEB"/>
            </w:tcBorders>
          </w:tcPr>
          <w:p>
            <w:pPr>
              <w:ind w:left="140"/>
              <w:spacing w:after="0" w:line="145" w:lineRule="exact"/>
              <w:rPr>
                <w:sz w:val="20"/>
                <w:szCs w:val="20"/>
                <w:color w:val="auto"/>
              </w:rPr>
            </w:pPr>
            <w:r>
              <w:rPr>
                <w:rFonts w:ascii="Arial" w:cs="Arial" w:eastAsia="Arial" w:hAnsi="Arial"/>
                <w:sz w:val="13"/>
                <w:szCs w:val="13"/>
                <w:color w:val="202E39"/>
              </w:rPr>
              <w:t>11/17/2014</w:t>
            </w:r>
          </w:p>
        </w:tc>
        <w:tc>
          <w:tcPr>
            <w:tcW w:w="800" w:type="dxa"/>
            <w:vAlign w:val="bottom"/>
          </w:tcPr>
          <w:p>
            <w:pPr>
              <w:jc w:val="right"/>
              <w:ind w:right="57"/>
              <w:spacing w:after="0" w:line="14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2"/>
                <w:szCs w:val="12"/>
                <w:color w:val="auto"/>
              </w:rPr>
            </w:pPr>
          </w:p>
        </w:tc>
        <w:tc>
          <w:tcPr>
            <w:tcW w:w="880" w:type="dxa"/>
            <w:vAlign w:val="bottom"/>
          </w:tcPr>
          <w:p>
            <w:pPr>
              <w:jc w:val="right"/>
              <w:ind w:right="17"/>
              <w:spacing w:after="0" w:line="14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2"/>
                <w:szCs w:val="12"/>
                <w:color w:val="auto"/>
              </w:rPr>
            </w:pPr>
          </w:p>
        </w:tc>
        <w:tc>
          <w:tcPr>
            <w:tcW w:w="900" w:type="dxa"/>
            <w:vAlign w:val="bottom"/>
            <w:tcBorders>
              <w:right w:val="single" w:sz="8" w:color="E8EAEB"/>
            </w:tcBorders>
          </w:tcPr>
          <w:p>
            <w:pPr>
              <w:jc w:val="right"/>
              <w:ind w:right="138"/>
              <w:spacing w:after="0" w:line="14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line="145" w:lineRule="exact"/>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line="145" w:lineRule="exact"/>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2"/>
                <w:szCs w:val="12"/>
                <w:color w:val="auto"/>
              </w:rPr>
            </w:pPr>
          </w:p>
        </w:tc>
        <w:tc>
          <w:tcPr>
            <w:tcW w:w="660" w:type="dxa"/>
            <w:vAlign w:val="bottom"/>
            <w:tcBorders>
              <w:right w:val="single" w:sz="8" w:color="E8EAEB"/>
            </w:tcBorders>
          </w:tcPr>
          <w:p>
            <w:pPr>
              <w:jc w:val="right"/>
              <w:ind w:right="58"/>
              <w:spacing w:after="0" w:line="145" w:lineRule="exact"/>
              <w:rPr>
                <w:sz w:val="20"/>
                <w:szCs w:val="20"/>
                <w:color w:val="auto"/>
              </w:rPr>
            </w:pPr>
            <w:r>
              <w:rPr>
                <w:rFonts w:ascii="Arial" w:cs="Arial" w:eastAsia="Arial" w:hAnsi="Arial"/>
                <w:sz w:val="13"/>
                <w:szCs w:val="13"/>
                <w:color w:val="202E39"/>
              </w:rPr>
              <w:t>9,166</w:t>
            </w:r>
          </w:p>
        </w:tc>
        <w:tc>
          <w:tcPr>
            <w:tcW w:w="820" w:type="dxa"/>
            <w:vAlign w:val="bottom"/>
          </w:tcPr>
          <w:p>
            <w:pPr>
              <w:jc w:val="right"/>
              <w:ind w:right="58"/>
              <w:spacing w:after="0" w:line="145" w:lineRule="exact"/>
              <w:rPr>
                <w:sz w:val="20"/>
                <w:szCs w:val="20"/>
                <w:color w:val="auto"/>
              </w:rPr>
            </w:pPr>
            <w:r>
              <w:rPr>
                <w:rFonts w:ascii="Arial" w:cs="Arial" w:eastAsia="Arial" w:hAnsi="Arial"/>
                <w:sz w:val="13"/>
                <w:szCs w:val="13"/>
                <w:color w:val="202E39"/>
              </w:rPr>
              <w:t>602,390</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line="135" w:lineRule="exact"/>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line="135" w:lineRule="exact"/>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20,833</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1,369,145</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11/17/2016</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line="135" w:lineRule="exact"/>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line="135" w:lineRule="exact"/>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35,000</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2,300,200</w:t>
            </w:r>
          </w:p>
        </w:tc>
      </w:tr>
      <w:tr>
        <w:trPr>
          <w:trHeight w:val="141"/>
        </w:trPr>
        <w:tc>
          <w:tcPr>
            <w:tcW w:w="3920" w:type="dxa"/>
            <w:vAlign w:val="bottom"/>
            <w:tcBorders>
              <w:bottom w:val="single" w:sz="8" w:color="E8EAEB"/>
              <w:right w:val="single" w:sz="8" w:color="E8EAEB"/>
            </w:tcBorders>
          </w:tcPr>
          <w:p>
            <w:pPr>
              <w:spacing w:after="0"/>
              <w:rPr>
                <w:sz w:val="12"/>
                <w:szCs w:val="12"/>
                <w:color w:val="auto"/>
              </w:rPr>
            </w:pPr>
          </w:p>
        </w:tc>
        <w:tc>
          <w:tcPr>
            <w:tcW w:w="900" w:type="dxa"/>
            <w:vAlign w:val="bottom"/>
            <w:tcBorders>
              <w:bottom w:val="single" w:sz="8" w:color="E8EAEB"/>
              <w:right w:val="single" w:sz="8" w:color="E8EAEB"/>
            </w:tcBorders>
          </w:tcPr>
          <w:p>
            <w:pPr>
              <w:ind w:left="140"/>
              <w:spacing w:after="0" w:line="141" w:lineRule="exact"/>
              <w:rPr>
                <w:sz w:val="20"/>
                <w:szCs w:val="20"/>
                <w:color w:val="auto"/>
              </w:rPr>
            </w:pPr>
            <w:r>
              <w:rPr>
                <w:rFonts w:ascii="Arial" w:cs="Arial" w:eastAsia="Arial" w:hAnsi="Arial"/>
                <w:sz w:val="13"/>
                <w:szCs w:val="13"/>
                <w:color w:val="202E39"/>
              </w:rPr>
              <w:t>11/17/2017</w:t>
            </w:r>
          </w:p>
        </w:tc>
        <w:tc>
          <w:tcPr>
            <w:tcW w:w="800" w:type="dxa"/>
            <w:vAlign w:val="bottom"/>
            <w:tcBorders>
              <w:bottom w:val="single" w:sz="8" w:color="E8EAEB"/>
            </w:tcBorders>
          </w:tcPr>
          <w:p>
            <w:pPr>
              <w:jc w:val="right"/>
              <w:ind w:right="57"/>
              <w:spacing w:after="0" w:line="141" w:lineRule="exact"/>
              <w:rPr>
                <w:sz w:val="20"/>
                <w:szCs w:val="20"/>
                <w:color w:val="auto"/>
              </w:rPr>
            </w:pPr>
            <w:r>
              <w:rPr>
                <w:rFonts w:ascii="Arial" w:cs="Arial" w:eastAsia="Arial" w:hAnsi="Arial"/>
                <w:sz w:val="13"/>
                <w:szCs w:val="13"/>
                <w:color w:val="202E39"/>
              </w:rPr>
              <w:t>—</w:t>
            </w:r>
          </w:p>
        </w:tc>
        <w:tc>
          <w:tcPr>
            <w:tcW w:w="80" w:type="dxa"/>
            <w:vAlign w:val="bottom"/>
            <w:tcBorders>
              <w:bottom w:val="single" w:sz="8" w:color="E8EAEB"/>
              <w:right w:val="single" w:sz="8" w:color="E8EAEB"/>
            </w:tcBorders>
          </w:tcPr>
          <w:p>
            <w:pPr>
              <w:spacing w:after="0"/>
              <w:rPr>
                <w:sz w:val="12"/>
                <w:szCs w:val="12"/>
                <w:color w:val="auto"/>
              </w:rPr>
            </w:pPr>
          </w:p>
        </w:tc>
        <w:tc>
          <w:tcPr>
            <w:tcW w:w="880" w:type="dxa"/>
            <w:vAlign w:val="bottom"/>
            <w:tcBorders>
              <w:bottom w:val="single" w:sz="8" w:color="E8EAEB"/>
            </w:tcBorders>
          </w:tcPr>
          <w:p>
            <w:pPr>
              <w:jc w:val="right"/>
              <w:ind w:right="17"/>
              <w:spacing w:after="0" w:line="141" w:lineRule="exact"/>
              <w:rPr>
                <w:sz w:val="20"/>
                <w:szCs w:val="20"/>
                <w:color w:val="auto"/>
              </w:rPr>
            </w:pPr>
            <w:r>
              <w:rPr>
                <w:rFonts w:ascii="Arial" w:cs="Arial" w:eastAsia="Arial" w:hAnsi="Arial"/>
                <w:sz w:val="13"/>
                <w:szCs w:val="13"/>
                <w:color w:val="202E39"/>
              </w:rPr>
              <w:t>—</w:t>
            </w:r>
          </w:p>
        </w:tc>
        <w:tc>
          <w:tcPr>
            <w:tcW w:w="140" w:type="dxa"/>
            <w:vAlign w:val="bottom"/>
            <w:tcBorders>
              <w:bottom w:val="single" w:sz="8" w:color="E8EAEB"/>
              <w:right w:val="single" w:sz="8" w:color="E8EAEB"/>
            </w:tcBorders>
          </w:tcPr>
          <w:p>
            <w:pPr>
              <w:spacing w:after="0"/>
              <w:rPr>
                <w:sz w:val="12"/>
                <w:szCs w:val="12"/>
                <w:color w:val="auto"/>
              </w:rPr>
            </w:pPr>
          </w:p>
        </w:tc>
        <w:tc>
          <w:tcPr>
            <w:tcW w:w="900" w:type="dxa"/>
            <w:vAlign w:val="bottom"/>
            <w:tcBorders>
              <w:bottom w:val="single" w:sz="8" w:color="E8EAEB"/>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w:t>
            </w:r>
          </w:p>
        </w:tc>
        <w:tc>
          <w:tcPr>
            <w:tcW w:w="700" w:type="dxa"/>
            <w:vAlign w:val="bottom"/>
            <w:tcBorders>
              <w:bottom w:val="single" w:sz="8" w:color="E8EAEB"/>
              <w:right w:val="single" w:sz="8" w:color="E8EAEB"/>
            </w:tcBorders>
          </w:tcPr>
          <w:p>
            <w:pPr>
              <w:ind w:left="380"/>
              <w:spacing w:after="0" w:line="141" w:lineRule="exact"/>
              <w:rPr>
                <w:sz w:val="20"/>
                <w:szCs w:val="20"/>
                <w:color w:val="auto"/>
              </w:rPr>
            </w:pPr>
            <w:r>
              <w:rPr>
                <w:rFonts w:ascii="Arial" w:cs="Arial" w:eastAsia="Arial" w:hAnsi="Arial"/>
                <w:sz w:val="13"/>
                <w:szCs w:val="13"/>
                <w:color w:val="202E39"/>
              </w:rPr>
              <w:t>—</w:t>
            </w:r>
          </w:p>
        </w:tc>
        <w:tc>
          <w:tcPr>
            <w:tcW w:w="900" w:type="dxa"/>
            <w:vAlign w:val="bottom"/>
            <w:tcBorders>
              <w:bottom w:val="single" w:sz="8" w:color="E8EAEB"/>
              <w:right w:val="single" w:sz="8" w:color="E8EAEB"/>
            </w:tcBorders>
          </w:tcPr>
          <w:p>
            <w:pPr>
              <w:ind w:left="580"/>
              <w:spacing w:after="0" w:line="141" w:lineRule="exact"/>
              <w:rPr>
                <w:sz w:val="20"/>
                <w:szCs w:val="20"/>
                <w:color w:val="auto"/>
              </w:rPr>
            </w:pPr>
            <w:r>
              <w:rPr>
                <w:rFonts w:ascii="Arial" w:cs="Arial" w:eastAsia="Arial" w:hAnsi="Arial"/>
                <w:sz w:val="13"/>
                <w:szCs w:val="13"/>
                <w:color w:val="202E39"/>
              </w:rPr>
              <w:t>—</w:t>
            </w:r>
          </w:p>
        </w:tc>
        <w:tc>
          <w:tcPr>
            <w:tcW w:w="320" w:type="dxa"/>
            <w:vAlign w:val="bottom"/>
            <w:tcBorders>
              <w:bottom w:val="single" w:sz="8" w:color="E8EAEB"/>
              <w:right w:val="single" w:sz="8" w:color="E8EAEB"/>
            </w:tcBorders>
          </w:tcPr>
          <w:p>
            <w:pPr>
              <w:spacing w:after="0"/>
              <w:rPr>
                <w:sz w:val="12"/>
                <w:szCs w:val="12"/>
                <w:color w:val="auto"/>
              </w:rPr>
            </w:pPr>
          </w:p>
        </w:tc>
        <w:tc>
          <w:tcPr>
            <w:tcW w:w="660" w:type="dxa"/>
            <w:vAlign w:val="bottom"/>
            <w:tcBorders>
              <w:bottom w:val="single" w:sz="8" w:color="E8EAEB"/>
              <w:right w:val="single" w:sz="8" w:color="E8EAEB"/>
            </w:tcBorders>
          </w:tcPr>
          <w:p>
            <w:pPr>
              <w:jc w:val="right"/>
              <w:ind w:right="58"/>
              <w:spacing w:after="0" w:line="141" w:lineRule="exact"/>
              <w:rPr>
                <w:sz w:val="20"/>
                <w:szCs w:val="20"/>
                <w:color w:val="auto"/>
              </w:rPr>
            </w:pPr>
            <w:r>
              <w:rPr>
                <w:rFonts w:ascii="Arial" w:cs="Arial" w:eastAsia="Arial" w:hAnsi="Arial"/>
                <w:sz w:val="13"/>
                <w:szCs w:val="13"/>
                <w:color w:val="202E39"/>
              </w:rPr>
              <w:t>46,667</w:t>
            </w:r>
          </w:p>
        </w:tc>
        <w:tc>
          <w:tcPr>
            <w:tcW w:w="820" w:type="dxa"/>
            <w:vAlign w:val="bottom"/>
            <w:tcBorders>
              <w:bottom w:val="single" w:sz="8" w:color="E8EAEB"/>
            </w:tcBorders>
          </w:tcPr>
          <w:p>
            <w:pPr>
              <w:jc w:val="right"/>
              <w:ind w:right="58"/>
              <w:spacing w:after="0" w:line="141" w:lineRule="exact"/>
              <w:rPr>
                <w:sz w:val="20"/>
                <w:szCs w:val="20"/>
                <w:color w:val="auto"/>
              </w:rPr>
            </w:pPr>
            <w:r>
              <w:rPr>
                <w:rFonts w:ascii="Arial" w:cs="Arial" w:eastAsia="Arial" w:hAnsi="Arial"/>
                <w:sz w:val="13"/>
                <w:szCs w:val="13"/>
                <w:color w:val="202E39"/>
              </w:rPr>
              <w:t>3,066,955</w:t>
            </w:r>
          </w:p>
        </w:tc>
      </w:tr>
      <w:tr>
        <w:trPr>
          <w:trHeight w:val="177"/>
        </w:trPr>
        <w:tc>
          <w:tcPr>
            <w:tcW w:w="3920" w:type="dxa"/>
            <w:vAlign w:val="bottom"/>
            <w:tcBorders>
              <w:right w:val="single" w:sz="8" w:color="E8EAEB"/>
            </w:tcBorders>
          </w:tcPr>
          <w:p>
            <w:pPr>
              <w:ind w:left="60"/>
              <w:spacing w:after="0"/>
              <w:rPr>
                <w:sz w:val="20"/>
                <w:szCs w:val="20"/>
                <w:color w:val="auto"/>
              </w:rPr>
            </w:pPr>
            <w:r>
              <w:rPr>
                <w:rFonts w:ascii="Arial" w:cs="Arial" w:eastAsia="Arial" w:hAnsi="Arial"/>
                <w:sz w:val="13"/>
                <w:szCs w:val="13"/>
                <w:color w:val="202E39"/>
              </w:rPr>
              <w:t>Richard Baldridge</w:t>
            </w: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11/12/2012</w:t>
            </w:r>
          </w:p>
        </w:tc>
        <w:tc>
          <w:tcPr>
            <w:tcW w:w="800" w:type="dxa"/>
            <w:vAlign w:val="bottom"/>
          </w:tcPr>
          <w:p>
            <w:pPr>
              <w:jc w:val="right"/>
              <w:spacing w:after="0"/>
              <w:rPr>
                <w:sz w:val="20"/>
                <w:szCs w:val="20"/>
                <w:color w:val="auto"/>
              </w:rPr>
            </w:pPr>
            <w:r>
              <w:rPr>
                <w:rFonts w:ascii="Arial" w:cs="Arial" w:eastAsia="Arial" w:hAnsi="Arial"/>
                <w:sz w:val="13"/>
                <w:szCs w:val="13"/>
                <w:color w:val="202E39"/>
              </w:rPr>
              <w:t>61,700</w:t>
            </w:r>
          </w:p>
        </w:tc>
        <w:tc>
          <w:tcPr>
            <w:tcW w:w="80" w:type="dxa"/>
            <w:vAlign w:val="bottom"/>
            <w:tcBorders>
              <w:right w:val="single" w:sz="8" w:color="E8EAEB"/>
            </w:tcBorders>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5"/>
                <w:szCs w:val="15"/>
                <w:color w:val="auto"/>
              </w:rPr>
            </w:pPr>
          </w:p>
        </w:tc>
        <w:tc>
          <w:tcPr>
            <w:tcW w:w="90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rPr>
                <w:sz w:val="20"/>
                <w:szCs w:val="20"/>
                <w:color w:val="auto"/>
              </w:rPr>
            </w:pPr>
            <w:r>
              <w:rPr>
                <w:rFonts w:ascii="Arial" w:cs="Arial" w:eastAsia="Arial" w:hAnsi="Arial"/>
                <w:sz w:val="13"/>
                <w:szCs w:val="13"/>
                <w:color w:val="202E39"/>
              </w:rPr>
              <w:t>36.30</w:t>
            </w: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11/12/2018</w:t>
            </w:r>
          </w:p>
        </w:tc>
        <w:tc>
          <w:tcPr>
            <w:tcW w:w="320" w:type="dxa"/>
            <w:vAlign w:val="bottom"/>
            <w:tcBorders>
              <w:right w:val="single" w:sz="8" w:color="E8EAEB"/>
            </w:tcBorders>
          </w:tcPr>
          <w:p>
            <w:pPr>
              <w:spacing w:after="0"/>
              <w:rPr>
                <w:sz w:val="15"/>
                <w:szCs w:val="15"/>
                <w:color w:val="auto"/>
              </w:rPr>
            </w:pPr>
          </w:p>
        </w:tc>
        <w:tc>
          <w:tcPr>
            <w:tcW w:w="66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11/14/2013</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55,000</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60.91</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11/14/2019</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11/17/2014</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48,750</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202E39"/>
              </w:rPr>
              <w:t>16,250</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65.86</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11/17/2020</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11/17/2015</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47,500</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202E39"/>
              </w:rPr>
              <w:t>47,500</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61.26</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11/17/2021</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11/17/2016</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28,125</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202E39"/>
              </w:rPr>
              <w:t>84,375</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69.74</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11/17/2022</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52"/>
        </w:trPr>
        <w:tc>
          <w:tcPr>
            <w:tcW w:w="3920" w:type="dxa"/>
            <w:vAlign w:val="bottom"/>
            <w:tcBorders>
              <w:right w:val="single" w:sz="8" w:color="E8EAEB"/>
            </w:tcBorders>
          </w:tcPr>
          <w:p>
            <w:pPr>
              <w:spacing w:after="0"/>
              <w:rPr>
                <w:sz w:val="13"/>
                <w:szCs w:val="13"/>
                <w:color w:val="auto"/>
              </w:rPr>
            </w:pP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11/17/2017</w:t>
            </w:r>
          </w:p>
        </w:tc>
        <w:tc>
          <w:tcPr>
            <w:tcW w:w="800" w:type="dxa"/>
            <w:vAlign w:val="bottom"/>
          </w:tcPr>
          <w:p>
            <w:pPr>
              <w:jc w:val="right"/>
              <w:ind w:right="57"/>
              <w:spacing w:after="0"/>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3"/>
                <w:szCs w:val="13"/>
                <w:color w:val="auto"/>
              </w:rPr>
            </w:pPr>
          </w:p>
        </w:tc>
        <w:tc>
          <w:tcPr>
            <w:tcW w:w="900" w:type="dxa"/>
            <w:vAlign w:val="bottom"/>
            <w:tcBorders>
              <w:right w:val="single" w:sz="8" w:color="E8EAEB"/>
            </w:tcBorders>
          </w:tcPr>
          <w:p>
            <w:pPr>
              <w:jc w:val="right"/>
              <w:ind w:right="58"/>
              <w:spacing w:after="0"/>
              <w:rPr>
                <w:sz w:val="20"/>
                <w:szCs w:val="20"/>
                <w:color w:val="auto"/>
              </w:rPr>
            </w:pPr>
            <w:r>
              <w:rPr>
                <w:rFonts w:ascii="Arial" w:cs="Arial" w:eastAsia="Arial" w:hAnsi="Arial"/>
                <w:sz w:val="13"/>
                <w:szCs w:val="13"/>
                <w:color w:val="202E39"/>
              </w:rPr>
              <w:t>112,500</w:t>
            </w:r>
          </w:p>
        </w:tc>
        <w:tc>
          <w:tcPr>
            <w:tcW w:w="700" w:type="dxa"/>
            <w:vAlign w:val="bottom"/>
            <w:tcBorders>
              <w:right w:val="single" w:sz="8" w:color="E8EAEB"/>
            </w:tcBorders>
          </w:tcPr>
          <w:p>
            <w:pPr>
              <w:ind w:left="260"/>
              <w:spacing w:after="0"/>
              <w:rPr>
                <w:sz w:val="20"/>
                <w:szCs w:val="20"/>
                <w:color w:val="auto"/>
              </w:rPr>
            </w:pPr>
            <w:r>
              <w:rPr>
                <w:rFonts w:ascii="Arial" w:cs="Arial" w:eastAsia="Arial" w:hAnsi="Arial"/>
                <w:sz w:val="13"/>
                <w:szCs w:val="13"/>
                <w:color w:val="202E39"/>
              </w:rPr>
              <w:t>73.77</w:t>
            </w: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11/17/2023</w:t>
            </w:r>
          </w:p>
        </w:tc>
        <w:tc>
          <w:tcPr>
            <w:tcW w:w="320" w:type="dxa"/>
            <w:vAlign w:val="bottom"/>
            <w:tcBorders>
              <w:right w:val="single" w:sz="8" w:color="E8EAEB"/>
            </w:tcBorders>
          </w:tcPr>
          <w:p>
            <w:pPr>
              <w:spacing w:after="0"/>
              <w:rPr>
                <w:sz w:val="13"/>
                <w:szCs w:val="13"/>
                <w:color w:val="auto"/>
              </w:rPr>
            </w:pPr>
          </w:p>
        </w:tc>
        <w:tc>
          <w:tcPr>
            <w:tcW w:w="66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rPr>
                <w:sz w:val="20"/>
                <w:szCs w:val="20"/>
                <w:color w:val="auto"/>
              </w:rPr>
            </w:pPr>
            <w:r>
              <w:rPr>
                <w:rFonts w:ascii="Arial" w:cs="Arial" w:eastAsia="Arial" w:hAnsi="Arial"/>
                <w:sz w:val="13"/>
                <w:szCs w:val="13"/>
                <w:color w:val="202E39"/>
              </w:rPr>
              <w:t>—</w:t>
            </w:r>
          </w:p>
        </w:tc>
      </w:tr>
      <w:tr>
        <w:trPr>
          <w:trHeight w:val="145"/>
        </w:trPr>
        <w:tc>
          <w:tcPr>
            <w:tcW w:w="3920" w:type="dxa"/>
            <w:vAlign w:val="bottom"/>
            <w:tcBorders>
              <w:right w:val="single" w:sz="8" w:color="E8EAEB"/>
            </w:tcBorders>
          </w:tcPr>
          <w:p>
            <w:pPr>
              <w:spacing w:after="0"/>
              <w:rPr>
                <w:sz w:val="12"/>
                <w:szCs w:val="12"/>
                <w:color w:val="auto"/>
              </w:rPr>
            </w:pPr>
          </w:p>
        </w:tc>
        <w:tc>
          <w:tcPr>
            <w:tcW w:w="900" w:type="dxa"/>
            <w:vAlign w:val="bottom"/>
            <w:tcBorders>
              <w:right w:val="single" w:sz="8" w:color="E8EAEB"/>
            </w:tcBorders>
          </w:tcPr>
          <w:p>
            <w:pPr>
              <w:ind w:left="140"/>
              <w:spacing w:after="0" w:line="145" w:lineRule="exact"/>
              <w:rPr>
                <w:sz w:val="20"/>
                <w:szCs w:val="20"/>
                <w:color w:val="auto"/>
              </w:rPr>
            </w:pPr>
            <w:r>
              <w:rPr>
                <w:rFonts w:ascii="Arial" w:cs="Arial" w:eastAsia="Arial" w:hAnsi="Arial"/>
                <w:sz w:val="13"/>
                <w:szCs w:val="13"/>
                <w:color w:val="202E39"/>
              </w:rPr>
              <w:t>11/17/2014</w:t>
            </w:r>
          </w:p>
        </w:tc>
        <w:tc>
          <w:tcPr>
            <w:tcW w:w="800" w:type="dxa"/>
            <w:vAlign w:val="bottom"/>
          </w:tcPr>
          <w:p>
            <w:pPr>
              <w:jc w:val="right"/>
              <w:ind w:right="57"/>
              <w:spacing w:after="0" w:line="14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2"/>
                <w:szCs w:val="12"/>
                <w:color w:val="auto"/>
              </w:rPr>
            </w:pPr>
          </w:p>
        </w:tc>
        <w:tc>
          <w:tcPr>
            <w:tcW w:w="880" w:type="dxa"/>
            <w:vAlign w:val="bottom"/>
          </w:tcPr>
          <w:p>
            <w:pPr>
              <w:jc w:val="right"/>
              <w:ind w:right="17"/>
              <w:spacing w:after="0" w:line="14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2"/>
                <w:szCs w:val="12"/>
                <w:color w:val="auto"/>
              </w:rPr>
            </w:pPr>
          </w:p>
        </w:tc>
        <w:tc>
          <w:tcPr>
            <w:tcW w:w="900" w:type="dxa"/>
            <w:vAlign w:val="bottom"/>
            <w:tcBorders>
              <w:right w:val="single" w:sz="8" w:color="E8EAEB"/>
            </w:tcBorders>
          </w:tcPr>
          <w:p>
            <w:pPr>
              <w:jc w:val="right"/>
              <w:ind w:right="138"/>
              <w:spacing w:after="0" w:line="14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line="145" w:lineRule="exact"/>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line="145" w:lineRule="exact"/>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2"/>
                <w:szCs w:val="12"/>
                <w:color w:val="auto"/>
              </w:rPr>
            </w:pPr>
          </w:p>
        </w:tc>
        <w:tc>
          <w:tcPr>
            <w:tcW w:w="660" w:type="dxa"/>
            <w:vAlign w:val="bottom"/>
            <w:tcBorders>
              <w:right w:val="single" w:sz="8" w:color="E8EAEB"/>
            </w:tcBorders>
          </w:tcPr>
          <w:p>
            <w:pPr>
              <w:jc w:val="right"/>
              <w:ind w:right="58"/>
              <w:spacing w:after="0" w:line="145" w:lineRule="exact"/>
              <w:rPr>
                <w:sz w:val="20"/>
                <w:szCs w:val="20"/>
                <w:color w:val="auto"/>
              </w:rPr>
            </w:pPr>
            <w:r>
              <w:rPr>
                <w:rFonts w:ascii="Arial" w:cs="Arial" w:eastAsia="Arial" w:hAnsi="Arial"/>
                <w:sz w:val="13"/>
                <w:szCs w:val="13"/>
                <w:color w:val="202E39"/>
              </w:rPr>
              <w:t>5,416</w:t>
            </w:r>
          </w:p>
        </w:tc>
        <w:tc>
          <w:tcPr>
            <w:tcW w:w="820" w:type="dxa"/>
            <w:vAlign w:val="bottom"/>
          </w:tcPr>
          <w:p>
            <w:pPr>
              <w:jc w:val="right"/>
              <w:ind w:right="58"/>
              <w:spacing w:after="0" w:line="145" w:lineRule="exact"/>
              <w:rPr>
                <w:sz w:val="20"/>
                <w:szCs w:val="20"/>
                <w:color w:val="auto"/>
              </w:rPr>
            </w:pPr>
            <w:r>
              <w:rPr>
                <w:rFonts w:ascii="Arial" w:cs="Arial" w:eastAsia="Arial" w:hAnsi="Arial"/>
                <w:sz w:val="13"/>
                <w:szCs w:val="13"/>
                <w:color w:val="202E39"/>
              </w:rPr>
              <w:t>355,940</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line="135" w:lineRule="exact"/>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line="135" w:lineRule="exact"/>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15,833</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1,040,545</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11/17/2016</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line="135" w:lineRule="exact"/>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line="135" w:lineRule="exact"/>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28,125</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1,848,375</w:t>
            </w:r>
          </w:p>
        </w:tc>
      </w:tr>
      <w:tr>
        <w:trPr>
          <w:trHeight w:val="141"/>
        </w:trPr>
        <w:tc>
          <w:tcPr>
            <w:tcW w:w="3920" w:type="dxa"/>
            <w:vAlign w:val="bottom"/>
            <w:tcBorders>
              <w:bottom w:val="single" w:sz="8" w:color="E8EAEB"/>
              <w:right w:val="single" w:sz="8" w:color="E8EAEB"/>
            </w:tcBorders>
          </w:tcPr>
          <w:p>
            <w:pPr>
              <w:spacing w:after="0"/>
              <w:rPr>
                <w:sz w:val="12"/>
                <w:szCs w:val="12"/>
                <w:color w:val="auto"/>
              </w:rPr>
            </w:pPr>
          </w:p>
        </w:tc>
        <w:tc>
          <w:tcPr>
            <w:tcW w:w="900" w:type="dxa"/>
            <w:vAlign w:val="bottom"/>
            <w:tcBorders>
              <w:bottom w:val="single" w:sz="8" w:color="E8EAEB"/>
              <w:right w:val="single" w:sz="8" w:color="E8EAEB"/>
            </w:tcBorders>
          </w:tcPr>
          <w:p>
            <w:pPr>
              <w:ind w:left="140"/>
              <w:spacing w:after="0" w:line="141" w:lineRule="exact"/>
              <w:rPr>
                <w:sz w:val="20"/>
                <w:szCs w:val="20"/>
                <w:color w:val="auto"/>
              </w:rPr>
            </w:pPr>
            <w:r>
              <w:rPr>
                <w:rFonts w:ascii="Arial" w:cs="Arial" w:eastAsia="Arial" w:hAnsi="Arial"/>
                <w:sz w:val="13"/>
                <w:szCs w:val="13"/>
                <w:color w:val="202E39"/>
              </w:rPr>
              <w:t>11/17/2017</w:t>
            </w:r>
          </w:p>
        </w:tc>
        <w:tc>
          <w:tcPr>
            <w:tcW w:w="800" w:type="dxa"/>
            <w:vAlign w:val="bottom"/>
            <w:tcBorders>
              <w:bottom w:val="single" w:sz="8" w:color="E8EAEB"/>
            </w:tcBorders>
          </w:tcPr>
          <w:p>
            <w:pPr>
              <w:jc w:val="right"/>
              <w:ind w:right="57"/>
              <w:spacing w:after="0" w:line="141" w:lineRule="exact"/>
              <w:rPr>
                <w:sz w:val="20"/>
                <w:szCs w:val="20"/>
                <w:color w:val="auto"/>
              </w:rPr>
            </w:pPr>
            <w:r>
              <w:rPr>
                <w:rFonts w:ascii="Arial" w:cs="Arial" w:eastAsia="Arial" w:hAnsi="Arial"/>
                <w:sz w:val="13"/>
                <w:szCs w:val="13"/>
                <w:color w:val="202E39"/>
              </w:rPr>
              <w:t>—</w:t>
            </w:r>
          </w:p>
        </w:tc>
        <w:tc>
          <w:tcPr>
            <w:tcW w:w="80" w:type="dxa"/>
            <w:vAlign w:val="bottom"/>
            <w:tcBorders>
              <w:bottom w:val="single" w:sz="8" w:color="E8EAEB"/>
              <w:right w:val="single" w:sz="8" w:color="E8EAEB"/>
            </w:tcBorders>
          </w:tcPr>
          <w:p>
            <w:pPr>
              <w:spacing w:after="0"/>
              <w:rPr>
                <w:sz w:val="12"/>
                <w:szCs w:val="12"/>
                <w:color w:val="auto"/>
              </w:rPr>
            </w:pPr>
          </w:p>
        </w:tc>
        <w:tc>
          <w:tcPr>
            <w:tcW w:w="880" w:type="dxa"/>
            <w:vAlign w:val="bottom"/>
            <w:tcBorders>
              <w:bottom w:val="single" w:sz="8" w:color="E8EAEB"/>
            </w:tcBorders>
          </w:tcPr>
          <w:p>
            <w:pPr>
              <w:jc w:val="right"/>
              <w:ind w:right="17"/>
              <w:spacing w:after="0" w:line="141" w:lineRule="exact"/>
              <w:rPr>
                <w:sz w:val="20"/>
                <w:szCs w:val="20"/>
                <w:color w:val="auto"/>
              </w:rPr>
            </w:pPr>
            <w:r>
              <w:rPr>
                <w:rFonts w:ascii="Arial" w:cs="Arial" w:eastAsia="Arial" w:hAnsi="Arial"/>
                <w:sz w:val="13"/>
                <w:szCs w:val="13"/>
                <w:color w:val="202E39"/>
              </w:rPr>
              <w:t>—</w:t>
            </w:r>
          </w:p>
        </w:tc>
        <w:tc>
          <w:tcPr>
            <w:tcW w:w="140" w:type="dxa"/>
            <w:vAlign w:val="bottom"/>
            <w:tcBorders>
              <w:bottom w:val="single" w:sz="8" w:color="E8EAEB"/>
              <w:right w:val="single" w:sz="8" w:color="E8EAEB"/>
            </w:tcBorders>
          </w:tcPr>
          <w:p>
            <w:pPr>
              <w:spacing w:after="0"/>
              <w:rPr>
                <w:sz w:val="12"/>
                <w:szCs w:val="12"/>
                <w:color w:val="auto"/>
              </w:rPr>
            </w:pPr>
          </w:p>
        </w:tc>
        <w:tc>
          <w:tcPr>
            <w:tcW w:w="900" w:type="dxa"/>
            <w:vAlign w:val="bottom"/>
            <w:tcBorders>
              <w:bottom w:val="single" w:sz="8" w:color="E8EAEB"/>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w:t>
            </w:r>
          </w:p>
        </w:tc>
        <w:tc>
          <w:tcPr>
            <w:tcW w:w="700" w:type="dxa"/>
            <w:vAlign w:val="bottom"/>
            <w:tcBorders>
              <w:bottom w:val="single" w:sz="8" w:color="E8EAEB"/>
              <w:right w:val="single" w:sz="8" w:color="E8EAEB"/>
            </w:tcBorders>
          </w:tcPr>
          <w:p>
            <w:pPr>
              <w:ind w:left="380"/>
              <w:spacing w:after="0" w:line="141" w:lineRule="exact"/>
              <w:rPr>
                <w:sz w:val="20"/>
                <w:szCs w:val="20"/>
                <w:color w:val="auto"/>
              </w:rPr>
            </w:pPr>
            <w:r>
              <w:rPr>
                <w:rFonts w:ascii="Arial" w:cs="Arial" w:eastAsia="Arial" w:hAnsi="Arial"/>
                <w:sz w:val="13"/>
                <w:szCs w:val="13"/>
                <w:color w:val="202E39"/>
              </w:rPr>
              <w:t>—</w:t>
            </w:r>
          </w:p>
        </w:tc>
        <w:tc>
          <w:tcPr>
            <w:tcW w:w="900" w:type="dxa"/>
            <w:vAlign w:val="bottom"/>
            <w:tcBorders>
              <w:bottom w:val="single" w:sz="8" w:color="E8EAEB"/>
              <w:right w:val="single" w:sz="8" w:color="E8EAEB"/>
            </w:tcBorders>
          </w:tcPr>
          <w:p>
            <w:pPr>
              <w:ind w:left="580"/>
              <w:spacing w:after="0" w:line="141" w:lineRule="exact"/>
              <w:rPr>
                <w:sz w:val="20"/>
                <w:szCs w:val="20"/>
                <w:color w:val="auto"/>
              </w:rPr>
            </w:pPr>
            <w:r>
              <w:rPr>
                <w:rFonts w:ascii="Arial" w:cs="Arial" w:eastAsia="Arial" w:hAnsi="Arial"/>
                <w:sz w:val="13"/>
                <w:szCs w:val="13"/>
                <w:color w:val="202E39"/>
              </w:rPr>
              <w:t>—</w:t>
            </w:r>
          </w:p>
        </w:tc>
        <w:tc>
          <w:tcPr>
            <w:tcW w:w="320" w:type="dxa"/>
            <w:vAlign w:val="bottom"/>
            <w:tcBorders>
              <w:bottom w:val="single" w:sz="8" w:color="E8EAEB"/>
              <w:right w:val="single" w:sz="8" w:color="E8EAEB"/>
            </w:tcBorders>
          </w:tcPr>
          <w:p>
            <w:pPr>
              <w:spacing w:after="0"/>
              <w:rPr>
                <w:sz w:val="12"/>
                <w:szCs w:val="12"/>
                <w:color w:val="auto"/>
              </w:rPr>
            </w:pPr>
          </w:p>
        </w:tc>
        <w:tc>
          <w:tcPr>
            <w:tcW w:w="660" w:type="dxa"/>
            <w:vAlign w:val="bottom"/>
            <w:tcBorders>
              <w:bottom w:val="single" w:sz="8" w:color="E8EAEB"/>
              <w:right w:val="single" w:sz="8" w:color="E8EAEB"/>
            </w:tcBorders>
          </w:tcPr>
          <w:p>
            <w:pPr>
              <w:jc w:val="right"/>
              <w:ind w:right="58"/>
              <w:spacing w:after="0" w:line="141" w:lineRule="exact"/>
              <w:rPr>
                <w:sz w:val="20"/>
                <w:szCs w:val="20"/>
                <w:color w:val="auto"/>
              </w:rPr>
            </w:pPr>
            <w:r>
              <w:rPr>
                <w:rFonts w:ascii="Arial" w:cs="Arial" w:eastAsia="Arial" w:hAnsi="Arial"/>
                <w:sz w:val="13"/>
                <w:szCs w:val="13"/>
                <w:color w:val="202E39"/>
              </w:rPr>
              <w:t>37,500</w:t>
            </w:r>
          </w:p>
        </w:tc>
        <w:tc>
          <w:tcPr>
            <w:tcW w:w="820" w:type="dxa"/>
            <w:vAlign w:val="bottom"/>
            <w:tcBorders>
              <w:bottom w:val="single" w:sz="8" w:color="E8EAEB"/>
            </w:tcBorders>
          </w:tcPr>
          <w:p>
            <w:pPr>
              <w:jc w:val="right"/>
              <w:ind w:right="58"/>
              <w:spacing w:after="0" w:line="141" w:lineRule="exact"/>
              <w:rPr>
                <w:sz w:val="20"/>
                <w:szCs w:val="20"/>
                <w:color w:val="auto"/>
              </w:rPr>
            </w:pPr>
            <w:r>
              <w:rPr>
                <w:rFonts w:ascii="Arial" w:cs="Arial" w:eastAsia="Arial" w:hAnsi="Arial"/>
                <w:sz w:val="13"/>
                <w:szCs w:val="13"/>
                <w:color w:val="202E39"/>
              </w:rPr>
              <w:t>2,464,500</w:t>
            </w:r>
          </w:p>
        </w:tc>
      </w:tr>
      <w:tr>
        <w:trPr>
          <w:trHeight w:val="177"/>
        </w:trPr>
        <w:tc>
          <w:tcPr>
            <w:tcW w:w="3920" w:type="dxa"/>
            <w:vAlign w:val="bottom"/>
            <w:tcBorders>
              <w:right w:val="single" w:sz="8" w:color="E8EAEB"/>
            </w:tcBorders>
          </w:tcPr>
          <w:p>
            <w:pPr>
              <w:ind w:left="60"/>
              <w:spacing w:after="0"/>
              <w:rPr>
                <w:sz w:val="20"/>
                <w:szCs w:val="20"/>
                <w:color w:val="auto"/>
              </w:rPr>
            </w:pPr>
            <w:r>
              <w:rPr>
                <w:rFonts w:ascii="Arial" w:cs="Arial" w:eastAsia="Arial" w:hAnsi="Arial"/>
                <w:sz w:val="13"/>
                <w:szCs w:val="13"/>
                <w:color w:val="202E39"/>
              </w:rPr>
              <w:t>Shawn Duffy</w:t>
            </w: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11/14/2013</w:t>
            </w:r>
          </w:p>
        </w:tc>
        <w:tc>
          <w:tcPr>
            <w:tcW w:w="800" w:type="dxa"/>
            <w:vAlign w:val="bottom"/>
          </w:tcPr>
          <w:p>
            <w:pPr>
              <w:jc w:val="right"/>
              <w:spacing w:after="0"/>
              <w:rPr>
                <w:sz w:val="20"/>
                <w:szCs w:val="20"/>
                <w:color w:val="auto"/>
              </w:rPr>
            </w:pPr>
            <w:r>
              <w:rPr>
                <w:rFonts w:ascii="Arial" w:cs="Arial" w:eastAsia="Arial" w:hAnsi="Arial"/>
                <w:sz w:val="13"/>
                <w:szCs w:val="13"/>
                <w:color w:val="202E39"/>
              </w:rPr>
              <w:t>17,500</w:t>
            </w:r>
          </w:p>
        </w:tc>
        <w:tc>
          <w:tcPr>
            <w:tcW w:w="80" w:type="dxa"/>
            <w:vAlign w:val="bottom"/>
            <w:tcBorders>
              <w:right w:val="single" w:sz="8" w:color="E8EAEB"/>
            </w:tcBorders>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5"/>
                <w:szCs w:val="15"/>
                <w:color w:val="auto"/>
              </w:rPr>
            </w:pPr>
          </w:p>
        </w:tc>
        <w:tc>
          <w:tcPr>
            <w:tcW w:w="90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rPr>
                <w:sz w:val="20"/>
                <w:szCs w:val="20"/>
                <w:color w:val="auto"/>
              </w:rPr>
            </w:pPr>
            <w:r>
              <w:rPr>
                <w:rFonts w:ascii="Arial" w:cs="Arial" w:eastAsia="Arial" w:hAnsi="Arial"/>
                <w:sz w:val="13"/>
                <w:szCs w:val="13"/>
                <w:color w:val="202E39"/>
              </w:rPr>
              <w:t>60.91</w:t>
            </w: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11/14/2019</w:t>
            </w:r>
          </w:p>
        </w:tc>
        <w:tc>
          <w:tcPr>
            <w:tcW w:w="320" w:type="dxa"/>
            <w:vAlign w:val="bottom"/>
            <w:tcBorders>
              <w:right w:val="single" w:sz="8" w:color="E8EAEB"/>
            </w:tcBorders>
          </w:tcPr>
          <w:p>
            <w:pPr>
              <w:spacing w:after="0"/>
              <w:rPr>
                <w:sz w:val="15"/>
                <w:szCs w:val="15"/>
                <w:color w:val="auto"/>
              </w:rPr>
            </w:pPr>
          </w:p>
        </w:tc>
        <w:tc>
          <w:tcPr>
            <w:tcW w:w="66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11/17/2014</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16,875</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202E39"/>
              </w:rPr>
              <w:t>5,625</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65.86</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11/17/2020</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11/17/2015</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13,750</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202E39"/>
              </w:rPr>
              <w:t>13,750</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61.26</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11/17/2021</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11/17/2016</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6,875</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202E39"/>
              </w:rPr>
              <w:t>20,625</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69.74</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11/17/2022</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11/17/2017</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30,000</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73.77</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11/17/2023</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11/17/2014</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line="135" w:lineRule="exact"/>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line="135" w:lineRule="exact"/>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1,875</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123,225</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line="135" w:lineRule="exact"/>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line="135" w:lineRule="exact"/>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4,583</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301,195</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11/17/2016</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line="135" w:lineRule="exact"/>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line="135" w:lineRule="exact"/>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6,875</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451,825</w:t>
            </w:r>
          </w:p>
        </w:tc>
      </w:tr>
      <w:tr>
        <w:trPr>
          <w:trHeight w:val="141"/>
        </w:trPr>
        <w:tc>
          <w:tcPr>
            <w:tcW w:w="3920" w:type="dxa"/>
            <w:vAlign w:val="bottom"/>
            <w:tcBorders>
              <w:bottom w:val="single" w:sz="8" w:color="E8EAEB"/>
              <w:right w:val="single" w:sz="8" w:color="E8EAEB"/>
            </w:tcBorders>
          </w:tcPr>
          <w:p>
            <w:pPr>
              <w:spacing w:after="0"/>
              <w:rPr>
                <w:sz w:val="12"/>
                <w:szCs w:val="12"/>
                <w:color w:val="auto"/>
              </w:rPr>
            </w:pPr>
          </w:p>
        </w:tc>
        <w:tc>
          <w:tcPr>
            <w:tcW w:w="900" w:type="dxa"/>
            <w:vAlign w:val="bottom"/>
            <w:tcBorders>
              <w:bottom w:val="single" w:sz="8" w:color="E8EAEB"/>
              <w:right w:val="single" w:sz="8" w:color="E8EAEB"/>
            </w:tcBorders>
          </w:tcPr>
          <w:p>
            <w:pPr>
              <w:ind w:left="140"/>
              <w:spacing w:after="0" w:line="141" w:lineRule="exact"/>
              <w:rPr>
                <w:sz w:val="20"/>
                <w:szCs w:val="20"/>
                <w:color w:val="auto"/>
              </w:rPr>
            </w:pPr>
            <w:r>
              <w:rPr>
                <w:rFonts w:ascii="Arial" w:cs="Arial" w:eastAsia="Arial" w:hAnsi="Arial"/>
                <w:sz w:val="13"/>
                <w:szCs w:val="13"/>
                <w:color w:val="202E39"/>
              </w:rPr>
              <w:t>11/17/2017</w:t>
            </w:r>
          </w:p>
        </w:tc>
        <w:tc>
          <w:tcPr>
            <w:tcW w:w="800" w:type="dxa"/>
            <w:vAlign w:val="bottom"/>
            <w:tcBorders>
              <w:bottom w:val="single" w:sz="8" w:color="E8EAEB"/>
            </w:tcBorders>
          </w:tcPr>
          <w:p>
            <w:pPr>
              <w:jc w:val="right"/>
              <w:ind w:right="57"/>
              <w:spacing w:after="0" w:line="141" w:lineRule="exact"/>
              <w:rPr>
                <w:sz w:val="20"/>
                <w:szCs w:val="20"/>
                <w:color w:val="auto"/>
              </w:rPr>
            </w:pPr>
            <w:r>
              <w:rPr>
                <w:rFonts w:ascii="Arial" w:cs="Arial" w:eastAsia="Arial" w:hAnsi="Arial"/>
                <w:sz w:val="13"/>
                <w:szCs w:val="13"/>
                <w:color w:val="202E39"/>
              </w:rPr>
              <w:t>—</w:t>
            </w:r>
          </w:p>
        </w:tc>
        <w:tc>
          <w:tcPr>
            <w:tcW w:w="80" w:type="dxa"/>
            <w:vAlign w:val="bottom"/>
            <w:tcBorders>
              <w:bottom w:val="single" w:sz="8" w:color="E8EAEB"/>
              <w:right w:val="single" w:sz="8" w:color="E8EAEB"/>
            </w:tcBorders>
          </w:tcPr>
          <w:p>
            <w:pPr>
              <w:spacing w:after="0"/>
              <w:rPr>
                <w:sz w:val="12"/>
                <w:szCs w:val="12"/>
                <w:color w:val="auto"/>
              </w:rPr>
            </w:pPr>
          </w:p>
        </w:tc>
        <w:tc>
          <w:tcPr>
            <w:tcW w:w="880" w:type="dxa"/>
            <w:vAlign w:val="bottom"/>
            <w:tcBorders>
              <w:bottom w:val="single" w:sz="8" w:color="E8EAEB"/>
            </w:tcBorders>
          </w:tcPr>
          <w:p>
            <w:pPr>
              <w:jc w:val="right"/>
              <w:ind w:right="17"/>
              <w:spacing w:after="0" w:line="141" w:lineRule="exact"/>
              <w:rPr>
                <w:sz w:val="20"/>
                <w:szCs w:val="20"/>
                <w:color w:val="auto"/>
              </w:rPr>
            </w:pPr>
            <w:r>
              <w:rPr>
                <w:rFonts w:ascii="Arial" w:cs="Arial" w:eastAsia="Arial" w:hAnsi="Arial"/>
                <w:sz w:val="13"/>
                <w:szCs w:val="13"/>
                <w:color w:val="202E39"/>
              </w:rPr>
              <w:t>—</w:t>
            </w:r>
          </w:p>
        </w:tc>
        <w:tc>
          <w:tcPr>
            <w:tcW w:w="140" w:type="dxa"/>
            <w:vAlign w:val="bottom"/>
            <w:tcBorders>
              <w:bottom w:val="single" w:sz="8" w:color="E8EAEB"/>
              <w:right w:val="single" w:sz="8" w:color="E8EAEB"/>
            </w:tcBorders>
          </w:tcPr>
          <w:p>
            <w:pPr>
              <w:spacing w:after="0"/>
              <w:rPr>
                <w:sz w:val="12"/>
                <w:szCs w:val="12"/>
                <w:color w:val="auto"/>
              </w:rPr>
            </w:pPr>
          </w:p>
        </w:tc>
        <w:tc>
          <w:tcPr>
            <w:tcW w:w="900" w:type="dxa"/>
            <w:vAlign w:val="bottom"/>
            <w:tcBorders>
              <w:bottom w:val="single" w:sz="8" w:color="E8EAEB"/>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w:t>
            </w:r>
          </w:p>
        </w:tc>
        <w:tc>
          <w:tcPr>
            <w:tcW w:w="700" w:type="dxa"/>
            <w:vAlign w:val="bottom"/>
            <w:tcBorders>
              <w:bottom w:val="single" w:sz="8" w:color="E8EAEB"/>
              <w:right w:val="single" w:sz="8" w:color="E8EAEB"/>
            </w:tcBorders>
          </w:tcPr>
          <w:p>
            <w:pPr>
              <w:spacing w:after="0"/>
              <w:rPr>
                <w:sz w:val="12"/>
                <w:szCs w:val="12"/>
                <w:color w:val="auto"/>
              </w:rPr>
            </w:pPr>
          </w:p>
        </w:tc>
        <w:tc>
          <w:tcPr>
            <w:tcW w:w="900" w:type="dxa"/>
            <w:vAlign w:val="bottom"/>
            <w:tcBorders>
              <w:bottom w:val="single" w:sz="8" w:color="E8EAEB"/>
              <w:right w:val="single" w:sz="8" w:color="E8EAEB"/>
            </w:tcBorders>
          </w:tcPr>
          <w:p>
            <w:pPr>
              <w:ind w:left="580"/>
              <w:spacing w:after="0" w:line="141" w:lineRule="exact"/>
              <w:rPr>
                <w:sz w:val="20"/>
                <w:szCs w:val="20"/>
                <w:color w:val="auto"/>
              </w:rPr>
            </w:pPr>
            <w:r>
              <w:rPr>
                <w:rFonts w:ascii="Arial" w:cs="Arial" w:eastAsia="Arial" w:hAnsi="Arial"/>
                <w:sz w:val="13"/>
                <w:szCs w:val="13"/>
                <w:color w:val="202E39"/>
              </w:rPr>
              <w:t>—</w:t>
            </w:r>
          </w:p>
        </w:tc>
        <w:tc>
          <w:tcPr>
            <w:tcW w:w="320" w:type="dxa"/>
            <w:vAlign w:val="bottom"/>
            <w:tcBorders>
              <w:bottom w:val="single" w:sz="8" w:color="E8EAEB"/>
              <w:right w:val="single" w:sz="8" w:color="E8EAEB"/>
            </w:tcBorders>
          </w:tcPr>
          <w:p>
            <w:pPr>
              <w:spacing w:after="0"/>
              <w:rPr>
                <w:sz w:val="12"/>
                <w:szCs w:val="12"/>
                <w:color w:val="auto"/>
              </w:rPr>
            </w:pPr>
          </w:p>
        </w:tc>
        <w:tc>
          <w:tcPr>
            <w:tcW w:w="660" w:type="dxa"/>
            <w:vAlign w:val="bottom"/>
            <w:tcBorders>
              <w:bottom w:val="single" w:sz="8" w:color="E8EAEB"/>
              <w:right w:val="single" w:sz="8" w:color="E8EAEB"/>
            </w:tcBorders>
          </w:tcPr>
          <w:p>
            <w:pPr>
              <w:jc w:val="right"/>
              <w:ind w:right="58"/>
              <w:spacing w:after="0" w:line="141" w:lineRule="exact"/>
              <w:rPr>
                <w:sz w:val="20"/>
                <w:szCs w:val="20"/>
                <w:color w:val="auto"/>
              </w:rPr>
            </w:pPr>
            <w:r>
              <w:rPr>
                <w:rFonts w:ascii="Arial" w:cs="Arial" w:eastAsia="Arial" w:hAnsi="Arial"/>
                <w:sz w:val="13"/>
                <w:szCs w:val="13"/>
                <w:color w:val="202E39"/>
              </w:rPr>
              <w:t>10,000</w:t>
            </w:r>
          </w:p>
        </w:tc>
        <w:tc>
          <w:tcPr>
            <w:tcW w:w="820" w:type="dxa"/>
            <w:vAlign w:val="bottom"/>
            <w:tcBorders>
              <w:bottom w:val="single" w:sz="8" w:color="E8EAEB"/>
            </w:tcBorders>
          </w:tcPr>
          <w:p>
            <w:pPr>
              <w:jc w:val="right"/>
              <w:ind w:right="58"/>
              <w:spacing w:after="0" w:line="141" w:lineRule="exact"/>
              <w:rPr>
                <w:sz w:val="20"/>
                <w:szCs w:val="20"/>
                <w:color w:val="auto"/>
              </w:rPr>
            </w:pPr>
            <w:r>
              <w:rPr>
                <w:rFonts w:ascii="Arial" w:cs="Arial" w:eastAsia="Arial" w:hAnsi="Arial"/>
                <w:sz w:val="13"/>
                <w:szCs w:val="13"/>
                <w:color w:val="202E39"/>
              </w:rPr>
              <w:t>657,200</w:t>
            </w:r>
          </w:p>
        </w:tc>
      </w:tr>
      <w:tr>
        <w:trPr>
          <w:trHeight w:val="177"/>
        </w:trPr>
        <w:tc>
          <w:tcPr>
            <w:tcW w:w="3920" w:type="dxa"/>
            <w:vAlign w:val="bottom"/>
            <w:tcBorders>
              <w:right w:val="single" w:sz="8" w:color="E8EAEB"/>
            </w:tcBorders>
          </w:tcPr>
          <w:p>
            <w:pPr>
              <w:ind w:left="60"/>
              <w:spacing w:after="0"/>
              <w:rPr>
                <w:sz w:val="20"/>
                <w:szCs w:val="20"/>
                <w:color w:val="auto"/>
              </w:rPr>
            </w:pPr>
            <w:r>
              <w:rPr>
                <w:rFonts w:ascii="Arial" w:cs="Arial" w:eastAsia="Arial" w:hAnsi="Arial"/>
                <w:sz w:val="13"/>
                <w:szCs w:val="13"/>
                <w:color w:val="202E39"/>
              </w:rPr>
              <w:t>Keven Lippert</w:t>
            </w: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11/14/2013</w:t>
            </w:r>
          </w:p>
        </w:tc>
        <w:tc>
          <w:tcPr>
            <w:tcW w:w="800" w:type="dxa"/>
            <w:vAlign w:val="bottom"/>
          </w:tcPr>
          <w:p>
            <w:pPr>
              <w:jc w:val="right"/>
              <w:spacing w:after="0"/>
              <w:rPr>
                <w:sz w:val="20"/>
                <w:szCs w:val="20"/>
                <w:color w:val="auto"/>
              </w:rPr>
            </w:pPr>
            <w:r>
              <w:rPr>
                <w:rFonts w:ascii="Arial" w:cs="Arial" w:eastAsia="Arial" w:hAnsi="Arial"/>
                <w:sz w:val="13"/>
                <w:szCs w:val="13"/>
                <w:color w:val="202E39"/>
              </w:rPr>
              <w:t>20,000</w:t>
            </w:r>
          </w:p>
        </w:tc>
        <w:tc>
          <w:tcPr>
            <w:tcW w:w="80" w:type="dxa"/>
            <w:vAlign w:val="bottom"/>
            <w:tcBorders>
              <w:right w:val="single" w:sz="8" w:color="E8EAEB"/>
            </w:tcBorders>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5"/>
                <w:szCs w:val="15"/>
                <w:color w:val="auto"/>
              </w:rPr>
            </w:pPr>
          </w:p>
        </w:tc>
        <w:tc>
          <w:tcPr>
            <w:tcW w:w="90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rPr>
                <w:sz w:val="20"/>
                <w:szCs w:val="20"/>
                <w:color w:val="auto"/>
              </w:rPr>
            </w:pPr>
            <w:r>
              <w:rPr>
                <w:rFonts w:ascii="Arial" w:cs="Arial" w:eastAsia="Arial" w:hAnsi="Arial"/>
                <w:sz w:val="13"/>
                <w:szCs w:val="13"/>
                <w:color w:val="202E39"/>
              </w:rPr>
              <w:t>60.91</w:t>
            </w: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11/14/2019</w:t>
            </w:r>
          </w:p>
        </w:tc>
        <w:tc>
          <w:tcPr>
            <w:tcW w:w="320" w:type="dxa"/>
            <w:vAlign w:val="bottom"/>
            <w:tcBorders>
              <w:right w:val="single" w:sz="8" w:color="E8EAEB"/>
            </w:tcBorders>
          </w:tcPr>
          <w:p>
            <w:pPr>
              <w:spacing w:after="0"/>
              <w:rPr>
                <w:sz w:val="15"/>
                <w:szCs w:val="15"/>
                <w:color w:val="auto"/>
              </w:rPr>
            </w:pPr>
          </w:p>
        </w:tc>
        <w:tc>
          <w:tcPr>
            <w:tcW w:w="66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11/17/2014</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18,750</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202E39"/>
              </w:rPr>
              <w:t>6,250</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65.86</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11/17/2020</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11/17/2015</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18,750</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202E39"/>
              </w:rPr>
              <w:t>18,750</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61.26</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11/17/2021</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11/17/2016</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11,250</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202E39"/>
              </w:rPr>
              <w:t>33,750</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69.74</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11/17/2022</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11/17/2017</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45,000</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73.77</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11/17/2023</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11/17/2014</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line="135" w:lineRule="exact"/>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line="135" w:lineRule="exact"/>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2,083</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136,895</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line="135" w:lineRule="exact"/>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line="135" w:lineRule="exact"/>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6,250</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410,750</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11/17/2016</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line="135" w:lineRule="exact"/>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line="135" w:lineRule="exact"/>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11,250</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739,350</w:t>
            </w:r>
          </w:p>
        </w:tc>
      </w:tr>
      <w:tr>
        <w:trPr>
          <w:trHeight w:val="141"/>
        </w:trPr>
        <w:tc>
          <w:tcPr>
            <w:tcW w:w="3920" w:type="dxa"/>
            <w:vAlign w:val="bottom"/>
            <w:tcBorders>
              <w:bottom w:val="single" w:sz="8" w:color="E8EAEB"/>
              <w:right w:val="single" w:sz="8" w:color="E8EAEB"/>
            </w:tcBorders>
          </w:tcPr>
          <w:p>
            <w:pPr>
              <w:spacing w:after="0"/>
              <w:rPr>
                <w:sz w:val="12"/>
                <w:szCs w:val="12"/>
                <w:color w:val="auto"/>
              </w:rPr>
            </w:pPr>
          </w:p>
        </w:tc>
        <w:tc>
          <w:tcPr>
            <w:tcW w:w="900" w:type="dxa"/>
            <w:vAlign w:val="bottom"/>
            <w:tcBorders>
              <w:bottom w:val="single" w:sz="8" w:color="E8EAEB"/>
              <w:right w:val="single" w:sz="8" w:color="E8EAEB"/>
            </w:tcBorders>
          </w:tcPr>
          <w:p>
            <w:pPr>
              <w:ind w:left="140"/>
              <w:spacing w:after="0" w:line="141" w:lineRule="exact"/>
              <w:rPr>
                <w:sz w:val="20"/>
                <w:szCs w:val="20"/>
                <w:color w:val="auto"/>
              </w:rPr>
            </w:pPr>
            <w:r>
              <w:rPr>
                <w:rFonts w:ascii="Arial" w:cs="Arial" w:eastAsia="Arial" w:hAnsi="Arial"/>
                <w:sz w:val="13"/>
                <w:szCs w:val="13"/>
                <w:color w:val="202E39"/>
              </w:rPr>
              <w:t>11/17/2017</w:t>
            </w:r>
          </w:p>
        </w:tc>
        <w:tc>
          <w:tcPr>
            <w:tcW w:w="800" w:type="dxa"/>
            <w:vAlign w:val="bottom"/>
            <w:tcBorders>
              <w:bottom w:val="single" w:sz="8" w:color="E8EAEB"/>
            </w:tcBorders>
          </w:tcPr>
          <w:p>
            <w:pPr>
              <w:jc w:val="right"/>
              <w:ind w:right="57"/>
              <w:spacing w:after="0" w:line="141" w:lineRule="exact"/>
              <w:rPr>
                <w:sz w:val="20"/>
                <w:szCs w:val="20"/>
                <w:color w:val="auto"/>
              </w:rPr>
            </w:pPr>
            <w:r>
              <w:rPr>
                <w:rFonts w:ascii="Arial" w:cs="Arial" w:eastAsia="Arial" w:hAnsi="Arial"/>
                <w:sz w:val="13"/>
                <w:szCs w:val="13"/>
                <w:color w:val="202E39"/>
              </w:rPr>
              <w:t>—</w:t>
            </w:r>
          </w:p>
        </w:tc>
        <w:tc>
          <w:tcPr>
            <w:tcW w:w="80" w:type="dxa"/>
            <w:vAlign w:val="bottom"/>
            <w:tcBorders>
              <w:bottom w:val="single" w:sz="8" w:color="E8EAEB"/>
              <w:right w:val="single" w:sz="8" w:color="E8EAEB"/>
            </w:tcBorders>
          </w:tcPr>
          <w:p>
            <w:pPr>
              <w:spacing w:after="0"/>
              <w:rPr>
                <w:sz w:val="12"/>
                <w:szCs w:val="12"/>
                <w:color w:val="auto"/>
              </w:rPr>
            </w:pPr>
          </w:p>
        </w:tc>
        <w:tc>
          <w:tcPr>
            <w:tcW w:w="880" w:type="dxa"/>
            <w:vAlign w:val="bottom"/>
            <w:tcBorders>
              <w:bottom w:val="single" w:sz="8" w:color="E8EAEB"/>
            </w:tcBorders>
          </w:tcPr>
          <w:p>
            <w:pPr>
              <w:jc w:val="right"/>
              <w:ind w:right="17"/>
              <w:spacing w:after="0" w:line="141" w:lineRule="exact"/>
              <w:rPr>
                <w:sz w:val="20"/>
                <w:szCs w:val="20"/>
                <w:color w:val="auto"/>
              </w:rPr>
            </w:pPr>
            <w:r>
              <w:rPr>
                <w:rFonts w:ascii="Arial" w:cs="Arial" w:eastAsia="Arial" w:hAnsi="Arial"/>
                <w:sz w:val="13"/>
                <w:szCs w:val="13"/>
                <w:color w:val="202E39"/>
              </w:rPr>
              <w:t>—</w:t>
            </w:r>
          </w:p>
        </w:tc>
        <w:tc>
          <w:tcPr>
            <w:tcW w:w="140" w:type="dxa"/>
            <w:vAlign w:val="bottom"/>
            <w:tcBorders>
              <w:bottom w:val="single" w:sz="8" w:color="E8EAEB"/>
              <w:right w:val="single" w:sz="8" w:color="E8EAEB"/>
            </w:tcBorders>
          </w:tcPr>
          <w:p>
            <w:pPr>
              <w:spacing w:after="0"/>
              <w:rPr>
                <w:sz w:val="12"/>
                <w:szCs w:val="12"/>
                <w:color w:val="auto"/>
              </w:rPr>
            </w:pPr>
          </w:p>
        </w:tc>
        <w:tc>
          <w:tcPr>
            <w:tcW w:w="900" w:type="dxa"/>
            <w:vAlign w:val="bottom"/>
            <w:tcBorders>
              <w:bottom w:val="single" w:sz="8" w:color="E8EAEB"/>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w:t>
            </w:r>
          </w:p>
        </w:tc>
        <w:tc>
          <w:tcPr>
            <w:tcW w:w="700" w:type="dxa"/>
            <w:vAlign w:val="bottom"/>
            <w:tcBorders>
              <w:bottom w:val="single" w:sz="8" w:color="E8EAEB"/>
              <w:right w:val="single" w:sz="8" w:color="E8EAEB"/>
            </w:tcBorders>
          </w:tcPr>
          <w:p>
            <w:pPr>
              <w:ind w:left="380"/>
              <w:spacing w:after="0" w:line="141" w:lineRule="exact"/>
              <w:rPr>
                <w:sz w:val="20"/>
                <w:szCs w:val="20"/>
                <w:color w:val="auto"/>
              </w:rPr>
            </w:pPr>
            <w:r>
              <w:rPr>
                <w:rFonts w:ascii="Arial" w:cs="Arial" w:eastAsia="Arial" w:hAnsi="Arial"/>
                <w:sz w:val="13"/>
                <w:szCs w:val="13"/>
                <w:color w:val="202E39"/>
              </w:rPr>
              <w:t>—</w:t>
            </w:r>
          </w:p>
        </w:tc>
        <w:tc>
          <w:tcPr>
            <w:tcW w:w="900" w:type="dxa"/>
            <w:vAlign w:val="bottom"/>
            <w:tcBorders>
              <w:bottom w:val="single" w:sz="8" w:color="E8EAEB"/>
              <w:right w:val="single" w:sz="8" w:color="E8EAEB"/>
            </w:tcBorders>
          </w:tcPr>
          <w:p>
            <w:pPr>
              <w:ind w:left="580"/>
              <w:spacing w:after="0" w:line="141" w:lineRule="exact"/>
              <w:rPr>
                <w:sz w:val="20"/>
                <w:szCs w:val="20"/>
                <w:color w:val="auto"/>
              </w:rPr>
            </w:pPr>
            <w:r>
              <w:rPr>
                <w:rFonts w:ascii="Arial" w:cs="Arial" w:eastAsia="Arial" w:hAnsi="Arial"/>
                <w:sz w:val="13"/>
                <w:szCs w:val="13"/>
                <w:color w:val="202E39"/>
              </w:rPr>
              <w:t>—</w:t>
            </w:r>
          </w:p>
        </w:tc>
        <w:tc>
          <w:tcPr>
            <w:tcW w:w="320" w:type="dxa"/>
            <w:vAlign w:val="bottom"/>
            <w:tcBorders>
              <w:bottom w:val="single" w:sz="8" w:color="E8EAEB"/>
              <w:right w:val="single" w:sz="8" w:color="E8EAEB"/>
            </w:tcBorders>
          </w:tcPr>
          <w:p>
            <w:pPr>
              <w:spacing w:after="0"/>
              <w:rPr>
                <w:sz w:val="12"/>
                <w:szCs w:val="12"/>
                <w:color w:val="auto"/>
              </w:rPr>
            </w:pPr>
          </w:p>
        </w:tc>
        <w:tc>
          <w:tcPr>
            <w:tcW w:w="660" w:type="dxa"/>
            <w:vAlign w:val="bottom"/>
            <w:tcBorders>
              <w:bottom w:val="single" w:sz="8" w:color="E8EAEB"/>
              <w:right w:val="single" w:sz="8" w:color="E8EAEB"/>
            </w:tcBorders>
          </w:tcPr>
          <w:p>
            <w:pPr>
              <w:jc w:val="right"/>
              <w:ind w:right="58"/>
              <w:spacing w:after="0" w:line="141" w:lineRule="exact"/>
              <w:rPr>
                <w:sz w:val="20"/>
                <w:szCs w:val="20"/>
                <w:color w:val="auto"/>
              </w:rPr>
            </w:pPr>
            <w:r>
              <w:rPr>
                <w:rFonts w:ascii="Arial" w:cs="Arial" w:eastAsia="Arial" w:hAnsi="Arial"/>
                <w:sz w:val="13"/>
                <w:szCs w:val="13"/>
                <w:color w:val="202E39"/>
              </w:rPr>
              <w:t>15,000</w:t>
            </w:r>
          </w:p>
        </w:tc>
        <w:tc>
          <w:tcPr>
            <w:tcW w:w="820" w:type="dxa"/>
            <w:vAlign w:val="bottom"/>
            <w:tcBorders>
              <w:bottom w:val="single" w:sz="8" w:color="E8EAEB"/>
            </w:tcBorders>
          </w:tcPr>
          <w:p>
            <w:pPr>
              <w:jc w:val="right"/>
              <w:ind w:right="58"/>
              <w:spacing w:after="0" w:line="141" w:lineRule="exact"/>
              <w:rPr>
                <w:sz w:val="20"/>
                <w:szCs w:val="20"/>
                <w:color w:val="auto"/>
              </w:rPr>
            </w:pPr>
            <w:r>
              <w:rPr>
                <w:rFonts w:ascii="Arial" w:cs="Arial" w:eastAsia="Arial" w:hAnsi="Arial"/>
                <w:sz w:val="13"/>
                <w:szCs w:val="13"/>
                <w:color w:val="202E39"/>
              </w:rPr>
              <w:t>985,800</w:t>
            </w:r>
          </w:p>
        </w:tc>
      </w:tr>
      <w:tr>
        <w:trPr>
          <w:trHeight w:val="177"/>
        </w:trPr>
        <w:tc>
          <w:tcPr>
            <w:tcW w:w="3920" w:type="dxa"/>
            <w:vAlign w:val="bottom"/>
            <w:tcBorders>
              <w:right w:val="single" w:sz="8" w:color="E8EAEB"/>
            </w:tcBorders>
          </w:tcPr>
          <w:p>
            <w:pPr>
              <w:ind w:left="60"/>
              <w:spacing w:after="0"/>
              <w:rPr>
                <w:sz w:val="20"/>
                <w:szCs w:val="20"/>
                <w:color w:val="auto"/>
              </w:rPr>
            </w:pPr>
            <w:r>
              <w:rPr>
                <w:rFonts w:ascii="Arial" w:cs="Arial" w:eastAsia="Arial" w:hAnsi="Arial"/>
                <w:sz w:val="13"/>
                <w:szCs w:val="13"/>
                <w:color w:val="202E39"/>
              </w:rPr>
              <w:t>Ken Peterman</w:t>
            </w: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11/17/2014</w:t>
            </w:r>
          </w:p>
        </w:tc>
        <w:tc>
          <w:tcPr>
            <w:tcW w:w="800" w:type="dxa"/>
            <w:vAlign w:val="bottom"/>
          </w:tcPr>
          <w:p>
            <w:pPr>
              <w:jc w:val="right"/>
              <w:spacing w:after="0"/>
              <w:rPr>
                <w:sz w:val="20"/>
                <w:szCs w:val="20"/>
                <w:color w:val="auto"/>
              </w:rPr>
            </w:pPr>
            <w:r>
              <w:rPr>
                <w:rFonts w:ascii="Arial" w:cs="Arial" w:eastAsia="Arial" w:hAnsi="Arial"/>
                <w:sz w:val="13"/>
                <w:szCs w:val="13"/>
                <w:color w:val="202E39"/>
              </w:rPr>
              <w:t>15,000</w:t>
            </w:r>
          </w:p>
        </w:tc>
        <w:tc>
          <w:tcPr>
            <w:tcW w:w="80" w:type="dxa"/>
            <w:vAlign w:val="bottom"/>
            <w:tcBorders>
              <w:right w:val="single" w:sz="8" w:color="E8EAEB"/>
            </w:tcBorders>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202E39"/>
              </w:rPr>
              <w:t>5,000</w:t>
            </w:r>
          </w:p>
        </w:tc>
        <w:tc>
          <w:tcPr>
            <w:tcW w:w="140" w:type="dxa"/>
            <w:vAlign w:val="bottom"/>
            <w:tcBorders>
              <w:right w:val="single" w:sz="8" w:color="E8EAEB"/>
            </w:tcBorders>
          </w:tcPr>
          <w:p>
            <w:pPr>
              <w:spacing w:after="0"/>
              <w:rPr>
                <w:sz w:val="15"/>
                <w:szCs w:val="15"/>
                <w:color w:val="auto"/>
              </w:rPr>
            </w:pPr>
          </w:p>
        </w:tc>
        <w:tc>
          <w:tcPr>
            <w:tcW w:w="90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rPr>
                <w:sz w:val="20"/>
                <w:szCs w:val="20"/>
                <w:color w:val="auto"/>
              </w:rPr>
            </w:pPr>
            <w:r>
              <w:rPr>
                <w:rFonts w:ascii="Arial" w:cs="Arial" w:eastAsia="Arial" w:hAnsi="Arial"/>
                <w:sz w:val="13"/>
                <w:szCs w:val="13"/>
                <w:color w:val="202E39"/>
              </w:rPr>
              <w:t>65.86</w:t>
            </w: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11/17/2020</w:t>
            </w:r>
          </w:p>
        </w:tc>
        <w:tc>
          <w:tcPr>
            <w:tcW w:w="320" w:type="dxa"/>
            <w:vAlign w:val="bottom"/>
            <w:tcBorders>
              <w:right w:val="single" w:sz="8" w:color="E8EAEB"/>
            </w:tcBorders>
          </w:tcPr>
          <w:p>
            <w:pPr>
              <w:spacing w:after="0"/>
              <w:rPr>
                <w:sz w:val="15"/>
                <w:szCs w:val="15"/>
                <w:color w:val="auto"/>
              </w:rPr>
            </w:pPr>
          </w:p>
        </w:tc>
        <w:tc>
          <w:tcPr>
            <w:tcW w:w="66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11/17/2015</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11,250</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202E39"/>
              </w:rPr>
              <w:t>11,250</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61.26</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11/17/2021</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11/17/2016</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202E39"/>
              </w:rPr>
              <w:t>5,375</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202E39"/>
              </w:rPr>
              <w:t>16,125</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69.74</w:t>
            </w: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11/17/2022</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w:t>
            </w:r>
          </w:p>
        </w:tc>
      </w:tr>
      <w:tr>
        <w:trPr>
          <w:trHeight w:val="152"/>
        </w:trPr>
        <w:tc>
          <w:tcPr>
            <w:tcW w:w="3920" w:type="dxa"/>
            <w:vAlign w:val="bottom"/>
            <w:tcBorders>
              <w:right w:val="single" w:sz="8" w:color="E8EAEB"/>
            </w:tcBorders>
          </w:tcPr>
          <w:p>
            <w:pPr>
              <w:spacing w:after="0"/>
              <w:rPr>
                <w:sz w:val="13"/>
                <w:szCs w:val="13"/>
                <w:color w:val="auto"/>
              </w:rPr>
            </w:pP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11/17/2017</w:t>
            </w:r>
          </w:p>
        </w:tc>
        <w:tc>
          <w:tcPr>
            <w:tcW w:w="800" w:type="dxa"/>
            <w:vAlign w:val="bottom"/>
          </w:tcPr>
          <w:p>
            <w:pPr>
              <w:jc w:val="right"/>
              <w:ind w:right="57"/>
              <w:spacing w:after="0"/>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3"/>
                <w:szCs w:val="13"/>
                <w:color w:val="auto"/>
              </w:rPr>
            </w:pPr>
          </w:p>
        </w:tc>
        <w:tc>
          <w:tcPr>
            <w:tcW w:w="900" w:type="dxa"/>
            <w:vAlign w:val="bottom"/>
            <w:tcBorders>
              <w:right w:val="single" w:sz="8" w:color="E8EAEB"/>
            </w:tcBorders>
          </w:tcPr>
          <w:p>
            <w:pPr>
              <w:jc w:val="right"/>
              <w:ind w:right="58"/>
              <w:spacing w:after="0"/>
              <w:rPr>
                <w:sz w:val="20"/>
                <w:szCs w:val="20"/>
                <w:color w:val="auto"/>
              </w:rPr>
            </w:pPr>
            <w:r>
              <w:rPr>
                <w:rFonts w:ascii="Arial" w:cs="Arial" w:eastAsia="Arial" w:hAnsi="Arial"/>
                <w:sz w:val="13"/>
                <w:szCs w:val="13"/>
                <w:color w:val="202E39"/>
              </w:rPr>
              <w:t>30,000</w:t>
            </w:r>
          </w:p>
        </w:tc>
        <w:tc>
          <w:tcPr>
            <w:tcW w:w="700" w:type="dxa"/>
            <w:vAlign w:val="bottom"/>
            <w:tcBorders>
              <w:right w:val="single" w:sz="8" w:color="E8EAEB"/>
            </w:tcBorders>
          </w:tcPr>
          <w:p>
            <w:pPr>
              <w:ind w:left="260"/>
              <w:spacing w:after="0"/>
              <w:rPr>
                <w:sz w:val="20"/>
                <w:szCs w:val="20"/>
                <w:color w:val="auto"/>
              </w:rPr>
            </w:pPr>
            <w:r>
              <w:rPr>
                <w:rFonts w:ascii="Arial" w:cs="Arial" w:eastAsia="Arial" w:hAnsi="Arial"/>
                <w:sz w:val="13"/>
                <w:szCs w:val="13"/>
                <w:color w:val="202E39"/>
              </w:rPr>
              <w:t>73.77</w:t>
            </w: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11/17/2023</w:t>
            </w:r>
          </w:p>
        </w:tc>
        <w:tc>
          <w:tcPr>
            <w:tcW w:w="320" w:type="dxa"/>
            <w:vAlign w:val="bottom"/>
            <w:tcBorders>
              <w:right w:val="single" w:sz="8" w:color="E8EAEB"/>
            </w:tcBorders>
          </w:tcPr>
          <w:p>
            <w:pPr>
              <w:spacing w:after="0"/>
              <w:rPr>
                <w:sz w:val="13"/>
                <w:szCs w:val="13"/>
                <w:color w:val="auto"/>
              </w:rPr>
            </w:pPr>
          </w:p>
        </w:tc>
        <w:tc>
          <w:tcPr>
            <w:tcW w:w="660" w:type="dxa"/>
            <w:vAlign w:val="bottom"/>
            <w:tcBorders>
              <w:right w:val="single" w:sz="8" w:color="E8EAEB"/>
            </w:tcBorders>
          </w:tcPr>
          <w:p>
            <w:pPr>
              <w:spacing w:after="0"/>
              <w:rPr>
                <w:sz w:val="13"/>
                <w:szCs w:val="13"/>
                <w:color w:val="auto"/>
              </w:rPr>
            </w:pPr>
          </w:p>
        </w:tc>
        <w:tc>
          <w:tcPr>
            <w:tcW w:w="820" w:type="dxa"/>
            <w:vAlign w:val="bottom"/>
          </w:tcPr>
          <w:p>
            <w:pPr>
              <w:jc w:val="right"/>
              <w:ind w:right="138"/>
              <w:spacing w:after="0"/>
              <w:rPr>
                <w:sz w:val="20"/>
                <w:szCs w:val="20"/>
                <w:color w:val="auto"/>
              </w:rPr>
            </w:pPr>
            <w:r>
              <w:rPr>
                <w:rFonts w:ascii="Arial" w:cs="Arial" w:eastAsia="Arial" w:hAnsi="Arial"/>
                <w:sz w:val="13"/>
                <w:szCs w:val="13"/>
                <w:color w:val="202E39"/>
              </w:rPr>
              <w:t>—</w:t>
            </w:r>
          </w:p>
        </w:tc>
      </w:tr>
      <w:tr>
        <w:trPr>
          <w:trHeight w:val="145"/>
        </w:trPr>
        <w:tc>
          <w:tcPr>
            <w:tcW w:w="3920" w:type="dxa"/>
            <w:vAlign w:val="bottom"/>
            <w:tcBorders>
              <w:right w:val="single" w:sz="8" w:color="E8EAEB"/>
            </w:tcBorders>
          </w:tcPr>
          <w:p>
            <w:pPr>
              <w:spacing w:after="0"/>
              <w:rPr>
                <w:sz w:val="12"/>
                <w:szCs w:val="12"/>
                <w:color w:val="auto"/>
              </w:rPr>
            </w:pPr>
          </w:p>
        </w:tc>
        <w:tc>
          <w:tcPr>
            <w:tcW w:w="900" w:type="dxa"/>
            <w:vAlign w:val="bottom"/>
            <w:tcBorders>
              <w:right w:val="single" w:sz="8" w:color="E8EAEB"/>
            </w:tcBorders>
          </w:tcPr>
          <w:p>
            <w:pPr>
              <w:ind w:left="140"/>
              <w:spacing w:after="0" w:line="145" w:lineRule="exact"/>
              <w:rPr>
                <w:sz w:val="20"/>
                <w:szCs w:val="20"/>
                <w:color w:val="auto"/>
              </w:rPr>
            </w:pPr>
            <w:r>
              <w:rPr>
                <w:rFonts w:ascii="Arial" w:cs="Arial" w:eastAsia="Arial" w:hAnsi="Arial"/>
                <w:sz w:val="13"/>
                <w:szCs w:val="13"/>
                <w:color w:val="202E39"/>
              </w:rPr>
              <w:t>11/17/2014</w:t>
            </w:r>
          </w:p>
        </w:tc>
        <w:tc>
          <w:tcPr>
            <w:tcW w:w="800" w:type="dxa"/>
            <w:vAlign w:val="bottom"/>
          </w:tcPr>
          <w:p>
            <w:pPr>
              <w:jc w:val="right"/>
              <w:ind w:right="57"/>
              <w:spacing w:after="0" w:line="14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2"/>
                <w:szCs w:val="12"/>
                <w:color w:val="auto"/>
              </w:rPr>
            </w:pPr>
          </w:p>
        </w:tc>
        <w:tc>
          <w:tcPr>
            <w:tcW w:w="880" w:type="dxa"/>
            <w:vAlign w:val="bottom"/>
          </w:tcPr>
          <w:p>
            <w:pPr>
              <w:jc w:val="right"/>
              <w:ind w:right="17"/>
              <w:spacing w:after="0" w:line="14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2"/>
                <w:szCs w:val="12"/>
                <w:color w:val="auto"/>
              </w:rPr>
            </w:pPr>
          </w:p>
        </w:tc>
        <w:tc>
          <w:tcPr>
            <w:tcW w:w="900" w:type="dxa"/>
            <w:vAlign w:val="bottom"/>
            <w:tcBorders>
              <w:right w:val="single" w:sz="8" w:color="E8EAEB"/>
            </w:tcBorders>
          </w:tcPr>
          <w:p>
            <w:pPr>
              <w:jc w:val="right"/>
              <w:ind w:right="138"/>
              <w:spacing w:after="0" w:line="14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line="145" w:lineRule="exact"/>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line="145" w:lineRule="exact"/>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2"/>
                <w:szCs w:val="12"/>
                <w:color w:val="auto"/>
              </w:rPr>
            </w:pPr>
          </w:p>
        </w:tc>
        <w:tc>
          <w:tcPr>
            <w:tcW w:w="660" w:type="dxa"/>
            <w:vAlign w:val="bottom"/>
            <w:tcBorders>
              <w:right w:val="single" w:sz="8" w:color="E8EAEB"/>
            </w:tcBorders>
          </w:tcPr>
          <w:p>
            <w:pPr>
              <w:jc w:val="right"/>
              <w:ind w:right="58"/>
              <w:spacing w:after="0" w:line="145" w:lineRule="exact"/>
              <w:rPr>
                <w:sz w:val="20"/>
                <w:szCs w:val="20"/>
                <w:color w:val="auto"/>
              </w:rPr>
            </w:pPr>
            <w:r>
              <w:rPr>
                <w:rFonts w:ascii="Arial" w:cs="Arial" w:eastAsia="Arial" w:hAnsi="Arial"/>
                <w:sz w:val="13"/>
                <w:szCs w:val="13"/>
                <w:color w:val="202E39"/>
              </w:rPr>
              <w:t>1,666</w:t>
            </w:r>
          </w:p>
        </w:tc>
        <w:tc>
          <w:tcPr>
            <w:tcW w:w="820" w:type="dxa"/>
            <w:vAlign w:val="bottom"/>
          </w:tcPr>
          <w:p>
            <w:pPr>
              <w:jc w:val="right"/>
              <w:ind w:right="58"/>
              <w:spacing w:after="0" w:line="145" w:lineRule="exact"/>
              <w:rPr>
                <w:sz w:val="20"/>
                <w:szCs w:val="20"/>
                <w:color w:val="auto"/>
              </w:rPr>
            </w:pPr>
            <w:r>
              <w:rPr>
                <w:rFonts w:ascii="Arial" w:cs="Arial" w:eastAsia="Arial" w:hAnsi="Arial"/>
                <w:sz w:val="13"/>
                <w:szCs w:val="13"/>
                <w:color w:val="202E39"/>
              </w:rPr>
              <w:t>109,490</w:t>
            </w:r>
          </w:p>
        </w:tc>
      </w:tr>
      <w:tr>
        <w:trPr>
          <w:trHeight w:val="135"/>
        </w:trPr>
        <w:tc>
          <w:tcPr>
            <w:tcW w:w="392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ind w:left="140"/>
              <w:spacing w:after="0" w:line="135" w:lineRule="exact"/>
              <w:rPr>
                <w:sz w:val="20"/>
                <w:szCs w:val="20"/>
                <w:color w:val="auto"/>
              </w:rPr>
            </w:pPr>
            <w:r>
              <w:rPr>
                <w:rFonts w:ascii="Arial" w:cs="Arial" w:eastAsia="Arial" w:hAnsi="Arial"/>
                <w:sz w:val="13"/>
                <w:szCs w:val="13"/>
                <w:color w:val="202E39"/>
              </w:rPr>
              <w:t>11/17/2015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1"/>
                <w:szCs w:val="11"/>
                <w:color w:val="auto"/>
              </w:rPr>
            </w:pPr>
          </w:p>
        </w:tc>
        <w:tc>
          <w:tcPr>
            <w:tcW w:w="9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line="135" w:lineRule="exact"/>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line="135" w:lineRule="exact"/>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1"/>
                <w:szCs w:val="11"/>
                <w:color w:val="auto"/>
              </w:rPr>
            </w:pPr>
          </w:p>
        </w:tc>
        <w:tc>
          <w:tcPr>
            <w:tcW w:w="66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3,750</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246,450</w:t>
            </w:r>
          </w:p>
        </w:tc>
      </w:tr>
      <w:tr>
        <w:trPr>
          <w:trHeight w:val="149"/>
        </w:trPr>
        <w:tc>
          <w:tcPr>
            <w:tcW w:w="3920" w:type="dxa"/>
            <w:vAlign w:val="bottom"/>
            <w:tcBorders>
              <w:right w:val="single" w:sz="8" w:color="E8EAEB"/>
            </w:tcBorders>
          </w:tcPr>
          <w:p>
            <w:pPr>
              <w:spacing w:after="0"/>
              <w:rPr>
                <w:sz w:val="12"/>
                <w:szCs w:val="12"/>
                <w:color w:val="auto"/>
              </w:rPr>
            </w:pPr>
          </w:p>
        </w:tc>
        <w:tc>
          <w:tcPr>
            <w:tcW w:w="900" w:type="dxa"/>
            <w:vAlign w:val="bottom"/>
            <w:tcBorders>
              <w:right w:val="single" w:sz="8" w:color="E8EAEB"/>
            </w:tcBorders>
          </w:tcPr>
          <w:p>
            <w:pPr>
              <w:ind w:left="140"/>
              <w:spacing w:after="0"/>
              <w:rPr>
                <w:sz w:val="20"/>
                <w:szCs w:val="20"/>
                <w:color w:val="auto"/>
              </w:rPr>
            </w:pPr>
            <w:r>
              <w:rPr>
                <w:rFonts w:ascii="Arial" w:cs="Arial" w:eastAsia="Arial" w:hAnsi="Arial"/>
                <w:sz w:val="13"/>
                <w:szCs w:val="13"/>
                <w:color w:val="202E39"/>
              </w:rPr>
              <w:t>11/17/2016</w:t>
            </w:r>
          </w:p>
        </w:tc>
        <w:tc>
          <w:tcPr>
            <w:tcW w:w="800" w:type="dxa"/>
            <w:vAlign w:val="bottom"/>
          </w:tcPr>
          <w:p>
            <w:pPr>
              <w:jc w:val="right"/>
              <w:ind w:right="57"/>
              <w:spacing w:after="0"/>
              <w:rPr>
                <w:sz w:val="20"/>
                <w:szCs w:val="20"/>
                <w:color w:val="auto"/>
              </w:rPr>
            </w:pPr>
            <w:r>
              <w:rPr>
                <w:rFonts w:ascii="Arial" w:cs="Arial" w:eastAsia="Arial" w:hAnsi="Arial"/>
                <w:sz w:val="13"/>
                <w:szCs w:val="13"/>
                <w:color w:val="202E39"/>
              </w:rPr>
              <w:t>—</w:t>
            </w:r>
          </w:p>
        </w:tc>
        <w:tc>
          <w:tcPr>
            <w:tcW w:w="80" w:type="dxa"/>
            <w:vAlign w:val="bottom"/>
            <w:tcBorders>
              <w:right w:val="single" w:sz="8" w:color="E8EAEB"/>
            </w:tcBorders>
          </w:tcPr>
          <w:p>
            <w:pPr>
              <w:spacing w:after="0"/>
              <w:rPr>
                <w:sz w:val="12"/>
                <w:szCs w:val="12"/>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202E39"/>
              </w:rPr>
              <w:t>—</w:t>
            </w:r>
          </w:p>
        </w:tc>
        <w:tc>
          <w:tcPr>
            <w:tcW w:w="140" w:type="dxa"/>
            <w:vAlign w:val="bottom"/>
            <w:tcBorders>
              <w:right w:val="single" w:sz="8" w:color="E8EAEB"/>
            </w:tcBorders>
          </w:tcPr>
          <w:p>
            <w:pPr>
              <w:spacing w:after="0"/>
              <w:rPr>
                <w:sz w:val="12"/>
                <w:szCs w:val="12"/>
                <w:color w:val="auto"/>
              </w:rPr>
            </w:pPr>
          </w:p>
        </w:tc>
        <w:tc>
          <w:tcPr>
            <w:tcW w:w="90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80"/>
              <w:spacing w:after="0"/>
              <w:rPr>
                <w:sz w:val="20"/>
                <w:szCs w:val="20"/>
                <w:color w:val="auto"/>
              </w:rPr>
            </w:pPr>
            <w:r>
              <w:rPr>
                <w:rFonts w:ascii="Arial" w:cs="Arial" w:eastAsia="Arial" w:hAnsi="Arial"/>
                <w:sz w:val="13"/>
                <w:szCs w:val="13"/>
                <w:color w:val="202E39"/>
              </w:rPr>
              <w:t>—</w:t>
            </w:r>
          </w:p>
        </w:tc>
        <w:tc>
          <w:tcPr>
            <w:tcW w:w="900" w:type="dxa"/>
            <w:vAlign w:val="bottom"/>
            <w:tcBorders>
              <w:right w:val="single" w:sz="8" w:color="E8EAEB"/>
            </w:tcBorders>
          </w:tcPr>
          <w:p>
            <w:pPr>
              <w:ind w:left="580"/>
              <w:spacing w:after="0"/>
              <w:rPr>
                <w:sz w:val="20"/>
                <w:szCs w:val="20"/>
                <w:color w:val="auto"/>
              </w:rPr>
            </w:pPr>
            <w:r>
              <w:rPr>
                <w:rFonts w:ascii="Arial" w:cs="Arial" w:eastAsia="Arial" w:hAnsi="Arial"/>
                <w:sz w:val="13"/>
                <w:szCs w:val="13"/>
                <w:color w:val="202E39"/>
              </w:rPr>
              <w:t>—</w:t>
            </w:r>
          </w:p>
        </w:tc>
        <w:tc>
          <w:tcPr>
            <w:tcW w:w="320" w:type="dxa"/>
            <w:vAlign w:val="bottom"/>
            <w:tcBorders>
              <w:right w:val="single" w:sz="8" w:color="E8EAEB"/>
            </w:tcBorders>
          </w:tcPr>
          <w:p>
            <w:pPr>
              <w:spacing w:after="0"/>
              <w:rPr>
                <w:sz w:val="12"/>
                <w:szCs w:val="12"/>
                <w:color w:val="auto"/>
              </w:rPr>
            </w:pPr>
          </w:p>
        </w:tc>
        <w:tc>
          <w:tcPr>
            <w:tcW w:w="660" w:type="dxa"/>
            <w:vAlign w:val="bottom"/>
            <w:tcBorders>
              <w:right w:val="single" w:sz="8" w:color="E8EAEB"/>
            </w:tcBorders>
          </w:tcPr>
          <w:p>
            <w:pPr>
              <w:jc w:val="right"/>
              <w:ind w:right="58"/>
              <w:spacing w:after="0"/>
              <w:rPr>
                <w:sz w:val="20"/>
                <w:szCs w:val="20"/>
                <w:color w:val="auto"/>
              </w:rPr>
            </w:pPr>
            <w:r>
              <w:rPr>
                <w:rFonts w:ascii="Arial" w:cs="Arial" w:eastAsia="Arial" w:hAnsi="Arial"/>
                <w:sz w:val="13"/>
                <w:szCs w:val="13"/>
                <w:color w:val="202E39"/>
              </w:rPr>
              <w:t>5,375</w:t>
            </w:r>
          </w:p>
        </w:tc>
        <w:tc>
          <w:tcPr>
            <w:tcW w:w="820" w:type="dxa"/>
            <w:vAlign w:val="bottom"/>
          </w:tcPr>
          <w:p>
            <w:pPr>
              <w:jc w:val="right"/>
              <w:ind w:right="58"/>
              <w:spacing w:after="0"/>
              <w:rPr>
                <w:sz w:val="20"/>
                <w:szCs w:val="20"/>
                <w:color w:val="auto"/>
              </w:rPr>
            </w:pPr>
            <w:r>
              <w:rPr>
                <w:rFonts w:ascii="Arial" w:cs="Arial" w:eastAsia="Arial" w:hAnsi="Arial"/>
                <w:sz w:val="13"/>
                <w:szCs w:val="13"/>
                <w:color w:val="202E39"/>
              </w:rPr>
              <w:t>353,245</w:t>
            </w:r>
          </w:p>
        </w:tc>
      </w:tr>
      <w:tr>
        <w:trPr>
          <w:trHeight w:val="153"/>
        </w:trPr>
        <w:tc>
          <w:tcPr>
            <w:tcW w:w="3920" w:type="dxa"/>
            <w:vAlign w:val="bottom"/>
            <w:tcBorders>
              <w:bottom w:val="single" w:sz="8" w:color="009FE3"/>
              <w:right w:val="single" w:sz="8" w:color="E8EAEB"/>
            </w:tcBorders>
          </w:tcPr>
          <w:p>
            <w:pPr>
              <w:spacing w:after="0"/>
              <w:rPr>
                <w:sz w:val="13"/>
                <w:szCs w:val="13"/>
                <w:color w:val="auto"/>
              </w:rPr>
            </w:pPr>
          </w:p>
        </w:tc>
        <w:tc>
          <w:tcPr>
            <w:tcW w:w="900" w:type="dxa"/>
            <w:vAlign w:val="bottom"/>
            <w:tcBorders>
              <w:bottom w:val="single" w:sz="8" w:color="009FE3"/>
              <w:right w:val="single" w:sz="8" w:color="E8EAEB"/>
            </w:tcBorders>
          </w:tcPr>
          <w:p>
            <w:pPr>
              <w:ind w:left="140"/>
              <w:spacing w:after="0"/>
              <w:rPr>
                <w:sz w:val="20"/>
                <w:szCs w:val="20"/>
                <w:color w:val="auto"/>
              </w:rPr>
            </w:pPr>
            <w:r>
              <w:rPr>
                <w:rFonts w:ascii="Arial" w:cs="Arial" w:eastAsia="Arial" w:hAnsi="Arial"/>
                <w:sz w:val="13"/>
                <w:szCs w:val="13"/>
                <w:color w:val="202E39"/>
              </w:rPr>
              <w:t>11/17/2017</w:t>
            </w:r>
          </w:p>
        </w:tc>
        <w:tc>
          <w:tcPr>
            <w:tcW w:w="800" w:type="dxa"/>
            <w:vAlign w:val="bottom"/>
            <w:tcBorders>
              <w:bottom w:val="single" w:sz="8" w:color="009FE3"/>
            </w:tcBorders>
          </w:tcPr>
          <w:p>
            <w:pPr>
              <w:jc w:val="right"/>
              <w:ind w:right="57"/>
              <w:spacing w:after="0"/>
              <w:rPr>
                <w:sz w:val="20"/>
                <w:szCs w:val="20"/>
                <w:color w:val="auto"/>
              </w:rPr>
            </w:pPr>
            <w:r>
              <w:rPr>
                <w:rFonts w:ascii="Arial" w:cs="Arial" w:eastAsia="Arial" w:hAnsi="Arial"/>
                <w:sz w:val="13"/>
                <w:szCs w:val="13"/>
                <w:color w:val="202E39"/>
              </w:rPr>
              <w:t>—</w:t>
            </w:r>
          </w:p>
        </w:tc>
        <w:tc>
          <w:tcPr>
            <w:tcW w:w="80" w:type="dxa"/>
            <w:vAlign w:val="bottom"/>
            <w:tcBorders>
              <w:bottom w:val="single" w:sz="8" w:color="009FE3"/>
              <w:right w:val="single" w:sz="8" w:color="E8EAEB"/>
            </w:tcBorders>
          </w:tcPr>
          <w:p>
            <w:pPr>
              <w:spacing w:after="0"/>
              <w:rPr>
                <w:sz w:val="13"/>
                <w:szCs w:val="13"/>
                <w:color w:val="auto"/>
              </w:rPr>
            </w:pPr>
          </w:p>
        </w:tc>
        <w:tc>
          <w:tcPr>
            <w:tcW w:w="880" w:type="dxa"/>
            <w:vAlign w:val="bottom"/>
            <w:tcBorders>
              <w:bottom w:val="single" w:sz="8" w:color="009FE3"/>
            </w:tcBorders>
          </w:tcPr>
          <w:p>
            <w:pPr>
              <w:jc w:val="right"/>
              <w:ind w:right="17"/>
              <w:spacing w:after="0"/>
              <w:rPr>
                <w:sz w:val="20"/>
                <w:szCs w:val="20"/>
                <w:color w:val="auto"/>
              </w:rPr>
            </w:pPr>
            <w:r>
              <w:rPr>
                <w:rFonts w:ascii="Arial" w:cs="Arial" w:eastAsia="Arial" w:hAnsi="Arial"/>
                <w:sz w:val="13"/>
                <w:szCs w:val="13"/>
                <w:color w:val="202E39"/>
              </w:rPr>
              <w:t>—</w:t>
            </w:r>
          </w:p>
        </w:tc>
        <w:tc>
          <w:tcPr>
            <w:tcW w:w="140" w:type="dxa"/>
            <w:vAlign w:val="bottom"/>
            <w:tcBorders>
              <w:bottom w:val="single" w:sz="8" w:color="009FE3"/>
              <w:right w:val="single" w:sz="8" w:color="E8EAEB"/>
            </w:tcBorders>
          </w:tcPr>
          <w:p>
            <w:pPr>
              <w:spacing w:after="0"/>
              <w:rPr>
                <w:sz w:val="13"/>
                <w:szCs w:val="13"/>
                <w:color w:val="auto"/>
              </w:rPr>
            </w:pPr>
          </w:p>
        </w:tc>
        <w:tc>
          <w:tcPr>
            <w:tcW w:w="900" w:type="dxa"/>
            <w:vAlign w:val="bottom"/>
            <w:tcBorders>
              <w:bottom w:val="single" w:sz="8" w:color="009FE3"/>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700" w:type="dxa"/>
            <w:vAlign w:val="bottom"/>
            <w:tcBorders>
              <w:bottom w:val="single" w:sz="8" w:color="009FE3"/>
              <w:right w:val="single" w:sz="8" w:color="E8EAEB"/>
            </w:tcBorders>
          </w:tcPr>
          <w:p>
            <w:pPr>
              <w:ind w:left="380"/>
              <w:spacing w:after="0"/>
              <w:rPr>
                <w:sz w:val="20"/>
                <w:szCs w:val="20"/>
                <w:color w:val="auto"/>
              </w:rPr>
            </w:pPr>
            <w:r>
              <w:rPr>
                <w:rFonts w:ascii="Arial" w:cs="Arial" w:eastAsia="Arial" w:hAnsi="Arial"/>
                <w:sz w:val="13"/>
                <w:szCs w:val="13"/>
                <w:color w:val="202E39"/>
              </w:rPr>
              <w:t>—</w:t>
            </w:r>
          </w:p>
        </w:tc>
        <w:tc>
          <w:tcPr>
            <w:tcW w:w="900" w:type="dxa"/>
            <w:vAlign w:val="bottom"/>
            <w:tcBorders>
              <w:bottom w:val="single" w:sz="8" w:color="009FE3"/>
              <w:right w:val="single" w:sz="8" w:color="E8EAEB"/>
            </w:tcBorders>
          </w:tcPr>
          <w:p>
            <w:pPr>
              <w:ind w:left="580"/>
              <w:spacing w:after="0"/>
              <w:rPr>
                <w:sz w:val="20"/>
                <w:szCs w:val="20"/>
                <w:color w:val="auto"/>
              </w:rPr>
            </w:pPr>
            <w:r>
              <w:rPr>
                <w:rFonts w:ascii="Arial" w:cs="Arial" w:eastAsia="Arial" w:hAnsi="Arial"/>
                <w:sz w:val="13"/>
                <w:szCs w:val="13"/>
                <w:color w:val="202E39"/>
              </w:rPr>
              <w:t>—</w:t>
            </w:r>
          </w:p>
        </w:tc>
        <w:tc>
          <w:tcPr>
            <w:tcW w:w="320" w:type="dxa"/>
            <w:vAlign w:val="bottom"/>
            <w:tcBorders>
              <w:bottom w:val="single" w:sz="8" w:color="009FE3"/>
              <w:right w:val="single" w:sz="8" w:color="E8EAEB"/>
            </w:tcBorders>
          </w:tcPr>
          <w:p>
            <w:pPr>
              <w:spacing w:after="0"/>
              <w:rPr>
                <w:sz w:val="13"/>
                <w:szCs w:val="13"/>
                <w:color w:val="auto"/>
              </w:rPr>
            </w:pPr>
          </w:p>
        </w:tc>
        <w:tc>
          <w:tcPr>
            <w:tcW w:w="660" w:type="dxa"/>
            <w:vAlign w:val="bottom"/>
            <w:tcBorders>
              <w:bottom w:val="single" w:sz="8" w:color="009FE3"/>
              <w:right w:val="single" w:sz="8" w:color="E8EAEB"/>
            </w:tcBorders>
          </w:tcPr>
          <w:p>
            <w:pPr>
              <w:jc w:val="right"/>
              <w:ind w:right="58"/>
              <w:spacing w:after="0"/>
              <w:rPr>
                <w:sz w:val="20"/>
                <w:szCs w:val="20"/>
                <w:color w:val="auto"/>
              </w:rPr>
            </w:pPr>
            <w:r>
              <w:rPr>
                <w:rFonts w:ascii="Arial" w:cs="Arial" w:eastAsia="Arial" w:hAnsi="Arial"/>
                <w:sz w:val="13"/>
                <w:szCs w:val="13"/>
                <w:color w:val="202E39"/>
              </w:rPr>
              <w:t>10,000</w:t>
            </w:r>
          </w:p>
        </w:tc>
        <w:tc>
          <w:tcPr>
            <w:tcW w:w="820" w:type="dxa"/>
            <w:vAlign w:val="bottom"/>
            <w:tcBorders>
              <w:bottom w:val="single" w:sz="8" w:color="009FE3"/>
            </w:tcBorders>
          </w:tcPr>
          <w:p>
            <w:pPr>
              <w:jc w:val="right"/>
              <w:ind w:right="58"/>
              <w:spacing w:after="0"/>
              <w:rPr>
                <w:sz w:val="20"/>
                <w:szCs w:val="20"/>
                <w:color w:val="auto"/>
              </w:rPr>
            </w:pPr>
            <w:r>
              <w:rPr>
                <w:rFonts w:ascii="Arial" w:cs="Arial" w:eastAsia="Arial" w:hAnsi="Arial"/>
                <w:sz w:val="13"/>
                <w:szCs w:val="13"/>
                <w:color w:val="202E39"/>
              </w:rPr>
              <w:t>657,200</w:t>
            </w:r>
          </w:p>
        </w:tc>
      </w:tr>
    </w:tbl>
    <w:p>
      <w:pPr>
        <w:spacing w:after="0" w:line="126" w:lineRule="exact"/>
        <w:rPr>
          <w:sz w:val="20"/>
          <w:szCs w:val="20"/>
          <w:color w:val="auto"/>
        </w:rPr>
      </w:pPr>
    </w:p>
    <w:p>
      <w:pPr>
        <w:ind w:left="520" w:hanging="316"/>
        <w:spacing w:after="0"/>
        <w:tabs>
          <w:tab w:leader="none" w:pos="520" w:val="left"/>
        </w:tabs>
        <w:numPr>
          <w:ilvl w:val="0"/>
          <w:numId w:val="39"/>
        </w:numPr>
        <w:rPr>
          <w:rFonts w:ascii="Arial" w:cs="Arial" w:eastAsia="Arial" w:hAnsi="Arial"/>
          <w:sz w:val="14"/>
          <w:szCs w:val="14"/>
          <w:color w:val="202E39"/>
        </w:rPr>
      </w:pPr>
      <w:r>
        <w:rPr>
          <w:rFonts w:ascii="Arial" w:cs="Arial" w:eastAsia="Arial" w:hAnsi="Arial"/>
          <w:sz w:val="14"/>
          <w:szCs w:val="14"/>
          <w:color w:val="202E39"/>
        </w:rPr>
        <w:t>Options vest and become exercisable in four equal annual installments over the course of four years measured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92075</wp:posOffset>
            </wp:positionV>
            <wp:extent cx="42862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40</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Outstanding Equity Awards at 2018 Fiscal Year End</w:t>
      </w:r>
    </w:p>
    <w:p>
      <w:pPr>
        <w:spacing w:after="0" w:line="217" w:lineRule="exact"/>
        <w:rPr>
          <w:sz w:val="20"/>
          <w:szCs w:val="20"/>
          <w:color w:val="auto"/>
        </w:rPr>
      </w:pPr>
    </w:p>
    <w:p>
      <w:pPr>
        <w:ind w:left="520" w:right="20" w:hanging="316"/>
        <w:spacing w:after="0" w:line="244" w:lineRule="auto"/>
        <w:tabs>
          <w:tab w:leader="none" w:pos="520" w:val="left"/>
        </w:tabs>
        <w:numPr>
          <w:ilvl w:val="0"/>
          <w:numId w:val="40"/>
        </w:numPr>
        <w:rPr>
          <w:rFonts w:ascii="Arial" w:cs="Arial" w:eastAsia="Arial" w:hAnsi="Arial"/>
          <w:sz w:val="14"/>
          <w:szCs w:val="14"/>
          <w:color w:val="202E39"/>
        </w:rPr>
      </w:pPr>
      <w:r>
        <w:rPr>
          <w:rFonts w:ascii="Arial" w:cs="Arial" w:eastAsia="Arial" w:hAnsi="Arial"/>
          <w:sz w:val="14"/>
          <w:szCs w:val="14"/>
          <w:color w:val="202E39"/>
        </w:rPr>
        <w:t>Performance-based stock options that will become eligible to vest (a) in part dependent on the Named Executive Officer’s continued service over a four-year time-based vesting schedule, with the Named Executive Officer vesting in 25% of the performance-based options on each of the first four anniversaries of the date of grant and (b) in part dependent on a comparison over the four-year performance period ending October 31, 2021 of our total stockholder return to the total stockholder return of the companies included in the S&amp;P MidCap 400 Index. The number of options that will ultimately become vested and exercisable at the end of the four year vesting schedule will range from 0% to 175% of the target number of options based on the Company’s relative total stockholder return ranking for the four-year performance period ending October 31, 2021. The performance-based stock options must be vested under both the time-based vesting schedule and the performance-based vesting conditions in order to become exercisable by the Named Executive Officer. The performance-based options are reflected in the table above at “target” performance levels.</w:t>
      </w:r>
    </w:p>
    <w:p>
      <w:pPr>
        <w:spacing w:after="0" w:line="218" w:lineRule="exact"/>
        <w:rPr>
          <w:rFonts w:ascii="Arial" w:cs="Arial" w:eastAsia="Arial" w:hAnsi="Arial"/>
          <w:sz w:val="14"/>
          <w:szCs w:val="14"/>
          <w:color w:val="202E39"/>
        </w:rPr>
      </w:pPr>
    </w:p>
    <w:p>
      <w:pPr>
        <w:ind w:left="520" w:hanging="316"/>
        <w:spacing w:after="0"/>
        <w:tabs>
          <w:tab w:leader="none" w:pos="520" w:val="left"/>
        </w:tabs>
        <w:numPr>
          <w:ilvl w:val="0"/>
          <w:numId w:val="40"/>
        </w:numPr>
        <w:rPr>
          <w:rFonts w:ascii="Arial" w:cs="Arial" w:eastAsia="Arial" w:hAnsi="Arial"/>
          <w:sz w:val="14"/>
          <w:szCs w:val="14"/>
          <w:color w:val="202E39"/>
        </w:rPr>
      </w:pPr>
      <w:r>
        <w:rPr>
          <w:rFonts w:ascii="Arial" w:cs="Arial" w:eastAsia="Arial" w:hAnsi="Arial"/>
          <w:sz w:val="14"/>
          <w:szCs w:val="14"/>
          <w:color w:val="202E39"/>
        </w:rPr>
        <w:t>Restricted stock unit awards vest in four equal annual installments over the course of four years measured from the grant date.</w:t>
      </w:r>
    </w:p>
    <w:p>
      <w:pPr>
        <w:spacing w:after="0" w:line="68" w:lineRule="exact"/>
        <w:rPr>
          <w:rFonts w:ascii="Arial" w:cs="Arial" w:eastAsia="Arial" w:hAnsi="Arial"/>
          <w:sz w:val="14"/>
          <w:szCs w:val="14"/>
          <w:color w:val="202E39"/>
        </w:rPr>
      </w:pPr>
    </w:p>
    <w:p>
      <w:pPr>
        <w:ind w:left="520" w:hanging="316"/>
        <w:spacing w:after="0"/>
        <w:tabs>
          <w:tab w:leader="none" w:pos="520" w:val="left"/>
        </w:tabs>
        <w:numPr>
          <w:ilvl w:val="0"/>
          <w:numId w:val="40"/>
        </w:numPr>
        <w:rPr>
          <w:rFonts w:ascii="Arial" w:cs="Arial" w:eastAsia="Arial" w:hAnsi="Arial"/>
          <w:sz w:val="14"/>
          <w:szCs w:val="14"/>
          <w:color w:val="202E39"/>
        </w:rPr>
      </w:pPr>
      <w:r>
        <w:rPr>
          <w:rFonts w:ascii="Arial" w:cs="Arial" w:eastAsia="Arial" w:hAnsi="Arial"/>
          <w:sz w:val="14"/>
          <w:szCs w:val="14"/>
          <w:color w:val="202E39"/>
        </w:rPr>
        <w:t>Computed by multiplying the closing price of our common stock on March 29, 2018 ($65.72) by the number of shares subject to such stock award.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Option Exercises and Stock Vested in Fiscal Year 2018</w:t>
      </w:r>
    </w:p>
    <w:p>
      <w:pPr>
        <w:spacing w:after="0" w:line="145" w:lineRule="exact"/>
        <w:rPr>
          <w:sz w:val="20"/>
          <w:szCs w:val="20"/>
          <w:color w:val="auto"/>
        </w:rPr>
      </w:pPr>
    </w:p>
    <w:p>
      <w:pPr>
        <w:ind w:left="200" w:right="400"/>
        <w:spacing w:after="0" w:line="260" w:lineRule="auto"/>
        <w:rPr>
          <w:sz w:val="20"/>
          <w:szCs w:val="20"/>
          <w:color w:val="auto"/>
        </w:rPr>
      </w:pPr>
      <w:r>
        <w:rPr>
          <w:rFonts w:ascii="Arial" w:cs="Arial" w:eastAsia="Arial" w:hAnsi="Arial"/>
          <w:sz w:val="16"/>
          <w:szCs w:val="16"/>
          <w:color w:val="202E39"/>
        </w:rPr>
        <w:t>The following table provides information concerning exercises of stock options by and stock awards vested for each of the Named Executive Officers during fiscal year 2018.</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3540" w:type="dxa"/>
            <w:vAlign w:val="bottom"/>
            <w:tcBorders>
              <w:top w:val="single" w:sz="8" w:color="E8EAEB"/>
              <w:right w:val="single" w:sz="8" w:color="E8EAEB"/>
            </w:tcBorders>
          </w:tcPr>
          <w:p>
            <w:pPr>
              <w:spacing w:after="0"/>
              <w:rPr>
                <w:sz w:val="20"/>
                <w:szCs w:val="20"/>
                <w:color w:val="auto"/>
              </w:rPr>
            </w:pPr>
          </w:p>
        </w:tc>
        <w:tc>
          <w:tcPr>
            <w:tcW w:w="2280" w:type="dxa"/>
            <w:vAlign w:val="bottom"/>
            <w:tcBorders>
              <w:top w:val="single" w:sz="8" w:color="E8EAEB"/>
              <w:bottom w:val="single" w:sz="8" w:color="009FE3"/>
            </w:tcBorders>
            <w:gridSpan w:val="2"/>
          </w:tcPr>
          <w:p>
            <w:pPr>
              <w:ind w:left="1240"/>
              <w:spacing w:after="0"/>
              <w:rPr>
                <w:sz w:val="20"/>
                <w:szCs w:val="20"/>
                <w:color w:val="auto"/>
              </w:rPr>
            </w:pPr>
            <w:r>
              <w:rPr>
                <w:rFonts w:ascii="Arial" w:cs="Arial" w:eastAsia="Arial" w:hAnsi="Arial"/>
                <w:sz w:val="14"/>
                <w:szCs w:val="14"/>
                <w:b w:val="1"/>
                <w:bCs w:val="1"/>
                <w:color w:val="009FE3"/>
              </w:rPr>
              <w:t>Option Awards</w:t>
            </w:r>
          </w:p>
        </w:tc>
        <w:tc>
          <w:tcPr>
            <w:tcW w:w="1280" w:type="dxa"/>
            <w:vAlign w:val="bottom"/>
            <w:tcBorders>
              <w:top w:val="single" w:sz="8" w:color="E8EAEB"/>
              <w:bottom w:val="single" w:sz="8" w:color="009FE3"/>
              <w:right w:val="single" w:sz="8" w:color="E8EAEB"/>
            </w:tcBorders>
          </w:tcPr>
          <w:p>
            <w:pPr>
              <w:spacing w:after="0"/>
              <w:rPr>
                <w:sz w:val="20"/>
                <w:szCs w:val="20"/>
                <w:color w:val="auto"/>
              </w:rPr>
            </w:pPr>
          </w:p>
        </w:tc>
        <w:tc>
          <w:tcPr>
            <w:tcW w:w="120" w:type="dxa"/>
            <w:vAlign w:val="bottom"/>
            <w:tcBorders>
              <w:top w:val="single" w:sz="8" w:color="E8EAEB"/>
              <w:right w:val="single" w:sz="8" w:color="E8EAEB"/>
            </w:tcBorders>
          </w:tcPr>
          <w:p>
            <w:pPr>
              <w:spacing w:after="0"/>
              <w:rPr>
                <w:sz w:val="20"/>
                <w:szCs w:val="20"/>
                <w:color w:val="auto"/>
              </w:rPr>
            </w:pPr>
          </w:p>
        </w:tc>
        <w:tc>
          <w:tcPr>
            <w:tcW w:w="3800" w:type="dxa"/>
            <w:vAlign w:val="bottom"/>
            <w:tcBorders>
              <w:top w:val="single" w:sz="8" w:color="E8EAEB"/>
              <w:bottom w:val="single" w:sz="8" w:color="009FE3"/>
            </w:tcBorders>
            <w:gridSpan w:val="2"/>
          </w:tcPr>
          <w:p>
            <w:pPr>
              <w:jc w:val="right"/>
              <w:ind w:right="1362"/>
              <w:spacing w:after="0"/>
              <w:rPr>
                <w:sz w:val="20"/>
                <w:szCs w:val="20"/>
                <w:color w:val="auto"/>
              </w:rPr>
            </w:pPr>
            <w:r>
              <w:rPr>
                <w:rFonts w:ascii="Arial" w:cs="Arial" w:eastAsia="Arial" w:hAnsi="Arial"/>
                <w:sz w:val="14"/>
                <w:szCs w:val="14"/>
                <w:b w:val="1"/>
                <w:bCs w:val="1"/>
                <w:color w:val="009FE3"/>
              </w:rPr>
              <w:t>Stock Awards</w:t>
            </w:r>
          </w:p>
        </w:tc>
      </w:tr>
      <w:tr>
        <w:trPr>
          <w:trHeight w:val="189"/>
        </w:trPr>
        <w:tc>
          <w:tcPr>
            <w:tcW w:w="3540" w:type="dxa"/>
            <w:vAlign w:val="bottom"/>
            <w:tcBorders>
              <w:right w:val="single" w:sz="8" w:color="E8EAEB"/>
            </w:tcBorders>
          </w:tcPr>
          <w:p>
            <w:pPr>
              <w:spacing w:after="0"/>
              <w:rPr>
                <w:sz w:val="16"/>
                <w:szCs w:val="16"/>
                <w:color w:val="auto"/>
              </w:rPr>
            </w:pPr>
          </w:p>
        </w:tc>
        <w:tc>
          <w:tcPr>
            <w:tcW w:w="2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 Shares</w:t>
            </w:r>
          </w:p>
        </w:tc>
        <w:tc>
          <w:tcPr>
            <w:tcW w:w="240" w:type="dxa"/>
            <w:vAlign w:val="bottom"/>
          </w:tcPr>
          <w:p>
            <w:pPr>
              <w:spacing w:after="0"/>
              <w:rPr>
                <w:sz w:val="16"/>
                <w:szCs w:val="16"/>
                <w:color w:val="auto"/>
              </w:rPr>
            </w:pPr>
          </w:p>
        </w:tc>
        <w:tc>
          <w:tcPr>
            <w:tcW w:w="1280" w:type="dxa"/>
            <w:vAlign w:val="bottom"/>
            <w:tcBorders>
              <w:right w:val="single" w:sz="8" w:color="E8EAEB"/>
            </w:tcBorders>
          </w:tcPr>
          <w:p>
            <w:pPr>
              <w:jc w:val="center"/>
              <w:ind w:right="203"/>
              <w:spacing w:after="0"/>
              <w:rPr>
                <w:sz w:val="20"/>
                <w:szCs w:val="20"/>
                <w:color w:val="auto"/>
              </w:rPr>
            </w:pPr>
            <w:r>
              <w:rPr>
                <w:rFonts w:ascii="Arial" w:cs="Arial" w:eastAsia="Arial" w:hAnsi="Arial"/>
                <w:sz w:val="14"/>
                <w:szCs w:val="14"/>
                <w:b w:val="1"/>
                <w:bCs w:val="1"/>
                <w:color w:val="009FE3"/>
              </w:rPr>
              <w:t>Value Realized</w:t>
            </w:r>
          </w:p>
        </w:tc>
        <w:tc>
          <w:tcPr>
            <w:tcW w:w="120" w:type="dxa"/>
            <w:vAlign w:val="bottom"/>
            <w:tcBorders>
              <w:right w:val="single" w:sz="8" w:color="E8EAEB"/>
            </w:tcBorders>
          </w:tcPr>
          <w:p>
            <w:pPr>
              <w:spacing w:after="0"/>
              <w:rPr>
                <w:sz w:val="16"/>
                <w:szCs w:val="16"/>
                <w:color w:val="auto"/>
              </w:rPr>
            </w:pPr>
          </w:p>
        </w:tc>
        <w:tc>
          <w:tcPr>
            <w:tcW w:w="19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 Shares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009FE3"/>
              </w:rPr>
              <w:t>Value Realized on</w:t>
            </w:r>
          </w:p>
        </w:tc>
      </w:tr>
      <w:tr>
        <w:trPr>
          <w:trHeight w:val="162"/>
        </w:trPr>
        <w:tc>
          <w:tcPr>
            <w:tcW w:w="3540" w:type="dxa"/>
            <w:vAlign w:val="bottom"/>
            <w:tcBorders>
              <w:right w:val="single" w:sz="8" w:color="E8EAEB"/>
            </w:tcBorders>
          </w:tcPr>
          <w:p>
            <w:pPr>
              <w:spacing w:after="0"/>
              <w:rPr>
                <w:sz w:val="14"/>
                <w:szCs w:val="14"/>
                <w:color w:val="auto"/>
              </w:rPr>
            </w:pPr>
          </w:p>
        </w:tc>
        <w:tc>
          <w:tcPr>
            <w:tcW w:w="2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Acquired on Exercise</w:t>
            </w:r>
          </w:p>
        </w:tc>
        <w:tc>
          <w:tcPr>
            <w:tcW w:w="240" w:type="dxa"/>
            <w:vAlign w:val="bottom"/>
          </w:tcPr>
          <w:p>
            <w:pPr>
              <w:spacing w:after="0"/>
              <w:rPr>
                <w:sz w:val="14"/>
                <w:szCs w:val="14"/>
                <w:color w:val="auto"/>
              </w:rPr>
            </w:pPr>
          </w:p>
        </w:tc>
        <w:tc>
          <w:tcPr>
            <w:tcW w:w="1280" w:type="dxa"/>
            <w:vAlign w:val="bottom"/>
            <w:tcBorders>
              <w:right w:val="single" w:sz="8" w:color="E8EAEB"/>
            </w:tcBorders>
          </w:tcPr>
          <w:p>
            <w:pPr>
              <w:jc w:val="center"/>
              <w:ind w:right="203"/>
              <w:spacing w:after="0"/>
              <w:rPr>
                <w:sz w:val="20"/>
                <w:szCs w:val="20"/>
                <w:color w:val="auto"/>
              </w:rPr>
            </w:pPr>
            <w:r>
              <w:rPr>
                <w:rFonts w:ascii="Arial" w:cs="Arial" w:eastAsia="Arial" w:hAnsi="Arial"/>
                <w:sz w:val="14"/>
                <w:szCs w:val="14"/>
                <w:b w:val="1"/>
                <w:bCs w:val="1"/>
                <w:color w:val="009FE3"/>
              </w:rPr>
              <w:t>on Exercise</w:t>
            </w:r>
          </w:p>
        </w:tc>
        <w:tc>
          <w:tcPr>
            <w:tcW w:w="120" w:type="dxa"/>
            <w:vAlign w:val="bottom"/>
            <w:tcBorders>
              <w:right w:val="single" w:sz="8" w:color="E8EAEB"/>
            </w:tcBorders>
          </w:tcPr>
          <w:p>
            <w:pPr>
              <w:spacing w:after="0"/>
              <w:rPr>
                <w:sz w:val="14"/>
                <w:szCs w:val="14"/>
                <w:color w:val="auto"/>
              </w:rPr>
            </w:pPr>
          </w:p>
        </w:tc>
        <w:tc>
          <w:tcPr>
            <w:tcW w:w="19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Acquired on Vesting</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009FE3"/>
              </w:rPr>
              <w:t>Vesting</w:t>
            </w:r>
          </w:p>
        </w:tc>
      </w:tr>
      <w:tr>
        <w:trPr>
          <w:trHeight w:val="189"/>
        </w:trPr>
        <w:tc>
          <w:tcPr>
            <w:tcW w:w="35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2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240" w:type="dxa"/>
            <w:vAlign w:val="bottom"/>
            <w:tcBorders>
              <w:bottom w:val="single" w:sz="8" w:color="009FE3"/>
            </w:tcBorders>
          </w:tcPr>
          <w:p>
            <w:pPr>
              <w:spacing w:after="0"/>
              <w:rPr>
                <w:sz w:val="16"/>
                <w:szCs w:val="16"/>
                <w:color w:val="auto"/>
              </w:rPr>
            </w:pPr>
          </w:p>
        </w:tc>
        <w:tc>
          <w:tcPr>
            <w:tcW w:w="1280" w:type="dxa"/>
            <w:vAlign w:val="bottom"/>
            <w:tcBorders>
              <w:bottom w:val="single" w:sz="8" w:color="009FE3"/>
              <w:right w:val="single" w:sz="8" w:color="E8EAEB"/>
            </w:tcBorders>
          </w:tcPr>
          <w:p>
            <w:pPr>
              <w:jc w:val="center"/>
              <w:ind w:right="203"/>
              <w:spacing w:after="0"/>
              <w:rPr>
                <w:sz w:val="20"/>
                <w:szCs w:val="20"/>
                <w:color w:val="auto"/>
              </w:rPr>
            </w:pPr>
            <w:r>
              <w:rPr>
                <w:rFonts w:ascii="Arial" w:cs="Arial" w:eastAsia="Arial" w:hAnsi="Arial"/>
                <w:sz w:val="14"/>
                <w:szCs w:val="14"/>
                <w:b w:val="1"/>
                <w:bCs w:val="1"/>
                <w:color w:val="009FE3"/>
              </w:rPr>
              <w:t>($)(1)</w:t>
            </w:r>
          </w:p>
        </w:tc>
        <w:tc>
          <w:tcPr>
            <w:tcW w:w="120" w:type="dxa"/>
            <w:vAlign w:val="bottom"/>
            <w:tcBorders>
              <w:bottom w:val="single" w:sz="8" w:color="009FE3"/>
              <w:right w:val="single" w:sz="8" w:color="E8EAEB"/>
            </w:tcBorders>
          </w:tcPr>
          <w:p>
            <w:pPr>
              <w:spacing w:after="0"/>
              <w:rPr>
                <w:sz w:val="16"/>
                <w:szCs w:val="16"/>
                <w:color w:val="auto"/>
              </w:rPr>
            </w:pPr>
          </w:p>
        </w:tc>
        <w:tc>
          <w:tcPr>
            <w:tcW w:w="19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188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($)(1)</w:t>
            </w:r>
          </w:p>
        </w:tc>
      </w:tr>
      <w:tr>
        <w:trPr>
          <w:trHeight w:val="244"/>
        </w:trPr>
        <w:tc>
          <w:tcPr>
            <w:tcW w:w="35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2040" w:type="dxa"/>
            <w:vAlign w:val="bottom"/>
            <w:tcBorders>
              <w:bottom w:val="single" w:sz="8" w:color="E8EAEB"/>
              <w:right w:val="single" w:sz="8" w:color="E8EAEB"/>
            </w:tcBorders>
          </w:tcPr>
          <w:p>
            <w:pPr>
              <w:jc w:val="right"/>
              <w:ind w:right="23"/>
              <w:spacing w:after="0"/>
              <w:rPr>
                <w:sz w:val="20"/>
                <w:szCs w:val="20"/>
                <w:color w:val="auto"/>
              </w:rPr>
            </w:pPr>
            <w:r>
              <w:rPr>
                <w:rFonts w:ascii="Arial" w:cs="Arial" w:eastAsia="Arial" w:hAnsi="Arial"/>
                <w:sz w:val="16"/>
                <w:szCs w:val="16"/>
                <w:color w:val="202E39"/>
              </w:rPr>
              <w:t>114,000</w:t>
            </w:r>
          </w:p>
        </w:tc>
        <w:tc>
          <w:tcPr>
            <w:tcW w:w="240" w:type="dxa"/>
            <w:vAlign w:val="bottom"/>
            <w:tcBorders>
              <w:bottom w:val="single" w:sz="8" w:color="E8EAEB"/>
            </w:tcBorders>
          </w:tcPr>
          <w:p>
            <w:pPr>
              <w:spacing w:after="0"/>
              <w:rPr>
                <w:sz w:val="21"/>
                <w:szCs w:val="21"/>
                <w:color w:val="auto"/>
              </w:rPr>
            </w:pPr>
          </w:p>
        </w:tc>
        <w:tc>
          <w:tcPr>
            <w:tcW w:w="1280" w:type="dxa"/>
            <w:vAlign w:val="bottom"/>
            <w:tcBorders>
              <w:bottom w:val="single" w:sz="8" w:color="E8EAEB"/>
              <w:right w:val="single" w:sz="8" w:color="E8EAEB"/>
            </w:tcBorders>
          </w:tcPr>
          <w:p>
            <w:pPr>
              <w:jc w:val="right"/>
              <w:ind w:right="23"/>
              <w:spacing w:after="0"/>
              <w:rPr>
                <w:sz w:val="20"/>
                <w:szCs w:val="20"/>
                <w:color w:val="auto"/>
              </w:rPr>
            </w:pPr>
            <w:r>
              <w:rPr>
                <w:rFonts w:ascii="Arial" w:cs="Arial" w:eastAsia="Arial" w:hAnsi="Arial"/>
                <w:sz w:val="16"/>
                <w:szCs w:val="16"/>
                <w:color w:val="202E39"/>
              </w:rPr>
              <w:t>2,109,200</w:t>
            </w:r>
          </w:p>
        </w:tc>
        <w:tc>
          <w:tcPr>
            <w:tcW w:w="120" w:type="dxa"/>
            <w:vAlign w:val="bottom"/>
            <w:tcBorders>
              <w:bottom w:val="single" w:sz="8" w:color="E8EAEB"/>
              <w:right w:val="single" w:sz="8" w:color="E8EAEB"/>
            </w:tcBorders>
          </w:tcPr>
          <w:p>
            <w:pPr>
              <w:spacing w:after="0"/>
              <w:rPr>
                <w:sz w:val="21"/>
                <w:szCs w:val="21"/>
                <w:color w:val="auto"/>
              </w:rPr>
            </w:pPr>
          </w:p>
        </w:tc>
        <w:tc>
          <w:tcPr>
            <w:tcW w:w="1920" w:type="dxa"/>
            <w:vAlign w:val="bottom"/>
            <w:tcBorders>
              <w:bottom w:val="single" w:sz="8" w:color="E8EAEB"/>
              <w:right w:val="single" w:sz="8" w:color="E8EAEB"/>
            </w:tcBorders>
          </w:tcPr>
          <w:p>
            <w:pPr>
              <w:jc w:val="right"/>
              <w:ind w:right="23"/>
              <w:spacing w:after="0"/>
              <w:rPr>
                <w:sz w:val="20"/>
                <w:szCs w:val="20"/>
                <w:color w:val="auto"/>
              </w:rPr>
            </w:pPr>
            <w:r>
              <w:rPr>
                <w:rFonts w:ascii="Arial" w:cs="Arial" w:eastAsia="Arial" w:hAnsi="Arial"/>
                <w:sz w:val="16"/>
                <w:szCs w:val="16"/>
                <w:color w:val="202E39"/>
              </w:rPr>
              <w:t>39,584</w:t>
            </w:r>
          </w:p>
        </w:tc>
        <w:tc>
          <w:tcPr>
            <w:tcW w:w="1880" w:type="dxa"/>
            <w:vAlign w:val="bottom"/>
            <w:tcBorders>
              <w:bottom w:val="single" w:sz="8" w:color="E8EAEB"/>
            </w:tcBorders>
          </w:tcPr>
          <w:p>
            <w:pPr>
              <w:jc w:val="right"/>
              <w:ind w:right="22"/>
              <w:spacing w:after="0"/>
              <w:rPr>
                <w:sz w:val="20"/>
                <w:szCs w:val="20"/>
                <w:color w:val="auto"/>
              </w:rPr>
            </w:pPr>
            <w:r>
              <w:rPr>
                <w:rFonts w:ascii="Arial" w:cs="Arial" w:eastAsia="Arial" w:hAnsi="Arial"/>
                <w:sz w:val="16"/>
                <w:szCs w:val="16"/>
                <w:color w:val="202E39"/>
              </w:rPr>
              <w:t>2,874,663</w:t>
            </w:r>
          </w:p>
        </w:tc>
      </w:tr>
      <w:tr>
        <w:trPr>
          <w:trHeight w:val="250"/>
        </w:trPr>
        <w:tc>
          <w:tcPr>
            <w:tcW w:w="35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2040" w:type="dxa"/>
            <w:vAlign w:val="bottom"/>
            <w:tcBorders>
              <w:bottom w:val="single" w:sz="8" w:color="E8EAEB"/>
              <w:right w:val="single" w:sz="8" w:color="E8EAEB"/>
            </w:tcBorders>
          </w:tcPr>
          <w:p>
            <w:pPr>
              <w:jc w:val="right"/>
              <w:ind w:right="23"/>
              <w:spacing w:after="0"/>
              <w:rPr>
                <w:sz w:val="20"/>
                <w:szCs w:val="20"/>
                <w:color w:val="auto"/>
              </w:rPr>
            </w:pPr>
            <w:r>
              <w:rPr>
                <w:rFonts w:ascii="Arial" w:cs="Arial" w:eastAsia="Arial" w:hAnsi="Arial"/>
                <w:sz w:val="16"/>
                <w:szCs w:val="16"/>
                <w:color w:val="202E39"/>
              </w:rPr>
              <w:t>59,000</w:t>
            </w:r>
          </w:p>
        </w:tc>
        <w:tc>
          <w:tcPr>
            <w:tcW w:w="240" w:type="dxa"/>
            <w:vAlign w:val="bottom"/>
            <w:tcBorders>
              <w:bottom w:val="single" w:sz="8" w:color="E8EAEB"/>
            </w:tcBorders>
          </w:tcPr>
          <w:p>
            <w:pPr>
              <w:spacing w:after="0"/>
              <w:rPr>
                <w:sz w:val="21"/>
                <w:szCs w:val="21"/>
                <w:color w:val="auto"/>
              </w:rPr>
            </w:pPr>
          </w:p>
        </w:tc>
        <w:tc>
          <w:tcPr>
            <w:tcW w:w="1280" w:type="dxa"/>
            <w:vAlign w:val="bottom"/>
            <w:tcBorders>
              <w:bottom w:val="single" w:sz="8" w:color="E8EAEB"/>
              <w:right w:val="single" w:sz="8" w:color="E8EAEB"/>
            </w:tcBorders>
          </w:tcPr>
          <w:p>
            <w:pPr>
              <w:jc w:val="right"/>
              <w:ind w:right="23"/>
              <w:spacing w:after="0"/>
              <w:rPr>
                <w:sz w:val="20"/>
                <w:szCs w:val="20"/>
                <w:color w:val="auto"/>
              </w:rPr>
            </w:pPr>
            <w:r>
              <w:rPr>
                <w:rFonts w:ascii="Arial" w:cs="Arial" w:eastAsia="Arial" w:hAnsi="Arial"/>
                <w:sz w:val="16"/>
                <w:szCs w:val="16"/>
                <w:color w:val="202E39"/>
              </w:rPr>
              <w:t>923,135</w:t>
            </w:r>
          </w:p>
        </w:tc>
        <w:tc>
          <w:tcPr>
            <w:tcW w:w="120" w:type="dxa"/>
            <w:vAlign w:val="bottom"/>
            <w:tcBorders>
              <w:bottom w:val="single" w:sz="8" w:color="E8EAEB"/>
              <w:right w:val="single" w:sz="8" w:color="E8EAEB"/>
            </w:tcBorders>
          </w:tcPr>
          <w:p>
            <w:pPr>
              <w:spacing w:after="0"/>
              <w:rPr>
                <w:sz w:val="21"/>
                <w:szCs w:val="21"/>
                <w:color w:val="auto"/>
              </w:rPr>
            </w:pPr>
          </w:p>
        </w:tc>
        <w:tc>
          <w:tcPr>
            <w:tcW w:w="1920" w:type="dxa"/>
            <w:vAlign w:val="bottom"/>
            <w:tcBorders>
              <w:bottom w:val="single" w:sz="8" w:color="E8EAEB"/>
              <w:right w:val="single" w:sz="8" w:color="E8EAEB"/>
            </w:tcBorders>
          </w:tcPr>
          <w:p>
            <w:pPr>
              <w:jc w:val="right"/>
              <w:ind w:right="23"/>
              <w:spacing w:after="0"/>
              <w:rPr>
                <w:sz w:val="20"/>
                <w:szCs w:val="20"/>
                <w:color w:val="auto"/>
              </w:rPr>
            </w:pPr>
            <w:r>
              <w:rPr>
                <w:rFonts w:ascii="Arial" w:cs="Arial" w:eastAsia="Arial" w:hAnsi="Arial"/>
                <w:sz w:val="16"/>
                <w:szCs w:val="16"/>
                <w:color w:val="202E39"/>
              </w:rPr>
              <w:t>27,292</w:t>
            </w:r>
          </w:p>
        </w:tc>
        <w:tc>
          <w:tcPr>
            <w:tcW w:w="1880" w:type="dxa"/>
            <w:vAlign w:val="bottom"/>
            <w:tcBorders>
              <w:bottom w:val="single" w:sz="8" w:color="E8EAEB"/>
            </w:tcBorders>
          </w:tcPr>
          <w:p>
            <w:pPr>
              <w:jc w:val="right"/>
              <w:ind w:right="22"/>
              <w:spacing w:after="0"/>
              <w:rPr>
                <w:sz w:val="20"/>
                <w:szCs w:val="20"/>
                <w:color w:val="auto"/>
              </w:rPr>
            </w:pPr>
            <w:r>
              <w:rPr>
                <w:rFonts w:ascii="Arial" w:cs="Arial" w:eastAsia="Arial" w:hAnsi="Arial"/>
                <w:sz w:val="16"/>
                <w:szCs w:val="16"/>
                <w:color w:val="202E39"/>
              </w:rPr>
              <w:t>1,998,158</w:t>
            </w:r>
          </w:p>
        </w:tc>
      </w:tr>
      <w:tr>
        <w:trPr>
          <w:trHeight w:val="250"/>
        </w:trPr>
        <w:tc>
          <w:tcPr>
            <w:tcW w:w="35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2040" w:type="dxa"/>
            <w:vAlign w:val="bottom"/>
            <w:tcBorders>
              <w:bottom w:val="single" w:sz="8" w:color="E8EAEB"/>
              <w:right w:val="single" w:sz="8" w:color="E8EAEB"/>
            </w:tcBorders>
          </w:tcPr>
          <w:p>
            <w:pPr>
              <w:jc w:val="right"/>
              <w:ind w:right="103"/>
              <w:spacing w:after="0"/>
              <w:rPr>
                <w:sz w:val="20"/>
                <w:szCs w:val="20"/>
                <w:color w:val="auto"/>
              </w:rPr>
            </w:pPr>
            <w:r>
              <w:rPr>
                <w:rFonts w:ascii="Arial" w:cs="Arial" w:eastAsia="Arial" w:hAnsi="Arial"/>
                <w:sz w:val="16"/>
                <w:szCs w:val="16"/>
                <w:color w:val="202E39"/>
              </w:rPr>
              <w:t>—</w:t>
            </w:r>
          </w:p>
        </w:tc>
        <w:tc>
          <w:tcPr>
            <w:tcW w:w="240" w:type="dxa"/>
            <w:vAlign w:val="bottom"/>
            <w:tcBorders>
              <w:bottom w:val="single" w:sz="8" w:color="E8EAEB"/>
            </w:tcBorders>
          </w:tcPr>
          <w:p>
            <w:pPr>
              <w:spacing w:after="0"/>
              <w:rPr>
                <w:sz w:val="21"/>
                <w:szCs w:val="21"/>
                <w:color w:val="auto"/>
              </w:rPr>
            </w:pPr>
          </w:p>
        </w:tc>
        <w:tc>
          <w:tcPr>
            <w:tcW w:w="1280" w:type="dxa"/>
            <w:vAlign w:val="bottom"/>
            <w:tcBorders>
              <w:bottom w:val="single" w:sz="8" w:color="E8EAEB"/>
              <w:right w:val="single" w:sz="8" w:color="E8EAEB"/>
            </w:tcBorders>
          </w:tcPr>
          <w:p>
            <w:pPr>
              <w:jc w:val="right"/>
              <w:ind w:right="123"/>
              <w:spacing w:after="0"/>
              <w:rPr>
                <w:sz w:val="20"/>
                <w:szCs w:val="20"/>
                <w:color w:val="auto"/>
              </w:rPr>
            </w:pPr>
            <w:r>
              <w:rPr>
                <w:rFonts w:ascii="Arial" w:cs="Arial" w:eastAsia="Arial" w:hAnsi="Arial"/>
                <w:sz w:val="16"/>
                <w:szCs w:val="16"/>
                <w:color w:val="202E39"/>
              </w:rPr>
              <w:t>—</w:t>
            </w:r>
          </w:p>
        </w:tc>
        <w:tc>
          <w:tcPr>
            <w:tcW w:w="120" w:type="dxa"/>
            <w:vAlign w:val="bottom"/>
            <w:tcBorders>
              <w:bottom w:val="single" w:sz="8" w:color="E8EAEB"/>
              <w:right w:val="single" w:sz="8" w:color="E8EAEB"/>
            </w:tcBorders>
          </w:tcPr>
          <w:p>
            <w:pPr>
              <w:spacing w:after="0"/>
              <w:rPr>
                <w:sz w:val="21"/>
                <w:szCs w:val="21"/>
                <w:color w:val="auto"/>
              </w:rPr>
            </w:pPr>
          </w:p>
        </w:tc>
        <w:tc>
          <w:tcPr>
            <w:tcW w:w="1920" w:type="dxa"/>
            <w:vAlign w:val="bottom"/>
            <w:tcBorders>
              <w:bottom w:val="single" w:sz="8" w:color="E8EAEB"/>
              <w:right w:val="single" w:sz="8" w:color="E8EAEB"/>
            </w:tcBorders>
          </w:tcPr>
          <w:p>
            <w:pPr>
              <w:jc w:val="right"/>
              <w:ind w:right="23"/>
              <w:spacing w:after="0"/>
              <w:rPr>
                <w:sz w:val="20"/>
                <w:szCs w:val="20"/>
                <w:color w:val="auto"/>
              </w:rPr>
            </w:pPr>
            <w:r>
              <w:rPr>
                <w:rFonts w:ascii="Arial" w:cs="Arial" w:eastAsia="Arial" w:hAnsi="Arial"/>
                <w:sz w:val="16"/>
                <w:szCs w:val="16"/>
                <w:color w:val="202E39"/>
              </w:rPr>
              <w:t>7,917</w:t>
            </w:r>
          </w:p>
        </w:tc>
        <w:tc>
          <w:tcPr>
            <w:tcW w:w="1880" w:type="dxa"/>
            <w:vAlign w:val="bottom"/>
            <w:tcBorders>
              <w:bottom w:val="single" w:sz="8" w:color="E8EAEB"/>
            </w:tcBorders>
          </w:tcPr>
          <w:p>
            <w:pPr>
              <w:jc w:val="right"/>
              <w:ind w:right="22"/>
              <w:spacing w:after="0"/>
              <w:rPr>
                <w:sz w:val="20"/>
                <w:szCs w:val="20"/>
                <w:color w:val="auto"/>
              </w:rPr>
            </w:pPr>
            <w:r>
              <w:rPr>
                <w:rFonts w:ascii="Arial" w:cs="Arial" w:eastAsia="Arial" w:hAnsi="Arial"/>
                <w:sz w:val="16"/>
                <w:szCs w:val="16"/>
                <w:color w:val="202E39"/>
              </w:rPr>
              <w:t>576,070</w:t>
            </w:r>
          </w:p>
        </w:tc>
      </w:tr>
      <w:tr>
        <w:trPr>
          <w:trHeight w:val="251"/>
        </w:trPr>
        <w:tc>
          <w:tcPr>
            <w:tcW w:w="35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Keven Lippert</w:t>
            </w:r>
          </w:p>
        </w:tc>
        <w:tc>
          <w:tcPr>
            <w:tcW w:w="2040" w:type="dxa"/>
            <w:vAlign w:val="bottom"/>
            <w:tcBorders>
              <w:bottom w:val="single" w:sz="8" w:color="E8EAEB"/>
              <w:right w:val="single" w:sz="8" w:color="E8EAEB"/>
            </w:tcBorders>
          </w:tcPr>
          <w:p>
            <w:pPr>
              <w:jc w:val="right"/>
              <w:ind w:right="103"/>
              <w:spacing w:after="0"/>
              <w:rPr>
                <w:sz w:val="20"/>
                <w:szCs w:val="20"/>
                <w:color w:val="auto"/>
              </w:rPr>
            </w:pPr>
            <w:r>
              <w:rPr>
                <w:rFonts w:ascii="Arial" w:cs="Arial" w:eastAsia="Arial" w:hAnsi="Arial"/>
                <w:sz w:val="16"/>
                <w:szCs w:val="16"/>
                <w:color w:val="202E39"/>
              </w:rPr>
              <w:t>—</w:t>
            </w:r>
          </w:p>
        </w:tc>
        <w:tc>
          <w:tcPr>
            <w:tcW w:w="240" w:type="dxa"/>
            <w:vAlign w:val="bottom"/>
            <w:tcBorders>
              <w:bottom w:val="single" w:sz="8" w:color="E8EAEB"/>
            </w:tcBorders>
          </w:tcPr>
          <w:p>
            <w:pPr>
              <w:spacing w:after="0"/>
              <w:rPr>
                <w:sz w:val="21"/>
                <w:szCs w:val="21"/>
                <w:color w:val="auto"/>
              </w:rPr>
            </w:pPr>
          </w:p>
        </w:tc>
        <w:tc>
          <w:tcPr>
            <w:tcW w:w="1280" w:type="dxa"/>
            <w:vAlign w:val="bottom"/>
            <w:tcBorders>
              <w:bottom w:val="single" w:sz="8" w:color="E8EAEB"/>
              <w:right w:val="single" w:sz="8" w:color="E8EAEB"/>
            </w:tcBorders>
          </w:tcPr>
          <w:p>
            <w:pPr>
              <w:jc w:val="right"/>
              <w:ind w:right="103"/>
              <w:spacing w:after="0"/>
              <w:rPr>
                <w:sz w:val="20"/>
                <w:szCs w:val="20"/>
                <w:color w:val="auto"/>
              </w:rPr>
            </w:pPr>
            <w:r>
              <w:rPr>
                <w:rFonts w:ascii="Arial" w:cs="Arial" w:eastAsia="Arial" w:hAnsi="Arial"/>
                <w:sz w:val="14"/>
                <w:szCs w:val="14"/>
                <w:color w:val="202E39"/>
              </w:rPr>
              <w:t>—</w:t>
            </w:r>
          </w:p>
        </w:tc>
        <w:tc>
          <w:tcPr>
            <w:tcW w:w="120" w:type="dxa"/>
            <w:vAlign w:val="bottom"/>
            <w:tcBorders>
              <w:bottom w:val="single" w:sz="8" w:color="E8EAEB"/>
              <w:right w:val="single" w:sz="8" w:color="E8EAEB"/>
            </w:tcBorders>
          </w:tcPr>
          <w:p>
            <w:pPr>
              <w:spacing w:after="0"/>
              <w:rPr>
                <w:sz w:val="21"/>
                <w:szCs w:val="21"/>
                <w:color w:val="auto"/>
              </w:rPr>
            </w:pPr>
          </w:p>
        </w:tc>
        <w:tc>
          <w:tcPr>
            <w:tcW w:w="1920" w:type="dxa"/>
            <w:vAlign w:val="bottom"/>
            <w:tcBorders>
              <w:bottom w:val="single" w:sz="8" w:color="E8EAEB"/>
              <w:right w:val="single" w:sz="8" w:color="E8EAEB"/>
            </w:tcBorders>
          </w:tcPr>
          <w:p>
            <w:pPr>
              <w:jc w:val="right"/>
              <w:ind w:right="23"/>
              <w:spacing w:after="0"/>
              <w:rPr>
                <w:sz w:val="20"/>
                <w:szCs w:val="20"/>
                <w:color w:val="auto"/>
              </w:rPr>
            </w:pPr>
            <w:r>
              <w:rPr>
                <w:rFonts w:ascii="Arial" w:cs="Arial" w:eastAsia="Arial" w:hAnsi="Arial"/>
                <w:sz w:val="16"/>
                <w:szCs w:val="16"/>
                <w:color w:val="202E39"/>
              </w:rPr>
              <w:t>10,624</w:t>
            </w:r>
          </w:p>
        </w:tc>
        <w:tc>
          <w:tcPr>
            <w:tcW w:w="1880" w:type="dxa"/>
            <w:vAlign w:val="bottom"/>
            <w:tcBorders>
              <w:bottom w:val="single" w:sz="8" w:color="E8EAEB"/>
            </w:tcBorders>
          </w:tcPr>
          <w:p>
            <w:pPr>
              <w:jc w:val="right"/>
              <w:ind w:right="22"/>
              <w:spacing w:after="0"/>
              <w:rPr>
                <w:sz w:val="20"/>
                <w:szCs w:val="20"/>
                <w:color w:val="auto"/>
              </w:rPr>
            </w:pPr>
            <w:r>
              <w:rPr>
                <w:rFonts w:ascii="Arial" w:cs="Arial" w:eastAsia="Arial" w:hAnsi="Arial"/>
                <w:sz w:val="16"/>
                <w:szCs w:val="16"/>
                <w:color w:val="202E39"/>
              </w:rPr>
              <w:t>774,561</w:t>
            </w:r>
          </w:p>
        </w:tc>
      </w:tr>
      <w:tr>
        <w:trPr>
          <w:trHeight w:val="250"/>
        </w:trPr>
        <w:tc>
          <w:tcPr>
            <w:tcW w:w="35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2040" w:type="dxa"/>
            <w:vAlign w:val="bottom"/>
            <w:tcBorders>
              <w:bottom w:val="single" w:sz="8" w:color="009FE3"/>
              <w:right w:val="single" w:sz="8" w:color="E8EAEB"/>
            </w:tcBorders>
          </w:tcPr>
          <w:p>
            <w:pPr>
              <w:jc w:val="right"/>
              <w:ind w:right="23"/>
              <w:spacing w:after="0"/>
              <w:rPr>
                <w:sz w:val="20"/>
                <w:szCs w:val="20"/>
                <w:color w:val="auto"/>
              </w:rPr>
            </w:pPr>
            <w:r>
              <w:rPr>
                <w:rFonts w:ascii="Arial" w:cs="Arial" w:eastAsia="Arial" w:hAnsi="Arial"/>
                <w:sz w:val="16"/>
                <w:szCs w:val="16"/>
                <w:color w:val="202E39"/>
              </w:rPr>
              <w:t>6,437</w:t>
            </w:r>
          </w:p>
        </w:tc>
        <w:tc>
          <w:tcPr>
            <w:tcW w:w="240" w:type="dxa"/>
            <w:vAlign w:val="bottom"/>
            <w:tcBorders>
              <w:bottom w:val="single" w:sz="8" w:color="009FE3"/>
            </w:tcBorders>
          </w:tcPr>
          <w:p>
            <w:pPr>
              <w:spacing w:after="0"/>
              <w:rPr>
                <w:sz w:val="21"/>
                <w:szCs w:val="21"/>
                <w:color w:val="auto"/>
              </w:rPr>
            </w:pPr>
          </w:p>
        </w:tc>
        <w:tc>
          <w:tcPr>
            <w:tcW w:w="1280" w:type="dxa"/>
            <w:vAlign w:val="bottom"/>
            <w:tcBorders>
              <w:bottom w:val="single" w:sz="8" w:color="009FE3"/>
              <w:right w:val="single" w:sz="8" w:color="E8EAEB"/>
            </w:tcBorders>
          </w:tcPr>
          <w:p>
            <w:pPr>
              <w:jc w:val="right"/>
              <w:ind w:right="23"/>
              <w:spacing w:after="0"/>
              <w:rPr>
                <w:sz w:val="20"/>
                <w:szCs w:val="20"/>
                <w:color w:val="auto"/>
              </w:rPr>
            </w:pPr>
            <w:r>
              <w:rPr>
                <w:rFonts w:ascii="Arial" w:cs="Arial" w:eastAsia="Arial" w:hAnsi="Arial"/>
                <w:sz w:val="16"/>
                <w:szCs w:val="16"/>
                <w:color w:val="202E39"/>
              </w:rPr>
              <w:t>87,832</w:t>
            </w:r>
          </w:p>
        </w:tc>
        <w:tc>
          <w:tcPr>
            <w:tcW w:w="120" w:type="dxa"/>
            <w:vAlign w:val="bottom"/>
            <w:tcBorders>
              <w:bottom w:val="single" w:sz="8" w:color="009FE3"/>
              <w:right w:val="single" w:sz="8" w:color="E8EAEB"/>
            </w:tcBorders>
          </w:tcPr>
          <w:p>
            <w:pPr>
              <w:spacing w:after="0"/>
              <w:rPr>
                <w:sz w:val="21"/>
                <w:szCs w:val="21"/>
                <w:color w:val="auto"/>
              </w:rPr>
            </w:pPr>
          </w:p>
        </w:tc>
        <w:tc>
          <w:tcPr>
            <w:tcW w:w="1920" w:type="dxa"/>
            <w:vAlign w:val="bottom"/>
            <w:tcBorders>
              <w:bottom w:val="single" w:sz="8" w:color="009FE3"/>
              <w:right w:val="single" w:sz="8" w:color="E8EAEB"/>
            </w:tcBorders>
          </w:tcPr>
          <w:p>
            <w:pPr>
              <w:jc w:val="right"/>
              <w:ind w:right="23"/>
              <w:spacing w:after="0"/>
              <w:rPr>
                <w:sz w:val="20"/>
                <w:szCs w:val="20"/>
                <w:color w:val="auto"/>
              </w:rPr>
            </w:pPr>
            <w:r>
              <w:rPr>
                <w:rFonts w:ascii="Arial" w:cs="Arial" w:eastAsia="Arial" w:hAnsi="Arial"/>
                <w:sz w:val="16"/>
                <w:szCs w:val="16"/>
                <w:color w:val="202E39"/>
              </w:rPr>
              <w:t>8,063</w:t>
            </w:r>
          </w:p>
        </w:tc>
        <w:tc>
          <w:tcPr>
            <w:tcW w:w="1880" w:type="dxa"/>
            <w:vAlign w:val="bottom"/>
            <w:tcBorders>
              <w:bottom w:val="single" w:sz="8" w:color="009FE3"/>
            </w:tcBorders>
          </w:tcPr>
          <w:p>
            <w:pPr>
              <w:jc w:val="right"/>
              <w:ind w:right="22"/>
              <w:spacing w:after="0"/>
              <w:rPr>
                <w:sz w:val="20"/>
                <w:szCs w:val="20"/>
                <w:color w:val="auto"/>
              </w:rPr>
            </w:pPr>
            <w:r>
              <w:rPr>
                <w:rFonts w:ascii="Arial" w:cs="Arial" w:eastAsia="Arial" w:hAnsi="Arial"/>
                <w:sz w:val="16"/>
                <w:szCs w:val="16"/>
                <w:color w:val="202E39"/>
              </w:rPr>
              <w:t>573,745</w:t>
            </w:r>
          </w:p>
        </w:tc>
      </w:tr>
    </w:tbl>
    <w:p>
      <w:pPr>
        <w:spacing w:after="0" w:line="126" w:lineRule="exact"/>
        <w:rPr>
          <w:sz w:val="20"/>
          <w:szCs w:val="20"/>
          <w:color w:val="auto"/>
        </w:rPr>
      </w:pPr>
    </w:p>
    <w:p>
      <w:pPr>
        <w:jc w:val="both"/>
        <w:ind w:left="520" w:right="220" w:hanging="316"/>
        <w:spacing w:after="0" w:line="250" w:lineRule="auto"/>
        <w:tabs>
          <w:tab w:leader="none" w:pos="520" w:val="left"/>
        </w:tabs>
        <w:numPr>
          <w:ilvl w:val="0"/>
          <w:numId w:val="41"/>
        </w:numPr>
        <w:rPr>
          <w:rFonts w:ascii="Arial" w:cs="Arial" w:eastAsia="Arial" w:hAnsi="Arial"/>
          <w:sz w:val="14"/>
          <w:szCs w:val="14"/>
          <w:color w:val="202E39"/>
        </w:rPr>
      </w:pPr>
      <w:r>
        <w:rPr>
          <w:rFonts w:ascii="Arial" w:cs="Arial" w:eastAsia="Arial" w:hAnsi="Arial"/>
          <w:sz w:val="14"/>
          <w:szCs w:val="14"/>
          <w:color w:val="202E39"/>
        </w:rPr>
        <w:t>With respect to stock option exercises, the value realized equals the difference between the closing price of our common stock on the date of exercise and the option exercise price, multiplied by the number of shares for which the option was exercised. With respect to stock awards, the value realized equals the closing price of our common stock on the date of vesting multiplied by the number of shares subject to the award vesting on such date.</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Pension Benefits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None of our Named Executive Officers participates in or has account balances in qualified or non-qualified defined benefit plans sponsored by us.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Non-Qualified Deferred Compensation</w:t>
      </w:r>
    </w:p>
    <w:p>
      <w:pPr>
        <w:spacing w:after="0" w:line="145" w:lineRule="exact"/>
        <w:rPr>
          <w:sz w:val="20"/>
          <w:szCs w:val="20"/>
          <w:color w:val="auto"/>
        </w:rPr>
      </w:pPr>
    </w:p>
    <w:p>
      <w:pPr>
        <w:ind w:left="200" w:right="100"/>
        <w:spacing w:after="0" w:line="251" w:lineRule="auto"/>
        <w:rPr>
          <w:sz w:val="20"/>
          <w:szCs w:val="20"/>
          <w:color w:val="auto"/>
        </w:rPr>
      </w:pPr>
      <w:r>
        <w:rPr>
          <w:rFonts w:ascii="Arial" w:cs="Arial" w:eastAsia="Arial" w:hAnsi="Arial"/>
          <w:sz w:val="16"/>
          <w:szCs w:val="16"/>
          <w:color w:val="202E39"/>
        </w:rPr>
        <w:t>In accordance with Section 409A of the Internal Revenue Code, Viasat allows executives to elect to defer the timing of receipt of the shares issuable pursuant to their restricted stock unit awards. None of our Named Executive Officers has made a deferral election with respect to any of their outstanding restricted stock unit awards. We do not currently offer any other nonqualified defined contribution or other deferred compensation plans for our Named Executive Officers.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Potential Payments Upon Termination</w:t>
      </w:r>
    </w:p>
    <w:p>
      <w:pPr>
        <w:spacing w:after="0" w:line="145" w:lineRule="exact"/>
        <w:rPr>
          <w:sz w:val="20"/>
          <w:szCs w:val="20"/>
          <w:color w:val="auto"/>
        </w:rPr>
      </w:pPr>
    </w:p>
    <w:p>
      <w:pPr>
        <w:ind w:left="200" w:right="120"/>
        <w:spacing w:after="0" w:line="250" w:lineRule="auto"/>
        <w:rPr>
          <w:sz w:val="20"/>
          <w:szCs w:val="20"/>
          <w:color w:val="auto"/>
        </w:rPr>
      </w:pPr>
      <w:r>
        <w:rPr>
          <w:rFonts w:ascii="Arial" w:cs="Arial" w:eastAsia="Arial" w:hAnsi="Arial"/>
          <w:sz w:val="16"/>
          <w:szCs w:val="16"/>
          <w:color w:val="202E39"/>
        </w:rPr>
        <w:t>Viasat provides for certain severance payments and benefits in the event that an executive officer’s employment is involuntarily or constructively terminated within two months prior to or within 18 months following a change in control of the company. We believe that reasonable severance payments and benefits provide for a stable work environment by reinforcing and encouraging the continued attention and dedication of our key executive officers to their duties of employment without personal distraction or conflict of interest in circumstances which could arise from the occurrence of a change in control.</w:t>
      </w:r>
    </w:p>
    <w:p>
      <w:pPr>
        <w:spacing w:after="0" w:line="95" w:lineRule="exact"/>
        <w:rPr>
          <w:sz w:val="20"/>
          <w:szCs w:val="20"/>
          <w:color w:val="auto"/>
        </w:rPr>
      </w:pPr>
    </w:p>
    <w:p>
      <w:pPr>
        <w:ind w:left="200" w:right="20"/>
        <w:spacing w:after="0" w:line="251" w:lineRule="auto"/>
        <w:rPr>
          <w:sz w:val="20"/>
          <w:szCs w:val="20"/>
          <w:color w:val="auto"/>
        </w:rPr>
      </w:pPr>
      <w:r>
        <w:rPr>
          <w:rFonts w:ascii="Arial" w:cs="Arial" w:eastAsia="Arial" w:hAnsi="Arial"/>
          <w:sz w:val="16"/>
          <w:szCs w:val="16"/>
          <w:color w:val="202E39"/>
        </w:rPr>
        <w:t>We have entered into change in control severance agreements, or Change in Control Agreements, with each of the Named Executive Officers. Under each Change in Control Agreement, in the event an executive officer’s employment is terminated by Viasat without “cause” or the executive officer resigns for “good reason,” in either case, within two months prior to or within 18 months following a “change in control” of the company (as each term is defined in the Change in Control Agreement), the</w:t>
      </w:r>
    </w:p>
    <w:p>
      <w:pPr>
        <w:spacing w:after="0" w:line="120"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41</w:t>
            </w:r>
          </w:p>
        </w:tc>
      </w:tr>
    </w:tbl>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Potential Payments Upon Termination</w:t>
      </w:r>
    </w:p>
    <w:p>
      <w:pPr>
        <w:spacing w:after="0" w:line="147"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202E39"/>
        </w:rPr>
        <w:t>executive officer will be entitled to receive the following in lieu of any severance payments and benefits to which such executive may otherwise be entitled under any severance plan or program:</w:t>
      </w:r>
    </w:p>
    <w:p>
      <w:pPr>
        <w:spacing w:after="0" w:line="101" w:lineRule="exact"/>
        <w:rPr>
          <w:sz w:val="20"/>
          <w:szCs w:val="20"/>
          <w:color w:val="auto"/>
        </w:rPr>
      </w:pPr>
    </w:p>
    <w:p>
      <w:pPr>
        <w:ind w:left="640" w:right="140" w:hanging="220"/>
        <w:spacing w:after="0" w:line="260" w:lineRule="auto"/>
        <w:tabs>
          <w:tab w:leader="none" w:pos="640" w:val="left"/>
        </w:tabs>
        <w:numPr>
          <w:ilvl w:val="0"/>
          <w:numId w:val="42"/>
        </w:numPr>
        <w:rPr>
          <w:rFonts w:ascii="Arial" w:cs="Arial" w:eastAsia="Arial" w:hAnsi="Arial"/>
          <w:sz w:val="16"/>
          <w:szCs w:val="16"/>
          <w:color w:val="009FE3"/>
        </w:rPr>
      </w:pPr>
      <w:r>
        <w:rPr>
          <w:rFonts w:ascii="Arial" w:cs="Arial" w:eastAsia="Arial" w:hAnsi="Arial"/>
          <w:sz w:val="16"/>
          <w:szCs w:val="16"/>
          <w:color w:val="202E39"/>
        </w:rPr>
        <w:t>the executive officer’s fully earned but unpaid base salary, when due, through the date of termination, plus all other benefits to which the executive officer may be entitled for such period,</w:t>
      </w:r>
    </w:p>
    <w:p>
      <w:pPr>
        <w:spacing w:after="0" w:line="47" w:lineRule="exact"/>
        <w:rPr>
          <w:rFonts w:ascii="Arial" w:cs="Arial" w:eastAsia="Arial" w:hAnsi="Arial"/>
          <w:sz w:val="16"/>
          <w:szCs w:val="16"/>
          <w:color w:val="009FE3"/>
        </w:rPr>
      </w:pPr>
    </w:p>
    <w:p>
      <w:pPr>
        <w:ind w:left="640" w:right="160" w:hanging="220"/>
        <w:spacing w:after="0" w:line="260" w:lineRule="auto"/>
        <w:tabs>
          <w:tab w:leader="none" w:pos="640" w:val="left"/>
        </w:tabs>
        <w:numPr>
          <w:ilvl w:val="0"/>
          <w:numId w:val="42"/>
        </w:numPr>
        <w:rPr>
          <w:rFonts w:ascii="Arial" w:cs="Arial" w:eastAsia="Arial" w:hAnsi="Arial"/>
          <w:sz w:val="16"/>
          <w:szCs w:val="16"/>
          <w:color w:val="009FE3"/>
        </w:rPr>
      </w:pPr>
      <w:r>
        <w:rPr>
          <w:rFonts w:ascii="Arial" w:cs="Arial" w:eastAsia="Arial" w:hAnsi="Arial"/>
          <w:sz w:val="16"/>
          <w:szCs w:val="16"/>
          <w:color w:val="202E39"/>
        </w:rPr>
        <w:t>a lump sum cash payment based on a multiplier of the sum of the executive officer’s then current annual base salary and target annual bonus (the multiplier used is 3.0 for the positions of Chief Executive Officer and President, and 2.0 for the remaining Named Executive Officers),</w:t>
      </w:r>
    </w:p>
    <w:p>
      <w:pPr>
        <w:spacing w:after="0" w:line="47" w:lineRule="exact"/>
        <w:rPr>
          <w:rFonts w:ascii="Arial" w:cs="Arial" w:eastAsia="Arial" w:hAnsi="Arial"/>
          <w:sz w:val="16"/>
          <w:szCs w:val="16"/>
          <w:color w:val="009FE3"/>
        </w:rPr>
      </w:pPr>
    </w:p>
    <w:p>
      <w:pPr>
        <w:ind w:left="640" w:hanging="220"/>
        <w:spacing w:after="0"/>
        <w:tabs>
          <w:tab w:leader="none" w:pos="640" w:val="left"/>
        </w:tabs>
        <w:numPr>
          <w:ilvl w:val="0"/>
          <w:numId w:val="42"/>
        </w:numPr>
        <w:rPr>
          <w:rFonts w:ascii="Arial" w:cs="Arial" w:eastAsia="Arial" w:hAnsi="Arial"/>
          <w:sz w:val="16"/>
          <w:szCs w:val="16"/>
          <w:color w:val="009FE3"/>
        </w:rPr>
      </w:pPr>
      <w:r>
        <w:rPr>
          <w:rFonts w:ascii="Arial" w:cs="Arial" w:eastAsia="Arial" w:hAnsi="Arial"/>
          <w:sz w:val="16"/>
          <w:szCs w:val="16"/>
          <w:color w:val="202E39"/>
        </w:rPr>
        <w:t>continuation of health and other benefits for a period of 18 months following the date of termination, and</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42"/>
        </w:numPr>
        <w:rPr>
          <w:rFonts w:ascii="Arial" w:cs="Arial" w:eastAsia="Arial" w:hAnsi="Arial"/>
          <w:sz w:val="16"/>
          <w:szCs w:val="16"/>
          <w:color w:val="009FE3"/>
        </w:rPr>
      </w:pPr>
      <w:r>
        <w:rPr>
          <w:rFonts w:ascii="Arial" w:cs="Arial" w:eastAsia="Arial" w:hAnsi="Arial"/>
          <w:sz w:val="16"/>
          <w:szCs w:val="16"/>
          <w:color w:val="202E39"/>
        </w:rPr>
        <w:t>full vesting of any outstanding equity awards.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As a condition to the executive officer’s receipt of any of the post-termination payments and benefits described above, the executive officer must</w:t>
      </w:r>
    </w:p>
    <w:p>
      <w:pPr>
        <w:spacing w:after="0" w:line="5" w:lineRule="exact"/>
        <w:rPr>
          <w:sz w:val="20"/>
          <w:szCs w:val="20"/>
          <w:color w:val="auto"/>
        </w:rPr>
      </w:pPr>
    </w:p>
    <w:p>
      <w:pPr>
        <w:ind w:left="200" w:right="400" w:firstLine="4"/>
        <w:spacing w:after="0" w:line="251" w:lineRule="auto"/>
        <w:tabs>
          <w:tab w:leader="none" w:pos="443" w:val="left"/>
        </w:tabs>
        <w:numPr>
          <w:ilvl w:val="0"/>
          <w:numId w:val="43"/>
        </w:numPr>
        <w:rPr>
          <w:rFonts w:ascii="Arial" w:cs="Arial" w:eastAsia="Arial" w:hAnsi="Arial"/>
          <w:sz w:val="16"/>
          <w:szCs w:val="16"/>
          <w:color w:val="202E39"/>
        </w:rPr>
      </w:pPr>
      <w:r>
        <w:rPr>
          <w:rFonts w:ascii="Arial" w:cs="Arial" w:eastAsia="Arial" w:hAnsi="Arial"/>
          <w:sz w:val="16"/>
          <w:szCs w:val="16"/>
          <w:color w:val="202E39"/>
        </w:rPr>
        <w:t>execute a written general release of all claims, and (2) execute an employee proprietary information and inventions agreement. The severance benefits payable under the Change in Control Agreements will be reduced by any severance benefits payable by us to the executive under any other policy, plan, program, agreement or arrangement. The Change in Control Agreements continue for successive one-year terms unless Viasat or the executive officer provides notice of non-renewal.</w:t>
      </w:r>
    </w:p>
    <w:p>
      <w:pPr>
        <w:spacing w:after="0" w:line="95" w:lineRule="exact"/>
        <w:rPr>
          <w:sz w:val="20"/>
          <w:szCs w:val="20"/>
          <w:color w:val="auto"/>
        </w:rPr>
      </w:pPr>
    </w:p>
    <w:p>
      <w:pPr>
        <w:ind w:left="200" w:right="220"/>
        <w:spacing w:after="0" w:line="253" w:lineRule="auto"/>
        <w:rPr>
          <w:sz w:val="20"/>
          <w:szCs w:val="20"/>
          <w:color w:val="auto"/>
        </w:rPr>
      </w:pPr>
      <w:r>
        <w:rPr>
          <w:rFonts w:ascii="Arial" w:cs="Arial" w:eastAsia="Arial" w:hAnsi="Arial"/>
          <w:sz w:val="16"/>
          <w:szCs w:val="16"/>
          <w:color w:val="202E39"/>
        </w:rPr>
        <w:t>For a discussion of the effect of a termination of employment and/or a change in control on the performance-based stock options granted to our Named Executive Officers during fiscal year 2018, see the discussion above in “Compensation Discussion and Analysis — Components of our Compensation Program — Equity-Based Compensation.”</w:t>
      </w:r>
    </w:p>
    <w:p>
      <w:pPr>
        <w:spacing w:after="0" w:line="93" w:lineRule="exact"/>
        <w:rPr>
          <w:sz w:val="20"/>
          <w:szCs w:val="20"/>
          <w:color w:val="auto"/>
        </w:rPr>
      </w:pPr>
    </w:p>
    <w:p>
      <w:pPr>
        <w:ind w:left="200" w:right="80"/>
        <w:spacing w:after="0" w:line="251" w:lineRule="auto"/>
        <w:rPr>
          <w:sz w:val="20"/>
          <w:szCs w:val="20"/>
          <w:color w:val="auto"/>
        </w:rPr>
      </w:pPr>
      <w:r>
        <w:rPr>
          <w:rFonts w:ascii="Arial" w:cs="Arial" w:eastAsia="Arial" w:hAnsi="Arial"/>
          <w:sz w:val="16"/>
          <w:szCs w:val="16"/>
          <w:color w:val="202E39"/>
        </w:rPr>
        <w:t>The following table sets forth the intrinsic values that the Named Executive Officers would derive in the event of a hypothetical termination of employment by Viasat without cause or as a result of the Named Executive Officer’s resignation for good reason within two months prior to or within 18 months following a change in control of the company. The table assumes that the termination of employment hypothetically occurred on March 31, 2018, the last day of fiscal year 2018, and that the Change in Control Agreements were in effect as of such date.</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20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spacing w:after="0"/>
              <w:rPr>
                <w:sz w:val="17"/>
                <w:szCs w:val="17"/>
                <w:color w:val="auto"/>
              </w:rPr>
            </w:pPr>
          </w:p>
        </w:tc>
        <w:tc>
          <w:tcPr>
            <w:tcW w:w="1200" w:type="dxa"/>
            <w:vAlign w:val="bottom"/>
            <w:tcBorders>
              <w:top w:val="single" w:sz="8" w:color="E8EAEB"/>
              <w:right w:val="single" w:sz="8" w:color="E8EAEB"/>
            </w:tcBorders>
          </w:tcPr>
          <w:p>
            <w:pPr>
              <w:spacing w:after="0"/>
              <w:rPr>
                <w:sz w:val="17"/>
                <w:szCs w:val="17"/>
                <w:color w:val="auto"/>
              </w:rPr>
            </w:pPr>
          </w:p>
        </w:tc>
        <w:tc>
          <w:tcPr>
            <w:tcW w:w="96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Intrinsic</w:t>
            </w:r>
          </w:p>
        </w:tc>
        <w:tc>
          <w:tcPr>
            <w:tcW w:w="1220" w:type="dxa"/>
            <w:vAlign w:val="bottom"/>
            <w:tcBorders>
              <w:top w:val="single" w:sz="8" w:color="E8EAEB"/>
              <w:right w:val="single" w:sz="8" w:color="E8EAEB"/>
            </w:tcBorders>
          </w:tcPr>
          <w:p>
            <w:pPr>
              <w:ind w:left="300"/>
              <w:spacing w:after="0"/>
              <w:rPr>
                <w:sz w:val="20"/>
                <w:szCs w:val="20"/>
                <w:color w:val="auto"/>
              </w:rPr>
            </w:pPr>
            <w:r>
              <w:rPr>
                <w:rFonts w:ascii="Arial" w:cs="Arial" w:eastAsia="Arial" w:hAnsi="Arial"/>
                <w:sz w:val="14"/>
                <w:szCs w:val="14"/>
                <w:b w:val="1"/>
                <w:bCs w:val="1"/>
                <w:color w:val="009FE3"/>
              </w:rPr>
              <w:t>Intrinsic</w:t>
            </w:r>
          </w:p>
        </w:tc>
        <w:tc>
          <w:tcPr>
            <w:tcW w:w="1320" w:type="dxa"/>
            <w:vAlign w:val="bottom"/>
            <w:tcBorders>
              <w:top w:val="single" w:sz="8" w:color="E8EAEB"/>
            </w:tcBorders>
          </w:tcPr>
          <w:p>
            <w:pPr>
              <w:spacing w:after="0"/>
              <w:rPr>
                <w:sz w:val="17"/>
                <w:szCs w:val="17"/>
                <w:color w:val="auto"/>
              </w:rPr>
            </w:pPr>
          </w:p>
        </w:tc>
      </w:tr>
      <w:tr>
        <w:trPr>
          <w:trHeight w:val="162"/>
        </w:trPr>
        <w:tc>
          <w:tcPr>
            <w:tcW w:w="420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96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Value of</w:t>
            </w:r>
          </w:p>
        </w:tc>
        <w:tc>
          <w:tcPr>
            <w:tcW w:w="1220" w:type="dxa"/>
            <w:vAlign w:val="bottom"/>
            <w:tcBorders>
              <w:right w:val="single" w:sz="8" w:color="E8EAEB"/>
            </w:tcBorders>
          </w:tcPr>
          <w:p>
            <w:pPr>
              <w:ind w:left="320"/>
              <w:spacing w:after="0"/>
              <w:rPr>
                <w:sz w:val="20"/>
                <w:szCs w:val="20"/>
                <w:color w:val="auto"/>
              </w:rPr>
            </w:pPr>
            <w:r>
              <w:rPr>
                <w:rFonts w:ascii="Arial" w:cs="Arial" w:eastAsia="Arial" w:hAnsi="Arial"/>
                <w:sz w:val="14"/>
                <w:szCs w:val="14"/>
                <w:b w:val="1"/>
                <w:bCs w:val="1"/>
                <w:color w:val="009FE3"/>
              </w:rPr>
              <w:t>Value of</w:t>
            </w:r>
          </w:p>
        </w:tc>
        <w:tc>
          <w:tcPr>
            <w:tcW w:w="1320" w:type="dxa"/>
            <w:vAlign w:val="bottom"/>
          </w:tcPr>
          <w:p>
            <w:pPr>
              <w:spacing w:after="0"/>
              <w:rPr>
                <w:sz w:val="14"/>
                <w:szCs w:val="14"/>
                <w:color w:val="auto"/>
              </w:rPr>
            </w:pPr>
          </w:p>
        </w:tc>
      </w:tr>
      <w:tr>
        <w:trPr>
          <w:trHeight w:val="162"/>
        </w:trPr>
        <w:tc>
          <w:tcPr>
            <w:tcW w:w="420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96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Accelerated</w:t>
            </w:r>
          </w:p>
        </w:tc>
        <w:tc>
          <w:tcPr>
            <w:tcW w:w="12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Accelerated</w:t>
            </w:r>
          </w:p>
        </w:tc>
        <w:tc>
          <w:tcPr>
            <w:tcW w:w="1320" w:type="dxa"/>
            <w:vAlign w:val="bottom"/>
          </w:tcPr>
          <w:p>
            <w:pPr>
              <w:spacing w:after="0"/>
              <w:rPr>
                <w:sz w:val="14"/>
                <w:szCs w:val="14"/>
                <w:color w:val="auto"/>
              </w:rPr>
            </w:pPr>
          </w:p>
        </w:tc>
      </w:tr>
      <w:tr>
        <w:trPr>
          <w:trHeight w:val="162"/>
        </w:trPr>
        <w:tc>
          <w:tcPr>
            <w:tcW w:w="420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Accrued</w:t>
            </w:r>
          </w:p>
        </w:tc>
        <w:tc>
          <w:tcPr>
            <w:tcW w:w="1200" w:type="dxa"/>
            <w:vAlign w:val="bottom"/>
            <w:tcBorders>
              <w:right w:val="single" w:sz="8" w:color="E8EAEB"/>
            </w:tcBorders>
          </w:tcPr>
          <w:p>
            <w:pPr>
              <w:ind w:left="220"/>
              <w:spacing w:after="0"/>
              <w:rPr>
                <w:sz w:val="20"/>
                <w:szCs w:val="20"/>
                <w:color w:val="auto"/>
              </w:rPr>
            </w:pPr>
            <w:r>
              <w:rPr>
                <w:rFonts w:ascii="Arial" w:cs="Arial" w:eastAsia="Arial" w:hAnsi="Arial"/>
                <w:sz w:val="14"/>
                <w:szCs w:val="14"/>
                <w:b w:val="1"/>
                <w:bCs w:val="1"/>
                <w:color w:val="009FE3"/>
              </w:rPr>
              <w:t>Severance</w:t>
            </w:r>
          </w:p>
        </w:tc>
        <w:tc>
          <w:tcPr>
            <w:tcW w:w="9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COBRA</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w:t>
            </w:r>
          </w:p>
        </w:tc>
        <w:tc>
          <w:tcPr>
            <w:tcW w:w="12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Restricted</w:t>
            </w:r>
          </w:p>
        </w:tc>
        <w:tc>
          <w:tcPr>
            <w:tcW w:w="1320" w:type="dxa"/>
            <w:vAlign w:val="bottom"/>
          </w:tcPr>
          <w:p>
            <w:pPr>
              <w:spacing w:after="0"/>
              <w:rPr>
                <w:sz w:val="14"/>
                <w:szCs w:val="14"/>
                <w:color w:val="auto"/>
              </w:rPr>
            </w:pPr>
          </w:p>
        </w:tc>
      </w:tr>
      <w:tr>
        <w:trPr>
          <w:trHeight w:val="162"/>
        </w:trPr>
        <w:tc>
          <w:tcPr>
            <w:tcW w:w="420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Vacation</w:t>
            </w:r>
          </w:p>
        </w:tc>
        <w:tc>
          <w:tcPr>
            <w:tcW w:w="1200" w:type="dxa"/>
            <w:vAlign w:val="bottom"/>
            <w:tcBorders>
              <w:right w:val="single" w:sz="8" w:color="E8EAEB"/>
            </w:tcBorders>
          </w:tcPr>
          <w:p>
            <w:pPr>
              <w:ind w:left="280"/>
              <w:spacing w:after="0"/>
              <w:rPr>
                <w:sz w:val="20"/>
                <w:szCs w:val="20"/>
                <w:color w:val="auto"/>
              </w:rPr>
            </w:pPr>
            <w:r>
              <w:rPr>
                <w:rFonts w:ascii="Arial" w:cs="Arial" w:eastAsia="Arial" w:hAnsi="Arial"/>
                <w:sz w:val="14"/>
                <w:szCs w:val="14"/>
                <w:b w:val="1"/>
                <w:bCs w:val="1"/>
                <w:color w:val="009FE3"/>
              </w:rPr>
              <w:t>Payment</w:t>
            </w:r>
          </w:p>
        </w:tc>
        <w:tc>
          <w:tcPr>
            <w:tcW w:w="9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Payments</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Options</w:t>
            </w:r>
          </w:p>
        </w:tc>
        <w:tc>
          <w:tcPr>
            <w:tcW w:w="12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 Units</w:t>
            </w:r>
          </w:p>
        </w:tc>
        <w:tc>
          <w:tcPr>
            <w:tcW w:w="1320" w:type="dxa"/>
            <w:vAlign w:val="bottom"/>
          </w:tcPr>
          <w:p>
            <w:pPr>
              <w:jc w:val="right"/>
              <w:ind w:right="442"/>
              <w:spacing w:after="0"/>
              <w:rPr>
                <w:sz w:val="20"/>
                <w:szCs w:val="20"/>
                <w:color w:val="auto"/>
              </w:rPr>
            </w:pPr>
            <w:r>
              <w:rPr>
                <w:rFonts w:ascii="Arial" w:cs="Arial" w:eastAsia="Arial" w:hAnsi="Arial"/>
                <w:sz w:val="14"/>
                <w:szCs w:val="14"/>
                <w:b w:val="1"/>
                <w:bCs w:val="1"/>
                <w:color w:val="009FE3"/>
              </w:rPr>
              <w:t>Total</w:t>
            </w:r>
          </w:p>
        </w:tc>
      </w:tr>
      <w:tr>
        <w:trPr>
          <w:trHeight w:val="196"/>
        </w:trPr>
        <w:tc>
          <w:tcPr>
            <w:tcW w:w="42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($)(1)</w:t>
            </w:r>
          </w:p>
        </w:tc>
        <w:tc>
          <w:tcPr>
            <w:tcW w:w="1200" w:type="dxa"/>
            <w:vAlign w:val="bottom"/>
            <w:tcBorders>
              <w:bottom w:val="single" w:sz="8" w:color="009FE3"/>
              <w:right w:val="single" w:sz="8" w:color="E8EAEB"/>
            </w:tcBorders>
          </w:tcPr>
          <w:p>
            <w:pPr>
              <w:ind w:left="480"/>
              <w:spacing w:after="0"/>
              <w:rPr>
                <w:sz w:val="20"/>
                <w:szCs w:val="20"/>
                <w:color w:val="auto"/>
              </w:rPr>
            </w:pPr>
            <w:r>
              <w:rPr>
                <w:rFonts w:ascii="Arial" w:cs="Arial" w:eastAsia="Arial" w:hAnsi="Arial"/>
                <w:sz w:val="14"/>
                <w:szCs w:val="14"/>
                <w:b w:val="1"/>
                <w:bCs w:val="1"/>
                <w:color w:val="009FE3"/>
              </w:rPr>
              <w:t>($)</w:t>
            </w:r>
          </w:p>
        </w:tc>
        <w:tc>
          <w:tcPr>
            <w:tcW w:w="9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($)(2)</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($)(3)</w:t>
            </w:r>
          </w:p>
        </w:tc>
        <w:tc>
          <w:tcPr>
            <w:tcW w:w="12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($)(4)</w:t>
            </w:r>
          </w:p>
        </w:tc>
        <w:tc>
          <w:tcPr>
            <w:tcW w:w="1320" w:type="dxa"/>
            <w:vAlign w:val="bottom"/>
            <w:tcBorders>
              <w:bottom w:val="single" w:sz="8" w:color="009FE3"/>
            </w:tcBorders>
          </w:tcPr>
          <w:p>
            <w:pPr>
              <w:jc w:val="right"/>
              <w:ind w:right="502"/>
              <w:spacing w:after="0"/>
              <w:rPr>
                <w:sz w:val="20"/>
                <w:szCs w:val="20"/>
                <w:color w:val="auto"/>
              </w:rPr>
            </w:pPr>
            <w:r>
              <w:rPr>
                <w:rFonts w:ascii="Arial" w:cs="Arial" w:eastAsia="Arial" w:hAnsi="Arial"/>
                <w:sz w:val="14"/>
                <w:szCs w:val="14"/>
                <w:b w:val="1"/>
                <w:bCs w:val="1"/>
                <w:color w:val="009FE3"/>
              </w:rPr>
              <w:t>($)</w:t>
            </w:r>
          </w:p>
        </w:tc>
      </w:tr>
      <w:tr>
        <w:trPr>
          <w:trHeight w:val="253"/>
        </w:trPr>
        <w:tc>
          <w:tcPr>
            <w:tcW w:w="4200" w:type="dxa"/>
            <w:vAlign w:val="bottom"/>
            <w:tcBorders>
              <w:bottom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060" w:type="dxa"/>
            <w:vAlign w:val="bottom"/>
            <w:tcBorders>
              <w:bottom w:val="single" w:sz="8" w:color="E8EAEB"/>
            </w:tcBorders>
          </w:tcPr>
          <w:p>
            <w:pPr>
              <w:jc w:val="right"/>
              <w:ind w:right="142"/>
              <w:spacing w:after="0"/>
              <w:rPr>
                <w:sz w:val="20"/>
                <w:szCs w:val="20"/>
                <w:color w:val="auto"/>
              </w:rPr>
            </w:pPr>
            <w:r>
              <w:rPr>
                <w:rFonts w:ascii="Arial" w:cs="Arial" w:eastAsia="Arial" w:hAnsi="Arial"/>
                <w:sz w:val="16"/>
                <w:szCs w:val="16"/>
                <w:color w:val="202E39"/>
              </w:rPr>
              <w:t>225,962</w:t>
            </w:r>
          </w:p>
        </w:tc>
        <w:tc>
          <w:tcPr>
            <w:tcW w:w="1200" w:type="dxa"/>
            <w:vAlign w:val="bottom"/>
            <w:tcBorders>
              <w:bottom w:val="single" w:sz="8" w:color="E8EAEB"/>
            </w:tcBorders>
          </w:tcPr>
          <w:p>
            <w:pPr>
              <w:ind w:left="260"/>
              <w:spacing w:after="0"/>
              <w:rPr>
                <w:sz w:val="20"/>
                <w:szCs w:val="20"/>
                <w:color w:val="auto"/>
              </w:rPr>
            </w:pPr>
            <w:r>
              <w:rPr>
                <w:rFonts w:ascii="Arial" w:cs="Arial" w:eastAsia="Arial" w:hAnsi="Arial"/>
                <w:sz w:val="16"/>
                <w:szCs w:val="16"/>
                <w:color w:val="202E39"/>
              </w:rPr>
              <w:t>7,050,000</w:t>
            </w:r>
          </w:p>
        </w:tc>
        <w:tc>
          <w:tcPr>
            <w:tcW w:w="960" w:type="dxa"/>
            <w:vAlign w:val="bottom"/>
            <w:tcBorders>
              <w:bottom w:val="single" w:sz="8" w:color="E8EAEB"/>
            </w:tcBorders>
          </w:tcPr>
          <w:p>
            <w:pPr>
              <w:jc w:val="right"/>
              <w:ind w:right="142"/>
              <w:spacing w:after="0"/>
              <w:rPr>
                <w:sz w:val="20"/>
                <w:szCs w:val="20"/>
                <w:color w:val="auto"/>
              </w:rPr>
            </w:pPr>
            <w:r>
              <w:rPr>
                <w:rFonts w:ascii="Arial" w:cs="Arial" w:eastAsia="Arial" w:hAnsi="Arial"/>
                <w:sz w:val="16"/>
                <w:szCs w:val="16"/>
                <w:color w:val="202E39"/>
              </w:rPr>
              <w:t>37,587</w:t>
            </w:r>
          </w:p>
        </w:tc>
        <w:tc>
          <w:tcPr>
            <w:tcW w:w="1060" w:type="dxa"/>
            <w:vAlign w:val="bottom"/>
            <w:tcBorders>
              <w:bottom w:val="single" w:sz="8" w:color="E8EAEB"/>
            </w:tcBorders>
          </w:tcPr>
          <w:p>
            <w:pPr>
              <w:jc w:val="right"/>
              <w:ind w:right="124"/>
              <w:spacing w:after="0"/>
              <w:rPr>
                <w:sz w:val="20"/>
                <w:szCs w:val="20"/>
                <w:color w:val="auto"/>
              </w:rPr>
            </w:pPr>
            <w:r>
              <w:rPr>
                <w:rFonts w:ascii="Arial" w:cs="Arial" w:eastAsia="Arial" w:hAnsi="Arial"/>
                <w:sz w:val="16"/>
                <w:szCs w:val="16"/>
                <w:color w:val="202E39"/>
              </w:rPr>
              <w:t>278,750</w:t>
            </w:r>
          </w:p>
        </w:tc>
        <w:tc>
          <w:tcPr>
            <w:tcW w:w="1220" w:type="dxa"/>
            <w:vAlign w:val="bottom"/>
            <w:tcBorders>
              <w:bottom w:val="single" w:sz="8" w:color="E8EAEB"/>
            </w:tcBorders>
          </w:tcPr>
          <w:p>
            <w:pPr>
              <w:ind w:left="300"/>
              <w:spacing w:after="0"/>
              <w:rPr>
                <w:sz w:val="20"/>
                <w:szCs w:val="20"/>
                <w:color w:val="auto"/>
              </w:rPr>
            </w:pPr>
            <w:r>
              <w:rPr>
                <w:rFonts w:ascii="Arial" w:cs="Arial" w:eastAsia="Arial" w:hAnsi="Arial"/>
                <w:sz w:val="16"/>
                <w:szCs w:val="16"/>
                <w:color w:val="202E39"/>
              </w:rPr>
              <w:t>7,338,690</w:t>
            </w:r>
          </w:p>
        </w:tc>
        <w:tc>
          <w:tcPr>
            <w:tcW w:w="132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14,930,989</w:t>
            </w:r>
          </w:p>
        </w:tc>
      </w:tr>
      <w:tr>
        <w:trPr>
          <w:trHeight w:val="250"/>
        </w:trPr>
        <w:tc>
          <w:tcPr>
            <w:tcW w:w="4200" w:type="dxa"/>
            <w:vAlign w:val="bottom"/>
            <w:tcBorders>
              <w:bottom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060" w:type="dxa"/>
            <w:vAlign w:val="bottom"/>
            <w:tcBorders>
              <w:bottom w:val="single" w:sz="8" w:color="E8EAEB"/>
            </w:tcBorders>
          </w:tcPr>
          <w:p>
            <w:pPr>
              <w:jc w:val="right"/>
              <w:ind w:right="142"/>
              <w:spacing w:after="0"/>
              <w:rPr>
                <w:sz w:val="20"/>
                <w:szCs w:val="20"/>
                <w:color w:val="auto"/>
              </w:rPr>
            </w:pPr>
            <w:r>
              <w:rPr>
                <w:rFonts w:ascii="Arial" w:cs="Arial" w:eastAsia="Arial" w:hAnsi="Arial"/>
                <w:sz w:val="16"/>
                <w:szCs w:val="16"/>
                <w:color w:val="202E39"/>
              </w:rPr>
              <w:t>192,308</w:t>
            </w:r>
          </w:p>
        </w:tc>
        <w:tc>
          <w:tcPr>
            <w:tcW w:w="1200" w:type="dxa"/>
            <w:vAlign w:val="bottom"/>
            <w:tcBorders>
              <w:bottom w:val="single" w:sz="8" w:color="E8EAEB"/>
            </w:tcBorders>
          </w:tcPr>
          <w:p>
            <w:pPr>
              <w:ind w:left="260"/>
              <w:spacing w:after="0"/>
              <w:rPr>
                <w:sz w:val="20"/>
                <w:szCs w:val="20"/>
                <w:color w:val="auto"/>
              </w:rPr>
            </w:pPr>
            <w:r>
              <w:rPr>
                <w:rFonts w:ascii="Arial" w:cs="Arial" w:eastAsia="Arial" w:hAnsi="Arial"/>
                <w:sz w:val="16"/>
                <w:szCs w:val="16"/>
                <w:color w:val="202E39"/>
              </w:rPr>
              <w:t>6,000,000</w:t>
            </w:r>
          </w:p>
        </w:tc>
        <w:tc>
          <w:tcPr>
            <w:tcW w:w="960" w:type="dxa"/>
            <w:vAlign w:val="bottom"/>
            <w:tcBorders>
              <w:bottom w:val="single" w:sz="8" w:color="E8EAEB"/>
            </w:tcBorders>
          </w:tcPr>
          <w:p>
            <w:pPr>
              <w:jc w:val="right"/>
              <w:ind w:right="142"/>
              <w:spacing w:after="0"/>
              <w:rPr>
                <w:sz w:val="20"/>
                <w:szCs w:val="20"/>
                <w:color w:val="auto"/>
              </w:rPr>
            </w:pPr>
            <w:r>
              <w:rPr>
                <w:rFonts w:ascii="Arial" w:cs="Arial" w:eastAsia="Arial" w:hAnsi="Arial"/>
                <w:sz w:val="16"/>
                <w:szCs w:val="16"/>
                <w:color w:val="202E39"/>
              </w:rPr>
              <w:t>37,587</w:t>
            </w:r>
          </w:p>
        </w:tc>
        <w:tc>
          <w:tcPr>
            <w:tcW w:w="1060" w:type="dxa"/>
            <w:vAlign w:val="bottom"/>
            <w:tcBorders>
              <w:bottom w:val="single" w:sz="8" w:color="E8EAEB"/>
            </w:tcBorders>
          </w:tcPr>
          <w:p>
            <w:pPr>
              <w:jc w:val="right"/>
              <w:ind w:right="124"/>
              <w:spacing w:after="0"/>
              <w:rPr>
                <w:sz w:val="20"/>
                <w:szCs w:val="20"/>
                <w:color w:val="auto"/>
              </w:rPr>
            </w:pPr>
            <w:r>
              <w:rPr>
                <w:rFonts w:ascii="Arial" w:cs="Arial" w:eastAsia="Arial" w:hAnsi="Arial"/>
                <w:sz w:val="16"/>
                <w:szCs w:val="16"/>
                <w:color w:val="202E39"/>
              </w:rPr>
              <w:t>211,850</w:t>
            </w:r>
          </w:p>
        </w:tc>
        <w:tc>
          <w:tcPr>
            <w:tcW w:w="1220" w:type="dxa"/>
            <w:vAlign w:val="bottom"/>
            <w:tcBorders>
              <w:bottom w:val="single" w:sz="8" w:color="E8EAEB"/>
            </w:tcBorders>
          </w:tcPr>
          <w:p>
            <w:pPr>
              <w:ind w:left="300"/>
              <w:spacing w:after="0"/>
              <w:rPr>
                <w:sz w:val="20"/>
                <w:szCs w:val="20"/>
                <w:color w:val="auto"/>
              </w:rPr>
            </w:pPr>
            <w:r>
              <w:rPr>
                <w:rFonts w:ascii="Arial" w:cs="Arial" w:eastAsia="Arial" w:hAnsi="Arial"/>
                <w:sz w:val="16"/>
                <w:szCs w:val="16"/>
                <w:color w:val="202E39"/>
              </w:rPr>
              <w:t>5,709,360</w:t>
            </w:r>
          </w:p>
        </w:tc>
        <w:tc>
          <w:tcPr>
            <w:tcW w:w="132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12,151,105</w:t>
            </w:r>
          </w:p>
        </w:tc>
      </w:tr>
      <w:tr>
        <w:trPr>
          <w:trHeight w:val="250"/>
        </w:trPr>
        <w:tc>
          <w:tcPr>
            <w:tcW w:w="4200" w:type="dxa"/>
            <w:vAlign w:val="bottom"/>
            <w:tcBorders>
              <w:bottom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060" w:type="dxa"/>
            <w:vAlign w:val="bottom"/>
            <w:tcBorders>
              <w:bottom w:val="single" w:sz="8" w:color="E8EAEB"/>
            </w:tcBorders>
          </w:tcPr>
          <w:p>
            <w:pPr>
              <w:jc w:val="right"/>
              <w:ind w:right="142"/>
              <w:spacing w:after="0"/>
              <w:rPr>
                <w:sz w:val="20"/>
                <w:szCs w:val="20"/>
                <w:color w:val="auto"/>
              </w:rPr>
            </w:pPr>
            <w:r>
              <w:rPr>
                <w:rFonts w:ascii="Arial" w:cs="Arial" w:eastAsia="Arial" w:hAnsi="Arial"/>
                <w:sz w:val="16"/>
                <w:szCs w:val="16"/>
                <w:color w:val="202E39"/>
              </w:rPr>
              <w:t>62,187</w:t>
            </w:r>
          </w:p>
        </w:tc>
        <w:tc>
          <w:tcPr>
            <w:tcW w:w="1200" w:type="dxa"/>
            <w:vAlign w:val="bottom"/>
            <w:tcBorders>
              <w:bottom w:val="single" w:sz="8" w:color="E8EAEB"/>
            </w:tcBorders>
          </w:tcPr>
          <w:p>
            <w:pPr>
              <w:ind w:left="260"/>
              <w:spacing w:after="0"/>
              <w:rPr>
                <w:sz w:val="20"/>
                <w:szCs w:val="20"/>
                <w:color w:val="auto"/>
              </w:rPr>
            </w:pPr>
            <w:r>
              <w:rPr>
                <w:rFonts w:ascii="Arial" w:cs="Arial" w:eastAsia="Arial" w:hAnsi="Arial"/>
                <w:sz w:val="16"/>
                <w:szCs w:val="16"/>
                <w:color w:val="202E39"/>
              </w:rPr>
              <w:t>2,100,000</w:t>
            </w:r>
          </w:p>
        </w:tc>
        <w:tc>
          <w:tcPr>
            <w:tcW w:w="960" w:type="dxa"/>
            <w:vAlign w:val="bottom"/>
            <w:tcBorders>
              <w:bottom w:val="single" w:sz="8" w:color="E8EAEB"/>
            </w:tcBorders>
          </w:tcPr>
          <w:p>
            <w:pPr>
              <w:jc w:val="right"/>
              <w:ind w:right="142"/>
              <w:spacing w:after="0"/>
              <w:rPr>
                <w:sz w:val="20"/>
                <w:szCs w:val="20"/>
                <w:color w:val="auto"/>
              </w:rPr>
            </w:pPr>
            <w:r>
              <w:rPr>
                <w:rFonts w:ascii="Arial" w:cs="Arial" w:eastAsia="Arial" w:hAnsi="Arial"/>
                <w:sz w:val="16"/>
                <w:szCs w:val="16"/>
                <w:color w:val="202E39"/>
              </w:rPr>
              <w:t>37,587</w:t>
            </w:r>
          </w:p>
        </w:tc>
        <w:tc>
          <w:tcPr>
            <w:tcW w:w="1060" w:type="dxa"/>
            <w:vAlign w:val="bottom"/>
            <w:tcBorders>
              <w:bottom w:val="single" w:sz="8" w:color="E8EAEB"/>
            </w:tcBorders>
          </w:tcPr>
          <w:p>
            <w:pPr>
              <w:jc w:val="right"/>
              <w:ind w:right="124"/>
              <w:spacing w:after="0"/>
              <w:rPr>
                <w:sz w:val="20"/>
                <w:szCs w:val="20"/>
                <w:color w:val="auto"/>
              </w:rPr>
            </w:pPr>
            <w:r>
              <w:rPr>
                <w:rFonts w:ascii="Arial" w:cs="Arial" w:eastAsia="Arial" w:hAnsi="Arial"/>
                <w:sz w:val="16"/>
                <w:szCs w:val="16"/>
                <w:color w:val="202E39"/>
              </w:rPr>
              <w:t>61,325</w:t>
            </w:r>
          </w:p>
        </w:tc>
        <w:tc>
          <w:tcPr>
            <w:tcW w:w="1220" w:type="dxa"/>
            <w:vAlign w:val="bottom"/>
            <w:tcBorders>
              <w:bottom w:val="single" w:sz="8" w:color="E8EAEB"/>
            </w:tcBorders>
          </w:tcPr>
          <w:p>
            <w:pPr>
              <w:ind w:left="300"/>
              <w:spacing w:after="0"/>
              <w:rPr>
                <w:sz w:val="20"/>
                <w:szCs w:val="20"/>
                <w:color w:val="auto"/>
              </w:rPr>
            </w:pPr>
            <w:r>
              <w:rPr>
                <w:rFonts w:ascii="Arial" w:cs="Arial" w:eastAsia="Arial" w:hAnsi="Arial"/>
                <w:sz w:val="16"/>
                <w:szCs w:val="16"/>
                <w:color w:val="202E39"/>
              </w:rPr>
              <w:t>1,533,445</w:t>
            </w:r>
          </w:p>
        </w:tc>
        <w:tc>
          <w:tcPr>
            <w:tcW w:w="132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3,794,544</w:t>
            </w:r>
          </w:p>
        </w:tc>
      </w:tr>
      <w:tr>
        <w:trPr>
          <w:trHeight w:val="250"/>
        </w:trPr>
        <w:tc>
          <w:tcPr>
            <w:tcW w:w="4200" w:type="dxa"/>
            <w:vAlign w:val="bottom"/>
            <w:tcBorders>
              <w:bottom w:val="single" w:sz="8" w:color="E8EAEB"/>
            </w:tcBorders>
          </w:tcPr>
          <w:p>
            <w:pPr>
              <w:ind w:left="60"/>
              <w:spacing w:after="0"/>
              <w:rPr>
                <w:sz w:val="20"/>
                <w:szCs w:val="20"/>
                <w:color w:val="auto"/>
              </w:rPr>
            </w:pPr>
            <w:r>
              <w:rPr>
                <w:rFonts w:ascii="Arial" w:cs="Arial" w:eastAsia="Arial" w:hAnsi="Arial"/>
                <w:sz w:val="16"/>
                <w:szCs w:val="16"/>
                <w:color w:val="202E39"/>
              </w:rPr>
              <w:t>Keven Lippert</w:t>
            </w:r>
          </w:p>
        </w:tc>
        <w:tc>
          <w:tcPr>
            <w:tcW w:w="1060" w:type="dxa"/>
            <w:vAlign w:val="bottom"/>
            <w:tcBorders>
              <w:bottom w:val="single" w:sz="8" w:color="E8EAEB"/>
            </w:tcBorders>
          </w:tcPr>
          <w:p>
            <w:pPr>
              <w:jc w:val="right"/>
              <w:ind w:right="142"/>
              <w:spacing w:after="0"/>
              <w:rPr>
                <w:sz w:val="20"/>
                <w:szCs w:val="20"/>
                <w:color w:val="auto"/>
              </w:rPr>
            </w:pPr>
            <w:r>
              <w:rPr>
                <w:rFonts w:ascii="Arial" w:cs="Arial" w:eastAsia="Arial" w:hAnsi="Arial"/>
                <w:sz w:val="16"/>
                <w:szCs w:val="16"/>
                <w:color w:val="202E39"/>
              </w:rPr>
              <w:t>112,500</w:t>
            </w:r>
          </w:p>
        </w:tc>
        <w:tc>
          <w:tcPr>
            <w:tcW w:w="1200" w:type="dxa"/>
            <w:vAlign w:val="bottom"/>
            <w:tcBorders>
              <w:bottom w:val="single" w:sz="8" w:color="E8EAEB"/>
            </w:tcBorders>
          </w:tcPr>
          <w:p>
            <w:pPr>
              <w:ind w:left="260"/>
              <w:spacing w:after="0"/>
              <w:rPr>
                <w:sz w:val="20"/>
                <w:szCs w:val="20"/>
                <w:color w:val="auto"/>
              </w:rPr>
            </w:pPr>
            <w:r>
              <w:rPr>
                <w:rFonts w:ascii="Arial" w:cs="Arial" w:eastAsia="Arial" w:hAnsi="Arial"/>
                <w:sz w:val="16"/>
                <w:szCs w:val="16"/>
                <w:color w:val="202E39"/>
              </w:rPr>
              <w:t>2,340,000</w:t>
            </w:r>
          </w:p>
        </w:tc>
        <w:tc>
          <w:tcPr>
            <w:tcW w:w="960" w:type="dxa"/>
            <w:vAlign w:val="bottom"/>
            <w:tcBorders>
              <w:bottom w:val="single" w:sz="8" w:color="E8EAEB"/>
            </w:tcBorders>
          </w:tcPr>
          <w:p>
            <w:pPr>
              <w:jc w:val="right"/>
              <w:ind w:right="142"/>
              <w:spacing w:after="0"/>
              <w:rPr>
                <w:sz w:val="20"/>
                <w:szCs w:val="20"/>
                <w:color w:val="auto"/>
              </w:rPr>
            </w:pPr>
            <w:r>
              <w:rPr>
                <w:rFonts w:ascii="Arial" w:cs="Arial" w:eastAsia="Arial" w:hAnsi="Arial"/>
                <w:sz w:val="16"/>
                <w:szCs w:val="16"/>
                <w:color w:val="202E39"/>
              </w:rPr>
              <w:t>37,587</w:t>
            </w:r>
          </w:p>
        </w:tc>
        <w:tc>
          <w:tcPr>
            <w:tcW w:w="1060" w:type="dxa"/>
            <w:vAlign w:val="bottom"/>
            <w:tcBorders>
              <w:bottom w:val="single" w:sz="8" w:color="E8EAEB"/>
            </w:tcBorders>
          </w:tcPr>
          <w:p>
            <w:pPr>
              <w:jc w:val="right"/>
              <w:ind w:right="124"/>
              <w:spacing w:after="0"/>
              <w:rPr>
                <w:sz w:val="20"/>
                <w:szCs w:val="20"/>
                <w:color w:val="auto"/>
              </w:rPr>
            </w:pPr>
            <w:r>
              <w:rPr>
                <w:rFonts w:ascii="Arial" w:cs="Arial" w:eastAsia="Arial" w:hAnsi="Arial"/>
                <w:sz w:val="16"/>
                <w:szCs w:val="16"/>
                <w:color w:val="202E39"/>
              </w:rPr>
              <w:t>83,625</w:t>
            </w:r>
          </w:p>
        </w:tc>
        <w:tc>
          <w:tcPr>
            <w:tcW w:w="1220" w:type="dxa"/>
            <w:vAlign w:val="bottom"/>
            <w:tcBorders>
              <w:bottom w:val="single" w:sz="8" w:color="E8EAEB"/>
            </w:tcBorders>
          </w:tcPr>
          <w:p>
            <w:pPr>
              <w:ind w:left="300"/>
              <w:spacing w:after="0"/>
              <w:rPr>
                <w:sz w:val="20"/>
                <w:szCs w:val="20"/>
                <w:color w:val="auto"/>
              </w:rPr>
            </w:pPr>
            <w:r>
              <w:rPr>
                <w:rFonts w:ascii="Arial" w:cs="Arial" w:eastAsia="Arial" w:hAnsi="Arial"/>
                <w:sz w:val="16"/>
                <w:szCs w:val="16"/>
                <w:color w:val="202E39"/>
              </w:rPr>
              <w:t>2,272,795</w:t>
            </w:r>
          </w:p>
        </w:tc>
        <w:tc>
          <w:tcPr>
            <w:tcW w:w="132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4,846,507</w:t>
            </w:r>
          </w:p>
        </w:tc>
      </w:tr>
      <w:tr>
        <w:trPr>
          <w:trHeight w:val="250"/>
        </w:trPr>
        <w:tc>
          <w:tcPr>
            <w:tcW w:w="4200" w:type="dxa"/>
            <w:vAlign w:val="bottom"/>
            <w:tcBorders>
              <w:bottom w:val="single" w:sz="8" w:color="009FE3"/>
            </w:tcBorders>
          </w:tcPr>
          <w:p>
            <w:pPr>
              <w:ind w:left="60"/>
              <w:spacing w:after="0"/>
              <w:rPr>
                <w:sz w:val="20"/>
                <w:szCs w:val="20"/>
                <w:color w:val="auto"/>
              </w:rPr>
            </w:pPr>
            <w:r>
              <w:rPr>
                <w:rFonts w:ascii="Arial" w:cs="Arial" w:eastAsia="Arial" w:hAnsi="Arial"/>
                <w:sz w:val="16"/>
                <w:szCs w:val="16"/>
                <w:color w:val="202E39"/>
              </w:rPr>
              <w:t>Ken Peterman</w:t>
            </w:r>
          </w:p>
        </w:tc>
        <w:tc>
          <w:tcPr>
            <w:tcW w:w="1060" w:type="dxa"/>
            <w:vAlign w:val="bottom"/>
            <w:tcBorders>
              <w:bottom w:val="single" w:sz="8" w:color="009FE3"/>
            </w:tcBorders>
          </w:tcPr>
          <w:p>
            <w:pPr>
              <w:jc w:val="right"/>
              <w:ind w:right="142"/>
              <w:spacing w:after="0"/>
              <w:rPr>
                <w:sz w:val="20"/>
                <w:szCs w:val="20"/>
                <w:color w:val="auto"/>
              </w:rPr>
            </w:pPr>
            <w:r>
              <w:rPr>
                <w:rFonts w:ascii="Arial" w:cs="Arial" w:eastAsia="Arial" w:hAnsi="Arial"/>
                <w:sz w:val="16"/>
                <w:szCs w:val="16"/>
                <w:color w:val="202E39"/>
              </w:rPr>
              <w:t>54,808</w:t>
            </w:r>
          </w:p>
        </w:tc>
        <w:tc>
          <w:tcPr>
            <w:tcW w:w="1200" w:type="dxa"/>
            <w:vAlign w:val="bottom"/>
            <w:tcBorders>
              <w:bottom w:val="single" w:sz="8" w:color="009FE3"/>
            </w:tcBorders>
          </w:tcPr>
          <w:p>
            <w:pPr>
              <w:ind w:left="260"/>
              <w:spacing w:after="0"/>
              <w:rPr>
                <w:sz w:val="20"/>
                <w:szCs w:val="20"/>
                <w:color w:val="auto"/>
              </w:rPr>
            </w:pPr>
            <w:r>
              <w:rPr>
                <w:rFonts w:ascii="Arial" w:cs="Arial" w:eastAsia="Arial" w:hAnsi="Arial"/>
                <w:sz w:val="16"/>
                <w:szCs w:val="16"/>
                <w:color w:val="202E39"/>
              </w:rPr>
              <w:t>1,900,000</w:t>
            </w:r>
          </w:p>
        </w:tc>
        <w:tc>
          <w:tcPr>
            <w:tcW w:w="960" w:type="dxa"/>
            <w:vAlign w:val="bottom"/>
            <w:tcBorders>
              <w:bottom w:val="single" w:sz="8" w:color="009FE3"/>
            </w:tcBorders>
          </w:tcPr>
          <w:p>
            <w:pPr>
              <w:jc w:val="right"/>
              <w:ind w:right="142"/>
              <w:spacing w:after="0"/>
              <w:rPr>
                <w:sz w:val="20"/>
                <w:szCs w:val="20"/>
                <w:color w:val="auto"/>
              </w:rPr>
            </w:pPr>
            <w:r>
              <w:rPr>
                <w:rFonts w:ascii="Arial" w:cs="Arial" w:eastAsia="Arial" w:hAnsi="Arial"/>
                <w:sz w:val="16"/>
                <w:szCs w:val="16"/>
                <w:color w:val="202E39"/>
              </w:rPr>
              <w:t>37,587</w:t>
            </w:r>
          </w:p>
        </w:tc>
        <w:tc>
          <w:tcPr>
            <w:tcW w:w="1060" w:type="dxa"/>
            <w:vAlign w:val="bottom"/>
            <w:tcBorders>
              <w:bottom w:val="single" w:sz="8" w:color="009FE3"/>
            </w:tcBorders>
          </w:tcPr>
          <w:p>
            <w:pPr>
              <w:jc w:val="right"/>
              <w:ind w:right="124"/>
              <w:spacing w:after="0"/>
              <w:rPr>
                <w:sz w:val="20"/>
                <w:szCs w:val="20"/>
                <w:color w:val="auto"/>
              </w:rPr>
            </w:pPr>
            <w:r>
              <w:rPr>
                <w:rFonts w:ascii="Arial" w:cs="Arial" w:eastAsia="Arial" w:hAnsi="Arial"/>
                <w:sz w:val="16"/>
                <w:szCs w:val="16"/>
                <w:color w:val="202E39"/>
              </w:rPr>
              <w:t>50,175</w:t>
            </w:r>
          </w:p>
        </w:tc>
        <w:tc>
          <w:tcPr>
            <w:tcW w:w="1220" w:type="dxa"/>
            <w:vAlign w:val="bottom"/>
            <w:tcBorders>
              <w:bottom w:val="single" w:sz="8" w:color="009FE3"/>
            </w:tcBorders>
          </w:tcPr>
          <w:p>
            <w:pPr>
              <w:ind w:left="300"/>
              <w:spacing w:after="0"/>
              <w:rPr>
                <w:sz w:val="20"/>
                <w:szCs w:val="20"/>
                <w:color w:val="auto"/>
              </w:rPr>
            </w:pPr>
            <w:r>
              <w:rPr>
                <w:rFonts w:ascii="Arial" w:cs="Arial" w:eastAsia="Arial" w:hAnsi="Arial"/>
                <w:sz w:val="16"/>
                <w:szCs w:val="16"/>
                <w:color w:val="202E39"/>
              </w:rPr>
              <w:t>1,366,385</w:t>
            </w:r>
          </w:p>
        </w:tc>
        <w:tc>
          <w:tcPr>
            <w:tcW w:w="1320" w:type="dxa"/>
            <w:vAlign w:val="bottom"/>
            <w:tcBorders>
              <w:bottom w:val="single" w:sz="8" w:color="009FE3"/>
            </w:tcBorders>
          </w:tcPr>
          <w:p>
            <w:pPr>
              <w:jc w:val="right"/>
              <w:ind w:right="122"/>
              <w:spacing w:after="0"/>
              <w:rPr>
                <w:sz w:val="20"/>
                <w:szCs w:val="20"/>
                <w:color w:val="auto"/>
              </w:rPr>
            </w:pPr>
            <w:r>
              <w:rPr>
                <w:rFonts w:ascii="Arial" w:cs="Arial" w:eastAsia="Arial" w:hAnsi="Arial"/>
                <w:sz w:val="16"/>
                <w:szCs w:val="16"/>
                <w:color w:val="202E39"/>
              </w:rPr>
              <w:t>3,408,955</w:t>
            </w:r>
          </w:p>
        </w:tc>
      </w:tr>
    </w:tbl>
    <w:p>
      <w:pPr>
        <w:spacing w:after="0" w:line="126" w:lineRule="exact"/>
        <w:rPr>
          <w:sz w:val="20"/>
          <w:szCs w:val="20"/>
          <w:color w:val="auto"/>
        </w:rPr>
      </w:pPr>
    </w:p>
    <w:p>
      <w:pPr>
        <w:ind w:left="520" w:hanging="316"/>
        <w:spacing w:after="0"/>
        <w:tabs>
          <w:tab w:leader="none" w:pos="520" w:val="left"/>
        </w:tabs>
        <w:numPr>
          <w:ilvl w:val="0"/>
          <w:numId w:val="44"/>
        </w:numPr>
        <w:rPr>
          <w:rFonts w:ascii="Arial" w:cs="Arial" w:eastAsia="Arial" w:hAnsi="Arial"/>
          <w:sz w:val="14"/>
          <w:szCs w:val="14"/>
          <w:color w:val="202E39"/>
        </w:rPr>
      </w:pPr>
      <w:r>
        <w:rPr>
          <w:rFonts w:ascii="Arial" w:cs="Arial" w:eastAsia="Arial" w:hAnsi="Arial"/>
          <w:sz w:val="14"/>
          <w:szCs w:val="14"/>
          <w:color w:val="202E39"/>
        </w:rPr>
        <w:t>Represents accrual for vacation that had not been taken as of March 31, 2018.</w:t>
      </w:r>
    </w:p>
    <w:p>
      <w:pPr>
        <w:spacing w:after="0" w:line="68" w:lineRule="exact"/>
        <w:rPr>
          <w:rFonts w:ascii="Arial" w:cs="Arial" w:eastAsia="Arial" w:hAnsi="Arial"/>
          <w:sz w:val="14"/>
          <w:szCs w:val="14"/>
          <w:color w:val="202E39"/>
        </w:rPr>
      </w:pPr>
    </w:p>
    <w:p>
      <w:pPr>
        <w:ind w:left="520" w:hanging="316"/>
        <w:spacing w:after="0"/>
        <w:tabs>
          <w:tab w:leader="none" w:pos="520" w:val="left"/>
        </w:tabs>
        <w:numPr>
          <w:ilvl w:val="0"/>
          <w:numId w:val="44"/>
        </w:numPr>
        <w:rPr>
          <w:rFonts w:ascii="Arial" w:cs="Arial" w:eastAsia="Arial" w:hAnsi="Arial"/>
          <w:sz w:val="14"/>
          <w:szCs w:val="14"/>
          <w:color w:val="202E39"/>
        </w:rPr>
      </w:pPr>
      <w:r>
        <w:rPr>
          <w:rFonts w:ascii="Arial" w:cs="Arial" w:eastAsia="Arial" w:hAnsi="Arial"/>
          <w:sz w:val="14"/>
          <w:szCs w:val="14"/>
          <w:color w:val="202E39"/>
        </w:rPr>
        <w:t>Amounts shown equal an aggregate of 18 months of COBRA payments for the Named Executive Officer.</w:t>
      </w:r>
    </w:p>
    <w:p>
      <w:pPr>
        <w:spacing w:after="0" w:line="68" w:lineRule="exact"/>
        <w:rPr>
          <w:rFonts w:ascii="Arial" w:cs="Arial" w:eastAsia="Arial" w:hAnsi="Arial"/>
          <w:sz w:val="14"/>
          <w:szCs w:val="14"/>
          <w:color w:val="202E39"/>
        </w:rPr>
      </w:pPr>
    </w:p>
    <w:p>
      <w:pPr>
        <w:ind w:left="520" w:right="20" w:hanging="316"/>
        <w:spacing w:after="0" w:line="250" w:lineRule="auto"/>
        <w:tabs>
          <w:tab w:leader="none" w:pos="520" w:val="left"/>
        </w:tabs>
        <w:numPr>
          <w:ilvl w:val="0"/>
          <w:numId w:val="44"/>
        </w:numPr>
        <w:rPr>
          <w:rFonts w:ascii="Arial" w:cs="Arial" w:eastAsia="Arial" w:hAnsi="Arial"/>
          <w:sz w:val="14"/>
          <w:szCs w:val="14"/>
          <w:color w:val="202E39"/>
        </w:rPr>
      </w:pPr>
      <w:r>
        <w:rPr>
          <w:rFonts w:ascii="Arial" w:cs="Arial" w:eastAsia="Arial" w:hAnsi="Arial"/>
          <w:sz w:val="14"/>
          <w:szCs w:val="14"/>
          <w:color w:val="202E39"/>
        </w:rPr>
        <w:t>The intrinsic value of accelerated stock options is based on the difference between the closing price of our common stock on March 29, 2018 ($65.72 per share) and the option exercise price, multiplied by the number of shares for which the option was accelerated (taking into consideration only options where the closing price of our common stock on March 29, 2018 is higher than the option exercise price, and using the “target” number of shares for performance-based stock options).</w:t>
      </w:r>
    </w:p>
    <w:p>
      <w:pPr>
        <w:spacing w:after="0" w:line="50" w:lineRule="exact"/>
        <w:rPr>
          <w:rFonts w:ascii="Arial" w:cs="Arial" w:eastAsia="Arial" w:hAnsi="Arial"/>
          <w:sz w:val="14"/>
          <w:szCs w:val="14"/>
          <w:color w:val="202E39"/>
        </w:rPr>
      </w:pPr>
    </w:p>
    <w:p>
      <w:pPr>
        <w:ind w:left="520" w:right="180" w:hanging="316"/>
        <w:spacing w:after="0" w:line="258" w:lineRule="auto"/>
        <w:tabs>
          <w:tab w:leader="none" w:pos="520" w:val="left"/>
        </w:tabs>
        <w:numPr>
          <w:ilvl w:val="0"/>
          <w:numId w:val="44"/>
        </w:numPr>
        <w:rPr>
          <w:rFonts w:ascii="Arial" w:cs="Arial" w:eastAsia="Arial" w:hAnsi="Arial"/>
          <w:sz w:val="14"/>
          <w:szCs w:val="14"/>
          <w:color w:val="202E39"/>
        </w:rPr>
      </w:pPr>
      <w:r>
        <w:rPr>
          <w:rFonts w:ascii="Arial" w:cs="Arial" w:eastAsia="Arial" w:hAnsi="Arial"/>
          <w:sz w:val="14"/>
          <w:szCs w:val="14"/>
          <w:color w:val="202E39"/>
        </w:rPr>
        <w:t>The intrinsic value of accelerated restricted stock unit awards is computed by multiplying the closing price of our common stock on March 29, 2018 ($65.72 per share) by the number of shares that were accelerated.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CEO Pay Ratio</w:t>
      </w:r>
    </w:p>
    <w:p>
      <w:pPr>
        <w:spacing w:after="0" w:line="145"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202E39"/>
        </w:rPr>
        <w:t>In accordance with SEC rules, we are providing the ratio of total compensation received during fiscal year 2018 by our CEO to the total compensation received by our median employee. For fiscal year 2018, our median employee earned $105,228 in total compensation during the fiscal year ended March 31, 2018. Based upon the annual total compensation of Mr. Dankberg of $10,489,325 reported in the Summary Compensation Table for fiscal year 2018, our ratio of CEO pay to median employee pay for fiscal year 2018 was approximately 100 to 1.</w:t>
      </w:r>
    </w:p>
    <w:p>
      <w:pPr>
        <w:spacing w:after="0" w:line="95" w:lineRule="exact"/>
        <w:rPr>
          <w:sz w:val="20"/>
          <w:szCs w:val="20"/>
          <w:color w:val="auto"/>
        </w:rPr>
      </w:pPr>
    </w:p>
    <w:p>
      <w:pPr>
        <w:jc w:val="both"/>
        <w:ind w:left="200" w:right="280"/>
        <w:spacing w:after="0" w:line="251" w:lineRule="auto"/>
        <w:rPr>
          <w:sz w:val="20"/>
          <w:szCs w:val="20"/>
          <w:color w:val="auto"/>
        </w:rPr>
      </w:pPr>
      <w:r>
        <w:rPr>
          <w:rFonts w:ascii="Arial" w:cs="Arial" w:eastAsia="Arial" w:hAnsi="Arial"/>
          <w:sz w:val="16"/>
          <w:szCs w:val="16"/>
          <w:color w:val="202E39"/>
        </w:rPr>
        <w:t>To identify our median employee, we identified our total employee population (including all full-time, part-time, temporary and seasonal workers) as of March 31, 2018, and, in accordance with SEC rules, excluded employees from certain countries that in the aggregate represented less than 5% of our employee base. As of March 31, 2018, we had approximately 5,200 global employees. To determine our median employee, we excluded a total of 234 employees from the following countries (and all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84455</wp:posOffset>
            </wp:positionV>
            <wp:extent cx="42862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42</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802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CEO Pay Ratio</w:t>
      </w:r>
    </w:p>
    <w:p>
      <w:pPr>
        <w:spacing w:after="0" w:line="147" w:lineRule="exact"/>
        <w:rPr>
          <w:sz w:val="20"/>
          <w:szCs w:val="20"/>
          <w:color w:val="auto"/>
        </w:rPr>
      </w:pPr>
    </w:p>
    <w:p>
      <w:pPr>
        <w:ind w:left="200" w:right="100"/>
        <w:spacing w:after="0" w:line="249" w:lineRule="auto"/>
        <w:rPr>
          <w:sz w:val="20"/>
          <w:szCs w:val="20"/>
          <w:color w:val="auto"/>
        </w:rPr>
      </w:pPr>
      <w:r>
        <w:rPr>
          <w:rFonts w:ascii="Arial" w:cs="Arial" w:eastAsia="Arial" w:hAnsi="Arial"/>
          <w:sz w:val="16"/>
          <w:szCs w:val="16"/>
          <w:color w:val="202E39"/>
        </w:rPr>
        <w:t>our employees in each of the following countries were excluded from the calculation): Australia (30 employees), Canada (1 employee), China (2 employees), Germany (5 employees), Switzerland (47 employees), United Kingdom (64 employees), Ireland (80 employees), Israel (3 employees) and Italy (2 employees). We then used base salary received during fiscal year 2018 for our employee population included in the calculation (other than Mr. Dankberg) to determine our median employee, and, once identified, we calculated such employee’s annual total compensation in the same manner used to calculate Mr. Dankberg’s total compensation in the Summary Compensation Table for fiscal year 2018. For all compensation paid in currencies other than the U.S. Dollar, all values were converted to the U.S. Dollar using foreign currency exchange rates on March 31, 2018.</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Director Compensation</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following table sets forth the compensation earned during the fiscal year ended March 31, 2018 by each of our non-employee directors.</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3640" w:type="dxa"/>
            <w:vAlign w:val="bottom"/>
            <w:tcBorders>
              <w:top w:val="single" w:sz="8" w:color="E8EAEB"/>
              <w:right w:val="single" w:sz="8" w:color="E8EAEB"/>
            </w:tcBorders>
          </w:tcPr>
          <w:p>
            <w:pPr>
              <w:spacing w:after="0"/>
              <w:rPr>
                <w:sz w:val="17"/>
                <w:szCs w:val="17"/>
                <w:color w:val="auto"/>
              </w:rPr>
            </w:pPr>
          </w:p>
        </w:tc>
        <w:tc>
          <w:tcPr>
            <w:tcW w:w="1120" w:type="dxa"/>
            <w:vAlign w:val="bottom"/>
            <w:tcBorders>
              <w:top w:val="single" w:sz="8" w:color="E8EAEB"/>
              <w:right w:val="single" w:sz="8" w:color="E8EAEB"/>
            </w:tcBorders>
          </w:tcPr>
          <w:p>
            <w:pPr>
              <w:spacing w:after="0"/>
              <w:rPr>
                <w:sz w:val="17"/>
                <w:szCs w:val="17"/>
                <w:color w:val="auto"/>
              </w:rPr>
            </w:pPr>
          </w:p>
        </w:tc>
        <w:tc>
          <w:tcPr>
            <w:tcW w:w="1120" w:type="dxa"/>
            <w:vAlign w:val="bottom"/>
            <w:tcBorders>
              <w:top w:val="single" w:sz="8" w:color="E8EAEB"/>
              <w:right w:val="single" w:sz="8" w:color="E8EAEB"/>
            </w:tcBorders>
          </w:tcPr>
          <w:p>
            <w:pPr>
              <w:spacing w:after="0"/>
              <w:rPr>
                <w:sz w:val="17"/>
                <w:szCs w:val="17"/>
                <w:color w:val="auto"/>
              </w:rPr>
            </w:pPr>
          </w:p>
        </w:tc>
        <w:tc>
          <w:tcPr>
            <w:tcW w:w="1140" w:type="dxa"/>
            <w:vAlign w:val="bottom"/>
            <w:tcBorders>
              <w:top w:val="single" w:sz="8" w:color="E8EAEB"/>
              <w:right w:val="single" w:sz="8" w:color="E8EAEB"/>
            </w:tcBorders>
          </w:tcPr>
          <w:p>
            <w:pPr>
              <w:spacing w:after="0"/>
              <w:rPr>
                <w:sz w:val="17"/>
                <w:szCs w:val="17"/>
                <w:color w:val="auto"/>
              </w:rPr>
            </w:pPr>
          </w:p>
        </w:tc>
        <w:tc>
          <w:tcPr>
            <w:tcW w:w="1020" w:type="dxa"/>
            <w:vAlign w:val="bottom"/>
            <w:tcBorders>
              <w:top w:val="single" w:sz="8" w:color="E8EAEB"/>
              <w:right w:val="single" w:sz="8" w:color="E8EAEB"/>
            </w:tcBorders>
          </w:tcPr>
          <w:p>
            <w:pPr>
              <w:spacing w:after="0"/>
              <w:rPr>
                <w:sz w:val="17"/>
                <w:szCs w:val="17"/>
                <w:color w:val="auto"/>
              </w:rPr>
            </w:pPr>
          </w:p>
        </w:tc>
        <w:tc>
          <w:tcPr>
            <w:tcW w:w="104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Change in</w:t>
            </w:r>
          </w:p>
        </w:tc>
        <w:tc>
          <w:tcPr>
            <w:tcW w:w="1020" w:type="dxa"/>
            <w:vAlign w:val="bottom"/>
            <w:tcBorders>
              <w:top w:val="single" w:sz="8" w:color="E8EAEB"/>
              <w:right w:val="single" w:sz="8" w:color="E8EAEB"/>
            </w:tcBorders>
          </w:tcPr>
          <w:p>
            <w:pPr>
              <w:spacing w:after="0"/>
              <w:rPr>
                <w:sz w:val="17"/>
                <w:szCs w:val="17"/>
                <w:color w:val="auto"/>
              </w:rPr>
            </w:pPr>
          </w:p>
        </w:tc>
        <w:tc>
          <w:tcPr>
            <w:tcW w:w="920" w:type="dxa"/>
            <w:vAlign w:val="bottom"/>
            <w:tcBorders>
              <w:top w:val="single" w:sz="8" w:color="E8EAEB"/>
            </w:tcBorders>
          </w:tcPr>
          <w:p>
            <w:pPr>
              <w:spacing w:after="0"/>
              <w:rPr>
                <w:sz w:val="17"/>
                <w:szCs w:val="17"/>
                <w:color w:val="auto"/>
              </w:rPr>
            </w:pPr>
          </w:p>
        </w:tc>
      </w:tr>
      <w:tr>
        <w:trPr>
          <w:trHeight w:val="162"/>
        </w:trPr>
        <w:tc>
          <w:tcPr>
            <w:tcW w:w="3640" w:type="dxa"/>
            <w:vAlign w:val="bottom"/>
            <w:tcBorders>
              <w:right w:val="single" w:sz="8" w:color="E8EAEB"/>
            </w:tcBorders>
          </w:tcPr>
          <w:p>
            <w:pPr>
              <w:spacing w:after="0"/>
              <w:rPr>
                <w:sz w:val="14"/>
                <w:szCs w:val="14"/>
                <w:color w:val="auto"/>
              </w:rPr>
            </w:pPr>
          </w:p>
        </w:tc>
        <w:tc>
          <w:tcPr>
            <w:tcW w:w="1120" w:type="dxa"/>
            <w:vAlign w:val="bottom"/>
            <w:tcBorders>
              <w:right w:val="single" w:sz="8" w:color="E8EAEB"/>
            </w:tcBorders>
          </w:tcPr>
          <w:p>
            <w:pPr>
              <w:spacing w:after="0"/>
              <w:rPr>
                <w:sz w:val="14"/>
                <w:szCs w:val="14"/>
                <w:color w:val="auto"/>
              </w:rPr>
            </w:pPr>
          </w:p>
        </w:tc>
        <w:tc>
          <w:tcPr>
            <w:tcW w:w="1120" w:type="dxa"/>
            <w:vAlign w:val="bottom"/>
            <w:tcBorders>
              <w:right w:val="single" w:sz="8" w:color="E8EAEB"/>
            </w:tcBorders>
          </w:tcPr>
          <w:p>
            <w:pPr>
              <w:spacing w:after="0"/>
              <w:rPr>
                <w:sz w:val="14"/>
                <w:szCs w:val="14"/>
                <w:color w:val="auto"/>
              </w:rPr>
            </w:pPr>
          </w:p>
        </w:tc>
        <w:tc>
          <w:tcPr>
            <w:tcW w:w="1140" w:type="dxa"/>
            <w:vAlign w:val="bottom"/>
            <w:tcBorders>
              <w:right w:val="single" w:sz="8" w:color="E8EAEB"/>
            </w:tcBorders>
          </w:tcPr>
          <w:p>
            <w:pPr>
              <w:spacing w:after="0"/>
              <w:rPr>
                <w:sz w:val="14"/>
                <w:szCs w:val="14"/>
                <w:color w:val="auto"/>
              </w:rPr>
            </w:pPr>
          </w:p>
        </w:tc>
        <w:tc>
          <w:tcPr>
            <w:tcW w:w="102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Pension Value</w:t>
            </w:r>
          </w:p>
        </w:tc>
        <w:tc>
          <w:tcPr>
            <w:tcW w:w="1020" w:type="dxa"/>
            <w:vAlign w:val="bottom"/>
            <w:tcBorders>
              <w:right w:val="single" w:sz="8" w:color="E8EAEB"/>
            </w:tcBorders>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3640" w:type="dxa"/>
            <w:vAlign w:val="bottom"/>
            <w:tcBorders>
              <w:right w:val="single" w:sz="8" w:color="E8EAEB"/>
            </w:tcBorders>
          </w:tcPr>
          <w:p>
            <w:pPr>
              <w:spacing w:after="0"/>
              <w:rPr>
                <w:sz w:val="14"/>
                <w:szCs w:val="14"/>
                <w:color w:val="auto"/>
              </w:rPr>
            </w:pPr>
          </w:p>
        </w:tc>
        <w:tc>
          <w:tcPr>
            <w:tcW w:w="1120" w:type="dxa"/>
            <w:vAlign w:val="bottom"/>
            <w:tcBorders>
              <w:right w:val="single" w:sz="8" w:color="E8EAEB"/>
            </w:tcBorders>
          </w:tcPr>
          <w:p>
            <w:pPr>
              <w:spacing w:after="0"/>
              <w:rPr>
                <w:sz w:val="14"/>
                <w:szCs w:val="14"/>
                <w:color w:val="auto"/>
              </w:rPr>
            </w:pPr>
          </w:p>
        </w:tc>
        <w:tc>
          <w:tcPr>
            <w:tcW w:w="1120" w:type="dxa"/>
            <w:vAlign w:val="bottom"/>
            <w:tcBorders>
              <w:right w:val="single" w:sz="8" w:color="E8EAEB"/>
            </w:tcBorders>
          </w:tcPr>
          <w:p>
            <w:pPr>
              <w:spacing w:after="0"/>
              <w:rPr>
                <w:sz w:val="14"/>
                <w:szCs w:val="14"/>
                <w:color w:val="auto"/>
              </w:rPr>
            </w:pPr>
          </w:p>
        </w:tc>
        <w:tc>
          <w:tcPr>
            <w:tcW w:w="1140" w:type="dxa"/>
            <w:vAlign w:val="bottom"/>
            <w:tcBorders>
              <w:right w:val="single" w:sz="8" w:color="E8EAEB"/>
            </w:tcBorders>
          </w:tcPr>
          <w:p>
            <w:pPr>
              <w:spacing w:after="0"/>
              <w:rPr>
                <w:sz w:val="14"/>
                <w:szCs w:val="14"/>
                <w:color w:val="auto"/>
              </w:rPr>
            </w:pPr>
          </w:p>
        </w:tc>
        <w:tc>
          <w:tcPr>
            <w:tcW w:w="102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jc w:val="center"/>
              <w:ind w:right="8"/>
              <w:spacing w:after="0"/>
              <w:rPr>
                <w:sz w:val="20"/>
                <w:szCs w:val="20"/>
                <w:color w:val="auto"/>
              </w:rPr>
            </w:pPr>
            <w:r>
              <w:rPr>
                <w:rFonts w:ascii="Arial" w:cs="Arial" w:eastAsia="Arial" w:hAnsi="Arial"/>
                <w:sz w:val="14"/>
                <w:szCs w:val="14"/>
                <w:b w:val="1"/>
                <w:bCs w:val="1"/>
                <w:color w:val="009FE3"/>
                <w:w w:val="96"/>
              </w:rPr>
              <w:t>and</w:t>
            </w:r>
          </w:p>
        </w:tc>
        <w:tc>
          <w:tcPr>
            <w:tcW w:w="1020" w:type="dxa"/>
            <w:vAlign w:val="bottom"/>
            <w:tcBorders>
              <w:right w:val="single" w:sz="8" w:color="E8EAEB"/>
            </w:tcBorders>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3640" w:type="dxa"/>
            <w:vAlign w:val="bottom"/>
            <w:tcBorders>
              <w:right w:val="single" w:sz="8" w:color="E8EAEB"/>
            </w:tcBorders>
          </w:tcPr>
          <w:p>
            <w:pPr>
              <w:spacing w:after="0"/>
              <w:rPr>
                <w:sz w:val="14"/>
                <w:szCs w:val="14"/>
                <w:color w:val="auto"/>
              </w:rPr>
            </w:pP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Fees</w:t>
            </w:r>
          </w:p>
        </w:tc>
        <w:tc>
          <w:tcPr>
            <w:tcW w:w="1120" w:type="dxa"/>
            <w:vAlign w:val="bottom"/>
            <w:tcBorders>
              <w:right w:val="single" w:sz="8" w:color="E8EAEB"/>
            </w:tcBorders>
          </w:tcPr>
          <w:p>
            <w:pPr>
              <w:spacing w:after="0"/>
              <w:rPr>
                <w:sz w:val="14"/>
                <w:szCs w:val="14"/>
                <w:color w:val="auto"/>
              </w:rPr>
            </w:pPr>
          </w:p>
        </w:tc>
        <w:tc>
          <w:tcPr>
            <w:tcW w:w="1140" w:type="dxa"/>
            <w:vAlign w:val="bottom"/>
            <w:tcBorders>
              <w:right w:val="single" w:sz="8" w:color="E8EAEB"/>
            </w:tcBorders>
          </w:tcPr>
          <w:p>
            <w:pPr>
              <w:spacing w:after="0"/>
              <w:rPr>
                <w:sz w:val="14"/>
                <w:szCs w:val="14"/>
                <w:color w:val="auto"/>
              </w:rPr>
            </w:pPr>
          </w:p>
        </w:tc>
        <w:tc>
          <w:tcPr>
            <w:tcW w:w="102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Non-Qualified</w:t>
            </w:r>
          </w:p>
        </w:tc>
        <w:tc>
          <w:tcPr>
            <w:tcW w:w="1020" w:type="dxa"/>
            <w:vAlign w:val="bottom"/>
            <w:tcBorders>
              <w:right w:val="single" w:sz="8" w:color="E8EAEB"/>
            </w:tcBorders>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3640" w:type="dxa"/>
            <w:vAlign w:val="bottom"/>
            <w:tcBorders>
              <w:right w:val="single" w:sz="8" w:color="E8EAEB"/>
            </w:tcBorders>
          </w:tcPr>
          <w:p>
            <w:pPr>
              <w:spacing w:after="0"/>
              <w:rPr>
                <w:sz w:val="14"/>
                <w:szCs w:val="14"/>
                <w:color w:val="auto"/>
              </w:rPr>
            </w:pP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Earned or</w:t>
            </w:r>
          </w:p>
        </w:tc>
        <w:tc>
          <w:tcPr>
            <w:tcW w:w="1120" w:type="dxa"/>
            <w:vAlign w:val="bottom"/>
            <w:tcBorders>
              <w:right w:val="single" w:sz="8" w:color="E8EAEB"/>
            </w:tcBorders>
          </w:tcPr>
          <w:p>
            <w:pPr>
              <w:spacing w:after="0"/>
              <w:rPr>
                <w:sz w:val="14"/>
                <w:szCs w:val="14"/>
                <w:color w:val="auto"/>
              </w:rPr>
            </w:pPr>
          </w:p>
        </w:tc>
        <w:tc>
          <w:tcPr>
            <w:tcW w:w="1140" w:type="dxa"/>
            <w:vAlign w:val="bottom"/>
            <w:tcBorders>
              <w:right w:val="single" w:sz="8" w:color="E8EAEB"/>
            </w:tcBorders>
          </w:tcPr>
          <w:p>
            <w:pPr>
              <w:spacing w:after="0"/>
              <w:rPr>
                <w:sz w:val="14"/>
                <w:szCs w:val="14"/>
                <w:color w:val="auto"/>
              </w:rPr>
            </w:pP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Non-Equity</w:t>
            </w: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Deferred</w:t>
            </w:r>
          </w:p>
        </w:tc>
        <w:tc>
          <w:tcPr>
            <w:tcW w:w="1020" w:type="dxa"/>
            <w:vAlign w:val="bottom"/>
            <w:tcBorders>
              <w:right w:val="single" w:sz="8" w:color="E8EAEB"/>
            </w:tcBorders>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3640" w:type="dxa"/>
            <w:vAlign w:val="bottom"/>
            <w:tcBorders>
              <w:right w:val="single" w:sz="8" w:color="E8EAEB"/>
            </w:tcBorders>
          </w:tcPr>
          <w:p>
            <w:pPr>
              <w:spacing w:after="0"/>
              <w:rPr>
                <w:sz w:val="14"/>
                <w:szCs w:val="14"/>
                <w:color w:val="auto"/>
              </w:rPr>
            </w:pP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Paid in</w:t>
            </w: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w:t>
            </w: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Incentive Plan</w:t>
            </w: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920" w:type="dxa"/>
            <w:vAlign w:val="bottom"/>
          </w:tcPr>
          <w:p>
            <w:pPr>
              <w:spacing w:after="0"/>
              <w:rPr>
                <w:sz w:val="14"/>
                <w:szCs w:val="14"/>
                <w:color w:val="auto"/>
              </w:rPr>
            </w:pPr>
          </w:p>
        </w:tc>
      </w:tr>
      <w:tr>
        <w:trPr>
          <w:trHeight w:val="162"/>
        </w:trPr>
        <w:tc>
          <w:tcPr>
            <w:tcW w:w="3640" w:type="dxa"/>
            <w:vAlign w:val="bottom"/>
            <w:tcBorders>
              <w:right w:val="single" w:sz="8" w:color="E8EAEB"/>
            </w:tcBorders>
          </w:tcPr>
          <w:p>
            <w:pPr>
              <w:spacing w:after="0"/>
              <w:rPr>
                <w:sz w:val="14"/>
                <w:szCs w:val="14"/>
                <w:color w:val="auto"/>
              </w:rPr>
            </w:pP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Cash</w:t>
            </w: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Earnings</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009FE3"/>
              </w:rPr>
              <w:t>Total</w:t>
            </w:r>
          </w:p>
        </w:tc>
      </w:tr>
      <w:tr>
        <w:trPr>
          <w:trHeight w:val="196"/>
        </w:trPr>
        <w:tc>
          <w:tcPr>
            <w:tcW w:w="36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1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1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($)(1)</w:t>
            </w:r>
          </w:p>
        </w:tc>
        <w:tc>
          <w:tcPr>
            <w:tcW w:w="11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($)(2)</w:t>
            </w:r>
          </w:p>
        </w:tc>
        <w:tc>
          <w:tcPr>
            <w:tcW w:w="10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10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920" w:type="dxa"/>
            <w:vAlign w:val="bottom"/>
            <w:tcBorders>
              <w:bottom w:val="single" w:sz="8" w:color="009FE3"/>
            </w:tcBorders>
          </w:tcPr>
          <w:p>
            <w:pPr>
              <w:jc w:val="right"/>
              <w:ind w:right="308"/>
              <w:spacing w:after="0"/>
              <w:rPr>
                <w:sz w:val="20"/>
                <w:szCs w:val="20"/>
                <w:color w:val="auto"/>
              </w:rPr>
            </w:pPr>
            <w:r>
              <w:rPr>
                <w:rFonts w:ascii="Arial" w:cs="Arial" w:eastAsia="Arial" w:hAnsi="Arial"/>
                <w:sz w:val="14"/>
                <w:szCs w:val="14"/>
                <w:b w:val="1"/>
                <w:bCs w:val="1"/>
                <w:color w:val="009FE3"/>
              </w:rPr>
              <w:t>($)</w:t>
            </w:r>
          </w:p>
        </w:tc>
      </w:tr>
      <w:tr>
        <w:trPr>
          <w:trHeight w:val="223"/>
        </w:trPr>
        <w:tc>
          <w:tcPr>
            <w:tcW w:w="36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Frank J. Biondi, Jr.</w:t>
            </w:r>
          </w:p>
        </w:tc>
        <w:tc>
          <w:tcPr>
            <w:tcW w:w="112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88,500</w:t>
            </w:r>
          </w:p>
        </w:tc>
        <w:tc>
          <w:tcPr>
            <w:tcW w:w="11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96,944</w:t>
            </w:r>
          </w:p>
        </w:tc>
        <w:tc>
          <w:tcPr>
            <w:tcW w:w="114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94,980</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92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280,424</w:t>
            </w:r>
          </w:p>
        </w:tc>
      </w:tr>
      <w:tr>
        <w:trPr>
          <w:trHeight w:val="223"/>
        </w:trPr>
        <w:tc>
          <w:tcPr>
            <w:tcW w:w="36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Robert Johnson</w:t>
            </w:r>
          </w:p>
        </w:tc>
        <w:tc>
          <w:tcPr>
            <w:tcW w:w="112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89,000</w:t>
            </w:r>
          </w:p>
        </w:tc>
        <w:tc>
          <w:tcPr>
            <w:tcW w:w="11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96,944</w:t>
            </w:r>
          </w:p>
        </w:tc>
        <w:tc>
          <w:tcPr>
            <w:tcW w:w="114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94,980</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92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280,924</w:t>
            </w:r>
          </w:p>
        </w:tc>
      </w:tr>
      <w:tr>
        <w:trPr>
          <w:trHeight w:val="223"/>
        </w:trPr>
        <w:tc>
          <w:tcPr>
            <w:tcW w:w="36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B. Allen Lay</w:t>
            </w:r>
          </w:p>
        </w:tc>
        <w:tc>
          <w:tcPr>
            <w:tcW w:w="112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76,500</w:t>
            </w:r>
          </w:p>
        </w:tc>
        <w:tc>
          <w:tcPr>
            <w:tcW w:w="11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96,944</w:t>
            </w:r>
          </w:p>
        </w:tc>
        <w:tc>
          <w:tcPr>
            <w:tcW w:w="114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94,980</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92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268,424</w:t>
            </w:r>
          </w:p>
        </w:tc>
      </w:tr>
      <w:tr>
        <w:trPr>
          <w:trHeight w:val="223"/>
        </w:trPr>
        <w:tc>
          <w:tcPr>
            <w:tcW w:w="36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Jeffrey Nash</w:t>
            </w:r>
          </w:p>
        </w:tc>
        <w:tc>
          <w:tcPr>
            <w:tcW w:w="112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95,750</w:t>
            </w:r>
          </w:p>
        </w:tc>
        <w:tc>
          <w:tcPr>
            <w:tcW w:w="11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96,944</w:t>
            </w:r>
          </w:p>
        </w:tc>
        <w:tc>
          <w:tcPr>
            <w:tcW w:w="114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94,980</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92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287,674</w:t>
            </w:r>
          </w:p>
        </w:tc>
      </w:tr>
      <w:tr>
        <w:trPr>
          <w:trHeight w:val="223"/>
        </w:trPr>
        <w:tc>
          <w:tcPr>
            <w:tcW w:w="36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Sean Pak</w:t>
            </w:r>
          </w:p>
        </w:tc>
        <w:tc>
          <w:tcPr>
            <w:tcW w:w="112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52,000</w:t>
            </w:r>
          </w:p>
        </w:tc>
        <w:tc>
          <w:tcPr>
            <w:tcW w:w="11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225,480</w:t>
            </w:r>
          </w:p>
        </w:tc>
        <w:tc>
          <w:tcPr>
            <w:tcW w:w="114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205,682</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92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483,162</w:t>
            </w:r>
          </w:p>
        </w:tc>
      </w:tr>
      <w:tr>
        <w:trPr>
          <w:trHeight w:val="223"/>
        </w:trPr>
        <w:tc>
          <w:tcPr>
            <w:tcW w:w="36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Varsha Rao</w:t>
            </w:r>
          </w:p>
        </w:tc>
        <w:tc>
          <w:tcPr>
            <w:tcW w:w="112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67,500</w:t>
            </w:r>
          </w:p>
        </w:tc>
        <w:tc>
          <w:tcPr>
            <w:tcW w:w="11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288,044</w:t>
            </w:r>
          </w:p>
        </w:tc>
        <w:tc>
          <w:tcPr>
            <w:tcW w:w="114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277,128</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92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632,672</w:t>
            </w:r>
          </w:p>
        </w:tc>
      </w:tr>
      <w:tr>
        <w:trPr>
          <w:trHeight w:val="223"/>
        </w:trPr>
        <w:tc>
          <w:tcPr>
            <w:tcW w:w="36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John Stenbit</w:t>
            </w:r>
          </w:p>
        </w:tc>
        <w:tc>
          <w:tcPr>
            <w:tcW w:w="112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87,000</w:t>
            </w:r>
          </w:p>
        </w:tc>
        <w:tc>
          <w:tcPr>
            <w:tcW w:w="11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96,944</w:t>
            </w:r>
          </w:p>
        </w:tc>
        <w:tc>
          <w:tcPr>
            <w:tcW w:w="114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94,980</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92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278,924</w:t>
            </w:r>
          </w:p>
        </w:tc>
      </w:tr>
      <w:tr>
        <w:trPr>
          <w:trHeight w:val="223"/>
        </w:trPr>
        <w:tc>
          <w:tcPr>
            <w:tcW w:w="36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color w:val="202E39"/>
              </w:rPr>
              <w:t>Harvey White</w:t>
            </w:r>
          </w:p>
        </w:tc>
        <w:tc>
          <w:tcPr>
            <w:tcW w:w="1120" w:type="dxa"/>
            <w:vAlign w:val="bottom"/>
            <w:tcBorders>
              <w:bottom w:val="single" w:sz="8" w:color="009FE3"/>
              <w:right w:val="single" w:sz="8" w:color="E8EAEB"/>
            </w:tcBorders>
          </w:tcPr>
          <w:p>
            <w:pPr>
              <w:jc w:val="right"/>
              <w:ind w:right="148"/>
              <w:spacing w:after="0"/>
              <w:rPr>
                <w:sz w:val="20"/>
                <w:szCs w:val="20"/>
                <w:color w:val="auto"/>
              </w:rPr>
            </w:pPr>
            <w:r>
              <w:rPr>
                <w:rFonts w:ascii="Arial" w:cs="Arial" w:eastAsia="Arial" w:hAnsi="Arial"/>
                <w:sz w:val="14"/>
                <w:szCs w:val="14"/>
                <w:color w:val="202E39"/>
              </w:rPr>
              <w:t>105,000</w:t>
            </w:r>
          </w:p>
        </w:tc>
        <w:tc>
          <w:tcPr>
            <w:tcW w:w="112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96,944</w:t>
            </w:r>
          </w:p>
        </w:tc>
        <w:tc>
          <w:tcPr>
            <w:tcW w:w="114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94,980</w:t>
            </w:r>
          </w:p>
        </w:tc>
        <w:tc>
          <w:tcPr>
            <w:tcW w:w="1020" w:type="dxa"/>
            <w:vAlign w:val="bottom"/>
            <w:tcBorders>
              <w:bottom w:val="single" w:sz="8" w:color="009FE3"/>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009FE3"/>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009FE3"/>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920" w:type="dxa"/>
            <w:vAlign w:val="bottom"/>
            <w:tcBorders>
              <w:bottom w:val="single" w:sz="8" w:color="009FE3"/>
            </w:tcBorders>
          </w:tcPr>
          <w:p>
            <w:pPr>
              <w:jc w:val="right"/>
              <w:ind w:right="128"/>
              <w:spacing w:after="0"/>
              <w:rPr>
                <w:sz w:val="20"/>
                <w:szCs w:val="20"/>
                <w:color w:val="auto"/>
              </w:rPr>
            </w:pPr>
            <w:r>
              <w:rPr>
                <w:rFonts w:ascii="Arial" w:cs="Arial" w:eastAsia="Arial" w:hAnsi="Arial"/>
                <w:sz w:val="14"/>
                <w:szCs w:val="14"/>
                <w:color w:val="202E39"/>
              </w:rPr>
              <w:t>296,924</w:t>
            </w:r>
          </w:p>
        </w:tc>
      </w:tr>
    </w:tbl>
    <w:p>
      <w:pPr>
        <w:spacing w:after="0" w:line="126" w:lineRule="exact"/>
        <w:rPr>
          <w:sz w:val="20"/>
          <w:szCs w:val="20"/>
          <w:color w:val="auto"/>
        </w:rPr>
      </w:pPr>
    </w:p>
    <w:p>
      <w:pPr>
        <w:ind w:left="520" w:right="60" w:hanging="316"/>
        <w:spacing w:after="0" w:line="244" w:lineRule="auto"/>
        <w:tabs>
          <w:tab w:leader="none" w:pos="52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This column represents the aggregate grant date fair value, calculated in accordance with SEC rules, of restricted stock unit awards granted in fiscal year 2018.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6 to the financial statements included in our annual report on Form 10-K for the fiscal year ended March 31, 2018, as filed with the SEC. The aggregate number of shares of our common stock subject to restricted stock unit awards outstanding at the end of fiscal year 2018 for each non-employee director was as follows: Mr. Biondi (2,600); Mr. Johnson (1,600); Mr. Lay (1,600); Dr. Nash (1,600); Mr. Pak (3,000); Ms. Rao (4,600); Mr. Stenbit (1,600); and Mr. White (1,600).</w:t>
      </w:r>
    </w:p>
    <w:p>
      <w:pPr>
        <w:spacing w:after="0" w:line="57" w:lineRule="exact"/>
        <w:rPr>
          <w:rFonts w:ascii="Arial" w:cs="Arial" w:eastAsia="Arial" w:hAnsi="Arial"/>
          <w:sz w:val="14"/>
          <w:szCs w:val="14"/>
          <w:color w:val="202E39"/>
        </w:rPr>
      </w:pPr>
    </w:p>
    <w:p>
      <w:pPr>
        <w:ind w:left="520" w:right="40" w:hanging="316"/>
        <w:spacing w:after="0" w:line="244" w:lineRule="auto"/>
        <w:tabs>
          <w:tab w:leader="none" w:pos="52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This column represents the aggregate grant date fair value, calculated in accordance with SEC rules, of stock options granted in fiscal year 2018.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6 to the financial statements included in our annual report on Form 10-K for the fiscal year ended March 31, 2018, as filed with the SEC. The aggregate number of shares of our common stock subject to stock options outstanding at the end of fiscal year 2018 for each director was as follows: Mr. Biondi (24,000); Mr. Johnson (30,000); Mr. Lay (30,000); Dr. Nash (30,000); Mr. Pak (9,000); Ms. Rao (14,000); Mr. Stenbit (29,300); and Mr. White (25,000).</w:t>
      </w:r>
    </w:p>
    <w:p>
      <w:pPr>
        <w:spacing w:after="0" w:line="95" w:lineRule="exact"/>
        <w:rPr>
          <w:sz w:val="20"/>
          <w:szCs w:val="20"/>
          <w:color w:val="auto"/>
        </w:rPr>
      </w:pPr>
    </w:p>
    <w:p>
      <w:pPr>
        <w:ind w:left="200" w:right="160"/>
        <w:spacing w:after="0" w:line="260" w:lineRule="auto"/>
        <w:rPr>
          <w:sz w:val="20"/>
          <w:szCs w:val="20"/>
          <w:color w:val="auto"/>
        </w:rPr>
      </w:pPr>
      <w:r>
        <w:rPr>
          <w:rFonts w:ascii="Arial" w:cs="Arial" w:eastAsia="Arial" w:hAnsi="Arial"/>
          <w:sz w:val="16"/>
          <w:szCs w:val="16"/>
          <w:color w:val="202E39"/>
        </w:rPr>
        <w:t>Directors who are employees of the company, such as Mr. Dankberg and Mr. Baldridge, do not receive any additional compensation for their services as directors.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Compensation Arrangements for Non-Employee Directors</w:t>
      </w:r>
    </w:p>
    <w:p>
      <w:pPr>
        <w:spacing w:after="0" w:line="133" w:lineRule="exact"/>
        <w:rPr>
          <w:sz w:val="20"/>
          <w:szCs w:val="20"/>
          <w:color w:val="auto"/>
        </w:rPr>
      </w:pPr>
    </w:p>
    <w:p>
      <w:pPr>
        <w:ind w:left="200" w:right="160"/>
        <w:spacing w:after="0" w:line="248" w:lineRule="auto"/>
        <w:rPr>
          <w:sz w:val="20"/>
          <w:szCs w:val="20"/>
          <w:color w:val="auto"/>
        </w:rPr>
      </w:pPr>
      <w:r>
        <w:rPr>
          <w:rFonts w:ascii="Arial" w:cs="Arial" w:eastAsia="Arial" w:hAnsi="Arial"/>
          <w:sz w:val="16"/>
          <w:szCs w:val="16"/>
          <w:color w:val="202E39"/>
        </w:rPr>
        <w:t>Non-employee directors are entitled to receive an annual cash retainer for their service in the amount of $50,000 as a member of the Board of Directors, $12,000 for the chair of the Audit Committee, $8,000 for the chair of the Compensation and Human Resources Committee, $3,000 for the chair of the other Board committees, $6,000 as a non-chair member of the Audit Committee, $4,000 as a non-chair member of the Compensation and Human Resources Committee, and $2,000 as a non-chair member of the other Board committees. In addition, each non-employee director receives a meeting fee of $2,000 for each Board meeting attended, $1,500 for each committee meeting attended as the chair of such committee, and $1,000 for each committee meeting attended as a non-chair member of such committee. The meeting fee paid to non-employee directors for participation via telephone for each Board meeting or committee meeting is one-half of the regular meeting fee.</w:t>
      </w:r>
    </w:p>
    <w:p>
      <w:pPr>
        <w:spacing w:after="0" w:line="209" w:lineRule="exact"/>
        <w:rPr>
          <w:sz w:val="20"/>
          <w:szCs w:val="20"/>
          <w:color w:val="auto"/>
        </w:rPr>
      </w:pPr>
    </w:p>
    <w:p>
      <w:pPr>
        <w:ind w:left="200" w:right="40"/>
        <w:spacing w:after="0" w:line="251" w:lineRule="auto"/>
        <w:rPr>
          <w:sz w:val="20"/>
          <w:szCs w:val="20"/>
          <w:color w:val="auto"/>
        </w:rPr>
      </w:pPr>
      <w:r>
        <w:rPr>
          <w:rFonts w:ascii="Arial" w:cs="Arial" w:eastAsia="Arial" w:hAnsi="Arial"/>
          <w:sz w:val="16"/>
          <w:szCs w:val="16"/>
          <w:color w:val="202E39"/>
        </w:rPr>
        <w:t>At the time of initial election to the Board of Directors, each non-employee director is granted a restricted stock unit award that may be settled for 3,000 shares of our common stock and an option to purchase 9,000 shares of our common stock, and at each subsequent annual meeting of stockholders, each non-employee director is entitled to receive an annual equity grant in the form of a restricted stock unit award that may be settled for 1,600 shares of our common stock and an option to purchase</w:t>
      </w:r>
    </w:p>
    <w:p>
      <w:pPr>
        <w:spacing w:after="0" w:line="120"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43</w:t>
            </w:r>
          </w:p>
        </w:tc>
      </w:tr>
    </w:tbl>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Director Compensation</w:t>
      </w:r>
    </w:p>
    <w:p>
      <w:pPr>
        <w:spacing w:after="0" w:line="147"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202E39"/>
        </w:rPr>
        <w:t>5,000 shares of our common stock. Members of the Board of Directors are reimbursed for expenses incurred in attending Board and committee meetings, and in connection with Board related activities.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Stock Ownership Guidelines for Non-Employee Directors</w:t>
      </w:r>
    </w:p>
    <w:p>
      <w:pPr>
        <w:spacing w:after="0" w:line="133" w:lineRule="exact"/>
        <w:rPr>
          <w:sz w:val="20"/>
          <w:szCs w:val="20"/>
          <w:color w:val="auto"/>
        </w:rPr>
      </w:pPr>
    </w:p>
    <w:p>
      <w:pPr>
        <w:ind w:left="200" w:right="240"/>
        <w:spacing w:after="0" w:line="250" w:lineRule="auto"/>
        <w:rPr>
          <w:sz w:val="20"/>
          <w:szCs w:val="20"/>
          <w:color w:val="auto"/>
        </w:rPr>
      </w:pPr>
      <w:r>
        <w:rPr>
          <w:rFonts w:ascii="Arial" w:cs="Arial" w:eastAsia="Arial" w:hAnsi="Arial"/>
          <w:sz w:val="16"/>
          <w:szCs w:val="16"/>
          <w:color w:val="202E39"/>
        </w:rPr>
        <w:t>To enhance our overall corporate governance practices and director compensation program, our Board has adopted stock ownership guidelines for our non-employee directors. These guidelines are designed to align our non-employee directors’ interests with our stockholders’ long-term interests by promoting long-term ownership of Viasat common stock. These guidelines provide that, within five years of his or her first date of election to our Board, our non-employee directors should attain an investment position in Viasat common stock having a value not less than three times the value of their annual retainer for general Board service.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Compensation Committee Interlocks and Insider Participation</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members of the Compensation and Human Resources Committee for the 2018 fiscal year were Mr. Biondi, Dr. Nash, Ms. Rao, Mr. Stenbit and</w:t>
      </w:r>
    </w:p>
    <w:p>
      <w:pPr>
        <w:spacing w:after="0" w:line="5" w:lineRule="exact"/>
        <w:rPr>
          <w:sz w:val="20"/>
          <w:szCs w:val="20"/>
          <w:color w:val="auto"/>
        </w:rPr>
      </w:pPr>
    </w:p>
    <w:p>
      <w:pPr>
        <w:jc w:val="both"/>
        <w:ind w:left="200" w:right="220"/>
        <w:spacing w:after="0" w:line="253" w:lineRule="auto"/>
        <w:rPr>
          <w:sz w:val="20"/>
          <w:szCs w:val="20"/>
          <w:color w:val="auto"/>
        </w:rPr>
      </w:pPr>
      <w:r>
        <w:rPr>
          <w:rFonts w:ascii="Arial" w:cs="Arial" w:eastAsia="Arial" w:hAnsi="Arial"/>
          <w:sz w:val="16"/>
          <w:szCs w:val="16"/>
          <w:color w:val="202E39"/>
        </w:rPr>
        <w:t>Mr. White. None of the members of our Compensation and Human Resources Committee has ever been one of our officers or employees. During fiscal year 2018, none of our executive officers served on the board of directors or compensation committee of any entity whose officers served either on our Board of Directors or on our Compensation and Human Resources Committee.</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Equity Compensation Plan Information</w:t>
      </w:r>
    </w:p>
    <w:p>
      <w:pPr>
        <w:spacing w:after="0" w:line="145" w:lineRule="exact"/>
        <w:rPr>
          <w:sz w:val="20"/>
          <w:szCs w:val="20"/>
          <w:color w:val="auto"/>
        </w:rPr>
      </w:pPr>
    </w:p>
    <w:p>
      <w:pPr>
        <w:ind w:left="200" w:right="100"/>
        <w:spacing w:after="0" w:line="251" w:lineRule="auto"/>
        <w:rPr>
          <w:sz w:val="20"/>
          <w:szCs w:val="20"/>
          <w:color w:val="auto"/>
        </w:rPr>
      </w:pPr>
      <w:r>
        <w:rPr>
          <w:rFonts w:ascii="Arial" w:cs="Arial" w:eastAsia="Arial" w:hAnsi="Arial"/>
          <w:sz w:val="16"/>
          <w:szCs w:val="16"/>
          <w:color w:val="202E39"/>
        </w:rPr>
        <w:t>The following table provides information as of March 31, 2018 with respect to shares of Viasat common stock that may be issued under existing equity compensation plans. In accordance with the rules promulgated by the SEC, the table does not include information with respect to shares subject to outstanding awards granted under equity compensation arrangements assumed by us in connection with mergers and acquisitions of the companies that originally granted those awards.</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4300" w:type="dxa"/>
            <w:vAlign w:val="bottom"/>
            <w:tcBorders>
              <w:top w:val="single" w:sz="8" w:color="E8EAEB"/>
              <w:right w:val="single" w:sz="8" w:color="E8EAEB"/>
            </w:tcBorders>
          </w:tcPr>
          <w:p>
            <w:pPr>
              <w:spacing w:after="0"/>
              <w:rPr>
                <w:sz w:val="20"/>
                <w:szCs w:val="20"/>
                <w:color w:val="auto"/>
              </w:rPr>
            </w:pPr>
          </w:p>
        </w:tc>
        <w:tc>
          <w:tcPr>
            <w:tcW w:w="2440" w:type="dxa"/>
            <w:vAlign w:val="bottom"/>
            <w:tcBorders>
              <w:top w:val="single" w:sz="8" w:color="E8EAEB"/>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t>
            </w:r>
          </w:p>
        </w:tc>
        <w:tc>
          <w:tcPr>
            <w:tcW w:w="1840" w:type="dxa"/>
            <w:vAlign w:val="bottom"/>
            <w:tcBorders>
              <w:top w:val="single" w:sz="8" w:color="E8EAEB"/>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(b)</w:t>
            </w:r>
          </w:p>
        </w:tc>
        <w:tc>
          <w:tcPr>
            <w:tcW w:w="2440" w:type="dxa"/>
            <w:vAlign w:val="bottom"/>
            <w:tcBorders>
              <w:top w:val="single" w:sz="8" w:color="E8EAEB"/>
              <w:bottom w:val="single" w:sz="8" w:color="009FE3"/>
            </w:tcBorders>
          </w:tcPr>
          <w:p>
            <w:pPr>
              <w:jc w:val="center"/>
              <w:spacing w:after="0"/>
              <w:rPr>
                <w:sz w:val="20"/>
                <w:szCs w:val="20"/>
                <w:color w:val="auto"/>
              </w:rPr>
            </w:pPr>
            <w:r>
              <w:rPr>
                <w:rFonts w:ascii="Arial" w:cs="Arial" w:eastAsia="Arial" w:hAnsi="Arial"/>
                <w:sz w:val="14"/>
                <w:szCs w:val="14"/>
                <w:b w:val="1"/>
                <w:bCs w:val="1"/>
                <w:color w:val="009FE3"/>
                <w:w w:val="93"/>
              </w:rPr>
              <w:t>(c)</w:t>
            </w:r>
          </w:p>
        </w:tc>
      </w:tr>
      <w:tr>
        <w:trPr>
          <w:trHeight w:val="189"/>
        </w:trPr>
        <w:tc>
          <w:tcPr>
            <w:tcW w:w="4300" w:type="dxa"/>
            <w:vAlign w:val="bottom"/>
            <w:tcBorders>
              <w:right w:val="single" w:sz="8" w:color="E8EAEB"/>
            </w:tcBorders>
          </w:tcPr>
          <w:p>
            <w:pPr>
              <w:spacing w:after="0"/>
              <w:rPr>
                <w:sz w:val="16"/>
                <w:szCs w:val="16"/>
                <w:color w:val="auto"/>
              </w:rPr>
            </w:pPr>
          </w:p>
        </w:tc>
        <w:tc>
          <w:tcPr>
            <w:tcW w:w="2440" w:type="dxa"/>
            <w:vAlign w:val="bottom"/>
            <w:tcBorders>
              <w:right w:val="single" w:sz="8" w:color="E8EAEB"/>
            </w:tcBorders>
          </w:tcPr>
          <w:p>
            <w:pPr>
              <w:spacing w:after="0"/>
              <w:rPr>
                <w:sz w:val="16"/>
                <w:szCs w:val="16"/>
                <w:color w:val="auto"/>
              </w:rPr>
            </w:pPr>
          </w:p>
        </w:tc>
        <w:tc>
          <w:tcPr>
            <w:tcW w:w="1840" w:type="dxa"/>
            <w:vAlign w:val="bottom"/>
            <w:tcBorders>
              <w:right w:val="single" w:sz="8" w:color="E8EAEB"/>
            </w:tcBorders>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009FE3"/>
              </w:rPr>
              <w:t>Number of Securities</w:t>
            </w:r>
          </w:p>
        </w:tc>
      </w:tr>
      <w:tr>
        <w:trPr>
          <w:trHeight w:val="162"/>
        </w:trPr>
        <w:tc>
          <w:tcPr>
            <w:tcW w:w="4300" w:type="dxa"/>
            <w:vAlign w:val="bottom"/>
            <w:tcBorders>
              <w:right w:val="single" w:sz="8" w:color="E8EAEB"/>
            </w:tcBorders>
          </w:tcPr>
          <w:p>
            <w:pPr>
              <w:spacing w:after="0"/>
              <w:rPr>
                <w:sz w:val="14"/>
                <w:szCs w:val="14"/>
                <w:color w:val="auto"/>
              </w:rPr>
            </w:pPr>
          </w:p>
        </w:tc>
        <w:tc>
          <w:tcPr>
            <w:tcW w:w="2440" w:type="dxa"/>
            <w:vAlign w:val="bottom"/>
            <w:tcBorders>
              <w:right w:val="single" w:sz="8" w:color="E8EAEB"/>
            </w:tcBorders>
          </w:tcPr>
          <w:p>
            <w:pPr>
              <w:spacing w:after="0"/>
              <w:rPr>
                <w:sz w:val="14"/>
                <w:szCs w:val="14"/>
                <w:color w:val="auto"/>
              </w:rPr>
            </w:pPr>
          </w:p>
        </w:tc>
        <w:tc>
          <w:tcPr>
            <w:tcW w:w="1840" w:type="dxa"/>
            <w:vAlign w:val="bottom"/>
            <w:tcBorders>
              <w:right w:val="single" w:sz="8" w:color="E8EAEB"/>
            </w:tcBorders>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009FE3"/>
              </w:rPr>
              <w:t>Remaining Available</w:t>
            </w:r>
          </w:p>
        </w:tc>
      </w:tr>
      <w:tr>
        <w:trPr>
          <w:trHeight w:val="162"/>
        </w:trPr>
        <w:tc>
          <w:tcPr>
            <w:tcW w:w="4300" w:type="dxa"/>
            <w:vAlign w:val="bottom"/>
            <w:tcBorders>
              <w:right w:val="single" w:sz="8" w:color="E8EAEB"/>
            </w:tcBorders>
          </w:tcPr>
          <w:p>
            <w:pPr>
              <w:spacing w:after="0"/>
              <w:rPr>
                <w:sz w:val="14"/>
                <w:szCs w:val="14"/>
                <w:color w:val="auto"/>
              </w:rPr>
            </w:pPr>
          </w:p>
        </w:tc>
        <w:tc>
          <w:tcPr>
            <w:tcW w:w="2440" w:type="dxa"/>
            <w:vAlign w:val="bottom"/>
            <w:tcBorders>
              <w:right w:val="single" w:sz="8" w:color="E8EAEB"/>
            </w:tcBorders>
          </w:tcPr>
          <w:p>
            <w:pPr>
              <w:spacing w:after="0"/>
              <w:rPr>
                <w:sz w:val="14"/>
                <w:szCs w:val="14"/>
                <w:color w:val="auto"/>
              </w:rPr>
            </w:pPr>
          </w:p>
        </w:tc>
        <w:tc>
          <w:tcPr>
            <w:tcW w:w="1840" w:type="dxa"/>
            <w:vAlign w:val="bottom"/>
            <w:tcBorders>
              <w:right w:val="single" w:sz="8" w:color="E8EAEB"/>
            </w:tcBorders>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009FE3"/>
              </w:rPr>
              <w:t>for Future Issuance</w:t>
            </w:r>
          </w:p>
        </w:tc>
      </w:tr>
      <w:tr>
        <w:trPr>
          <w:trHeight w:val="162"/>
        </w:trPr>
        <w:tc>
          <w:tcPr>
            <w:tcW w:w="4300" w:type="dxa"/>
            <w:vAlign w:val="bottom"/>
            <w:tcBorders>
              <w:right w:val="single" w:sz="8" w:color="E8EAEB"/>
            </w:tcBorders>
          </w:tcPr>
          <w:p>
            <w:pPr>
              <w:spacing w:after="0"/>
              <w:rPr>
                <w:sz w:val="14"/>
                <w:szCs w:val="14"/>
                <w:color w:val="auto"/>
              </w:rPr>
            </w:pPr>
          </w:p>
        </w:tc>
        <w:tc>
          <w:tcPr>
            <w:tcW w:w="24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 Securities to</w:t>
            </w:r>
          </w:p>
        </w:tc>
        <w:tc>
          <w:tcPr>
            <w:tcW w:w="18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Weighted Average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009FE3"/>
              </w:rPr>
              <w:t>Under Equity</w:t>
            </w:r>
          </w:p>
        </w:tc>
      </w:tr>
      <w:tr>
        <w:trPr>
          <w:trHeight w:val="162"/>
        </w:trPr>
        <w:tc>
          <w:tcPr>
            <w:tcW w:w="4300" w:type="dxa"/>
            <w:vAlign w:val="bottom"/>
            <w:tcBorders>
              <w:right w:val="single" w:sz="8" w:color="E8EAEB"/>
            </w:tcBorders>
          </w:tcPr>
          <w:p>
            <w:pPr>
              <w:spacing w:after="0"/>
              <w:rPr>
                <w:sz w:val="14"/>
                <w:szCs w:val="14"/>
                <w:color w:val="auto"/>
              </w:rPr>
            </w:pPr>
          </w:p>
        </w:tc>
        <w:tc>
          <w:tcPr>
            <w:tcW w:w="24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be Issued Upon Exercise</w:t>
            </w:r>
          </w:p>
        </w:tc>
        <w:tc>
          <w:tcPr>
            <w:tcW w:w="18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Exercise Price of</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009FE3"/>
              </w:rPr>
              <w:t>Compensation Plans</w:t>
            </w:r>
          </w:p>
        </w:tc>
      </w:tr>
      <w:tr>
        <w:trPr>
          <w:trHeight w:val="162"/>
        </w:trPr>
        <w:tc>
          <w:tcPr>
            <w:tcW w:w="4300" w:type="dxa"/>
            <w:vAlign w:val="bottom"/>
            <w:tcBorders>
              <w:right w:val="single" w:sz="8" w:color="E8EAEB"/>
            </w:tcBorders>
          </w:tcPr>
          <w:p>
            <w:pPr>
              <w:spacing w:after="0"/>
              <w:rPr>
                <w:sz w:val="14"/>
                <w:szCs w:val="14"/>
                <w:color w:val="auto"/>
              </w:rPr>
            </w:pPr>
          </w:p>
        </w:tc>
        <w:tc>
          <w:tcPr>
            <w:tcW w:w="24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of Outstanding Options,</w:t>
            </w:r>
          </w:p>
        </w:tc>
        <w:tc>
          <w:tcPr>
            <w:tcW w:w="18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Outstanding Options,</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009FE3"/>
              </w:rPr>
              <w:t>(Excluding Securities</w:t>
            </w:r>
          </w:p>
        </w:tc>
      </w:tr>
      <w:tr>
        <w:trPr>
          <w:trHeight w:val="162"/>
        </w:trPr>
        <w:tc>
          <w:tcPr>
            <w:tcW w:w="4300" w:type="dxa"/>
            <w:vAlign w:val="bottom"/>
            <w:tcBorders>
              <w:right w:val="single" w:sz="8" w:color="E8EAEB"/>
            </w:tcBorders>
          </w:tcPr>
          <w:p>
            <w:pPr>
              <w:spacing w:after="0"/>
              <w:rPr>
                <w:sz w:val="14"/>
                <w:szCs w:val="14"/>
                <w:color w:val="auto"/>
              </w:rPr>
            </w:pPr>
          </w:p>
        </w:tc>
        <w:tc>
          <w:tcPr>
            <w:tcW w:w="24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Warrants and Rights</w:t>
            </w:r>
          </w:p>
        </w:tc>
        <w:tc>
          <w:tcPr>
            <w:tcW w:w="18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Warrants and Rights</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009FE3"/>
              </w:rPr>
              <w:t>Reflected in Column</w:t>
            </w:r>
          </w:p>
        </w:tc>
      </w:tr>
      <w:tr>
        <w:trPr>
          <w:trHeight w:val="196"/>
        </w:trPr>
        <w:tc>
          <w:tcPr>
            <w:tcW w:w="4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Plan Category</w:t>
            </w:r>
          </w:p>
        </w:tc>
        <w:tc>
          <w:tcPr>
            <w:tcW w:w="24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(#)(1)</w:t>
            </w:r>
          </w:p>
        </w:tc>
        <w:tc>
          <w:tcPr>
            <w:tcW w:w="18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($)(2)</w:t>
            </w:r>
          </w:p>
        </w:tc>
        <w:tc>
          <w:tcPr>
            <w:tcW w:w="244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(a))(#)</w:t>
            </w:r>
          </w:p>
        </w:tc>
      </w:tr>
      <w:tr>
        <w:trPr>
          <w:trHeight w:val="231"/>
        </w:trPr>
        <w:tc>
          <w:tcPr>
            <w:tcW w:w="43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Equity compensation plans approved by security holders</w:t>
            </w:r>
          </w:p>
        </w:tc>
        <w:tc>
          <w:tcPr>
            <w:tcW w:w="2440" w:type="dxa"/>
            <w:vAlign w:val="bottom"/>
            <w:tcBorders>
              <w:right w:val="single" w:sz="8" w:color="E8EAEB"/>
            </w:tcBorders>
          </w:tcPr>
          <w:p>
            <w:pPr>
              <w:spacing w:after="0"/>
              <w:rPr>
                <w:sz w:val="20"/>
                <w:szCs w:val="20"/>
                <w:color w:val="auto"/>
              </w:rPr>
            </w:pPr>
          </w:p>
        </w:tc>
        <w:tc>
          <w:tcPr>
            <w:tcW w:w="1840" w:type="dxa"/>
            <w:vAlign w:val="bottom"/>
            <w:tcBorders>
              <w:right w:val="single" w:sz="8" w:color="E8EAEB"/>
            </w:tcBorders>
          </w:tcPr>
          <w:p>
            <w:pPr>
              <w:spacing w:after="0"/>
              <w:rPr>
                <w:sz w:val="20"/>
                <w:szCs w:val="20"/>
                <w:color w:val="auto"/>
              </w:rPr>
            </w:pPr>
          </w:p>
        </w:tc>
        <w:tc>
          <w:tcPr>
            <w:tcW w:w="2440" w:type="dxa"/>
            <w:vAlign w:val="bottom"/>
          </w:tcPr>
          <w:p>
            <w:pPr>
              <w:spacing w:after="0"/>
              <w:rPr>
                <w:sz w:val="20"/>
                <w:szCs w:val="20"/>
                <w:color w:val="auto"/>
              </w:rPr>
            </w:pPr>
          </w:p>
        </w:tc>
      </w:tr>
      <w:tr>
        <w:trPr>
          <w:trHeight w:val="208"/>
        </w:trPr>
        <w:tc>
          <w:tcPr>
            <w:tcW w:w="4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(3)</w:t>
            </w:r>
          </w:p>
        </w:tc>
        <w:tc>
          <w:tcPr>
            <w:tcW w:w="2440" w:type="dxa"/>
            <w:vAlign w:val="bottom"/>
            <w:tcBorders>
              <w:bottom w:val="single" w:sz="8" w:color="E8EAEB"/>
              <w:right w:val="single" w:sz="8" w:color="E8EAEB"/>
            </w:tcBorders>
          </w:tcPr>
          <w:p>
            <w:pPr>
              <w:jc w:val="right"/>
              <w:ind w:right="125"/>
              <w:spacing w:after="0"/>
              <w:rPr>
                <w:sz w:val="20"/>
                <w:szCs w:val="20"/>
                <w:color w:val="auto"/>
              </w:rPr>
            </w:pPr>
            <w:r>
              <w:rPr>
                <w:rFonts w:ascii="Arial" w:cs="Arial" w:eastAsia="Arial" w:hAnsi="Arial"/>
                <w:sz w:val="16"/>
                <w:szCs w:val="16"/>
                <w:color w:val="202E39"/>
              </w:rPr>
              <w:t>5,126,194</w:t>
            </w:r>
          </w:p>
        </w:tc>
        <w:tc>
          <w:tcPr>
            <w:tcW w:w="1840" w:type="dxa"/>
            <w:vAlign w:val="bottom"/>
            <w:tcBorders>
              <w:bottom w:val="single" w:sz="8" w:color="E8EAEB"/>
              <w:right w:val="single" w:sz="8" w:color="E8EAEB"/>
            </w:tcBorders>
          </w:tcPr>
          <w:p>
            <w:pPr>
              <w:jc w:val="right"/>
              <w:ind w:right="125"/>
              <w:spacing w:after="0"/>
              <w:rPr>
                <w:sz w:val="20"/>
                <w:szCs w:val="20"/>
                <w:color w:val="auto"/>
              </w:rPr>
            </w:pPr>
            <w:r>
              <w:rPr>
                <w:rFonts w:ascii="Arial" w:cs="Arial" w:eastAsia="Arial" w:hAnsi="Arial"/>
                <w:sz w:val="16"/>
                <w:szCs w:val="16"/>
                <w:color w:val="202E39"/>
              </w:rPr>
              <w:t>63.90</w:t>
            </w:r>
          </w:p>
        </w:tc>
        <w:tc>
          <w:tcPr>
            <w:tcW w:w="2440" w:type="dxa"/>
            <w:vAlign w:val="bottom"/>
            <w:tcBorders>
              <w:bottom w:val="single" w:sz="8" w:color="E8EAEB"/>
            </w:tcBorders>
          </w:tcPr>
          <w:p>
            <w:pPr>
              <w:ind w:left="1240"/>
              <w:spacing w:after="0"/>
              <w:rPr>
                <w:sz w:val="20"/>
                <w:szCs w:val="20"/>
                <w:color w:val="auto"/>
              </w:rPr>
            </w:pPr>
            <w:r>
              <w:rPr>
                <w:rFonts w:ascii="Arial" w:cs="Arial" w:eastAsia="Arial" w:hAnsi="Arial"/>
                <w:sz w:val="16"/>
                <w:szCs w:val="16"/>
                <w:color w:val="202E39"/>
              </w:rPr>
              <w:t>2,926,503(4)</w:t>
            </w:r>
          </w:p>
        </w:tc>
      </w:tr>
      <w:tr>
        <w:trPr>
          <w:trHeight w:val="231"/>
        </w:trPr>
        <w:tc>
          <w:tcPr>
            <w:tcW w:w="43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Equity compensation plans not approved by security</w:t>
            </w:r>
          </w:p>
        </w:tc>
        <w:tc>
          <w:tcPr>
            <w:tcW w:w="2440" w:type="dxa"/>
            <w:vAlign w:val="bottom"/>
            <w:tcBorders>
              <w:right w:val="single" w:sz="8" w:color="E8EAEB"/>
            </w:tcBorders>
          </w:tcPr>
          <w:p>
            <w:pPr>
              <w:spacing w:after="0"/>
              <w:rPr>
                <w:sz w:val="20"/>
                <w:szCs w:val="20"/>
                <w:color w:val="auto"/>
              </w:rPr>
            </w:pPr>
          </w:p>
        </w:tc>
        <w:tc>
          <w:tcPr>
            <w:tcW w:w="1840" w:type="dxa"/>
            <w:vAlign w:val="bottom"/>
            <w:tcBorders>
              <w:right w:val="single" w:sz="8" w:color="E8EAEB"/>
            </w:tcBorders>
          </w:tcPr>
          <w:p>
            <w:pPr>
              <w:spacing w:after="0"/>
              <w:rPr>
                <w:sz w:val="20"/>
                <w:szCs w:val="20"/>
                <w:color w:val="auto"/>
              </w:rPr>
            </w:pPr>
          </w:p>
        </w:tc>
        <w:tc>
          <w:tcPr>
            <w:tcW w:w="2440" w:type="dxa"/>
            <w:vAlign w:val="bottom"/>
          </w:tcPr>
          <w:p>
            <w:pPr>
              <w:spacing w:after="0"/>
              <w:rPr>
                <w:sz w:val="20"/>
                <w:szCs w:val="20"/>
                <w:color w:val="auto"/>
              </w:rPr>
            </w:pPr>
          </w:p>
        </w:tc>
      </w:tr>
      <w:tr>
        <w:trPr>
          <w:trHeight w:val="208"/>
        </w:trPr>
        <w:tc>
          <w:tcPr>
            <w:tcW w:w="4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holders</w:t>
            </w:r>
          </w:p>
        </w:tc>
        <w:tc>
          <w:tcPr>
            <w:tcW w:w="2440" w:type="dxa"/>
            <w:vAlign w:val="bottom"/>
            <w:tcBorders>
              <w:bottom w:val="single" w:sz="8" w:color="E8EAEB"/>
              <w:right w:val="single" w:sz="8" w:color="E8EAEB"/>
            </w:tcBorders>
          </w:tcPr>
          <w:p>
            <w:pPr>
              <w:jc w:val="right"/>
              <w:ind w:right="205"/>
              <w:spacing w:after="0"/>
              <w:rPr>
                <w:sz w:val="20"/>
                <w:szCs w:val="20"/>
                <w:color w:val="auto"/>
              </w:rPr>
            </w:pPr>
            <w:r>
              <w:rPr>
                <w:rFonts w:ascii="Arial" w:cs="Arial" w:eastAsia="Arial" w:hAnsi="Arial"/>
                <w:sz w:val="16"/>
                <w:szCs w:val="16"/>
                <w:color w:val="202E39"/>
              </w:rPr>
              <w:t>—</w:t>
            </w:r>
          </w:p>
        </w:tc>
        <w:tc>
          <w:tcPr>
            <w:tcW w:w="1840" w:type="dxa"/>
            <w:vAlign w:val="bottom"/>
            <w:tcBorders>
              <w:bottom w:val="single" w:sz="8" w:color="E8EAEB"/>
              <w:right w:val="single" w:sz="8" w:color="E8EAEB"/>
            </w:tcBorders>
          </w:tcPr>
          <w:p>
            <w:pPr>
              <w:jc w:val="right"/>
              <w:ind w:right="225"/>
              <w:spacing w:after="0"/>
              <w:rPr>
                <w:sz w:val="20"/>
                <w:szCs w:val="20"/>
                <w:color w:val="auto"/>
              </w:rPr>
            </w:pPr>
            <w:r>
              <w:rPr>
                <w:rFonts w:ascii="Arial" w:cs="Arial" w:eastAsia="Arial" w:hAnsi="Arial"/>
                <w:sz w:val="16"/>
                <w:szCs w:val="16"/>
                <w:color w:val="202E39"/>
              </w:rPr>
              <w:t>—</w:t>
            </w:r>
          </w:p>
        </w:tc>
        <w:tc>
          <w:tcPr>
            <w:tcW w:w="2440" w:type="dxa"/>
            <w:vAlign w:val="bottom"/>
            <w:tcBorders>
              <w:bottom w:val="single" w:sz="8" w:color="E8EAEB"/>
            </w:tcBorders>
          </w:tcPr>
          <w:p>
            <w:pPr>
              <w:ind w:left="1700"/>
              <w:spacing w:after="0"/>
              <w:rPr>
                <w:sz w:val="20"/>
                <w:szCs w:val="20"/>
                <w:color w:val="auto"/>
              </w:rPr>
            </w:pPr>
            <w:r>
              <w:rPr>
                <w:rFonts w:ascii="Arial" w:cs="Arial" w:eastAsia="Arial" w:hAnsi="Arial"/>
                <w:sz w:val="16"/>
                <w:szCs w:val="16"/>
                <w:color w:val="202E39"/>
              </w:rPr>
              <w:t>—</w:t>
            </w:r>
          </w:p>
        </w:tc>
      </w:tr>
      <w:tr>
        <w:trPr>
          <w:trHeight w:val="250"/>
        </w:trPr>
        <w:tc>
          <w:tcPr>
            <w:tcW w:w="4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Total</w:t>
            </w:r>
          </w:p>
        </w:tc>
        <w:tc>
          <w:tcPr>
            <w:tcW w:w="2440" w:type="dxa"/>
            <w:vAlign w:val="bottom"/>
            <w:tcBorders>
              <w:bottom w:val="single" w:sz="8" w:color="009FE3"/>
              <w:right w:val="single" w:sz="8" w:color="E8EAEB"/>
            </w:tcBorders>
          </w:tcPr>
          <w:p>
            <w:pPr>
              <w:jc w:val="right"/>
              <w:ind w:right="125"/>
              <w:spacing w:after="0"/>
              <w:rPr>
                <w:sz w:val="20"/>
                <w:szCs w:val="20"/>
                <w:color w:val="auto"/>
              </w:rPr>
            </w:pPr>
            <w:r>
              <w:rPr>
                <w:rFonts w:ascii="Arial" w:cs="Arial" w:eastAsia="Arial" w:hAnsi="Arial"/>
                <w:sz w:val="16"/>
                <w:szCs w:val="16"/>
                <w:color w:val="202E39"/>
              </w:rPr>
              <w:t>5,126,194</w:t>
            </w:r>
          </w:p>
        </w:tc>
        <w:tc>
          <w:tcPr>
            <w:tcW w:w="1840" w:type="dxa"/>
            <w:vAlign w:val="bottom"/>
            <w:tcBorders>
              <w:bottom w:val="single" w:sz="8" w:color="009FE3"/>
              <w:right w:val="single" w:sz="8" w:color="E8EAEB"/>
            </w:tcBorders>
          </w:tcPr>
          <w:p>
            <w:pPr>
              <w:jc w:val="right"/>
              <w:ind w:right="125"/>
              <w:spacing w:after="0"/>
              <w:rPr>
                <w:sz w:val="20"/>
                <w:szCs w:val="20"/>
                <w:color w:val="auto"/>
              </w:rPr>
            </w:pPr>
            <w:r>
              <w:rPr>
                <w:rFonts w:ascii="Arial" w:cs="Arial" w:eastAsia="Arial" w:hAnsi="Arial"/>
                <w:sz w:val="16"/>
                <w:szCs w:val="16"/>
                <w:color w:val="202E39"/>
              </w:rPr>
              <w:t>63.90</w:t>
            </w:r>
          </w:p>
        </w:tc>
        <w:tc>
          <w:tcPr>
            <w:tcW w:w="2440" w:type="dxa"/>
            <w:vAlign w:val="bottom"/>
            <w:tcBorders>
              <w:bottom w:val="single" w:sz="8" w:color="009FE3"/>
            </w:tcBorders>
          </w:tcPr>
          <w:p>
            <w:pPr>
              <w:ind w:left="1240"/>
              <w:spacing w:after="0"/>
              <w:rPr>
                <w:sz w:val="20"/>
                <w:szCs w:val="20"/>
                <w:color w:val="auto"/>
              </w:rPr>
            </w:pPr>
            <w:r>
              <w:rPr>
                <w:rFonts w:ascii="Arial" w:cs="Arial" w:eastAsia="Arial" w:hAnsi="Arial"/>
                <w:sz w:val="16"/>
                <w:szCs w:val="16"/>
                <w:color w:val="202E39"/>
              </w:rPr>
              <w:t>2,926,503</w:t>
            </w:r>
          </w:p>
        </w:tc>
      </w:tr>
    </w:tbl>
    <w:p>
      <w:pPr>
        <w:spacing w:after="0" w:line="126" w:lineRule="exact"/>
        <w:rPr>
          <w:sz w:val="20"/>
          <w:szCs w:val="20"/>
          <w:color w:val="auto"/>
        </w:rPr>
      </w:pPr>
    </w:p>
    <w:p>
      <w:pPr>
        <w:ind w:left="520" w:right="480" w:hanging="316"/>
        <w:spacing w:after="0" w:line="258" w:lineRule="auto"/>
        <w:tabs>
          <w:tab w:leader="none" w:pos="520" w:val="left"/>
        </w:tabs>
        <w:numPr>
          <w:ilvl w:val="0"/>
          <w:numId w:val="46"/>
        </w:numPr>
        <w:rPr>
          <w:rFonts w:ascii="Arial" w:cs="Arial" w:eastAsia="Arial" w:hAnsi="Arial"/>
          <w:sz w:val="14"/>
          <w:szCs w:val="14"/>
          <w:color w:val="202E39"/>
        </w:rPr>
      </w:pPr>
      <w:r>
        <w:rPr>
          <w:rFonts w:ascii="Arial" w:cs="Arial" w:eastAsia="Arial" w:hAnsi="Arial"/>
          <w:sz w:val="14"/>
          <w:szCs w:val="14"/>
          <w:color w:val="202E39"/>
        </w:rPr>
        <w:t>Includes outstanding restricted stock units and stock options. Performance-based stock options are included at “target” levels. Excludes purchase rights currently accruing under the Viasat, Inc. Employee Stock Purchase Plan.</w:t>
      </w:r>
    </w:p>
    <w:p>
      <w:pPr>
        <w:spacing w:after="0" w:line="45" w:lineRule="exact"/>
        <w:rPr>
          <w:rFonts w:ascii="Arial" w:cs="Arial" w:eastAsia="Arial" w:hAnsi="Arial"/>
          <w:sz w:val="14"/>
          <w:szCs w:val="14"/>
          <w:color w:val="202E39"/>
        </w:rPr>
      </w:pPr>
    </w:p>
    <w:p>
      <w:pPr>
        <w:ind w:left="520" w:hanging="316"/>
        <w:spacing w:after="0"/>
        <w:tabs>
          <w:tab w:leader="none" w:pos="520" w:val="left"/>
        </w:tabs>
        <w:numPr>
          <w:ilvl w:val="0"/>
          <w:numId w:val="46"/>
        </w:numPr>
        <w:rPr>
          <w:rFonts w:ascii="Arial" w:cs="Arial" w:eastAsia="Arial" w:hAnsi="Arial"/>
          <w:sz w:val="14"/>
          <w:szCs w:val="14"/>
          <w:color w:val="202E39"/>
        </w:rPr>
      </w:pPr>
      <w:r>
        <w:rPr>
          <w:rFonts w:ascii="Arial" w:cs="Arial" w:eastAsia="Arial" w:hAnsi="Arial"/>
          <w:sz w:val="14"/>
          <w:szCs w:val="14"/>
          <w:color w:val="202E39"/>
        </w:rPr>
        <w:t>The weighted average exercise price does not take into account the shares subject to outstanding restricted stock units, which have no exercise price.</w:t>
      </w:r>
    </w:p>
    <w:p>
      <w:pPr>
        <w:spacing w:after="0" w:line="68" w:lineRule="exact"/>
        <w:rPr>
          <w:rFonts w:ascii="Arial" w:cs="Arial" w:eastAsia="Arial" w:hAnsi="Arial"/>
          <w:sz w:val="14"/>
          <w:szCs w:val="14"/>
          <w:color w:val="202E39"/>
        </w:rPr>
      </w:pPr>
    </w:p>
    <w:p>
      <w:pPr>
        <w:ind w:left="520" w:hanging="316"/>
        <w:spacing w:after="0"/>
        <w:tabs>
          <w:tab w:leader="none" w:pos="520" w:val="left"/>
        </w:tabs>
        <w:numPr>
          <w:ilvl w:val="0"/>
          <w:numId w:val="46"/>
        </w:numPr>
        <w:rPr>
          <w:rFonts w:ascii="Arial" w:cs="Arial" w:eastAsia="Arial" w:hAnsi="Arial"/>
          <w:sz w:val="14"/>
          <w:szCs w:val="14"/>
          <w:color w:val="202E39"/>
        </w:rPr>
      </w:pPr>
      <w:r>
        <w:rPr>
          <w:rFonts w:ascii="Arial" w:cs="Arial" w:eastAsia="Arial" w:hAnsi="Arial"/>
          <w:sz w:val="14"/>
          <w:szCs w:val="14"/>
          <w:color w:val="202E39"/>
        </w:rPr>
        <w:t>Consists of two plans: (a) the 1996 Equity Participation Plan of Viasat, Inc., and (b) the Viasat, Inc. Employee Stock Purchase Plan.</w:t>
      </w:r>
    </w:p>
    <w:p>
      <w:pPr>
        <w:spacing w:after="0" w:line="68" w:lineRule="exact"/>
        <w:rPr>
          <w:rFonts w:ascii="Arial" w:cs="Arial" w:eastAsia="Arial" w:hAnsi="Arial"/>
          <w:sz w:val="14"/>
          <w:szCs w:val="14"/>
          <w:color w:val="202E39"/>
        </w:rPr>
      </w:pPr>
    </w:p>
    <w:p>
      <w:pPr>
        <w:ind w:left="520" w:right="60" w:hanging="316"/>
        <w:spacing w:after="0" w:line="247" w:lineRule="auto"/>
        <w:tabs>
          <w:tab w:leader="none" w:pos="520" w:val="left"/>
        </w:tabs>
        <w:numPr>
          <w:ilvl w:val="0"/>
          <w:numId w:val="46"/>
        </w:numPr>
        <w:rPr>
          <w:rFonts w:ascii="Arial" w:cs="Arial" w:eastAsia="Arial" w:hAnsi="Arial"/>
          <w:sz w:val="14"/>
          <w:szCs w:val="14"/>
          <w:color w:val="202E39"/>
        </w:rPr>
      </w:pPr>
      <w:r>
        <w:rPr>
          <w:rFonts w:ascii="Arial" w:cs="Arial" w:eastAsia="Arial" w:hAnsi="Arial"/>
          <w:sz w:val="14"/>
          <w:szCs w:val="14"/>
          <w:color w:val="202E39"/>
        </w:rPr>
        <w:t>Includes (a) 2,148,771 shares available for future issuance under the 1996 Equity Participation Plan of Viasat, Inc., and (b) 777,732 shares available for future issuance under the Viasat, Inc. Employee Stock Purchase Plan, all of which may be subject to purchase rights outstanding as of March 31, 2018. For purposes of calculating the shares that remain available for grant under the Equity Plan, each “full value” award is counted using the applicable ratio as specified in the Equity Plan, and performance-based stock options are calculated assuming “maximum”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81915</wp:posOffset>
            </wp:positionV>
            <wp:extent cx="42862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44</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CERTAIN RELATIONSHIPS AND RELATED TRANSACTIONS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Review and Approval of Related Party Transactions</w:t>
      </w:r>
    </w:p>
    <w:p>
      <w:pPr>
        <w:spacing w:after="0" w:line="145"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The Audit Committee (or another independent body of the Board of Directors, such as the disinterested members of the Board) reviews transactions that may be related person transactions, which are transactions between Viasat and related persons where the amount involved exceeds $120,000 in a single fiscal year and in which a related person has a direct or indirect material interest. Under SEC rules, a related person is a director, director nominee, executive officer, beneficial owner of more than 5% of Viasat common stock and their respective immediate family members. As set forth in the Audit Committee charter, the members of the Audit Committee, all of whom are independent directors, review and approve or ratify any related person transaction that is required to be disclosed in this proxy statement in accordance with SEC rules. In the course of its review and approval or ratification of a disclosable related person transaction, the Audit Committee or the disinterested members of the Board may consider:</w:t>
      </w:r>
    </w:p>
    <w:p>
      <w:pPr>
        <w:spacing w:after="0" w:line="114" w:lineRule="exact"/>
        <w:rPr>
          <w:sz w:val="20"/>
          <w:szCs w:val="20"/>
          <w:color w:val="auto"/>
        </w:rPr>
      </w:pPr>
    </w:p>
    <w:p>
      <w:pPr>
        <w:ind w:left="640" w:hanging="220"/>
        <w:spacing w:after="0"/>
        <w:tabs>
          <w:tab w:leader="none" w:pos="640" w:val="left"/>
        </w:tabs>
        <w:numPr>
          <w:ilvl w:val="0"/>
          <w:numId w:val="47"/>
        </w:numPr>
        <w:rPr>
          <w:rFonts w:ascii="Arial" w:cs="Arial" w:eastAsia="Arial" w:hAnsi="Arial"/>
          <w:sz w:val="16"/>
          <w:szCs w:val="16"/>
          <w:color w:val="009FE3"/>
        </w:rPr>
      </w:pPr>
      <w:r>
        <w:rPr>
          <w:rFonts w:ascii="Arial" w:cs="Arial" w:eastAsia="Arial" w:hAnsi="Arial"/>
          <w:sz w:val="16"/>
          <w:szCs w:val="16"/>
          <w:color w:val="202E39"/>
        </w:rPr>
        <w:t>the nature of the related person’s interest in the transaction,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47"/>
        </w:numPr>
        <w:rPr>
          <w:rFonts w:ascii="Arial" w:cs="Arial" w:eastAsia="Arial" w:hAnsi="Arial"/>
          <w:sz w:val="16"/>
          <w:szCs w:val="16"/>
          <w:color w:val="009FE3"/>
        </w:rPr>
      </w:pPr>
      <w:r>
        <w:rPr>
          <w:rFonts w:ascii="Arial" w:cs="Arial" w:eastAsia="Arial" w:hAnsi="Arial"/>
          <w:sz w:val="16"/>
          <w:szCs w:val="16"/>
          <w:color w:val="202E39"/>
        </w:rPr>
        <w:t>the material terms of the transaction, including without limitation, the amount and type of transaction,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47"/>
        </w:numPr>
        <w:rPr>
          <w:rFonts w:ascii="Arial" w:cs="Arial" w:eastAsia="Arial" w:hAnsi="Arial"/>
          <w:sz w:val="16"/>
          <w:szCs w:val="16"/>
          <w:color w:val="009FE3"/>
        </w:rPr>
      </w:pPr>
      <w:r>
        <w:rPr>
          <w:rFonts w:ascii="Arial" w:cs="Arial" w:eastAsia="Arial" w:hAnsi="Arial"/>
          <w:sz w:val="16"/>
          <w:szCs w:val="16"/>
          <w:color w:val="202E39"/>
        </w:rPr>
        <w:t>the importance of the transaction to the related person,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47"/>
        </w:numPr>
        <w:rPr>
          <w:rFonts w:ascii="Arial" w:cs="Arial" w:eastAsia="Arial" w:hAnsi="Arial"/>
          <w:sz w:val="16"/>
          <w:szCs w:val="16"/>
          <w:color w:val="009FE3"/>
        </w:rPr>
      </w:pPr>
      <w:r>
        <w:rPr>
          <w:rFonts w:ascii="Arial" w:cs="Arial" w:eastAsia="Arial" w:hAnsi="Arial"/>
          <w:sz w:val="16"/>
          <w:szCs w:val="16"/>
          <w:color w:val="202E39"/>
        </w:rPr>
        <w:t>the importance of the transaction to the company,</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47"/>
        </w:numPr>
        <w:rPr>
          <w:rFonts w:ascii="Arial" w:cs="Arial" w:eastAsia="Arial" w:hAnsi="Arial"/>
          <w:sz w:val="16"/>
          <w:szCs w:val="16"/>
          <w:color w:val="009FE3"/>
        </w:rPr>
      </w:pPr>
      <w:r>
        <w:rPr>
          <w:rFonts w:ascii="Arial" w:cs="Arial" w:eastAsia="Arial" w:hAnsi="Arial"/>
          <w:sz w:val="16"/>
          <w:szCs w:val="16"/>
          <w:color w:val="202E39"/>
        </w:rPr>
        <w:t>whether the transaction would impair the judgment of a director or executive officer to act in the best interest of the company, and</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47"/>
        </w:numPr>
        <w:rPr>
          <w:rFonts w:ascii="Arial" w:cs="Arial" w:eastAsia="Arial" w:hAnsi="Arial"/>
          <w:sz w:val="16"/>
          <w:szCs w:val="16"/>
          <w:color w:val="009FE3"/>
        </w:rPr>
      </w:pPr>
      <w:r>
        <w:rPr>
          <w:rFonts w:ascii="Arial" w:cs="Arial" w:eastAsia="Arial" w:hAnsi="Arial"/>
          <w:sz w:val="16"/>
          <w:szCs w:val="16"/>
          <w:color w:val="202E39"/>
        </w:rPr>
        <w:t>any other matters the Audit Committee or the Board deems appropriate.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Related Party Transactions</w:t>
      </w:r>
    </w:p>
    <w:p>
      <w:pPr>
        <w:spacing w:after="0" w:line="145" w:lineRule="exact"/>
        <w:rPr>
          <w:sz w:val="20"/>
          <w:szCs w:val="20"/>
          <w:color w:val="auto"/>
        </w:rPr>
      </w:pPr>
    </w:p>
    <w:p>
      <w:pPr>
        <w:ind w:left="200" w:right="100"/>
        <w:spacing w:after="0" w:line="253" w:lineRule="auto"/>
        <w:rPr>
          <w:sz w:val="20"/>
          <w:szCs w:val="20"/>
          <w:color w:val="auto"/>
        </w:rPr>
      </w:pPr>
      <w:r>
        <w:rPr>
          <w:rFonts w:ascii="Arial" w:cs="Arial" w:eastAsia="Arial" w:hAnsi="Arial"/>
          <w:sz w:val="16"/>
          <w:szCs w:val="16"/>
          <w:color w:val="202E39"/>
        </w:rPr>
        <w:t>A brother of Mr. Dankberg is employed as Director of Information Systems at Viasat. He earned approximately $166,500 in base salary during fiscal year 2018, and participates in our benefit programs. Mr. Dankberg’s son is a Media Operations Director at Viasat. He earned an aggregate of approximately $270,100 in base salary and bonus during fiscal year 2018, and participates in our equity award and benefit programs.</w:t>
      </w:r>
    </w:p>
    <w:p>
      <w:pPr>
        <w:spacing w:after="0" w:line="93" w:lineRule="exact"/>
        <w:rPr>
          <w:sz w:val="20"/>
          <w:szCs w:val="20"/>
          <w:color w:val="auto"/>
        </w:rPr>
      </w:pPr>
    </w:p>
    <w:p>
      <w:pPr>
        <w:ind w:left="200" w:right="80"/>
        <w:spacing w:after="0" w:line="253" w:lineRule="auto"/>
        <w:rPr>
          <w:sz w:val="20"/>
          <w:szCs w:val="20"/>
          <w:color w:val="auto"/>
        </w:rPr>
      </w:pPr>
      <w:r>
        <w:rPr>
          <w:rFonts w:ascii="Arial" w:cs="Arial" w:eastAsia="Arial" w:hAnsi="Arial"/>
          <w:sz w:val="16"/>
          <w:szCs w:val="16"/>
          <w:color w:val="202E39"/>
        </w:rPr>
        <w:t>A brother of Mr. Miller is employed as a Systems Design Engineer at Viasat. He earned an aggregate of approximately $280,400 in base salary and bonus during fiscal year 2018, and participates in our equity award and benefit programs. Mr. Miller’s son is a Software Engineer at Viasat. He earned an aggregate of approximately $156,000 in base salary and bonus during fiscal year 2018, and participates in our equity award and benefit programs.</w:t>
      </w:r>
    </w:p>
    <w:p>
      <w:pPr>
        <w:spacing w:after="0" w:line="119"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45</w:t>
            </w:r>
          </w:p>
        </w:tc>
      </w:tr>
    </w:tbl>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AUDIT COMMITTEE REPORT</w:t>
      </w:r>
    </w:p>
    <w:p>
      <w:pPr>
        <w:spacing w:after="0" w:line="224" w:lineRule="exact"/>
        <w:rPr>
          <w:sz w:val="20"/>
          <w:szCs w:val="20"/>
          <w:color w:val="auto"/>
        </w:rPr>
      </w:pPr>
    </w:p>
    <w:p>
      <w:pPr>
        <w:ind w:left="200" w:right="200"/>
        <w:spacing w:after="0" w:line="249" w:lineRule="auto"/>
        <w:rPr>
          <w:sz w:val="20"/>
          <w:szCs w:val="20"/>
          <w:color w:val="auto"/>
        </w:rPr>
      </w:pPr>
      <w:r>
        <w:rPr>
          <w:rFonts w:ascii="Arial" w:cs="Arial" w:eastAsia="Arial" w:hAnsi="Arial"/>
          <w:sz w:val="16"/>
          <w:szCs w:val="16"/>
          <w:color w:val="202E39"/>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 The composition of the Audit Committee, the attributes of its members and the responsibilities of the Audit Committee, as reflected in its written charter, are intended to be in accordance with applicable requirements for corporate audit committees.</w:t>
      </w:r>
    </w:p>
    <w:p>
      <w:pPr>
        <w:spacing w:after="0" w:line="97"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 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w:t>
      </w:r>
    </w:p>
    <w:p>
      <w:pPr>
        <w:spacing w:after="0" w:line="99" w:lineRule="exact"/>
        <w:rPr>
          <w:sz w:val="20"/>
          <w:szCs w:val="20"/>
          <w:color w:val="auto"/>
        </w:rPr>
      </w:pPr>
    </w:p>
    <w:p>
      <w:pPr>
        <w:ind w:left="200" w:right="60"/>
        <w:spacing w:after="0" w:line="249" w:lineRule="auto"/>
        <w:rPr>
          <w:sz w:val="20"/>
          <w:szCs w:val="20"/>
          <w:color w:val="auto"/>
        </w:rPr>
      </w:pPr>
      <w:r>
        <w:rPr>
          <w:rFonts w:ascii="Arial" w:cs="Arial" w:eastAsia="Arial" w:hAnsi="Arial"/>
          <w:sz w:val="16"/>
          <w:szCs w:val="16"/>
          <w:color w:val="202E39"/>
        </w:rPr>
        <w:t>The Audit Committee has reviewed and discussed the audited consolidated financial statements for fiscal year 2018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The Audit Committee also discussed with PricewaterhouseCoopers LLP the matters required to be discussed pursuant to the rules adopted by the Public Company Accounting Oversight Board.</w:t>
      </w:r>
    </w:p>
    <w:p>
      <w:pPr>
        <w:spacing w:after="0" w:line="97" w:lineRule="exact"/>
        <w:rPr>
          <w:sz w:val="20"/>
          <w:szCs w:val="20"/>
          <w:color w:val="auto"/>
        </w:rPr>
      </w:pPr>
    </w:p>
    <w:p>
      <w:pPr>
        <w:ind w:left="200" w:right="40"/>
        <w:spacing w:after="0" w:line="253" w:lineRule="auto"/>
        <w:rPr>
          <w:sz w:val="20"/>
          <w:szCs w:val="20"/>
          <w:color w:val="auto"/>
        </w:rPr>
      </w:pPr>
      <w:r>
        <w:rPr>
          <w:rFonts w:ascii="Arial" w:cs="Arial" w:eastAsia="Arial" w:hAnsi="Arial"/>
          <w:sz w:val="16"/>
          <w:szCs w:val="16"/>
          <w:color w:val="202E39"/>
        </w:rPr>
        <w:t>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w:t>
      </w:r>
    </w:p>
    <w:p>
      <w:pPr>
        <w:spacing w:after="0" w:line="93" w:lineRule="exact"/>
        <w:rPr>
          <w:sz w:val="20"/>
          <w:szCs w:val="20"/>
          <w:color w:val="auto"/>
        </w:rPr>
      </w:pPr>
    </w:p>
    <w:p>
      <w:pPr>
        <w:ind w:left="200" w:right="80"/>
        <w:spacing w:after="0" w:line="260" w:lineRule="auto"/>
        <w:rPr>
          <w:sz w:val="20"/>
          <w:szCs w:val="20"/>
          <w:color w:val="auto"/>
        </w:rPr>
      </w:pPr>
      <w:r>
        <w:rPr>
          <w:rFonts w:ascii="Arial" w:cs="Arial" w:eastAsia="Arial" w:hAnsi="Arial"/>
          <w:sz w:val="16"/>
          <w:szCs w:val="16"/>
          <w:color w:val="202E39"/>
        </w:rPr>
        <w:t>In reliance on these reviews and discussions, the Audit Committee has recommended to the Board of Directors that Viasat’s audited financial statements be included in Viasat’s annual report on Form 10-K for the fiscal year ended March 31, 2018 for filing with the SEC.</w:t>
      </w:r>
    </w:p>
    <w:p>
      <w:pPr>
        <w:spacing w:after="0" w:line="72" w:lineRule="exact"/>
        <w:rPr>
          <w:sz w:val="20"/>
          <w:szCs w:val="20"/>
          <w:color w:val="auto"/>
        </w:rPr>
      </w:pPr>
    </w:p>
    <w:p>
      <w:pPr>
        <w:ind w:left="200"/>
        <w:spacing w:after="0" w:line="258" w:lineRule="auto"/>
        <w:rPr>
          <w:sz w:val="20"/>
          <w:szCs w:val="20"/>
          <w:color w:val="auto"/>
        </w:rPr>
      </w:pPr>
      <w:r>
        <w:rPr>
          <w:rFonts w:ascii="Arial" w:cs="Arial" w:eastAsia="Arial" w:hAnsi="Arial"/>
          <w:sz w:val="16"/>
          <w:szCs w:val="16"/>
          <w:i w:val="1"/>
          <w:iCs w:val="1"/>
          <w:color w:val="202E39"/>
        </w:rPr>
        <w:t>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197"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Respectfully Submitted by the Audit Committee</w:t>
      </w:r>
    </w:p>
    <w:p>
      <w:pPr>
        <w:spacing w:after="0" w:line="221"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Harvey White (Chair)</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Frank J. Biondi, Jr.</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Robert Johnson</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B. Allen Lay</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Jeffrey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96520</wp:posOffset>
            </wp:positionV>
            <wp:extent cx="42862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OTHER MATTERS</w:t>
      </w:r>
    </w:p>
    <w:p>
      <w:pPr>
        <w:spacing w:after="0" w:line="208" w:lineRule="exact"/>
        <w:rPr>
          <w:sz w:val="20"/>
          <w:szCs w:val="20"/>
          <w:color w:val="auto"/>
        </w:rPr>
      </w:pPr>
    </w:p>
    <w:p>
      <w:pPr>
        <w:ind w:left="200" w:right="80"/>
        <w:spacing w:after="0" w:line="252" w:lineRule="auto"/>
        <w:rPr>
          <w:sz w:val="20"/>
          <w:szCs w:val="20"/>
          <w:color w:val="auto"/>
        </w:rPr>
      </w:pPr>
      <w:r>
        <w:rPr>
          <w:rFonts w:ascii="Arial" w:cs="Arial" w:eastAsia="Arial" w:hAnsi="Arial"/>
          <w:sz w:val="16"/>
          <w:szCs w:val="16"/>
          <w:i w:val="1"/>
          <w:iCs w:val="1"/>
          <w:color w:val="009FE3"/>
        </w:rPr>
        <w:t xml:space="preserve">Stockholder Proposals for Inclusion in Viasat’s 2019 Proxy Statement. </w:t>
      </w:r>
      <w:r>
        <w:rPr>
          <w:rFonts w:ascii="Arial" w:cs="Arial" w:eastAsia="Arial" w:hAnsi="Arial"/>
          <w:sz w:val="16"/>
          <w:szCs w:val="16"/>
          <w:color w:val="202E39"/>
        </w:rPr>
        <w:t>Stockholders of Viasat may submit proposals on matters appropriate for</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 action at meetings of our stockholders in accordance with Rule 14a-8 promulgated under the Securities Exchange Act of 1934. To be eligible for inclusion in our proxy statement relating to the 2019 annual meeting of stockholders, proposals must satisfy the conditions established by the SEC for stockholder proposals to be included in the proxy statement, and must otherwise be received by Viasat no later than March 22, 2019, unless the date of the 2019 annual meeting is changed by more than 30 days from the anniversary of our 2018 annual meeting, in which case the deadline will be as set forth in Rule 14a-8. Such proposals must be delivered to Viasat, Inc., Attention: Corporate Secretary, 6155 El Camino Real, Carlsbad, California 92009, with a copy to Viasat, Inc., Attention: General Counsel at the same address.</w:t>
      </w:r>
    </w:p>
    <w:p>
      <w:pPr>
        <w:spacing w:after="0" w:line="79" w:lineRule="exact"/>
        <w:rPr>
          <w:sz w:val="20"/>
          <w:szCs w:val="20"/>
          <w:color w:val="auto"/>
        </w:rPr>
      </w:pPr>
    </w:p>
    <w:p>
      <w:pPr>
        <w:ind w:left="200"/>
        <w:spacing w:after="0" w:line="212" w:lineRule="auto"/>
        <w:rPr>
          <w:sz w:val="20"/>
          <w:szCs w:val="20"/>
          <w:color w:val="auto"/>
        </w:rPr>
      </w:pPr>
      <w:r>
        <w:rPr>
          <w:rFonts w:ascii="Arial" w:cs="Arial" w:eastAsia="Arial" w:hAnsi="Arial"/>
          <w:sz w:val="16"/>
          <w:szCs w:val="16"/>
          <w:i w:val="1"/>
          <w:iCs w:val="1"/>
          <w:color w:val="009FE3"/>
        </w:rPr>
        <w:t xml:space="preserve">Stockholder Proposals for Presentation at the 2019 Annual Meeting. </w:t>
      </w:r>
      <w:r>
        <w:rPr>
          <w:rFonts w:ascii="Arial" w:cs="Arial" w:eastAsia="Arial" w:hAnsi="Arial"/>
          <w:sz w:val="16"/>
          <w:szCs w:val="16"/>
          <w:color w:val="202E39"/>
        </w:rPr>
        <w:t>If a stockholder wishes to present a proposal at our 2019 annual meeting of</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 (3) otherwise comply with all applicable requirements of our bylaws and of the Securities Exchange Act of 1934. To be timely, such stockholder’s notice must be received by Viasat no earlier than the 120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nor later than the 90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prior to the anniversary of our 2018 annual meeting. As a result, proposals submitted pursuant to these provisions of our bylaws must be received no earlier than the close of business on May 9, 2019 and no later than the close of business on June 8, 2019. However, if the date of the 2019 annual meeting is advanced by more than 30 days or delayed by more than 60 days from the anniversary of the 2018 annual meeting, notice by the stockholder must be received no later than the later of (1) the 90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prior to the 2019 annual meeting or (2) the 10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following the day on which public disclosure of the date of the 2019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w:t>
      </w:r>
    </w:p>
    <w:p>
      <w:pPr>
        <w:spacing w:after="0" w:line="133"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47</w:t>
            </w:r>
          </w:p>
        </w:tc>
      </w:tr>
    </w:tbl>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APPENDIX A</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1996 EQUITY PARTICIPATION PLAN OF VIASAT, INC.</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202E39"/>
        </w:rPr>
        <w:t>(AS AMENDED AND RESTATED EFFECTIVE SEPTEMBER 6, 2018)</w:t>
      </w:r>
    </w:p>
    <w:p>
      <w:pPr>
        <w:spacing w:after="0" w:line="133" w:lineRule="exact"/>
        <w:rPr>
          <w:sz w:val="20"/>
          <w:szCs w:val="20"/>
          <w:color w:val="auto"/>
        </w:rPr>
      </w:pPr>
    </w:p>
    <w:p>
      <w:pPr>
        <w:jc w:val="both"/>
        <w:ind w:left="200" w:right="40"/>
        <w:spacing w:after="0" w:line="250" w:lineRule="auto"/>
        <w:rPr>
          <w:sz w:val="20"/>
          <w:szCs w:val="20"/>
          <w:color w:val="auto"/>
        </w:rPr>
      </w:pPr>
      <w:r>
        <w:rPr>
          <w:rFonts w:ascii="Arial" w:cs="Arial" w:eastAsia="Arial" w:hAnsi="Arial"/>
          <w:sz w:val="16"/>
          <w:szCs w:val="16"/>
          <w:color w:val="202E39"/>
        </w:rPr>
        <w:t>Viasat, Inc., a Delaware corporation, adopted The 1996 Equity Participation Plan of Viasat, Inc. (the “Plan”), originally effective October 24, 1996, for the benefit of its eligible employees, consultants and directors. The Plan consists of two plans, one for the benefit of key Employees (as such term is defined below) and consultants and one for the benefit of Independent Directors (as such term is defined below). The following is an amendment and restatement of the Plan effective as of September 6, 2018 (the “Restatement Effective Date”), which is the date on which this amendment and restatement of the Plan was approved by the stockholders of the Company.</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purposes of this Plan are as follows:</w:t>
      </w:r>
    </w:p>
    <w:p>
      <w:pPr>
        <w:spacing w:after="0" w:line="113" w:lineRule="exact"/>
        <w:rPr>
          <w:sz w:val="20"/>
          <w:szCs w:val="20"/>
          <w:color w:val="auto"/>
        </w:rPr>
      </w:pPr>
    </w:p>
    <w:p>
      <w:pPr>
        <w:ind w:left="200" w:right="300" w:firstLine="4"/>
        <w:spacing w:after="0" w:line="253" w:lineRule="auto"/>
        <w:tabs>
          <w:tab w:leader="none" w:pos="443" w:val="left"/>
        </w:tabs>
        <w:numPr>
          <w:ilvl w:val="0"/>
          <w:numId w:val="48"/>
        </w:numPr>
        <w:rPr>
          <w:rFonts w:ascii="Arial" w:cs="Arial" w:eastAsia="Arial" w:hAnsi="Arial"/>
          <w:sz w:val="16"/>
          <w:szCs w:val="16"/>
          <w:color w:val="202E39"/>
        </w:rPr>
      </w:pPr>
      <w:r>
        <w:rPr>
          <w:rFonts w:ascii="Arial" w:cs="Arial" w:eastAsia="Arial" w:hAnsi="Arial"/>
          <w:sz w:val="16"/>
          <w:szCs w:val="16"/>
          <w:color w:val="202E39"/>
        </w:rPr>
        <w:t>To provide an additional incentive for directors, key Employees and consultants to further the growth, development and financial success of Viasat, Inc. (the “Company”) by personally benefiting through the ownership of Company stock and/or rights which recognize such growth, development and financial success.</w:t>
      </w:r>
    </w:p>
    <w:p>
      <w:pPr>
        <w:spacing w:after="0" w:line="93" w:lineRule="exact"/>
        <w:rPr>
          <w:rFonts w:ascii="Arial" w:cs="Arial" w:eastAsia="Arial" w:hAnsi="Arial"/>
          <w:sz w:val="16"/>
          <w:szCs w:val="16"/>
          <w:color w:val="202E39"/>
        </w:rPr>
      </w:pPr>
    </w:p>
    <w:p>
      <w:pPr>
        <w:ind w:left="200" w:right="80" w:firstLine="4"/>
        <w:spacing w:after="0" w:line="253" w:lineRule="auto"/>
        <w:tabs>
          <w:tab w:leader="none" w:pos="443" w:val="left"/>
        </w:tabs>
        <w:numPr>
          <w:ilvl w:val="0"/>
          <w:numId w:val="48"/>
        </w:numPr>
        <w:rPr>
          <w:rFonts w:ascii="Arial" w:cs="Arial" w:eastAsia="Arial" w:hAnsi="Arial"/>
          <w:sz w:val="16"/>
          <w:szCs w:val="16"/>
          <w:color w:val="202E39"/>
        </w:rPr>
      </w:pPr>
      <w:r>
        <w:rPr>
          <w:rFonts w:ascii="Arial" w:cs="Arial" w:eastAsia="Arial" w:hAnsi="Arial"/>
          <w:sz w:val="16"/>
          <w:szCs w:val="16"/>
          <w:color w:val="202E39"/>
        </w:rPr>
        <w:t>To enable the Company to obtain and retain the services of directors, key Employees and consultants considered essential to the long range success of the Company by offering them an opportunity to own stock in the Company and/or rights which will reflect the growth, development and financial success of the Company.</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I. DEFINITIONS</w:t>
      </w:r>
    </w:p>
    <w:p>
      <w:pPr>
        <w:spacing w:after="0" w:line="124" w:lineRule="exact"/>
        <w:rPr>
          <w:sz w:val="20"/>
          <w:szCs w:val="20"/>
          <w:color w:val="auto"/>
        </w:rPr>
      </w:pPr>
    </w:p>
    <w:p>
      <w:pPr>
        <w:ind w:left="200" w:right="580"/>
        <w:spacing w:after="0" w:line="260" w:lineRule="auto"/>
        <w:rPr>
          <w:sz w:val="20"/>
          <w:szCs w:val="20"/>
          <w:color w:val="auto"/>
        </w:rPr>
      </w:pPr>
      <w:r>
        <w:rPr>
          <w:rFonts w:ascii="Arial" w:cs="Arial" w:eastAsia="Arial" w:hAnsi="Arial"/>
          <w:sz w:val="16"/>
          <w:szCs w:val="16"/>
          <w:color w:val="202E39"/>
        </w:rPr>
        <w:t xml:space="preserve">1.1 </w:t>
      </w:r>
      <w:r>
        <w:rPr>
          <w:rFonts w:ascii="Arial" w:cs="Arial" w:eastAsia="Arial" w:hAnsi="Arial"/>
          <w:sz w:val="16"/>
          <w:szCs w:val="16"/>
          <w:u w:val="single" w:color="auto"/>
          <w:color w:val="202E39"/>
        </w:rPr>
        <w:t>General</w:t>
      </w:r>
      <w:r>
        <w:rPr>
          <w:rFonts w:ascii="Arial" w:cs="Arial" w:eastAsia="Arial" w:hAnsi="Arial"/>
          <w:sz w:val="16"/>
          <w:szCs w:val="16"/>
          <w:color w:val="202E39"/>
        </w:rPr>
        <w:t>. Wherever the following terms are used in this Plan they shall have the meanings specified below, unless the context clearly indicates otherwise.</w:t>
      </w:r>
    </w:p>
    <w:p>
      <w:pPr>
        <w:spacing w:after="0" w:line="88" w:lineRule="exact"/>
        <w:rPr>
          <w:sz w:val="20"/>
          <w:szCs w:val="20"/>
          <w:color w:val="auto"/>
        </w:rPr>
      </w:pPr>
    </w:p>
    <w:p>
      <w:pPr>
        <w:ind w:left="200" w:right="60"/>
        <w:spacing w:after="0" w:line="249" w:lineRule="auto"/>
        <w:rPr>
          <w:sz w:val="20"/>
          <w:szCs w:val="20"/>
          <w:color w:val="auto"/>
        </w:rPr>
      </w:pPr>
      <w:r>
        <w:rPr>
          <w:rFonts w:ascii="Arial" w:cs="Arial" w:eastAsia="Arial" w:hAnsi="Arial"/>
          <w:sz w:val="16"/>
          <w:szCs w:val="16"/>
          <w:color w:val="202E39"/>
        </w:rPr>
        <w:t xml:space="preserve">1.2 </w:t>
      </w:r>
      <w:r>
        <w:rPr>
          <w:rFonts w:ascii="Arial" w:cs="Arial" w:eastAsia="Arial" w:hAnsi="Arial"/>
          <w:sz w:val="16"/>
          <w:szCs w:val="16"/>
          <w:u w:val="single" w:color="auto"/>
          <w:color w:val="202E39"/>
        </w:rPr>
        <w:t>Award Limit</w:t>
      </w:r>
      <w:r>
        <w:rPr>
          <w:rFonts w:ascii="Arial" w:cs="Arial" w:eastAsia="Arial" w:hAnsi="Arial"/>
          <w:sz w:val="16"/>
          <w:szCs w:val="16"/>
          <w:color w:val="202E39"/>
        </w:rPr>
        <w:t xml:space="preserve">. “Award Limit” shall mean One Million (1,000,000) shares of Common Stock with respect to Options or Stock Appreciation Rights granted under the Plan and Three Hundred Thousand (300,000) shares of Common Stock with respect to awards of Restricted Stock, Performance Awards, Dividend Equivalents, Restricted Stock Units, or Stock Payments granted under the Plan;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in connection with an individual’s initial service as an Employee, such limit will be Six Hundred Thousand (600,000) shares of Common Stock with respect to awards of Restricted Stock, Performance Awards, Dividend Equivalents, Restricted Stock Units or Stock Payments granted under the Plan. The maximum aggregate amount of cash that may be paid to an individual in cash during any fiscal year of the Company with respect to awards designated to be paid in cash shall be $5,000,000.</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1.3 </w:t>
      </w:r>
      <w:r>
        <w:rPr>
          <w:rFonts w:ascii="Arial" w:cs="Arial" w:eastAsia="Arial" w:hAnsi="Arial"/>
          <w:sz w:val="16"/>
          <w:szCs w:val="16"/>
          <w:u w:val="single" w:color="auto"/>
          <w:color w:val="202E39"/>
        </w:rPr>
        <w:t>Board</w:t>
      </w:r>
      <w:r>
        <w:rPr>
          <w:rFonts w:ascii="Arial" w:cs="Arial" w:eastAsia="Arial" w:hAnsi="Arial"/>
          <w:sz w:val="16"/>
          <w:szCs w:val="16"/>
          <w:color w:val="202E39"/>
        </w:rPr>
        <w:t>. “Board” shall mean the Board of Directors of the Company.</w:t>
      </w:r>
    </w:p>
    <w:p>
      <w:pPr>
        <w:spacing w:after="0" w:line="113" w:lineRule="exact"/>
        <w:rPr>
          <w:sz w:val="20"/>
          <w:szCs w:val="20"/>
          <w:color w:val="auto"/>
        </w:rPr>
      </w:pPr>
    </w:p>
    <w:p>
      <w:pPr>
        <w:ind w:left="200" w:right="740"/>
        <w:spacing w:after="0" w:line="260" w:lineRule="auto"/>
        <w:rPr>
          <w:sz w:val="20"/>
          <w:szCs w:val="20"/>
          <w:color w:val="auto"/>
        </w:rPr>
      </w:pPr>
      <w:r>
        <w:rPr>
          <w:rFonts w:ascii="Arial" w:cs="Arial" w:eastAsia="Arial" w:hAnsi="Arial"/>
          <w:sz w:val="16"/>
          <w:szCs w:val="16"/>
          <w:color w:val="202E39"/>
        </w:rPr>
        <w:t xml:space="preserve">1.4 </w:t>
      </w:r>
      <w:r>
        <w:rPr>
          <w:rFonts w:ascii="Arial" w:cs="Arial" w:eastAsia="Arial" w:hAnsi="Arial"/>
          <w:sz w:val="16"/>
          <w:szCs w:val="16"/>
          <w:u w:val="single" w:color="auto"/>
          <w:color w:val="202E39"/>
        </w:rPr>
        <w:t>Change in Control</w:t>
      </w:r>
      <w:r>
        <w:rPr>
          <w:rFonts w:ascii="Arial" w:cs="Arial" w:eastAsia="Arial" w:hAnsi="Arial"/>
          <w:sz w:val="16"/>
          <w:szCs w:val="16"/>
          <w:color w:val="202E39"/>
        </w:rPr>
        <w:t>. “Change in Control” shall mean a change in ownership or control of the Company effected through either of the following transactions:</w:t>
      </w:r>
    </w:p>
    <w:p>
      <w:pPr>
        <w:spacing w:after="0" w:line="88" w:lineRule="exact"/>
        <w:rPr>
          <w:sz w:val="20"/>
          <w:szCs w:val="20"/>
          <w:color w:val="auto"/>
        </w:rPr>
      </w:pPr>
    </w:p>
    <w:p>
      <w:pPr>
        <w:ind w:left="640" w:right="80" w:firstLine="4"/>
        <w:spacing w:after="0" w:line="251" w:lineRule="auto"/>
        <w:tabs>
          <w:tab w:leader="none" w:pos="883" w:val="left"/>
        </w:tabs>
        <w:numPr>
          <w:ilvl w:val="0"/>
          <w:numId w:val="49"/>
        </w:numPr>
        <w:rPr>
          <w:rFonts w:ascii="Arial" w:cs="Arial" w:eastAsia="Arial" w:hAnsi="Arial"/>
          <w:sz w:val="16"/>
          <w:szCs w:val="16"/>
          <w:color w:val="202E39"/>
        </w:rPr>
      </w:pPr>
      <w:r>
        <w:rPr>
          <w:rFonts w:ascii="Arial" w:cs="Arial" w:eastAsia="Arial" w:hAnsi="Arial"/>
          <w:sz w:val="16"/>
          <w:szCs w:val="16"/>
          <w:color w:val="202E39"/>
        </w:rPr>
        <w:t>any person or related group of persons (other than the Company or a person that directly or indirectly controls, is controlled by, or is under common control with, the Company) directly or indirectly acquires beneficial ownership (within the meaning of Rule 13d-3 under the Exchange Act) of securities possessing more than fifty percent (50%) of the total combined voting power of the Company’s outstanding securities pursuant to a tender or exchange offer made directly to the Company’s stockholders which the Board does not recommend such stockholders to accept; or</w:t>
      </w:r>
    </w:p>
    <w:p>
      <w:pPr>
        <w:spacing w:after="0" w:line="94" w:lineRule="exact"/>
        <w:rPr>
          <w:rFonts w:ascii="Arial" w:cs="Arial" w:eastAsia="Arial" w:hAnsi="Arial"/>
          <w:sz w:val="16"/>
          <w:szCs w:val="16"/>
          <w:color w:val="202E39"/>
        </w:rPr>
      </w:pPr>
    </w:p>
    <w:p>
      <w:pPr>
        <w:ind w:left="640" w:right="180" w:firstLine="4"/>
        <w:spacing w:after="0" w:line="250" w:lineRule="auto"/>
        <w:tabs>
          <w:tab w:leader="none" w:pos="883" w:val="left"/>
        </w:tabs>
        <w:numPr>
          <w:ilvl w:val="0"/>
          <w:numId w:val="49"/>
        </w:numPr>
        <w:rPr>
          <w:rFonts w:ascii="Arial" w:cs="Arial" w:eastAsia="Arial" w:hAnsi="Arial"/>
          <w:sz w:val="16"/>
          <w:szCs w:val="16"/>
          <w:color w:val="202E39"/>
        </w:rPr>
      </w:pPr>
      <w:r>
        <w:rPr>
          <w:rFonts w:ascii="Arial" w:cs="Arial" w:eastAsia="Arial" w:hAnsi="Arial"/>
          <w:sz w:val="16"/>
          <w:szCs w:val="16"/>
          <w:color w:val="202E39"/>
        </w:rPr>
        <w:t>there is a change in the composition of the Board over a period of thirty-six (36) consecutive months (or less) such that a majority of the Board members (rounded up to the nearest whole number) ceases, by reason of one or more proxy contests for the election of Board members, to be comprised of 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1.5 </w:t>
      </w:r>
      <w:r>
        <w:rPr>
          <w:rFonts w:ascii="Arial" w:cs="Arial" w:eastAsia="Arial" w:hAnsi="Arial"/>
          <w:sz w:val="16"/>
          <w:szCs w:val="16"/>
          <w:u w:val="single" w:color="auto"/>
          <w:color w:val="202E39"/>
        </w:rPr>
        <w:t>Code</w:t>
      </w:r>
      <w:r>
        <w:rPr>
          <w:rFonts w:ascii="Arial" w:cs="Arial" w:eastAsia="Arial" w:hAnsi="Arial"/>
          <w:sz w:val="16"/>
          <w:szCs w:val="16"/>
          <w:color w:val="202E39"/>
        </w:rPr>
        <w:t>. “Code” shall mean the U.S. Internal Revenue Code of 1986, as amended.</w:t>
      </w:r>
    </w:p>
    <w:p>
      <w:pPr>
        <w:spacing w:after="0" w:line="113" w:lineRule="exact"/>
        <w:rPr>
          <w:sz w:val="20"/>
          <w:szCs w:val="20"/>
          <w:color w:val="auto"/>
        </w:rPr>
      </w:pPr>
    </w:p>
    <w:p>
      <w:pPr>
        <w:ind w:left="200" w:right="640"/>
        <w:spacing w:after="0" w:line="260" w:lineRule="auto"/>
        <w:rPr>
          <w:sz w:val="20"/>
          <w:szCs w:val="20"/>
          <w:color w:val="auto"/>
        </w:rPr>
      </w:pPr>
      <w:r>
        <w:rPr>
          <w:rFonts w:ascii="Arial" w:cs="Arial" w:eastAsia="Arial" w:hAnsi="Arial"/>
          <w:sz w:val="16"/>
          <w:szCs w:val="16"/>
          <w:color w:val="202E39"/>
        </w:rPr>
        <w:t xml:space="preserve">1.6 </w:t>
      </w:r>
      <w:r>
        <w:rPr>
          <w:rFonts w:ascii="Arial" w:cs="Arial" w:eastAsia="Arial" w:hAnsi="Arial"/>
          <w:sz w:val="16"/>
          <w:szCs w:val="16"/>
          <w:u w:val="single" w:color="auto"/>
          <w:color w:val="202E39"/>
        </w:rPr>
        <w:t>Committee</w:t>
      </w:r>
      <w:r>
        <w:rPr>
          <w:rFonts w:ascii="Arial" w:cs="Arial" w:eastAsia="Arial" w:hAnsi="Arial"/>
          <w:sz w:val="16"/>
          <w:szCs w:val="16"/>
          <w:color w:val="202E39"/>
        </w:rPr>
        <w:t>. “Committee” shall mean the Compensation Committee of the Board, or another committee of the Board, appointed as provided in Section 9.1.</w:t>
      </w:r>
    </w:p>
    <w:p>
      <w:pPr>
        <w:spacing w:after="0" w:line="88" w:lineRule="exact"/>
        <w:rPr>
          <w:sz w:val="20"/>
          <w:szCs w:val="20"/>
          <w:color w:val="auto"/>
        </w:rPr>
      </w:pPr>
    </w:p>
    <w:p>
      <w:pPr>
        <w:ind w:left="200" w:right="660"/>
        <w:spacing w:after="0" w:line="260" w:lineRule="auto"/>
        <w:rPr>
          <w:sz w:val="20"/>
          <w:szCs w:val="20"/>
          <w:color w:val="auto"/>
        </w:rPr>
      </w:pPr>
      <w:r>
        <w:rPr>
          <w:rFonts w:ascii="Arial" w:cs="Arial" w:eastAsia="Arial" w:hAnsi="Arial"/>
          <w:sz w:val="16"/>
          <w:szCs w:val="16"/>
          <w:color w:val="202E39"/>
        </w:rPr>
        <w:t xml:space="preserve">1.7 </w:t>
      </w:r>
      <w:r>
        <w:rPr>
          <w:rFonts w:ascii="Arial" w:cs="Arial" w:eastAsia="Arial" w:hAnsi="Arial"/>
          <w:sz w:val="16"/>
          <w:szCs w:val="16"/>
          <w:u w:val="single" w:color="auto"/>
          <w:color w:val="202E39"/>
        </w:rPr>
        <w:t>Common Stock</w:t>
      </w:r>
      <w:r>
        <w:rPr>
          <w:rFonts w:ascii="Arial" w:cs="Arial" w:eastAsia="Arial" w:hAnsi="Arial"/>
          <w:sz w:val="16"/>
          <w:szCs w:val="16"/>
          <w:color w:val="202E39"/>
        </w:rPr>
        <w:t>. “Common Stock” shall mean the common stock of the Company, par value $0.0001 per share, and any equity security of the Company issued or authorized to be issued in the future, but excluding any preferred stock and any</w:t>
      </w:r>
    </w:p>
    <w:p>
      <w:pPr>
        <w:spacing w:after="0" w:line="113"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A-1</w:t>
            </w:r>
          </w:p>
        </w:tc>
      </w:tr>
    </w:tbl>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200" w:right="340"/>
        <w:spacing w:after="0" w:line="260" w:lineRule="auto"/>
        <w:rPr>
          <w:sz w:val="20"/>
          <w:szCs w:val="20"/>
          <w:color w:val="auto"/>
        </w:rPr>
      </w:pPr>
      <w:r>
        <w:rPr>
          <w:rFonts w:ascii="Arial" w:cs="Arial" w:eastAsia="Arial" w:hAnsi="Arial"/>
          <w:sz w:val="16"/>
          <w:szCs w:val="16"/>
          <w:color w:val="202E39"/>
        </w:rPr>
        <w:t>warrants, options or other rights to purchase Common Stock. Debt securities of the Company convertible into Common Stock shall be deemed equity securities of the Company.</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1.8 </w:t>
      </w:r>
      <w:r>
        <w:rPr>
          <w:rFonts w:ascii="Arial" w:cs="Arial" w:eastAsia="Arial" w:hAnsi="Arial"/>
          <w:sz w:val="16"/>
          <w:szCs w:val="16"/>
          <w:u w:val="single" w:color="auto"/>
          <w:color w:val="202E39"/>
        </w:rPr>
        <w:t>Company</w:t>
      </w:r>
      <w:r>
        <w:rPr>
          <w:rFonts w:ascii="Arial" w:cs="Arial" w:eastAsia="Arial" w:hAnsi="Arial"/>
          <w:sz w:val="16"/>
          <w:szCs w:val="16"/>
          <w:color w:val="202E39"/>
        </w:rPr>
        <w:t>. “Company” shall mean Viasat, Inc., a Delaware corporation.</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1.9 </w:t>
      </w:r>
      <w:r>
        <w:rPr>
          <w:rFonts w:ascii="Arial" w:cs="Arial" w:eastAsia="Arial" w:hAnsi="Arial"/>
          <w:sz w:val="16"/>
          <w:szCs w:val="16"/>
          <w:u w:val="single" w:color="auto"/>
          <w:color w:val="202E39"/>
        </w:rPr>
        <w:t>Corporate Transaction</w:t>
      </w:r>
      <w:r>
        <w:rPr>
          <w:rFonts w:ascii="Arial" w:cs="Arial" w:eastAsia="Arial" w:hAnsi="Arial"/>
          <w:sz w:val="16"/>
          <w:szCs w:val="16"/>
          <w:color w:val="202E39"/>
        </w:rPr>
        <w:t>. “Corporate Transaction” shall mean any of the following stockholder-approved transactions to which the Company is a party:</w:t>
      </w:r>
    </w:p>
    <w:p>
      <w:pPr>
        <w:spacing w:after="0" w:line="113" w:lineRule="exact"/>
        <w:rPr>
          <w:sz w:val="20"/>
          <w:szCs w:val="20"/>
          <w:color w:val="auto"/>
        </w:rPr>
      </w:pPr>
    </w:p>
    <w:p>
      <w:pPr>
        <w:jc w:val="both"/>
        <w:ind w:left="640" w:right="180" w:firstLine="4"/>
        <w:spacing w:after="0" w:line="253" w:lineRule="auto"/>
        <w:tabs>
          <w:tab w:leader="none" w:pos="883" w:val="left"/>
        </w:tabs>
        <w:numPr>
          <w:ilvl w:val="0"/>
          <w:numId w:val="50"/>
        </w:numPr>
        <w:rPr>
          <w:rFonts w:ascii="Arial" w:cs="Arial" w:eastAsia="Arial" w:hAnsi="Arial"/>
          <w:sz w:val="16"/>
          <w:szCs w:val="16"/>
          <w:color w:val="202E39"/>
        </w:rPr>
      </w:pPr>
      <w:r>
        <w:rPr>
          <w:rFonts w:ascii="Arial" w:cs="Arial" w:eastAsia="Arial" w:hAnsi="Arial"/>
          <w:sz w:val="16"/>
          <w:szCs w:val="16"/>
          <w:color w:val="202E39"/>
        </w:rPr>
        <w:t>a merger or consolidation in which the Company is not the surviving entity, except for a transaction the principal purpose of which is to change the State in which the Company is incorporated, form a holding company or effect a similar reorganization as to form whereupon this Plan and all Options are assumed by the successor entity;</w:t>
      </w:r>
    </w:p>
    <w:p>
      <w:pPr>
        <w:spacing w:after="0" w:line="93" w:lineRule="exact"/>
        <w:rPr>
          <w:rFonts w:ascii="Arial" w:cs="Arial" w:eastAsia="Arial" w:hAnsi="Arial"/>
          <w:sz w:val="16"/>
          <w:szCs w:val="16"/>
          <w:color w:val="202E39"/>
        </w:rPr>
      </w:pPr>
    </w:p>
    <w:p>
      <w:pPr>
        <w:ind w:left="640" w:right="200" w:firstLine="4"/>
        <w:spacing w:after="0" w:line="260" w:lineRule="auto"/>
        <w:tabs>
          <w:tab w:leader="none" w:pos="883" w:val="left"/>
        </w:tabs>
        <w:numPr>
          <w:ilvl w:val="0"/>
          <w:numId w:val="50"/>
        </w:numPr>
        <w:rPr>
          <w:rFonts w:ascii="Arial" w:cs="Arial" w:eastAsia="Arial" w:hAnsi="Arial"/>
          <w:sz w:val="16"/>
          <w:szCs w:val="16"/>
          <w:color w:val="202E39"/>
        </w:rPr>
      </w:pPr>
      <w:r>
        <w:rPr>
          <w:rFonts w:ascii="Arial" w:cs="Arial" w:eastAsia="Arial" w:hAnsi="Arial"/>
          <w:sz w:val="16"/>
          <w:szCs w:val="16"/>
          <w:color w:val="202E39"/>
        </w:rPr>
        <w:t>the sale, transfer, exchange or other disposition of all or substantially all of the assets of the Company, in complete liquidation or dissolution of the Company in a transaction not covered by the exceptions to clause (a) above; or</w:t>
      </w:r>
    </w:p>
    <w:p>
      <w:pPr>
        <w:spacing w:after="0" w:line="87" w:lineRule="exact"/>
        <w:rPr>
          <w:rFonts w:ascii="Arial" w:cs="Arial" w:eastAsia="Arial" w:hAnsi="Arial"/>
          <w:sz w:val="16"/>
          <w:szCs w:val="16"/>
          <w:color w:val="202E39"/>
        </w:rPr>
      </w:pPr>
    </w:p>
    <w:p>
      <w:pPr>
        <w:ind w:left="640" w:firstLine="4"/>
        <w:spacing w:after="0" w:line="253" w:lineRule="auto"/>
        <w:tabs>
          <w:tab w:leader="none" w:pos="874" w:val="left"/>
        </w:tabs>
        <w:numPr>
          <w:ilvl w:val="0"/>
          <w:numId w:val="50"/>
        </w:numPr>
        <w:rPr>
          <w:rFonts w:ascii="Arial" w:cs="Arial" w:eastAsia="Arial" w:hAnsi="Arial"/>
          <w:sz w:val="16"/>
          <w:szCs w:val="16"/>
          <w:color w:val="202E39"/>
        </w:rPr>
      </w:pPr>
      <w:r>
        <w:rPr>
          <w:rFonts w:ascii="Arial" w:cs="Arial" w:eastAsia="Arial" w:hAnsi="Arial"/>
          <w:sz w:val="16"/>
          <w:szCs w:val="16"/>
          <w:color w:val="202E39"/>
        </w:rPr>
        <w:t>any reverse merger in which the Company is the surviving entity but in which securities possessing more than fifty percent (50%) of the total combined voting power of the Company’s outstanding securities are transferred or issued to a person or persons different from those who held such securities immediately prior to such merger.</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1.10 </w:t>
      </w:r>
      <w:r>
        <w:rPr>
          <w:rFonts w:ascii="Arial" w:cs="Arial" w:eastAsia="Arial" w:hAnsi="Arial"/>
          <w:sz w:val="16"/>
          <w:szCs w:val="16"/>
          <w:u w:val="single" w:color="auto"/>
          <w:color w:val="202E39"/>
        </w:rPr>
        <w:t>Director</w:t>
      </w:r>
      <w:r>
        <w:rPr>
          <w:rFonts w:ascii="Arial" w:cs="Arial" w:eastAsia="Arial" w:hAnsi="Arial"/>
          <w:sz w:val="16"/>
          <w:szCs w:val="16"/>
          <w:color w:val="202E39"/>
        </w:rPr>
        <w:t>. “Director” shall mean a member of the Board.</w:t>
      </w:r>
    </w:p>
    <w:p>
      <w:pPr>
        <w:spacing w:after="0" w:line="113" w:lineRule="exact"/>
        <w:rPr>
          <w:sz w:val="20"/>
          <w:szCs w:val="20"/>
          <w:color w:val="auto"/>
        </w:rPr>
      </w:pPr>
    </w:p>
    <w:p>
      <w:pPr>
        <w:ind w:left="200" w:right="540"/>
        <w:spacing w:after="0" w:line="260" w:lineRule="auto"/>
        <w:rPr>
          <w:sz w:val="20"/>
          <w:szCs w:val="20"/>
          <w:color w:val="auto"/>
        </w:rPr>
      </w:pPr>
      <w:r>
        <w:rPr>
          <w:rFonts w:ascii="Arial" w:cs="Arial" w:eastAsia="Arial" w:hAnsi="Arial"/>
          <w:sz w:val="16"/>
          <w:szCs w:val="16"/>
          <w:color w:val="202E39"/>
        </w:rPr>
        <w:t xml:space="preserve">1.11 </w:t>
      </w:r>
      <w:r>
        <w:rPr>
          <w:rFonts w:ascii="Arial" w:cs="Arial" w:eastAsia="Arial" w:hAnsi="Arial"/>
          <w:sz w:val="16"/>
          <w:szCs w:val="16"/>
          <w:u w:val="single" w:color="auto"/>
          <w:color w:val="202E39"/>
        </w:rPr>
        <w:t>Dividend Equivalent</w:t>
      </w:r>
      <w:r>
        <w:rPr>
          <w:rFonts w:ascii="Arial" w:cs="Arial" w:eastAsia="Arial" w:hAnsi="Arial"/>
          <w:sz w:val="16"/>
          <w:szCs w:val="16"/>
          <w:color w:val="202E39"/>
        </w:rPr>
        <w:t>. “Dividend Equivalent” shall mean a right to receive the equivalent value (in cash or Common Stock) of dividends paid on Common Stock, awarded under Article VII of this Plan.</w:t>
      </w:r>
    </w:p>
    <w:p>
      <w:pPr>
        <w:spacing w:after="0" w:line="88" w:lineRule="exact"/>
        <w:rPr>
          <w:sz w:val="20"/>
          <w:szCs w:val="20"/>
          <w:color w:val="auto"/>
        </w:rPr>
      </w:pPr>
    </w:p>
    <w:p>
      <w:pPr>
        <w:ind w:left="200" w:right="100"/>
        <w:spacing w:after="0" w:line="260" w:lineRule="auto"/>
        <w:rPr>
          <w:sz w:val="20"/>
          <w:szCs w:val="20"/>
          <w:color w:val="auto"/>
        </w:rPr>
      </w:pPr>
      <w:r>
        <w:rPr>
          <w:rFonts w:ascii="Arial" w:cs="Arial" w:eastAsia="Arial" w:hAnsi="Arial"/>
          <w:sz w:val="16"/>
          <w:szCs w:val="16"/>
          <w:color w:val="202E39"/>
        </w:rPr>
        <w:t xml:space="preserve">1.12 </w:t>
      </w:r>
      <w:r>
        <w:rPr>
          <w:rFonts w:ascii="Arial" w:cs="Arial" w:eastAsia="Arial" w:hAnsi="Arial"/>
          <w:sz w:val="16"/>
          <w:szCs w:val="16"/>
          <w:u w:val="single" w:color="auto"/>
          <w:color w:val="202E39"/>
        </w:rPr>
        <w:t>Employee</w:t>
      </w:r>
      <w:r>
        <w:rPr>
          <w:rFonts w:ascii="Arial" w:cs="Arial" w:eastAsia="Arial" w:hAnsi="Arial"/>
          <w:sz w:val="16"/>
          <w:szCs w:val="16"/>
          <w:color w:val="202E39"/>
        </w:rPr>
        <w:t>. “Employee” shall mean any officer or other employee (as defined in accordance with Section 3401(c) of the Code) of the Company, or of any corporation which is a Subsidiary.</w:t>
      </w:r>
    </w:p>
    <w:p>
      <w:pPr>
        <w:spacing w:after="0" w:line="88"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202E39"/>
        </w:rPr>
        <w:t xml:space="preserve">1.13 </w:t>
      </w:r>
      <w:r>
        <w:rPr>
          <w:rFonts w:ascii="Arial" w:cs="Arial" w:eastAsia="Arial" w:hAnsi="Arial"/>
          <w:sz w:val="16"/>
          <w:szCs w:val="16"/>
          <w:u w:val="single" w:color="auto"/>
          <w:color w:val="202E39"/>
        </w:rPr>
        <w:t>Equity Restructuring</w:t>
      </w:r>
      <w:r>
        <w:rPr>
          <w:rFonts w:ascii="Arial" w:cs="Arial" w:eastAsia="Arial" w:hAnsi="Arial"/>
          <w:sz w:val="16"/>
          <w:szCs w:val="16"/>
          <w:color w:val="202E39"/>
        </w:rPr>
        <w:t>. “Equity Restructuring”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1.14 </w:t>
      </w:r>
      <w:r>
        <w:rPr>
          <w:rFonts w:ascii="Arial" w:cs="Arial" w:eastAsia="Arial" w:hAnsi="Arial"/>
          <w:sz w:val="16"/>
          <w:szCs w:val="16"/>
          <w:u w:val="single" w:color="auto"/>
          <w:color w:val="202E39"/>
        </w:rPr>
        <w:t>Exchange Act</w:t>
      </w:r>
      <w:r>
        <w:rPr>
          <w:rFonts w:ascii="Arial" w:cs="Arial" w:eastAsia="Arial" w:hAnsi="Arial"/>
          <w:sz w:val="16"/>
          <w:szCs w:val="16"/>
          <w:color w:val="202E39"/>
        </w:rPr>
        <w:t>. “Exchange Act” shall mean the U.S. Securities Exchange Act of 1934, as amended.</w:t>
      </w:r>
    </w:p>
    <w:p>
      <w:pPr>
        <w:spacing w:after="0" w:line="113" w:lineRule="exact"/>
        <w:rPr>
          <w:sz w:val="20"/>
          <w:szCs w:val="20"/>
          <w:color w:val="auto"/>
        </w:rPr>
      </w:pPr>
    </w:p>
    <w:p>
      <w:pPr>
        <w:ind w:left="200" w:right="100"/>
        <w:spacing w:after="0" w:line="248" w:lineRule="auto"/>
        <w:rPr>
          <w:sz w:val="20"/>
          <w:szCs w:val="20"/>
          <w:color w:val="auto"/>
        </w:rPr>
      </w:pPr>
      <w:r>
        <w:rPr>
          <w:rFonts w:ascii="Arial" w:cs="Arial" w:eastAsia="Arial" w:hAnsi="Arial"/>
          <w:sz w:val="16"/>
          <w:szCs w:val="16"/>
          <w:color w:val="202E39"/>
        </w:rPr>
        <w:t xml:space="preserve">1.15 </w:t>
      </w:r>
      <w:r>
        <w:rPr>
          <w:rFonts w:ascii="Arial" w:cs="Arial" w:eastAsia="Arial" w:hAnsi="Arial"/>
          <w:sz w:val="16"/>
          <w:szCs w:val="16"/>
          <w:u w:val="single" w:color="auto"/>
          <w:color w:val="202E39"/>
        </w:rPr>
        <w:t>Fair Market Value</w:t>
      </w:r>
      <w:r>
        <w:rPr>
          <w:rFonts w:ascii="Arial" w:cs="Arial" w:eastAsia="Arial" w:hAnsi="Arial"/>
          <w:sz w:val="16"/>
          <w:szCs w:val="16"/>
          <w:color w:val="202E39"/>
        </w:rPr>
        <w:t>. “Fair Market Value” of a share of Common Stock as of a given date shall be (a) the closing price of a share of Common Stock on the principal exchange on which shares of Common Stock are then trading or quoted, if any (or as reported on any composite index which includes such principal exchange), on such date, or if shares were not traded on such date, then on the next following date on which a trade occurs; or (b) if Common Stock is not traded on an exchange but is quoted on an automated quotation system, the closing price of a share of Common Stock on such date as reported by such quotation system; or (c) if Common Stock is not publicly traded on an exchange and not quoted on an automated quotation system, the Fair Market Value of a share of Common Stock as established by the Committee (or the Board, in the case of awards granted to Independent Directors) acting in good faith.</w:t>
      </w:r>
    </w:p>
    <w:p>
      <w:pPr>
        <w:spacing w:after="0" w:line="101"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202E39"/>
        </w:rPr>
        <w:t xml:space="preserve">1.16 </w:t>
      </w:r>
      <w:r>
        <w:rPr>
          <w:rFonts w:ascii="Arial" w:cs="Arial" w:eastAsia="Arial" w:hAnsi="Arial"/>
          <w:sz w:val="16"/>
          <w:szCs w:val="16"/>
          <w:u w:val="single" w:color="auto"/>
          <w:color w:val="202E39"/>
        </w:rPr>
        <w:t>Full Value Award</w:t>
      </w:r>
      <w:r>
        <w:rPr>
          <w:rFonts w:ascii="Arial" w:cs="Arial" w:eastAsia="Arial" w:hAnsi="Arial"/>
          <w:sz w:val="16"/>
          <w:szCs w:val="16"/>
          <w:color w:val="202E39"/>
        </w:rPr>
        <w:t>. “Full Value Award” shall mean any award other than an Option or a Stock Appreciation Right with a per share purchase price lower than one hundred percent (100%) of Fair Market Value on the date of grant and that is settled by the issuance of shares of Common Stock.</w:t>
      </w:r>
    </w:p>
    <w:p>
      <w:pPr>
        <w:spacing w:after="0" w:line="88" w:lineRule="exact"/>
        <w:rPr>
          <w:sz w:val="20"/>
          <w:szCs w:val="20"/>
          <w:color w:val="auto"/>
        </w:rPr>
      </w:pPr>
    </w:p>
    <w:p>
      <w:pPr>
        <w:ind w:left="200" w:right="300"/>
        <w:spacing w:after="0" w:line="260" w:lineRule="auto"/>
        <w:rPr>
          <w:sz w:val="20"/>
          <w:szCs w:val="20"/>
          <w:color w:val="auto"/>
        </w:rPr>
      </w:pPr>
      <w:r>
        <w:rPr>
          <w:rFonts w:ascii="Arial" w:cs="Arial" w:eastAsia="Arial" w:hAnsi="Arial"/>
          <w:sz w:val="16"/>
          <w:szCs w:val="16"/>
          <w:color w:val="202E39"/>
        </w:rPr>
        <w:t xml:space="preserve">1.17 </w:t>
      </w:r>
      <w:r>
        <w:rPr>
          <w:rFonts w:ascii="Arial" w:cs="Arial" w:eastAsia="Arial" w:hAnsi="Arial"/>
          <w:sz w:val="16"/>
          <w:szCs w:val="16"/>
          <w:u w:val="single" w:color="auto"/>
          <w:color w:val="202E39"/>
        </w:rPr>
        <w:t>Grantee</w:t>
      </w:r>
      <w:r>
        <w:rPr>
          <w:rFonts w:ascii="Arial" w:cs="Arial" w:eastAsia="Arial" w:hAnsi="Arial"/>
          <w:sz w:val="16"/>
          <w:szCs w:val="16"/>
          <w:color w:val="202E39"/>
        </w:rPr>
        <w:t>. “Grantee” shall mean an Employee, Director or consultant granted a Performance Award, Dividend Equivalent, Stock Payment or Stock Appreciation Right, or an award of Restricted Stock Units, under this Plan.</w:t>
      </w:r>
    </w:p>
    <w:p>
      <w:pPr>
        <w:spacing w:after="0" w:line="88" w:lineRule="exact"/>
        <w:rPr>
          <w:sz w:val="20"/>
          <w:szCs w:val="20"/>
          <w:color w:val="auto"/>
        </w:rPr>
      </w:pPr>
    </w:p>
    <w:p>
      <w:pPr>
        <w:ind w:left="200" w:right="220"/>
        <w:spacing w:after="0" w:line="260" w:lineRule="auto"/>
        <w:rPr>
          <w:sz w:val="20"/>
          <w:szCs w:val="20"/>
          <w:color w:val="auto"/>
        </w:rPr>
      </w:pPr>
      <w:r>
        <w:rPr>
          <w:rFonts w:ascii="Arial" w:cs="Arial" w:eastAsia="Arial" w:hAnsi="Arial"/>
          <w:sz w:val="16"/>
          <w:szCs w:val="16"/>
          <w:color w:val="202E39"/>
        </w:rPr>
        <w:t xml:space="preserve">1.18 </w:t>
      </w:r>
      <w:r>
        <w:rPr>
          <w:rFonts w:ascii="Arial" w:cs="Arial" w:eastAsia="Arial" w:hAnsi="Arial"/>
          <w:sz w:val="16"/>
          <w:szCs w:val="16"/>
          <w:u w:val="single" w:color="auto"/>
          <w:color w:val="202E39"/>
        </w:rPr>
        <w:t>Incentive Stock Option</w:t>
      </w:r>
      <w:r>
        <w:rPr>
          <w:rFonts w:ascii="Arial" w:cs="Arial" w:eastAsia="Arial" w:hAnsi="Arial"/>
          <w:sz w:val="16"/>
          <w:szCs w:val="16"/>
          <w:color w:val="202E39"/>
        </w:rPr>
        <w:t>. “Incentive Stock Option” shall mean an option which conforms to the applicable provisions of Section 422 of the Code and which is designated as an Incentive Stock Option by the Committee.</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1.19 </w:t>
      </w:r>
      <w:r>
        <w:rPr>
          <w:rFonts w:ascii="Arial" w:cs="Arial" w:eastAsia="Arial" w:hAnsi="Arial"/>
          <w:sz w:val="16"/>
          <w:szCs w:val="16"/>
          <w:u w:val="single" w:color="auto"/>
          <w:color w:val="202E39"/>
        </w:rPr>
        <w:t>Independent Director</w:t>
      </w:r>
      <w:r>
        <w:rPr>
          <w:rFonts w:ascii="Arial" w:cs="Arial" w:eastAsia="Arial" w:hAnsi="Arial"/>
          <w:sz w:val="16"/>
          <w:szCs w:val="16"/>
          <w:color w:val="202E39"/>
        </w:rPr>
        <w:t>. “Independent Director” shall mean a member of the Board who is not an Employee of the Company.</w:t>
      </w:r>
    </w:p>
    <w:p>
      <w:pPr>
        <w:spacing w:after="0" w:line="113" w:lineRule="exact"/>
        <w:rPr>
          <w:sz w:val="20"/>
          <w:szCs w:val="20"/>
          <w:color w:val="auto"/>
        </w:rPr>
      </w:pPr>
    </w:p>
    <w:p>
      <w:pPr>
        <w:ind w:left="200" w:right="640"/>
        <w:spacing w:after="0" w:line="260" w:lineRule="auto"/>
        <w:rPr>
          <w:sz w:val="20"/>
          <w:szCs w:val="20"/>
          <w:color w:val="auto"/>
        </w:rPr>
      </w:pPr>
      <w:r>
        <w:rPr>
          <w:rFonts w:ascii="Arial" w:cs="Arial" w:eastAsia="Arial" w:hAnsi="Arial"/>
          <w:sz w:val="16"/>
          <w:szCs w:val="16"/>
          <w:color w:val="202E39"/>
        </w:rPr>
        <w:t xml:space="preserve">1.20 </w:t>
      </w:r>
      <w:r>
        <w:rPr>
          <w:rFonts w:ascii="Arial" w:cs="Arial" w:eastAsia="Arial" w:hAnsi="Arial"/>
          <w:sz w:val="16"/>
          <w:szCs w:val="16"/>
          <w:u w:val="single" w:color="auto"/>
          <w:color w:val="202E39"/>
        </w:rPr>
        <w:t>Non-Qualified Stock Option</w:t>
      </w:r>
      <w:r>
        <w:rPr>
          <w:rFonts w:ascii="Arial" w:cs="Arial" w:eastAsia="Arial" w:hAnsi="Arial"/>
          <w:sz w:val="16"/>
          <w:szCs w:val="16"/>
          <w:color w:val="202E39"/>
        </w:rPr>
        <w:t>. “Non-Qualified Stock Option” shall mean an Option which is not designated as an Incentive Stock Option by the Committee.</w:t>
      </w:r>
    </w:p>
    <w:p>
      <w:pPr>
        <w:spacing w:after="0" w:line="88" w:lineRule="exact"/>
        <w:rPr>
          <w:sz w:val="20"/>
          <w:szCs w:val="20"/>
          <w:color w:val="auto"/>
        </w:rPr>
      </w:pPr>
    </w:p>
    <w:p>
      <w:pPr>
        <w:ind w:left="200" w:right="180"/>
        <w:spacing w:after="0" w:line="253" w:lineRule="auto"/>
        <w:rPr>
          <w:sz w:val="20"/>
          <w:szCs w:val="20"/>
          <w:color w:val="auto"/>
        </w:rPr>
      </w:pPr>
      <w:r>
        <w:rPr>
          <w:rFonts w:ascii="Arial" w:cs="Arial" w:eastAsia="Arial" w:hAnsi="Arial"/>
          <w:sz w:val="16"/>
          <w:szCs w:val="16"/>
          <w:color w:val="202E39"/>
        </w:rPr>
        <w:t xml:space="preserve">1.21 </w:t>
      </w:r>
      <w:r>
        <w:rPr>
          <w:rFonts w:ascii="Arial" w:cs="Arial" w:eastAsia="Arial" w:hAnsi="Arial"/>
          <w:sz w:val="16"/>
          <w:szCs w:val="16"/>
          <w:u w:val="single" w:color="auto"/>
          <w:color w:val="202E39"/>
        </w:rPr>
        <w:t>Option</w:t>
      </w:r>
      <w:r>
        <w:rPr>
          <w:rFonts w:ascii="Arial" w:cs="Arial" w:eastAsia="Arial" w:hAnsi="Arial"/>
          <w:sz w:val="16"/>
          <w:szCs w:val="16"/>
          <w:color w:val="202E39"/>
        </w:rPr>
        <w:t xml:space="preserve">. “Option” shall mean a stock option granted under Article III of this Plan. An Option granted under this Plan shall, as determined by the Committee, be either a Non-Qualified Stock Option or an Incentive Stock Option;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Options granted to Independent Directors and consultants shall be Non-Qualified Stock Options.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1.22 </w:t>
      </w:r>
      <w:r>
        <w:rPr>
          <w:rFonts w:ascii="Arial" w:cs="Arial" w:eastAsia="Arial" w:hAnsi="Arial"/>
          <w:sz w:val="16"/>
          <w:szCs w:val="16"/>
          <w:u w:val="single" w:color="auto"/>
          <w:color w:val="202E39"/>
        </w:rPr>
        <w:t>Optionee</w:t>
      </w:r>
      <w:r>
        <w:rPr>
          <w:rFonts w:ascii="Arial" w:cs="Arial" w:eastAsia="Arial" w:hAnsi="Arial"/>
          <w:sz w:val="16"/>
          <w:szCs w:val="16"/>
          <w:color w:val="202E39"/>
        </w:rPr>
        <w:t>. “Optionee” shall mean an Employee, Director or consultant granted an Option under this Plan.</w:t>
      </w:r>
    </w:p>
    <w:p>
      <w:pPr>
        <w:spacing w:after="0" w:line="113" w:lineRule="exact"/>
        <w:rPr>
          <w:sz w:val="20"/>
          <w:szCs w:val="20"/>
          <w:color w:val="auto"/>
        </w:rPr>
      </w:pPr>
    </w:p>
    <w:p>
      <w:pPr>
        <w:ind w:left="200" w:right="460"/>
        <w:spacing w:after="0" w:line="260" w:lineRule="auto"/>
        <w:rPr>
          <w:sz w:val="20"/>
          <w:szCs w:val="20"/>
          <w:color w:val="auto"/>
        </w:rPr>
      </w:pPr>
      <w:r>
        <w:rPr>
          <w:rFonts w:ascii="Arial" w:cs="Arial" w:eastAsia="Arial" w:hAnsi="Arial"/>
          <w:sz w:val="16"/>
          <w:szCs w:val="16"/>
          <w:color w:val="202E39"/>
        </w:rPr>
        <w:t xml:space="preserve">1.23 </w:t>
      </w:r>
      <w:r>
        <w:rPr>
          <w:rFonts w:ascii="Arial" w:cs="Arial" w:eastAsia="Arial" w:hAnsi="Arial"/>
          <w:sz w:val="16"/>
          <w:szCs w:val="16"/>
          <w:u w:val="single" w:color="auto"/>
          <w:color w:val="202E39"/>
        </w:rPr>
        <w:t>Performance Award</w:t>
      </w:r>
      <w:r>
        <w:rPr>
          <w:rFonts w:ascii="Arial" w:cs="Arial" w:eastAsia="Arial" w:hAnsi="Arial"/>
          <w:sz w:val="16"/>
          <w:szCs w:val="16"/>
          <w:color w:val="202E39"/>
        </w:rPr>
        <w:t>. “Performance Award” shall mean a cash bonus, stock bonus or other performance or incentive award that is paid in cash, Common Stock or a combination of both, awarded under Article VII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80010</wp:posOffset>
            </wp:positionV>
            <wp:extent cx="42862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A-2</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1.24 </w:t>
      </w:r>
      <w:r>
        <w:rPr>
          <w:rFonts w:ascii="Arial" w:cs="Arial" w:eastAsia="Arial" w:hAnsi="Arial"/>
          <w:sz w:val="16"/>
          <w:szCs w:val="16"/>
          <w:u w:val="single" w:color="auto"/>
          <w:color w:val="202E39"/>
        </w:rPr>
        <w:t>Plan</w:t>
      </w:r>
      <w:r>
        <w:rPr>
          <w:rFonts w:ascii="Arial" w:cs="Arial" w:eastAsia="Arial" w:hAnsi="Arial"/>
          <w:sz w:val="16"/>
          <w:szCs w:val="16"/>
          <w:color w:val="202E39"/>
        </w:rPr>
        <w:t>. “Plan” shall mean The 1996 Equity Participation Plan of Viasat, Inc., as amended and restated.</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1.25 </w:t>
      </w:r>
      <w:r>
        <w:rPr>
          <w:rFonts w:ascii="Arial" w:cs="Arial" w:eastAsia="Arial" w:hAnsi="Arial"/>
          <w:sz w:val="16"/>
          <w:szCs w:val="16"/>
          <w:u w:val="single" w:color="auto"/>
          <w:color w:val="202E39"/>
        </w:rPr>
        <w:t>QDRO</w:t>
      </w:r>
      <w:r>
        <w:rPr>
          <w:rFonts w:ascii="Arial" w:cs="Arial" w:eastAsia="Arial" w:hAnsi="Arial"/>
          <w:sz w:val="16"/>
          <w:szCs w:val="16"/>
          <w:color w:val="202E39"/>
        </w:rPr>
        <w:t>. “QDRO” shall mean a qualified domestic relations order as defined by the Code or Title I of the Employee Retirement Income Security Act of</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1974, as amended, or the rules thereunder.</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1.26 </w:t>
      </w:r>
      <w:r>
        <w:rPr>
          <w:rFonts w:ascii="Arial" w:cs="Arial" w:eastAsia="Arial" w:hAnsi="Arial"/>
          <w:sz w:val="16"/>
          <w:szCs w:val="16"/>
          <w:u w:val="single" w:color="auto"/>
          <w:color w:val="202E39"/>
        </w:rPr>
        <w:t>Restricted Stock</w:t>
      </w:r>
      <w:r>
        <w:rPr>
          <w:rFonts w:ascii="Arial" w:cs="Arial" w:eastAsia="Arial" w:hAnsi="Arial"/>
          <w:sz w:val="16"/>
          <w:szCs w:val="16"/>
          <w:color w:val="202E39"/>
        </w:rPr>
        <w:t>. “Restricted Stock” shall mean Common Stock awarded under Article VI of this Plan.</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1.27 </w:t>
      </w:r>
      <w:r>
        <w:rPr>
          <w:rFonts w:ascii="Arial" w:cs="Arial" w:eastAsia="Arial" w:hAnsi="Arial"/>
          <w:sz w:val="16"/>
          <w:szCs w:val="16"/>
          <w:u w:val="single" w:color="auto"/>
          <w:color w:val="202E39"/>
        </w:rPr>
        <w:t>Restricted Stock Unit</w:t>
      </w:r>
      <w:r>
        <w:rPr>
          <w:rFonts w:ascii="Arial" w:cs="Arial" w:eastAsia="Arial" w:hAnsi="Arial"/>
          <w:sz w:val="16"/>
          <w:szCs w:val="16"/>
          <w:color w:val="202E39"/>
        </w:rPr>
        <w:t>. “Restricted Stock Unit” shall mean a right to receive Common Stock awarded under Article VII of this Plan.</w:t>
      </w:r>
    </w:p>
    <w:p>
      <w:pPr>
        <w:spacing w:after="0" w:line="113" w:lineRule="exact"/>
        <w:rPr>
          <w:sz w:val="20"/>
          <w:szCs w:val="20"/>
          <w:color w:val="auto"/>
        </w:rPr>
      </w:pPr>
    </w:p>
    <w:p>
      <w:pPr>
        <w:ind w:left="200" w:right="580"/>
        <w:spacing w:after="0" w:line="260" w:lineRule="auto"/>
        <w:rPr>
          <w:sz w:val="20"/>
          <w:szCs w:val="20"/>
          <w:color w:val="auto"/>
        </w:rPr>
      </w:pPr>
      <w:r>
        <w:rPr>
          <w:rFonts w:ascii="Arial" w:cs="Arial" w:eastAsia="Arial" w:hAnsi="Arial"/>
          <w:sz w:val="16"/>
          <w:szCs w:val="16"/>
          <w:color w:val="202E39"/>
        </w:rPr>
        <w:t xml:space="preserve">1.28 </w:t>
      </w:r>
      <w:r>
        <w:rPr>
          <w:rFonts w:ascii="Arial" w:cs="Arial" w:eastAsia="Arial" w:hAnsi="Arial"/>
          <w:sz w:val="16"/>
          <w:szCs w:val="16"/>
          <w:u w:val="single" w:color="auto"/>
          <w:color w:val="202E39"/>
        </w:rPr>
        <w:t>Restricted Stockholder</w:t>
      </w:r>
      <w:r>
        <w:rPr>
          <w:rFonts w:ascii="Arial" w:cs="Arial" w:eastAsia="Arial" w:hAnsi="Arial"/>
          <w:sz w:val="16"/>
          <w:szCs w:val="16"/>
          <w:color w:val="202E39"/>
        </w:rPr>
        <w:t>. “Restricted Stockholder” shall mean an Employee, Director or consultant granted an award of Restricted Stock under Article VI of this Plan.</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1.29 </w:t>
      </w:r>
      <w:r>
        <w:rPr>
          <w:rFonts w:ascii="Arial" w:cs="Arial" w:eastAsia="Arial" w:hAnsi="Arial"/>
          <w:sz w:val="16"/>
          <w:szCs w:val="16"/>
          <w:u w:val="single" w:color="auto"/>
          <w:color w:val="202E39"/>
        </w:rPr>
        <w:t>Rule 16b-3</w:t>
      </w:r>
      <w:r>
        <w:rPr>
          <w:rFonts w:ascii="Arial" w:cs="Arial" w:eastAsia="Arial" w:hAnsi="Arial"/>
          <w:sz w:val="16"/>
          <w:szCs w:val="16"/>
          <w:color w:val="202E39"/>
        </w:rPr>
        <w:t>. “Rule 16b-3” shall mean that certain Rule 16b-3 under the Exchange Act, as such Rule may be amended from time to time.</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1.30 </w:t>
      </w:r>
      <w:r>
        <w:rPr>
          <w:rFonts w:ascii="Arial" w:cs="Arial" w:eastAsia="Arial" w:hAnsi="Arial"/>
          <w:sz w:val="16"/>
          <w:szCs w:val="16"/>
          <w:u w:val="single" w:color="auto"/>
          <w:color w:val="202E39"/>
        </w:rPr>
        <w:t>Stock Appreciation Right</w:t>
      </w:r>
      <w:r>
        <w:rPr>
          <w:rFonts w:ascii="Arial" w:cs="Arial" w:eastAsia="Arial" w:hAnsi="Arial"/>
          <w:sz w:val="16"/>
          <w:szCs w:val="16"/>
          <w:color w:val="202E39"/>
        </w:rPr>
        <w:t>. “Stock Appreciation Right” shall mean a stock appreciation right granted under Article VIII of this Plan.</w:t>
      </w:r>
    </w:p>
    <w:p>
      <w:pPr>
        <w:spacing w:after="0" w:line="113" w:lineRule="exact"/>
        <w:rPr>
          <w:sz w:val="20"/>
          <w:szCs w:val="20"/>
          <w:color w:val="auto"/>
        </w:rPr>
      </w:pPr>
    </w:p>
    <w:p>
      <w:pPr>
        <w:ind w:left="200" w:right="320"/>
        <w:spacing w:after="0" w:line="251" w:lineRule="auto"/>
        <w:rPr>
          <w:sz w:val="20"/>
          <w:szCs w:val="20"/>
          <w:color w:val="auto"/>
        </w:rPr>
      </w:pPr>
      <w:r>
        <w:rPr>
          <w:rFonts w:ascii="Arial" w:cs="Arial" w:eastAsia="Arial" w:hAnsi="Arial"/>
          <w:sz w:val="16"/>
          <w:szCs w:val="16"/>
          <w:color w:val="202E39"/>
        </w:rPr>
        <w:t xml:space="preserve">1.31 </w:t>
      </w:r>
      <w:r>
        <w:rPr>
          <w:rFonts w:ascii="Arial" w:cs="Arial" w:eastAsia="Arial" w:hAnsi="Arial"/>
          <w:sz w:val="16"/>
          <w:szCs w:val="16"/>
          <w:u w:val="single" w:color="auto"/>
          <w:color w:val="202E39"/>
        </w:rPr>
        <w:t>Stock Payment</w:t>
      </w:r>
      <w:r>
        <w:rPr>
          <w:rFonts w:ascii="Arial" w:cs="Arial" w:eastAsia="Arial" w:hAnsi="Arial"/>
          <w:sz w:val="16"/>
          <w:szCs w:val="16"/>
          <w:color w:val="202E39"/>
        </w:rPr>
        <w:t>. “Stock Payment” shall mean (a) a payment in the form of shares of Common Stock, or (b) an option or other right to purchase shares of Common Stock, as part of a deferred compensation arrangement, made in lieu of all or any portion of the compensation, including without limitation, salary, bonuses and commissions, that would otherwise become payable to a key Employee, Director or consultant in cash, awarded under Article VII of this Plan.</w:t>
      </w:r>
    </w:p>
    <w:p>
      <w:pPr>
        <w:spacing w:after="0" w:line="95" w:lineRule="exact"/>
        <w:rPr>
          <w:sz w:val="20"/>
          <w:szCs w:val="20"/>
          <w:color w:val="auto"/>
        </w:rPr>
      </w:pPr>
    </w:p>
    <w:p>
      <w:pPr>
        <w:jc w:val="both"/>
        <w:ind w:left="200" w:right="280"/>
        <w:spacing w:after="0" w:line="253" w:lineRule="auto"/>
        <w:rPr>
          <w:sz w:val="20"/>
          <w:szCs w:val="20"/>
          <w:color w:val="auto"/>
        </w:rPr>
      </w:pPr>
      <w:r>
        <w:rPr>
          <w:rFonts w:ascii="Arial" w:cs="Arial" w:eastAsia="Arial" w:hAnsi="Arial"/>
          <w:sz w:val="16"/>
          <w:szCs w:val="16"/>
          <w:color w:val="202E39"/>
        </w:rPr>
        <w:t xml:space="preserve">1.32 </w:t>
      </w:r>
      <w:r>
        <w:rPr>
          <w:rFonts w:ascii="Arial" w:cs="Arial" w:eastAsia="Arial" w:hAnsi="Arial"/>
          <w:sz w:val="16"/>
          <w:szCs w:val="16"/>
          <w:u w:val="single" w:color="auto"/>
          <w:color w:val="202E39"/>
        </w:rPr>
        <w:t>Subsidiary</w:t>
      </w:r>
      <w:r>
        <w:rPr>
          <w:rFonts w:ascii="Arial" w:cs="Arial" w:eastAsia="Arial" w:hAnsi="Arial"/>
          <w:sz w:val="16"/>
          <w:szCs w:val="16"/>
          <w:color w:val="202E39"/>
        </w:rPr>
        <w:t>. “Subsidiary” shall mean any corporation in an unbroken chain of corporations beginning with the Company if each of the corporations other than the last corporation in the unbroken chain then owns stock possessing fifty percent (50%) or more of the total combined voting power of all classes of stock in one of the other corporations in such chain.</w:t>
      </w:r>
    </w:p>
    <w:p>
      <w:pPr>
        <w:spacing w:after="0" w:line="93"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 xml:space="preserve">1.33 </w:t>
      </w:r>
      <w:r>
        <w:rPr>
          <w:rFonts w:ascii="Arial" w:cs="Arial" w:eastAsia="Arial" w:hAnsi="Arial"/>
          <w:sz w:val="16"/>
          <w:szCs w:val="16"/>
          <w:u w:val="single" w:color="auto"/>
          <w:color w:val="202E39"/>
        </w:rPr>
        <w:t>Termination of Consultancy</w:t>
      </w:r>
      <w:r>
        <w:rPr>
          <w:rFonts w:ascii="Arial" w:cs="Arial" w:eastAsia="Arial" w:hAnsi="Arial"/>
          <w:sz w:val="16"/>
          <w:szCs w:val="16"/>
          <w:color w:val="202E39"/>
        </w:rPr>
        <w:t>. “Termination of Consultancy” shall mean the time when the engagement of an Optionee, Grantee or Restricted Stockholder as a consultant to the Company or a Subsidiary is terminated for any reason, with or without cause, including, but not by way of limitation, by resignation, discharge, death or retirement; but excluding terminations where there is a simultaneous commencement of employment with the Company or any Subsidiary. The Committee, in its absolute discretion, shall determine the effect of all matters and questions relating to Termination of Consultancy, including, but not by way of limitation, the question of whether a Termination of Consultancy resulted from a discharge for good cause, and all questions of whether particular leaves of absence constitute Terminations of Consultancy. Notwithstanding any other provision of this Plan, the Company or any Subsidiary has an absolute and unrestricted right to terminate a consultant’s service at any time for any reason whatsoever, with or without cause, except to the extent expressly provided otherwise in writing.</w:t>
      </w:r>
    </w:p>
    <w:p>
      <w:pPr>
        <w:spacing w:after="0" w:line="100" w:lineRule="exact"/>
        <w:rPr>
          <w:sz w:val="20"/>
          <w:szCs w:val="20"/>
          <w:color w:val="auto"/>
        </w:rPr>
      </w:pPr>
    </w:p>
    <w:p>
      <w:pPr>
        <w:ind w:left="200" w:right="120"/>
        <w:spacing w:after="0" w:line="251" w:lineRule="auto"/>
        <w:rPr>
          <w:sz w:val="20"/>
          <w:szCs w:val="20"/>
          <w:color w:val="auto"/>
        </w:rPr>
      </w:pPr>
      <w:r>
        <w:rPr>
          <w:rFonts w:ascii="Arial" w:cs="Arial" w:eastAsia="Arial" w:hAnsi="Arial"/>
          <w:sz w:val="16"/>
          <w:szCs w:val="16"/>
          <w:color w:val="202E39"/>
        </w:rPr>
        <w:t xml:space="preserve">1.34 </w:t>
      </w:r>
      <w:r>
        <w:rPr>
          <w:rFonts w:ascii="Arial" w:cs="Arial" w:eastAsia="Arial" w:hAnsi="Arial"/>
          <w:sz w:val="16"/>
          <w:szCs w:val="16"/>
          <w:u w:val="single" w:color="auto"/>
          <w:color w:val="202E39"/>
        </w:rPr>
        <w:t>Termination of Directorship</w:t>
      </w:r>
      <w:r>
        <w:rPr>
          <w:rFonts w:ascii="Arial" w:cs="Arial" w:eastAsia="Arial" w:hAnsi="Arial"/>
          <w:sz w:val="16"/>
          <w:szCs w:val="16"/>
          <w:color w:val="202E39"/>
        </w:rPr>
        <w:t>. “Termination of Directorship” shall mean the time when an Optionee or Grantee who is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w:t>
      </w:r>
    </w:p>
    <w:p>
      <w:pPr>
        <w:spacing w:after="0" w:line="95"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 xml:space="preserve">1.35 </w:t>
      </w:r>
      <w:r>
        <w:rPr>
          <w:rFonts w:ascii="Arial" w:cs="Arial" w:eastAsia="Arial" w:hAnsi="Arial"/>
          <w:sz w:val="16"/>
          <w:szCs w:val="16"/>
          <w:u w:val="single" w:color="auto"/>
          <w:color w:val="202E39"/>
        </w:rPr>
        <w:t>Termination of Employment</w:t>
      </w:r>
      <w:r>
        <w:rPr>
          <w:rFonts w:ascii="Arial" w:cs="Arial" w:eastAsia="Arial" w:hAnsi="Arial"/>
          <w:sz w:val="16"/>
          <w:szCs w:val="16"/>
          <w:color w:val="202E39"/>
        </w:rPr>
        <w:t>. “Termination of Employment” shall mean the time when the employee-employer relationship between an Optionee, Grantee or Restricted Stockholder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an Optionee, Grantee or Restricted Stockholder by the Company or any Subsidiary, (ii) at the discretion of the Committee, terminations which result in a temporary severance of the employee-employer relationship, and (iii) terminations which are followed by the simultaneous establishment of a consulting relationship by the Company or a Subsidiary with the former employee. The Committee, in its absolute discretion, shall determine the effect of all matters and questions relating to Termination of Employment, including, but not by way of limitation, the question of whether a Termination of Employment resulted from a discharge for good cause, and all questions of whether particular leaves of absence constitute Terminations of Employment. Notwithstanding any other provision of this Plan, the Company or any Subsidiary has an absolute and unrestricted right to terminate an Employee’s employment at any time for any reason whatsoever, with or without cause, except to the extent expressly provided otherwise in writing.</w:t>
      </w:r>
    </w:p>
    <w:p>
      <w:pPr>
        <w:spacing w:after="0" w:line="36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II. SHARES SUBJECT TO PLAN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2.1 </w:t>
      </w:r>
      <w:r>
        <w:rPr>
          <w:rFonts w:ascii="Arial" w:cs="Arial" w:eastAsia="Arial" w:hAnsi="Arial"/>
          <w:sz w:val="16"/>
          <w:szCs w:val="16"/>
          <w:u w:val="single" w:color="auto"/>
          <w:color w:val="202E39"/>
        </w:rPr>
        <w:t>Shares Subject to Plan</w:t>
      </w:r>
      <w:r>
        <w:rPr>
          <w:rFonts w:ascii="Arial" w:cs="Arial" w:eastAsia="Arial" w:hAnsi="Arial"/>
          <w:sz w:val="16"/>
          <w:szCs w:val="16"/>
          <w:color w:val="202E39"/>
        </w:rPr>
        <w:t>.</w:t>
      </w:r>
    </w:p>
    <w:p>
      <w:pPr>
        <w:spacing w:after="0" w:line="113" w:lineRule="exact"/>
        <w:rPr>
          <w:sz w:val="20"/>
          <w:szCs w:val="20"/>
          <w:color w:val="auto"/>
        </w:rPr>
      </w:pPr>
    </w:p>
    <w:p>
      <w:pPr>
        <w:ind w:left="640" w:right="340" w:firstLine="4"/>
        <w:spacing w:after="0" w:line="253" w:lineRule="auto"/>
        <w:tabs>
          <w:tab w:leader="none" w:pos="883" w:val="left"/>
        </w:tabs>
        <w:numPr>
          <w:ilvl w:val="0"/>
          <w:numId w:val="51"/>
        </w:numPr>
        <w:rPr>
          <w:rFonts w:ascii="Arial" w:cs="Arial" w:eastAsia="Arial" w:hAnsi="Arial"/>
          <w:sz w:val="16"/>
          <w:szCs w:val="16"/>
          <w:color w:val="202E39"/>
        </w:rPr>
      </w:pPr>
      <w:r>
        <w:rPr>
          <w:rFonts w:ascii="Arial" w:cs="Arial" w:eastAsia="Arial" w:hAnsi="Arial"/>
          <w:sz w:val="16"/>
          <w:szCs w:val="16"/>
          <w:color w:val="202E39"/>
        </w:rPr>
        <w:t>The shares of stock subject to Options, awards of Restricted Stock, Performance Awards, Dividend Equivalents, awards of Restricted Stock Units, Stock Payments or Stock Appreciation Rights shall be Common Stock, initially shares of the Company’s Common Stock, par value $0.0001 per share. The aggregate number of such shares which may be</w:t>
      </w:r>
    </w:p>
    <w:p>
      <w:pPr>
        <w:spacing w:after="0" w:line="119"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A-3</w:t>
            </w:r>
          </w:p>
        </w:tc>
      </w:tr>
    </w:tbl>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640" w:right="20"/>
        <w:spacing w:after="0" w:line="253" w:lineRule="auto"/>
        <w:rPr>
          <w:sz w:val="20"/>
          <w:szCs w:val="20"/>
          <w:color w:val="auto"/>
        </w:rPr>
      </w:pPr>
      <w:r>
        <w:rPr>
          <w:rFonts w:ascii="Arial" w:cs="Arial" w:eastAsia="Arial" w:hAnsi="Arial"/>
          <w:sz w:val="16"/>
          <w:szCs w:val="16"/>
          <w:color w:val="202E39"/>
        </w:rPr>
        <w:t>issued upon exercise of such options or rights or upon any such awards under the Plan shall not exceed 31,850,000. The shares of Common Stock issuable upon exercise of such options or rights or upon any such awards may be either previously authorized but unissued shares or treasury shares.</w:t>
      </w:r>
    </w:p>
    <w:p>
      <w:pPr>
        <w:spacing w:after="0" w:line="93" w:lineRule="exact"/>
        <w:rPr>
          <w:sz w:val="20"/>
          <w:szCs w:val="20"/>
          <w:color w:val="auto"/>
        </w:rPr>
      </w:pPr>
    </w:p>
    <w:p>
      <w:pPr>
        <w:ind w:left="640" w:right="60" w:firstLine="4"/>
        <w:spacing w:after="0" w:line="248" w:lineRule="auto"/>
        <w:tabs>
          <w:tab w:leader="none" w:pos="883" w:val="left"/>
        </w:tabs>
        <w:numPr>
          <w:ilvl w:val="0"/>
          <w:numId w:val="52"/>
        </w:numPr>
        <w:rPr>
          <w:rFonts w:ascii="Arial" w:cs="Arial" w:eastAsia="Arial" w:hAnsi="Arial"/>
          <w:sz w:val="16"/>
          <w:szCs w:val="16"/>
          <w:color w:val="202E39"/>
        </w:rPr>
      </w:pPr>
      <w:r>
        <w:rPr>
          <w:rFonts w:ascii="Arial" w:cs="Arial" w:eastAsia="Arial" w:hAnsi="Arial"/>
          <w:sz w:val="16"/>
          <w:szCs w:val="16"/>
          <w:color w:val="202E39"/>
        </w:rPr>
        <w:t>Any shares subject to Options or Stock Appreciation Rights shall be counted against the numerical limit of Section 2.1(a) as one share for every share subject thereto. Any shares subject to Full Value Awards granted during the period beginning on September 22, 2010 and ending on September 19, 2012 will be counted against the numerical limit of Section 2.1(a) as 2.65 shares for every one share subject thereto. Any shares subject to Full Value Awards granted prior to September 22, 2010 and subsequent to September 19, 2012 will be counted against the numerical limit of Section 2.1(a) as 2 shares for every one share subject thereto. To the extent that a share that was subject to a Full Value Award is recycled back into the Plan under Section 2.2, the Plan will be credited with a number of shares corresponding to the reduction in the share reserve previously made with respect to such Full Value Award in accordance with this Section 2.1(b).</w:t>
      </w:r>
    </w:p>
    <w:p>
      <w:pPr>
        <w:spacing w:after="0" w:line="100" w:lineRule="exact"/>
        <w:rPr>
          <w:rFonts w:ascii="Arial" w:cs="Arial" w:eastAsia="Arial" w:hAnsi="Arial"/>
          <w:sz w:val="16"/>
          <w:szCs w:val="16"/>
          <w:color w:val="202E39"/>
        </w:rPr>
      </w:pPr>
    </w:p>
    <w:p>
      <w:pPr>
        <w:ind w:left="640" w:right="140" w:firstLine="4"/>
        <w:spacing w:after="0" w:line="253" w:lineRule="auto"/>
        <w:tabs>
          <w:tab w:leader="none" w:pos="874" w:val="left"/>
        </w:tabs>
        <w:numPr>
          <w:ilvl w:val="0"/>
          <w:numId w:val="52"/>
        </w:numPr>
        <w:rPr>
          <w:rFonts w:ascii="Arial" w:cs="Arial" w:eastAsia="Arial" w:hAnsi="Arial"/>
          <w:sz w:val="16"/>
          <w:szCs w:val="16"/>
          <w:color w:val="202E39"/>
        </w:rPr>
      </w:pPr>
      <w:r>
        <w:rPr>
          <w:rFonts w:ascii="Arial" w:cs="Arial" w:eastAsia="Arial" w:hAnsi="Arial"/>
          <w:sz w:val="16"/>
          <w:szCs w:val="16"/>
          <w:color w:val="202E39"/>
        </w:rPr>
        <w:t>The maximum number of shares which may be subject to awards granted under the Plan to any individual in any fiscal year, and the maximum aggregate amount of cash that may be paid in cash during any fiscal year with respect to awards designated to be paid in cash, shall not exceed the applicable Award Limit.</w:t>
      </w:r>
    </w:p>
    <w:p>
      <w:pPr>
        <w:spacing w:after="0" w:line="93" w:lineRule="exact"/>
        <w:rPr>
          <w:sz w:val="20"/>
          <w:szCs w:val="20"/>
          <w:color w:val="auto"/>
        </w:rPr>
      </w:pPr>
    </w:p>
    <w:p>
      <w:pPr>
        <w:ind w:left="200" w:right="20"/>
        <w:spacing w:after="0" w:line="246" w:lineRule="auto"/>
        <w:rPr>
          <w:sz w:val="20"/>
          <w:szCs w:val="20"/>
          <w:color w:val="auto"/>
        </w:rPr>
      </w:pPr>
      <w:r>
        <w:rPr>
          <w:rFonts w:ascii="Arial" w:cs="Arial" w:eastAsia="Arial" w:hAnsi="Arial"/>
          <w:sz w:val="16"/>
          <w:szCs w:val="16"/>
          <w:color w:val="202E39"/>
        </w:rPr>
        <w:t xml:space="preserve">2.2 </w:t>
      </w:r>
      <w:r>
        <w:rPr>
          <w:rFonts w:ascii="Arial" w:cs="Arial" w:eastAsia="Arial" w:hAnsi="Arial"/>
          <w:sz w:val="16"/>
          <w:szCs w:val="16"/>
          <w:u w:val="single" w:color="auto"/>
          <w:color w:val="202E39"/>
        </w:rPr>
        <w:t>Add-Back of Shares</w:t>
      </w:r>
      <w:r>
        <w:rPr>
          <w:rFonts w:ascii="Arial" w:cs="Arial" w:eastAsia="Arial" w:hAnsi="Arial"/>
          <w:sz w:val="16"/>
          <w:szCs w:val="16"/>
          <w:color w:val="202E39"/>
        </w:rPr>
        <w:t>. If any award under this Plan expires or is canceled without having been fully exercised or paid, or an award is settled in cash without the delivery of shares of Common Stock to the award holder, the number of shares subject to such award shall, to the extent of such expiration, cancellation or cash settlement, again be available for future grants of awards and added back to the shares of Common Stock authorized for grant under Section 2.1(a) in an amount corresponding to the reduction in the share reserve previously made in accordance with Section 2.1(b) above with respect to such award, subject to the limitations of Section 2.1. Furthermore, any shares subject to awards which are adjusted pursuant to Section 10.3 and become exercisable with respect to shares of stock of another corporation shall be considered canceled and may again be optioned, granted or awarded hereunder, subject to the limitations of Section 2.1. Notwithstanding anything to the contrary contained herein, the following shares shall not be added back to the shares of Common Stock authorized for grant under Section 2.1(a) and will not be available for future grants of awards: (i) shares of Common Stock tendered by an Optionee or withheld by the Company in payment of the exercise price of an Option; (ii) shares of Common Stock tendered by an Optionee or Grantee or withheld by the Company to satisfy any tax withholding obligation with respect to an Option or a Stock Appreciation Right;</w:t>
      </w:r>
    </w:p>
    <w:p>
      <w:pPr>
        <w:spacing w:after="0" w:line="5" w:lineRule="exact"/>
        <w:rPr>
          <w:sz w:val="20"/>
          <w:szCs w:val="20"/>
          <w:color w:val="auto"/>
        </w:rPr>
      </w:pPr>
    </w:p>
    <w:p>
      <w:pPr>
        <w:ind w:left="200" w:right="20" w:firstLine="4"/>
        <w:spacing w:after="0" w:line="247" w:lineRule="auto"/>
        <w:tabs>
          <w:tab w:leader="none" w:pos="461" w:val="left"/>
        </w:tabs>
        <w:numPr>
          <w:ilvl w:val="0"/>
          <w:numId w:val="53"/>
        </w:numPr>
        <w:rPr>
          <w:rFonts w:ascii="Arial" w:cs="Arial" w:eastAsia="Arial" w:hAnsi="Arial"/>
          <w:sz w:val="16"/>
          <w:szCs w:val="16"/>
          <w:color w:val="202E39"/>
        </w:rPr>
      </w:pPr>
      <w:r>
        <w:rPr>
          <w:rFonts w:ascii="Arial" w:cs="Arial" w:eastAsia="Arial" w:hAnsi="Arial"/>
          <w:sz w:val="16"/>
          <w:szCs w:val="16"/>
          <w:color w:val="202E39"/>
        </w:rPr>
        <w:t>shares of Common Stock subject to a Stock Appreciation Right not issued in connection with the stock settlement of the Stock Appreciation Right on exercise thereof; and (iv) shares of Common Stock purchased on the open market with the cash proceeds from the exercise of Options. Shares tendered by a Grantee or a Restricted Stockholder or withheld by the Company to satisfy any tax withholding obligation with respect to a Full Value Award shall be available for future grants of awards under the Plan in an amount corresponding to the reduction in the share reserve previously made in accordance with Section 2.1(b) above; provided, however, that, notwithstanding the foregoing, in the event shares of Common Stock subject to a Full Value Award are tendered by a Grantee or a Restricted Stockholder or withheld by the Company to satisfy any tax withholding obligation at a tax withholding rate in excess of the employer’s minimum statutory withholding rates for federal, state, local and foreign income tax and payroll tax purposes, such shares of Common Stock tendered or withheld to satisfy the tax withholding at a rate in excess of the employer’s minimum statutory withholding obligation shall not be available for future grants of awards under the Plan and shall continue to be counted against the share reserve in an amount corresponding to the reduction in the share reserve previously made in accordance with Section 2.1(b) above. Any shares of Common Stock forfeited by a Grantee or a Restricted Stockholder or repurchased by the Company under Section 6.6 or Article VII will again be available for awards in an amount corresponding to the reduction in the share reserve previously made in accordance with Section 2.1(b) above. The payment of Dividend Equivalents in cash in conjunction with any outstanding awards shall not be counted against the shares available for issuance under the Plan. Notwithstanding the provisions of this Section 2.2, no shares of Common Stock may again be optioned, granted or awarded if such action would cause an Incentive Stock Option to fail to qualify as an incentive stock option under Section 422 of the Code.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III. GRANTING OF OPTIONS</w:t>
      </w:r>
    </w:p>
    <w:p>
      <w:pPr>
        <w:spacing w:after="0" w:line="124" w:lineRule="exact"/>
        <w:rPr>
          <w:sz w:val="20"/>
          <w:szCs w:val="20"/>
          <w:color w:val="auto"/>
        </w:rPr>
      </w:pPr>
    </w:p>
    <w:p>
      <w:pPr>
        <w:ind w:left="200" w:right="640"/>
        <w:spacing w:after="0" w:line="260" w:lineRule="auto"/>
        <w:rPr>
          <w:sz w:val="20"/>
          <w:szCs w:val="20"/>
          <w:color w:val="auto"/>
        </w:rPr>
      </w:pPr>
      <w:r>
        <w:rPr>
          <w:rFonts w:ascii="Arial" w:cs="Arial" w:eastAsia="Arial" w:hAnsi="Arial"/>
          <w:sz w:val="16"/>
          <w:szCs w:val="16"/>
          <w:color w:val="202E39"/>
        </w:rPr>
        <w:t xml:space="preserve">3.1 </w:t>
      </w:r>
      <w:r>
        <w:rPr>
          <w:rFonts w:ascii="Arial" w:cs="Arial" w:eastAsia="Arial" w:hAnsi="Arial"/>
          <w:sz w:val="16"/>
          <w:szCs w:val="16"/>
          <w:u w:val="single" w:color="auto"/>
          <w:color w:val="202E39"/>
        </w:rPr>
        <w:t>Eligibility</w:t>
      </w:r>
      <w:r>
        <w:rPr>
          <w:rFonts w:ascii="Arial" w:cs="Arial" w:eastAsia="Arial" w:hAnsi="Arial"/>
          <w:sz w:val="16"/>
          <w:szCs w:val="16"/>
          <w:color w:val="202E39"/>
        </w:rPr>
        <w:t>. Any Employee or consultant selected by the Committee pursuant to Section 3.4(a)(i) shall be eligible to be granted an Option. Each Independent Director of the Company shall be eligible to be granted Options at the times and in the manner set forth in Section 3.4(d).</w:t>
      </w:r>
    </w:p>
    <w:p>
      <w:pPr>
        <w:spacing w:after="0" w:line="88"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202E39"/>
        </w:rPr>
        <w:t xml:space="preserve">3.2 </w:t>
      </w:r>
      <w:r>
        <w:rPr>
          <w:rFonts w:ascii="Arial" w:cs="Arial" w:eastAsia="Arial" w:hAnsi="Arial"/>
          <w:sz w:val="16"/>
          <w:szCs w:val="16"/>
          <w:u w:val="single" w:color="auto"/>
          <w:color w:val="202E39"/>
        </w:rPr>
        <w:t>Disqualification for Stock Ownership</w:t>
      </w:r>
      <w:r>
        <w:rPr>
          <w:rFonts w:ascii="Arial" w:cs="Arial" w:eastAsia="Arial" w:hAnsi="Arial"/>
          <w:sz w:val="16"/>
          <w:szCs w:val="16"/>
          <w:color w:val="202E39"/>
        </w:rPr>
        <w:t>. No person may be granted an Incentive Stock Option under this Plan if such person, at the time the Incentive Stock Option is granted, owns stock possessing more than ten percent (10%) of the total combined voting power of all classes of stock of the Company or any then existing Subsidiary or parent corporation (within the meaning of Section 422 of the Code) unless such Incentive Stock Option conforms to the applicable provisions of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84455</wp:posOffset>
            </wp:positionV>
            <wp:extent cx="42862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A-4</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3.3 </w:t>
      </w:r>
      <w:r>
        <w:rPr>
          <w:rFonts w:ascii="Arial" w:cs="Arial" w:eastAsia="Arial" w:hAnsi="Arial"/>
          <w:sz w:val="16"/>
          <w:szCs w:val="16"/>
          <w:u w:val="single" w:color="auto"/>
          <w:color w:val="202E39"/>
        </w:rPr>
        <w:t>Qualification of Incentive Stock Options</w:t>
      </w:r>
      <w:r>
        <w:rPr>
          <w:rFonts w:ascii="Arial" w:cs="Arial" w:eastAsia="Arial" w:hAnsi="Arial"/>
          <w:sz w:val="16"/>
          <w:szCs w:val="16"/>
          <w:color w:val="202E39"/>
        </w:rPr>
        <w:t>. No Incentive Stock Option shall be granted to any person who is not an Employee.</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3.4 </w:t>
      </w:r>
      <w:r>
        <w:rPr>
          <w:rFonts w:ascii="Arial" w:cs="Arial" w:eastAsia="Arial" w:hAnsi="Arial"/>
          <w:sz w:val="16"/>
          <w:szCs w:val="16"/>
          <w:u w:val="single" w:color="auto"/>
          <w:color w:val="202E39"/>
        </w:rPr>
        <w:t>Granting of Options</w:t>
      </w:r>
      <w:r>
        <w:rPr>
          <w:rFonts w:ascii="Arial" w:cs="Arial" w:eastAsia="Arial" w:hAnsi="Arial"/>
          <w:sz w:val="16"/>
          <w:szCs w:val="16"/>
          <w:color w:val="202E39"/>
        </w:rPr>
        <w:t>.</w:t>
      </w:r>
    </w:p>
    <w:p>
      <w:pPr>
        <w:spacing w:after="0" w:line="113" w:lineRule="exact"/>
        <w:rPr>
          <w:sz w:val="20"/>
          <w:szCs w:val="20"/>
          <w:color w:val="auto"/>
        </w:rPr>
      </w:pPr>
    </w:p>
    <w:p>
      <w:pPr>
        <w:ind w:left="880" w:hanging="236"/>
        <w:spacing w:after="0"/>
        <w:tabs>
          <w:tab w:leader="none" w:pos="880"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The Committee shall from time to time, in its absolute discretion, and subject to applicable limitations of this Plan:</w:t>
      </w:r>
    </w:p>
    <w:p>
      <w:pPr>
        <w:spacing w:after="0" w:line="113" w:lineRule="exact"/>
        <w:rPr>
          <w:rFonts w:ascii="Arial" w:cs="Arial" w:eastAsia="Arial" w:hAnsi="Arial"/>
          <w:sz w:val="16"/>
          <w:szCs w:val="16"/>
          <w:color w:val="202E39"/>
        </w:rPr>
      </w:pPr>
    </w:p>
    <w:p>
      <w:pPr>
        <w:ind w:left="980" w:right="180" w:hanging="5"/>
        <w:spacing w:after="0" w:line="260" w:lineRule="auto"/>
        <w:tabs>
          <w:tab w:leader="none" w:pos="1169" w:val="left"/>
        </w:tabs>
        <w:numPr>
          <w:ilvl w:val="1"/>
          <w:numId w:val="54"/>
        </w:numPr>
        <w:rPr>
          <w:rFonts w:ascii="Arial" w:cs="Arial" w:eastAsia="Arial" w:hAnsi="Arial"/>
          <w:sz w:val="16"/>
          <w:szCs w:val="16"/>
          <w:color w:val="202E39"/>
        </w:rPr>
      </w:pPr>
      <w:r>
        <w:rPr>
          <w:rFonts w:ascii="Arial" w:cs="Arial" w:eastAsia="Arial" w:hAnsi="Arial"/>
          <w:sz w:val="16"/>
          <w:szCs w:val="16"/>
          <w:color w:val="202E39"/>
        </w:rPr>
        <w:t>Determine which Employees are key Employees and select from among the key Employees or consultants (including Employees or consultants who have previously received Options or other awards under this Plan) such of them as in its opinion should be granted Options;</w:t>
      </w:r>
    </w:p>
    <w:p>
      <w:pPr>
        <w:spacing w:after="0" w:line="87" w:lineRule="exact"/>
        <w:rPr>
          <w:rFonts w:ascii="Arial" w:cs="Arial" w:eastAsia="Arial" w:hAnsi="Arial"/>
          <w:sz w:val="16"/>
          <w:szCs w:val="16"/>
          <w:color w:val="202E39"/>
        </w:rPr>
      </w:pPr>
    </w:p>
    <w:p>
      <w:pPr>
        <w:ind w:left="980" w:right="600" w:hanging="5"/>
        <w:spacing w:after="0" w:line="260" w:lineRule="auto"/>
        <w:tabs>
          <w:tab w:leader="none" w:pos="1205" w:val="left"/>
        </w:tabs>
        <w:numPr>
          <w:ilvl w:val="1"/>
          <w:numId w:val="54"/>
        </w:numPr>
        <w:rPr>
          <w:rFonts w:ascii="Arial" w:cs="Arial" w:eastAsia="Arial" w:hAnsi="Arial"/>
          <w:sz w:val="16"/>
          <w:szCs w:val="16"/>
          <w:color w:val="202E39"/>
        </w:rPr>
      </w:pPr>
      <w:r>
        <w:rPr>
          <w:rFonts w:ascii="Arial" w:cs="Arial" w:eastAsia="Arial" w:hAnsi="Arial"/>
          <w:sz w:val="16"/>
          <w:szCs w:val="16"/>
          <w:color w:val="202E39"/>
        </w:rPr>
        <w:t>Subject to the Award Limit, determine the number of shares to be subject to such Options granted to the selected key Employees or consultants;</w:t>
      </w:r>
    </w:p>
    <w:p>
      <w:pPr>
        <w:spacing w:after="0" w:line="87" w:lineRule="exact"/>
        <w:rPr>
          <w:rFonts w:ascii="Arial" w:cs="Arial" w:eastAsia="Arial" w:hAnsi="Arial"/>
          <w:sz w:val="16"/>
          <w:szCs w:val="16"/>
          <w:color w:val="202E39"/>
        </w:rPr>
      </w:pPr>
    </w:p>
    <w:p>
      <w:pPr>
        <w:ind w:left="1240" w:hanging="265"/>
        <w:spacing w:after="0"/>
        <w:tabs>
          <w:tab w:leader="none" w:pos="1240" w:val="left"/>
        </w:tabs>
        <w:numPr>
          <w:ilvl w:val="1"/>
          <w:numId w:val="54"/>
        </w:numPr>
        <w:rPr>
          <w:rFonts w:ascii="Arial" w:cs="Arial" w:eastAsia="Arial" w:hAnsi="Arial"/>
          <w:sz w:val="16"/>
          <w:szCs w:val="16"/>
          <w:color w:val="202E39"/>
        </w:rPr>
      </w:pPr>
      <w:r>
        <w:rPr>
          <w:rFonts w:ascii="Arial" w:cs="Arial" w:eastAsia="Arial" w:hAnsi="Arial"/>
          <w:sz w:val="16"/>
          <w:szCs w:val="16"/>
          <w:color w:val="202E39"/>
        </w:rPr>
        <w:t>Subject to Section 3.3, determine whether such Options are to be Incentive Stock Options or Non-Qualified Stock Options; and</w:t>
      </w:r>
    </w:p>
    <w:p>
      <w:pPr>
        <w:spacing w:after="0" w:line="113" w:lineRule="exact"/>
        <w:rPr>
          <w:rFonts w:ascii="Arial" w:cs="Arial" w:eastAsia="Arial" w:hAnsi="Arial"/>
          <w:sz w:val="16"/>
          <w:szCs w:val="16"/>
          <w:color w:val="202E39"/>
        </w:rPr>
      </w:pPr>
    </w:p>
    <w:p>
      <w:pPr>
        <w:ind w:left="1240" w:hanging="265"/>
        <w:spacing w:after="0"/>
        <w:tabs>
          <w:tab w:leader="none" w:pos="1240" w:val="left"/>
        </w:tabs>
        <w:numPr>
          <w:ilvl w:val="1"/>
          <w:numId w:val="54"/>
        </w:numPr>
        <w:rPr>
          <w:rFonts w:ascii="Arial" w:cs="Arial" w:eastAsia="Arial" w:hAnsi="Arial"/>
          <w:sz w:val="16"/>
          <w:szCs w:val="16"/>
          <w:color w:val="202E39"/>
        </w:rPr>
      </w:pPr>
      <w:r>
        <w:rPr>
          <w:rFonts w:ascii="Arial" w:cs="Arial" w:eastAsia="Arial" w:hAnsi="Arial"/>
          <w:sz w:val="16"/>
          <w:szCs w:val="16"/>
          <w:color w:val="202E39"/>
        </w:rPr>
        <w:t>Determine the terms and conditions of such Options, consistent with this Plan.</w:t>
      </w:r>
    </w:p>
    <w:p>
      <w:pPr>
        <w:spacing w:after="0" w:line="113" w:lineRule="exact"/>
        <w:rPr>
          <w:rFonts w:ascii="Arial" w:cs="Arial" w:eastAsia="Arial" w:hAnsi="Arial"/>
          <w:sz w:val="16"/>
          <w:szCs w:val="16"/>
          <w:color w:val="202E39"/>
        </w:rPr>
      </w:pPr>
    </w:p>
    <w:p>
      <w:pPr>
        <w:ind w:left="640" w:firstLine="4"/>
        <w:spacing w:after="0" w:line="247" w:lineRule="auto"/>
        <w:tabs>
          <w:tab w:leader="none" w:pos="883"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 xml:space="preserve">Upon the selection of a key Employee or consultant to be granted an Option, the Committee shall instruct the Secretary of the Company to issue the Option and may impose such conditions on the grant of the Option as it deems appropriate. Without limiting the generality of the preceding sentence, the Committee may, in its discretion and on such terms as it deems appropriate, require as a condition on the grant of an Option to an Employee or consultant that the Employee or consultant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An Option, the grant of which is conditioned upon such surrender, may have an option price lower (or higher) than the exercise price of such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except as permitted under Section 10.3 of the Plan, no Option or Stock Appreciation Right shall, without stockholder approval, be (i) repriced, exchanged for an Option or Stock Appreciation Right with a lower price or otherwise modified where the effect would be to reduce the exercise price of the Option or Stock Appreciation Right; or (ii) exchanged for cash or an alternate award under the Plan.</w:t>
      </w:r>
    </w:p>
    <w:p>
      <w:pPr>
        <w:spacing w:after="0" w:line="293" w:lineRule="exact"/>
        <w:rPr>
          <w:rFonts w:ascii="Arial" w:cs="Arial" w:eastAsia="Arial" w:hAnsi="Arial"/>
          <w:sz w:val="16"/>
          <w:szCs w:val="16"/>
          <w:color w:val="202E39"/>
        </w:rPr>
      </w:pPr>
    </w:p>
    <w:p>
      <w:pPr>
        <w:ind w:left="640" w:right="80" w:firstLine="4"/>
        <w:spacing w:after="0" w:line="260" w:lineRule="auto"/>
        <w:tabs>
          <w:tab w:leader="none" w:pos="874"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Any Incentive Stock Option granted under this Plan may be modified by the Committee to disqualify such option from treatment as an “incentive stock option” under Section 422 of the Code.</w:t>
      </w:r>
    </w:p>
    <w:p>
      <w:pPr>
        <w:spacing w:after="0" w:line="87" w:lineRule="exact"/>
        <w:rPr>
          <w:rFonts w:ascii="Arial" w:cs="Arial" w:eastAsia="Arial" w:hAnsi="Arial"/>
          <w:sz w:val="16"/>
          <w:szCs w:val="16"/>
          <w:color w:val="202E39"/>
        </w:rPr>
      </w:pPr>
    </w:p>
    <w:p>
      <w:pPr>
        <w:ind w:left="640" w:right="60" w:firstLine="4"/>
        <w:spacing w:after="0" w:line="247" w:lineRule="auto"/>
        <w:tabs>
          <w:tab w:leader="none" w:pos="883"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 xml:space="preserve">During the term of the Plan, each person who is initially elected or appointed to the Board and who is an Independent Director at the time of such initial election or appointment shall automatically be granted an Option to purchase Nine Thousand (9,000) shares of Common Stock (subject to adjustment as provided in Section 10.3) on the date of such initial election or appointment, which Option will vest in three equal installments on each of the first three anniversaries of the date of grant, subject to the Independent Director’s continued service as a Director on each such vesting date. In addition, during the term of the Plan, each Independent Director shall automatically be granted an Option to purchase Five Thousand (5,000) shares of Common Stock (subject to adjustment as provided in Section 10.3) on the date of each annual meeting of stockholders after his or her initial election or appointment to the Board at which directors are elected to the Board, which Option will vest on the first anniversary of the date of grant, subject to the Independent Director’s continued service as a Director on such vesting date;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a person who is initially elected to the Board at an annual meeting of stockholders and who is an Independent Director at the time of such initial election shall receive only an initial Option grant on the date of such election pursuant to the preceding sentence and shall not receive an Option grant pursuant to this sentence until the date of the next annual meeting of stockholders following such initial election. Members of the Board who are employees of the Company who subsequently retire from the Company and remain on the Board will not receive an initial Option grant pursuant to the first sentence of this Section 3.4(d), but to the extent that they are otherwise eligible, will receive, after retirement from employment with the Company, Options as described in the second sentence of this Section 3.4(d).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IV. TERMS OF OPTIONS</w:t>
      </w:r>
    </w:p>
    <w:p>
      <w:pPr>
        <w:spacing w:after="0" w:line="124" w:lineRule="exact"/>
        <w:rPr>
          <w:sz w:val="20"/>
          <w:szCs w:val="20"/>
          <w:color w:val="auto"/>
        </w:rPr>
      </w:pPr>
    </w:p>
    <w:p>
      <w:pPr>
        <w:ind w:left="200" w:right="40"/>
        <w:spacing w:after="0" w:line="251" w:lineRule="auto"/>
        <w:rPr>
          <w:sz w:val="20"/>
          <w:szCs w:val="20"/>
          <w:color w:val="auto"/>
        </w:rPr>
      </w:pPr>
      <w:r>
        <w:rPr>
          <w:rFonts w:ascii="Arial" w:cs="Arial" w:eastAsia="Arial" w:hAnsi="Arial"/>
          <w:sz w:val="16"/>
          <w:szCs w:val="16"/>
          <w:color w:val="202E39"/>
        </w:rPr>
        <w:t xml:space="preserve">4.1 </w:t>
      </w:r>
      <w:r>
        <w:rPr>
          <w:rFonts w:ascii="Arial" w:cs="Arial" w:eastAsia="Arial" w:hAnsi="Arial"/>
          <w:sz w:val="16"/>
          <w:szCs w:val="16"/>
          <w:u w:val="single" w:color="auto"/>
          <w:color w:val="202E39"/>
        </w:rPr>
        <w:t>Option Agreement</w:t>
      </w:r>
      <w:r>
        <w:rPr>
          <w:rFonts w:ascii="Arial" w:cs="Arial" w:eastAsia="Arial" w:hAnsi="Arial"/>
          <w:sz w:val="16"/>
          <w:szCs w:val="16"/>
          <w:color w:val="202E39"/>
        </w:rPr>
        <w:t>. Each Option shall be evidenced by a written Stock Option Agreement, which shall be executed by the Optionee and an authorized officer of the Company and which shall contain such terms and conditions as the Committee (or the Board, in the case of Options granted to Independent Directors) shall determine, consistent with this Plan. Stock Option Agreements evidencing Incentive Stock Options shall contain such terms and conditions as may be necessary to meet the applicable provisions of Section 422 of the Code.</w:t>
      </w:r>
    </w:p>
    <w:p>
      <w:pPr>
        <w:spacing w:after="0" w:line="120"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A-5</w:t>
            </w:r>
          </w:p>
        </w:tc>
      </w:tr>
    </w:tbl>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200" w:right="100"/>
        <w:spacing w:after="0" w:line="249" w:lineRule="auto"/>
        <w:rPr>
          <w:sz w:val="20"/>
          <w:szCs w:val="20"/>
          <w:color w:val="auto"/>
        </w:rPr>
      </w:pPr>
      <w:r>
        <w:rPr>
          <w:rFonts w:ascii="Arial" w:cs="Arial" w:eastAsia="Arial" w:hAnsi="Arial"/>
          <w:sz w:val="16"/>
          <w:szCs w:val="16"/>
          <w:color w:val="202E39"/>
        </w:rPr>
        <w:t xml:space="preserve">4.2 </w:t>
      </w:r>
      <w:r>
        <w:rPr>
          <w:rFonts w:ascii="Arial" w:cs="Arial" w:eastAsia="Arial" w:hAnsi="Arial"/>
          <w:sz w:val="16"/>
          <w:szCs w:val="16"/>
          <w:u w:val="single" w:color="auto"/>
          <w:color w:val="202E39"/>
        </w:rPr>
        <w:t>Option Price</w:t>
      </w:r>
      <w:r>
        <w:rPr>
          <w:rFonts w:ascii="Arial" w:cs="Arial" w:eastAsia="Arial" w:hAnsi="Arial"/>
          <w:sz w:val="16"/>
          <w:szCs w:val="16"/>
          <w:color w:val="202E39"/>
        </w:rPr>
        <w:t xml:space="preserve">. The price per share of the shares subject to each Option shall be set by the Committee;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price shall not be less than one hundred percent (100%) of the Fair Market Value of a share of Common Stock on the date the Option is granted and in the case of Incentive Stock Options granted to an individual then owning (within the meaning of Section 424(d) of the Code) more than ten percent (10%) of the total combined voting power of all classes of stock of the Company or any Subsidiary or parent corporation thereof (within the meaning of Section 422 of the Code) such price shall not be less than one hundred ten percent (110%) of the Fair Market Value of a share of Common Stock on the date the Option is granted.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4.3 </w:t>
      </w:r>
      <w:r>
        <w:rPr>
          <w:rFonts w:ascii="Arial" w:cs="Arial" w:eastAsia="Arial" w:hAnsi="Arial"/>
          <w:sz w:val="16"/>
          <w:szCs w:val="16"/>
          <w:u w:val="single" w:color="auto"/>
          <w:color w:val="202E39"/>
        </w:rPr>
        <w:t>Option Term</w:t>
      </w:r>
      <w:r>
        <w:rPr>
          <w:rFonts w:ascii="Arial" w:cs="Arial" w:eastAsia="Arial" w:hAnsi="Arial"/>
          <w:sz w:val="16"/>
          <w:szCs w:val="16"/>
          <w:color w:val="202E39"/>
        </w:rPr>
        <w:t xml:space="preserve">. The term of an Option shall be set by the Committee in its discretion;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xml:space="preserve"> that no Option shall have a term longer than six</w:t>
      </w:r>
    </w:p>
    <w:p>
      <w:pPr>
        <w:spacing w:after="0" w:line="5" w:lineRule="exact"/>
        <w:rPr>
          <w:sz w:val="20"/>
          <w:szCs w:val="20"/>
          <w:color w:val="auto"/>
        </w:rPr>
      </w:pPr>
    </w:p>
    <w:p>
      <w:pPr>
        <w:ind w:left="200" w:right="160" w:firstLine="4"/>
        <w:spacing w:after="0" w:line="249" w:lineRule="auto"/>
        <w:tabs>
          <w:tab w:leader="none" w:pos="443" w:val="left"/>
        </w:tabs>
        <w:numPr>
          <w:ilvl w:val="0"/>
          <w:numId w:val="55"/>
        </w:numPr>
        <w:rPr>
          <w:rFonts w:ascii="Arial" w:cs="Arial" w:eastAsia="Arial" w:hAnsi="Arial"/>
          <w:sz w:val="16"/>
          <w:szCs w:val="16"/>
          <w:color w:val="202E39"/>
        </w:rPr>
      </w:pPr>
      <w:r>
        <w:rPr>
          <w:rFonts w:ascii="Arial" w:cs="Arial" w:eastAsia="Arial" w:hAnsi="Arial"/>
          <w:sz w:val="16"/>
          <w:szCs w:val="16"/>
          <w:color w:val="202E39"/>
        </w:rPr>
        <w:t>years from the date the Option is granted and in the case of Incentive Stock Options granted to an individual then owning (within the meaning of Section 424(d) of the Code) more than ten percent (10%) of the total combined voting power of all classes of stock of the Company or any Subsidiary or parent corporation thereof (within the meaning of Section 422 of the Code) the term may not exceed five (5) years from the date the Option is granted. Except as limited by requirements of Section 422 of the Code and regulations and rulings thereunder applicable to Incentive Stock Options, the Committee may extend the term of any outstanding Option in connection with any Termination of Employment or Termination of Consultancy of the Optionee, or amend any other term or condition of such Option relating to such a termination.</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4.4 </w:t>
      </w:r>
      <w:r>
        <w:rPr>
          <w:rFonts w:ascii="Arial" w:cs="Arial" w:eastAsia="Arial" w:hAnsi="Arial"/>
          <w:sz w:val="16"/>
          <w:szCs w:val="16"/>
          <w:u w:val="single" w:color="auto"/>
          <w:color w:val="202E39"/>
        </w:rPr>
        <w:t>Option Vesting</w:t>
      </w:r>
      <w:r>
        <w:rPr>
          <w:rFonts w:ascii="Arial" w:cs="Arial" w:eastAsia="Arial" w:hAnsi="Arial"/>
          <w:sz w:val="16"/>
          <w:szCs w:val="16"/>
          <w:color w:val="202E39"/>
        </w:rPr>
        <w:t>.</w:t>
      </w:r>
    </w:p>
    <w:p>
      <w:pPr>
        <w:spacing w:after="0" w:line="113" w:lineRule="exact"/>
        <w:rPr>
          <w:sz w:val="20"/>
          <w:szCs w:val="20"/>
          <w:color w:val="auto"/>
        </w:rPr>
      </w:pPr>
    </w:p>
    <w:p>
      <w:pPr>
        <w:ind w:left="640" w:right="40" w:firstLine="4"/>
        <w:spacing w:after="0" w:line="251" w:lineRule="auto"/>
        <w:tabs>
          <w:tab w:leader="none" w:pos="883" w:val="left"/>
        </w:tabs>
        <w:numPr>
          <w:ilvl w:val="0"/>
          <w:numId w:val="56"/>
        </w:numPr>
        <w:rPr>
          <w:rFonts w:ascii="Arial" w:cs="Arial" w:eastAsia="Arial" w:hAnsi="Arial"/>
          <w:sz w:val="16"/>
          <w:szCs w:val="16"/>
          <w:color w:val="202E39"/>
        </w:rPr>
      </w:pPr>
      <w:r>
        <w:rPr>
          <w:rFonts w:ascii="Arial" w:cs="Arial" w:eastAsia="Arial" w:hAnsi="Arial"/>
          <w:sz w:val="16"/>
          <w:szCs w:val="16"/>
          <w:color w:val="202E39"/>
        </w:rPr>
        <w:t>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to whatever terms and conditions it selects, accelerate the period during which an Option (except an Option granted to an Independent Director) vests.</w:t>
      </w:r>
    </w:p>
    <w:p>
      <w:pPr>
        <w:spacing w:after="0" w:line="94" w:lineRule="exact"/>
        <w:rPr>
          <w:rFonts w:ascii="Arial" w:cs="Arial" w:eastAsia="Arial" w:hAnsi="Arial"/>
          <w:sz w:val="16"/>
          <w:szCs w:val="16"/>
          <w:color w:val="202E39"/>
        </w:rPr>
      </w:pPr>
    </w:p>
    <w:p>
      <w:pPr>
        <w:ind w:left="640" w:right="100" w:firstLine="4"/>
        <w:spacing w:after="0" w:line="251" w:lineRule="auto"/>
        <w:tabs>
          <w:tab w:leader="none" w:pos="883" w:val="left"/>
        </w:tabs>
        <w:numPr>
          <w:ilvl w:val="0"/>
          <w:numId w:val="56"/>
        </w:numPr>
        <w:rPr>
          <w:rFonts w:ascii="Arial" w:cs="Arial" w:eastAsia="Arial" w:hAnsi="Arial"/>
          <w:sz w:val="16"/>
          <w:szCs w:val="16"/>
          <w:color w:val="202E39"/>
        </w:rPr>
      </w:pPr>
      <w:r>
        <w:rPr>
          <w:rFonts w:ascii="Arial" w:cs="Arial" w:eastAsia="Arial" w:hAnsi="Arial"/>
          <w:sz w:val="16"/>
          <w:szCs w:val="16"/>
          <w:color w:val="202E39"/>
        </w:rPr>
        <w:t>No portion of an Option which is unexercisable at Termination of Employment, Termination of Directorship or Termination of Consultancy, as applicable, shall thereafter become exercisable, except as may be otherwise provided by the Committee (or the Board, in the case of Options granted to Independent Directors) in the case of Options granted to Employees or consultants either in the Stock Option Agreement or by action of the Committee (or the Board, in the case of Options granted to Independent Directors) following the grant of the Option.</w:t>
      </w:r>
    </w:p>
    <w:p>
      <w:pPr>
        <w:spacing w:after="0" w:line="94" w:lineRule="exact"/>
        <w:rPr>
          <w:rFonts w:ascii="Arial" w:cs="Arial" w:eastAsia="Arial" w:hAnsi="Arial"/>
          <w:sz w:val="16"/>
          <w:szCs w:val="16"/>
          <w:color w:val="202E39"/>
        </w:rPr>
      </w:pPr>
    </w:p>
    <w:p>
      <w:pPr>
        <w:ind w:left="640" w:firstLine="4"/>
        <w:spacing w:after="0" w:line="249" w:lineRule="auto"/>
        <w:tabs>
          <w:tab w:leader="none" w:pos="874" w:val="left"/>
        </w:tabs>
        <w:numPr>
          <w:ilvl w:val="0"/>
          <w:numId w:val="56"/>
        </w:numPr>
        <w:rPr>
          <w:rFonts w:ascii="Arial" w:cs="Arial" w:eastAsia="Arial" w:hAnsi="Arial"/>
          <w:sz w:val="16"/>
          <w:szCs w:val="16"/>
          <w:color w:val="202E39"/>
        </w:rPr>
      </w:pPr>
      <w:r>
        <w:rPr>
          <w:rFonts w:ascii="Arial" w:cs="Arial" w:eastAsia="Arial" w:hAnsi="Arial"/>
          <w:sz w:val="16"/>
          <w:szCs w:val="16"/>
          <w:color w:val="202E39"/>
        </w:rPr>
        <w:t>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4.4(c), the Fair Market Value of stock shall be determined as of the time the Option with respect to such stock is granted.</w:t>
      </w:r>
    </w:p>
    <w:p>
      <w:pPr>
        <w:spacing w:after="0" w:line="97" w:lineRule="exact"/>
        <w:rPr>
          <w:sz w:val="20"/>
          <w:szCs w:val="20"/>
          <w:color w:val="auto"/>
        </w:rPr>
      </w:pPr>
    </w:p>
    <w:p>
      <w:pPr>
        <w:ind w:left="200" w:right="140"/>
        <w:spacing w:after="0" w:line="248" w:lineRule="auto"/>
        <w:rPr>
          <w:sz w:val="20"/>
          <w:szCs w:val="20"/>
          <w:color w:val="auto"/>
        </w:rPr>
      </w:pPr>
      <w:r>
        <w:rPr>
          <w:rFonts w:ascii="Arial" w:cs="Arial" w:eastAsia="Arial" w:hAnsi="Arial"/>
          <w:sz w:val="16"/>
          <w:szCs w:val="16"/>
          <w:color w:val="202E39"/>
        </w:rPr>
        <w:t xml:space="preserve">4.5 </w:t>
      </w:r>
      <w:r>
        <w:rPr>
          <w:rFonts w:ascii="Arial" w:cs="Arial" w:eastAsia="Arial" w:hAnsi="Arial"/>
          <w:sz w:val="16"/>
          <w:szCs w:val="16"/>
          <w:u w:val="single" w:color="auto"/>
          <w:color w:val="202E39"/>
        </w:rPr>
        <w:t>Consideration</w:t>
      </w:r>
      <w:r>
        <w:rPr>
          <w:rFonts w:ascii="Arial" w:cs="Arial" w:eastAsia="Arial" w:hAnsi="Arial"/>
          <w:sz w:val="16"/>
          <w:szCs w:val="16"/>
          <w:color w:val="202E39"/>
        </w:rPr>
        <w:t>. In consideration of the granting of an Option, the Committee (or the Board, in the case of Options granted to Independent Directors) may require the Optionee to agree, in the written Stock Option Agreement, to remain in the employ of (or to consult for or to serve as an Independent Director of, as applicable) the Company or any Subsidiary for a period of at least one year (or such shorter period as may be fixed in the Stock Option Agreement or by action of the Committee following grant of the Option) after the Option is granted (or, in the case of an Independent Director, until the next annual meeting of stockholders of the Company). Nothing in this Plan or in any Stock Option Agreement hereunder shall confer upon any Optionee any right to continue in the employ of, or as a consultant for, the Company or any Subsidiary, or as a director of the Company, or shall interfere with or restrict in any way the rights of the Company and any Subsidiary, which are hereby expressly reserved, to discharge any Optionee at any time for any reason whatsoever, with or without good cause.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V. EXERCISE OF OPTIONS</w:t>
      </w:r>
    </w:p>
    <w:p>
      <w:pPr>
        <w:spacing w:after="0" w:line="124" w:lineRule="exact"/>
        <w:rPr>
          <w:sz w:val="20"/>
          <w:szCs w:val="20"/>
          <w:color w:val="auto"/>
        </w:rPr>
      </w:pPr>
    </w:p>
    <w:p>
      <w:pPr>
        <w:ind w:left="200" w:right="160"/>
        <w:spacing w:after="0" w:line="253" w:lineRule="auto"/>
        <w:rPr>
          <w:sz w:val="20"/>
          <w:szCs w:val="20"/>
          <w:color w:val="auto"/>
        </w:rPr>
      </w:pPr>
      <w:r>
        <w:rPr>
          <w:rFonts w:ascii="Arial" w:cs="Arial" w:eastAsia="Arial" w:hAnsi="Arial"/>
          <w:sz w:val="16"/>
          <w:szCs w:val="16"/>
          <w:color w:val="202E39"/>
        </w:rPr>
        <w:t xml:space="preserve">5.1 </w:t>
      </w:r>
      <w:r>
        <w:rPr>
          <w:rFonts w:ascii="Arial" w:cs="Arial" w:eastAsia="Arial" w:hAnsi="Arial"/>
          <w:sz w:val="16"/>
          <w:szCs w:val="16"/>
          <w:u w:val="single" w:color="auto"/>
          <w:color w:val="202E39"/>
        </w:rPr>
        <w:t>Partial Exercise</w:t>
      </w:r>
      <w:r>
        <w:rPr>
          <w:rFonts w:ascii="Arial" w:cs="Arial" w:eastAsia="Arial" w:hAnsi="Arial"/>
          <w:sz w:val="16"/>
          <w:szCs w:val="16"/>
          <w:color w:val="202E39"/>
        </w:rPr>
        <w:t>. An exercisable Option may be exercised in whole or in part. However, an Option shall not be exercisable with respect to fractional shares and the Committee (or the Board, in the case of Options granted to Independent Directors) may require that, by the terms of the Option, a partial exercise be with respect to a minimum number of shares.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5.2 </w:t>
      </w:r>
      <w:r>
        <w:rPr>
          <w:rFonts w:ascii="Arial" w:cs="Arial" w:eastAsia="Arial" w:hAnsi="Arial"/>
          <w:sz w:val="16"/>
          <w:szCs w:val="16"/>
          <w:u w:val="single" w:color="auto"/>
          <w:color w:val="202E39"/>
        </w:rPr>
        <w:t>Manner of Exercise</w:t>
      </w:r>
      <w:r>
        <w:rPr>
          <w:rFonts w:ascii="Arial" w:cs="Arial" w:eastAsia="Arial" w:hAnsi="Arial"/>
          <w:sz w:val="16"/>
          <w:szCs w:val="16"/>
          <w:i w:val="1"/>
          <w:iCs w:val="1"/>
          <w:color w:val="202E39"/>
        </w:rPr>
        <w:t>.</w:t>
      </w:r>
      <w:r>
        <w:rPr>
          <w:rFonts w:ascii="Arial" w:cs="Arial" w:eastAsia="Arial" w:hAnsi="Arial"/>
          <w:sz w:val="16"/>
          <w:szCs w:val="16"/>
          <w:color w:val="202E39"/>
        </w:rPr>
        <w:t xml:space="preserve"> All or a portion of an exercisable Option shall be deemed exercised upon delivery of all of the following to the Secretary of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Company or his office:</w:t>
      </w:r>
    </w:p>
    <w:p>
      <w:pPr>
        <w:spacing w:after="0" w:line="113" w:lineRule="exact"/>
        <w:rPr>
          <w:sz w:val="20"/>
          <w:szCs w:val="20"/>
          <w:color w:val="auto"/>
        </w:rPr>
      </w:pPr>
    </w:p>
    <w:p>
      <w:pPr>
        <w:ind w:left="640" w:right="120" w:firstLine="4"/>
        <w:spacing w:after="0" w:line="253" w:lineRule="auto"/>
        <w:tabs>
          <w:tab w:leader="none" w:pos="883" w:val="left"/>
        </w:tabs>
        <w:numPr>
          <w:ilvl w:val="0"/>
          <w:numId w:val="57"/>
        </w:numPr>
        <w:rPr>
          <w:rFonts w:ascii="Arial" w:cs="Arial" w:eastAsia="Arial" w:hAnsi="Arial"/>
          <w:sz w:val="16"/>
          <w:szCs w:val="16"/>
          <w:color w:val="202E39"/>
        </w:rPr>
      </w:pPr>
      <w:r>
        <w:rPr>
          <w:rFonts w:ascii="Arial" w:cs="Arial" w:eastAsia="Arial" w:hAnsi="Arial"/>
          <w:sz w:val="16"/>
          <w:szCs w:val="16"/>
          <w:color w:val="202E39"/>
        </w:rPr>
        <w:t>A written notice complying with the applicable rules established by the Committee (or the Board, in the case of Options granted to Independent Directors) stating that the Option, or a portion thereof, is exercised. The notice shall be signed by the Optionee or other person then entitled to exercise the Option or such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83820</wp:posOffset>
            </wp:positionV>
            <wp:extent cx="42862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A-6</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640" w:right="60" w:firstLine="4"/>
        <w:spacing w:after="0" w:line="250" w:lineRule="auto"/>
        <w:tabs>
          <w:tab w:leader="none" w:pos="883" w:val="left"/>
        </w:tabs>
        <w:numPr>
          <w:ilvl w:val="0"/>
          <w:numId w:val="58"/>
        </w:numPr>
        <w:rPr>
          <w:rFonts w:ascii="Arial" w:cs="Arial" w:eastAsia="Arial" w:hAnsi="Arial"/>
          <w:sz w:val="16"/>
          <w:szCs w:val="16"/>
          <w:color w:val="202E39"/>
        </w:rPr>
      </w:pPr>
      <w:r>
        <w:rPr>
          <w:rFonts w:ascii="Arial" w:cs="Arial" w:eastAsia="Arial" w:hAnsi="Arial"/>
          <w:sz w:val="16"/>
          <w:szCs w:val="16"/>
          <w:color w:val="202E39"/>
        </w:rPr>
        <w:t>Such representations and documents as the Committee (or the Board, in the case of Options granted to Independent Directors),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book entries and issuing stop-transfer notices to agents and registrars;</w:t>
      </w:r>
    </w:p>
    <w:p>
      <w:pPr>
        <w:spacing w:after="0" w:line="95" w:lineRule="exact"/>
        <w:rPr>
          <w:rFonts w:ascii="Arial" w:cs="Arial" w:eastAsia="Arial" w:hAnsi="Arial"/>
          <w:sz w:val="16"/>
          <w:szCs w:val="16"/>
          <w:color w:val="202E39"/>
        </w:rPr>
      </w:pPr>
    </w:p>
    <w:p>
      <w:pPr>
        <w:ind w:left="640" w:right="120" w:firstLine="4"/>
        <w:spacing w:after="0" w:line="260" w:lineRule="auto"/>
        <w:tabs>
          <w:tab w:leader="none" w:pos="874" w:val="left"/>
        </w:tabs>
        <w:numPr>
          <w:ilvl w:val="0"/>
          <w:numId w:val="58"/>
        </w:numPr>
        <w:rPr>
          <w:rFonts w:ascii="Arial" w:cs="Arial" w:eastAsia="Arial" w:hAnsi="Arial"/>
          <w:sz w:val="16"/>
          <w:szCs w:val="16"/>
          <w:color w:val="202E39"/>
        </w:rPr>
      </w:pPr>
      <w:r>
        <w:rPr>
          <w:rFonts w:ascii="Arial" w:cs="Arial" w:eastAsia="Arial" w:hAnsi="Arial"/>
          <w:sz w:val="16"/>
          <w:szCs w:val="16"/>
          <w:color w:val="202E39"/>
        </w:rPr>
        <w:t>In the event that the Option shall be exercised pursuant to Section 10.1 by any person or persons other than the Optionee, appropriate proof of the right of such person or persons to exercise the Option; and</w:t>
      </w:r>
    </w:p>
    <w:p>
      <w:pPr>
        <w:spacing w:after="0" w:line="87" w:lineRule="exact"/>
        <w:rPr>
          <w:rFonts w:ascii="Arial" w:cs="Arial" w:eastAsia="Arial" w:hAnsi="Arial"/>
          <w:sz w:val="16"/>
          <w:szCs w:val="16"/>
          <w:color w:val="202E39"/>
        </w:rPr>
      </w:pPr>
    </w:p>
    <w:p>
      <w:pPr>
        <w:ind w:left="640" w:firstLine="4"/>
        <w:spacing w:after="0" w:line="247" w:lineRule="auto"/>
        <w:tabs>
          <w:tab w:leader="none" w:pos="883" w:val="left"/>
        </w:tabs>
        <w:numPr>
          <w:ilvl w:val="0"/>
          <w:numId w:val="58"/>
        </w:numPr>
        <w:rPr>
          <w:rFonts w:ascii="Arial" w:cs="Arial" w:eastAsia="Arial" w:hAnsi="Arial"/>
          <w:sz w:val="16"/>
          <w:szCs w:val="16"/>
          <w:color w:val="202E39"/>
        </w:rPr>
      </w:pPr>
      <w:r>
        <w:rPr>
          <w:rFonts w:ascii="Arial" w:cs="Arial" w:eastAsia="Arial" w:hAnsi="Arial"/>
          <w:sz w:val="16"/>
          <w:szCs w:val="16"/>
          <w:color w:val="202E39"/>
        </w:rPr>
        <w:t>Full cash payment to the Secretary of the Company for the shares with respect to which the Option, or portion thereof, is exercised. However, the Committee (or the Board, in the case of Options granted to Independent Directors), may in its discretion, (i) allow a delay in payment up to thirty (30) days from the date the Option, or portion thereof, is exercised; (ii) allow payment, in whole or in part, through the delivery of shares of Common Stock owned by the Optionee, duly endorsed for transfer to the Company with a Fair Market Value on the date of delivery equal to the aggregate exercise price of the Option or exercised portion thereof; (iii) allow payment, in whole or in part, through the surrender of shares of Common Stock then issuable upon exercise of the Option having a Fair Market Value on the date of Option exercise equal to the aggregate exercise price of the Option or exercised portion thereof; (iv) 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the Board; (vi) allow payment, in whole or in part, through the delivery of a notice that the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or (vii) allow payment through any combination of the consideration provided in the foregoing subparagraphs (ii), (iii), (iv), (v) and (vi). In the case of a promissory note, the Committee (or the Board, in the case of Options granted to Independent Directors) may also prescribe the form of such note and the security to be given for such note. The Option may not be exercised, however, by delivery of a promissory note or by a loan or other extension of credit from the Company when or where such loan or other extension of credit is prohibited by law.</w:t>
      </w:r>
    </w:p>
    <w:p>
      <w:pPr>
        <w:spacing w:after="0" w:line="88" w:lineRule="exact"/>
        <w:rPr>
          <w:sz w:val="20"/>
          <w:szCs w:val="20"/>
          <w:color w:val="auto"/>
        </w:rPr>
      </w:pPr>
    </w:p>
    <w:p>
      <w:pPr>
        <w:ind w:left="200" w:right="180"/>
        <w:spacing w:after="0" w:line="281" w:lineRule="auto"/>
        <w:rPr>
          <w:sz w:val="20"/>
          <w:szCs w:val="20"/>
          <w:color w:val="auto"/>
        </w:rPr>
      </w:pPr>
      <w:r>
        <w:rPr>
          <w:rFonts w:ascii="Arial" w:cs="Arial" w:eastAsia="Arial" w:hAnsi="Arial"/>
          <w:sz w:val="16"/>
          <w:szCs w:val="16"/>
          <w:color w:val="202E39"/>
        </w:rPr>
        <w:t xml:space="preserve">5.3 </w:t>
      </w:r>
      <w:r>
        <w:rPr>
          <w:rFonts w:ascii="Arial" w:cs="Arial" w:eastAsia="Arial" w:hAnsi="Arial"/>
          <w:sz w:val="16"/>
          <w:szCs w:val="16"/>
          <w:u w:val="single" w:color="auto"/>
          <w:color w:val="202E39"/>
        </w:rPr>
        <w:t>Conditions to Issuance of Shares</w:t>
      </w:r>
      <w:r>
        <w:rPr>
          <w:rFonts w:ascii="Arial" w:cs="Arial" w:eastAsia="Arial" w:hAnsi="Arial"/>
          <w:sz w:val="16"/>
          <w:szCs w:val="16"/>
          <w:i w:val="1"/>
          <w:iCs w:val="1"/>
          <w:color w:val="202E39"/>
        </w:rPr>
        <w:t>.</w:t>
      </w:r>
      <w:r>
        <w:rPr>
          <w:rFonts w:ascii="Arial" w:cs="Arial" w:eastAsia="Arial" w:hAnsi="Arial"/>
          <w:sz w:val="16"/>
          <w:szCs w:val="16"/>
          <w:color w:val="202E39"/>
        </w:rPr>
        <w:t xml:space="preserve"> The Company shall not be required to issue or deliver any certificate or certificates, or make any book entries, for shares of stock purchased upon the exercise of any Option or portion thereof prior to fulfillment of all of the following conditions:</w:t>
      </w:r>
    </w:p>
    <w:p>
      <w:pPr>
        <w:spacing w:after="0" w:line="71" w:lineRule="exact"/>
        <w:rPr>
          <w:sz w:val="20"/>
          <w:szCs w:val="20"/>
          <w:color w:val="auto"/>
        </w:rPr>
      </w:pPr>
    </w:p>
    <w:p>
      <w:pPr>
        <w:ind w:left="880" w:hanging="236"/>
        <w:spacing w:after="0"/>
        <w:tabs>
          <w:tab w:leader="none" w:pos="880" w:val="left"/>
        </w:tabs>
        <w:numPr>
          <w:ilvl w:val="0"/>
          <w:numId w:val="59"/>
        </w:numPr>
        <w:rPr>
          <w:rFonts w:ascii="Arial" w:cs="Arial" w:eastAsia="Arial" w:hAnsi="Arial"/>
          <w:sz w:val="16"/>
          <w:szCs w:val="16"/>
          <w:color w:val="202E39"/>
        </w:rPr>
      </w:pPr>
      <w:r>
        <w:rPr>
          <w:rFonts w:ascii="Arial" w:cs="Arial" w:eastAsia="Arial" w:hAnsi="Arial"/>
          <w:sz w:val="16"/>
          <w:szCs w:val="16"/>
          <w:color w:val="202E39"/>
        </w:rPr>
        <w:t>The admission of such shares to listing on all stock exchanges on which such class of stock is then listed;</w:t>
      </w:r>
    </w:p>
    <w:p>
      <w:pPr>
        <w:spacing w:after="0" w:line="113" w:lineRule="exact"/>
        <w:rPr>
          <w:rFonts w:ascii="Arial" w:cs="Arial" w:eastAsia="Arial" w:hAnsi="Arial"/>
          <w:sz w:val="16"/>
          <w:szCs w:val="16"/>
          <w:color w:val="202E39"/>
        </w:rPr>
      </w:pPr>
    </w:p>
    <w:p>
      <w:pPr>
        <w:ind w:left="640" w:right="160" w:firstLine="4"/>
        <w:spacing w:after="0" w:line="253" w:lineRule="auto"/>
        <w:tabs>
          <w:tab w:leader="none" w:pos="883" w:val="left"/>
        </w:tabs>
        <w:numPr>
          <w:ilvl w:val="0"/>
          <w:numId w:val="59"/>
        </w:numPr>
        <w:rPr>
          <w:rFonts w:ascii="Arial" w:cs="Arial" w:eastAsia="Arial" w:hAnsi="Arial"/>
          <w:sz w:val="16"/>
          <w:szCs w:val="16"/>
          <w:color w:val="202E39"/>
        </w:rPr>
      </w:pPr>
      <w:r>
        <w:rPr>
          <w:rFonts w:ascii="Arial" w:cs="Arial" w:eastAsia="Arial" w:hAnsi="Arial"/>
          <w:sz w:val="16"/>
          <w:szCs w:val="16"/>
          <w:color w:val="202E39"/>
        </w:rPr>
        <w:t>The completion of any registration or other qualification of such shares under any state or federal law, or under the rulings or regulations of the Securities and Exchange Commission or any other governmental regulatory body which the Committee or Board shall, in its absolute discretion, deem necessary or advisable;</w:t>
      </w:r>
    </w:p>
    <w:p>
      <w:pPr>
        <w:spacing w:after="0" w:line="93" w:lineRule="exact"/>
        <w:rPr>
          <w:rFonts w:ascii="Arial" w:cs="Arial" w:eastAsia="Arial" w:hAnsi="Arial"/>
          <w:sz w:val="16"/>
          <w:szCs w:val="16"/>
          <w:color w:val="202E39"/>
        </w:rPr>
      </w:pPr>
    </w:p>
    <w:p>
      <w:pPr>
        <w:ind w:left="640" w:right="120" w:firstLine="4"/>
        <w:spacing w:after="0" w:line="260" w:lineRule="auto"/>
        <w:tabs>
          <w:tab w:leader="none" w:pos="874" w:val="left"/>
        </w:tabs>
        <w:numPr>
          <w:ilvl w:val="0"/>
          <w:numId w:val="59"/>
        </w:numPr>
        <w:rPr>
          <w:rFonts w:ascii="Arial" w:cs="Arial" w:eastAsia="Arial" w:hAnsi="Arial"/>
          <w:sz w:val="16"/>
          <w:szCs w:val="16"/>
          <w:color w:val="202E39"/>
        </w:rPr>
      </w:pPr>
      <w:r>
        <w:rPr>
          <w:rFonts w:ascii="Arial" w:cs="Arial" w:eastAsia="Arial" w:hAnsi="Arial"/>
          <w:sz w:val="16"/>
          <w:szCs w:val="16"/>
          <w:color w:val="202E39"/>
        </w:rPr>
        <w:t>The obtaining of any approval or other clearance from any state or federal governmental agency which the Committee (or Board, in the case of Options granted to Independent Directors) shall, in its absolute discretion, determine to be necessary or advisable;</w:t>
      </w:r>
    </w:p>
    <w:p>
      <w:pPr>
        <w:spacing w:after="0" w:line="87" w:lineRule="exact"/>
        <w:rPr>
          <w:rFonts w:ascii="Arial" w:cs="Arial" w:eastAsia="Arial" w:hAnsi="Arial"/>
          <w:sz w:val="16"/>
          <w:szCs w:val="16"/>
          <w:color w:val="202E39"/>
        </w:rPr>
      </w:pPr>
    </w:p>
    <w:p>
      <w:pPr>
        <w:ind w:left="640" w:right="140" w:firstLine="4"/>
        <w:spacing w:after="0" w:line="260" w:lineRule="auto"/>
        <w:tabs>
          <w:tab w:leader="none" w:pos="883" w:val="left"/>
        </w:tabs>
        <w:numPr>
          <w:ilvl w:val="0"/>
          <w:numId w:val="59"/>
        </w:numPr>
        <w:rPr>
          <w:rFonts w:ascii="Arial" w:cs="Arial" w:eastAsia="Arial" w:hAnsi="Arial"/>
          <w:sz w:val="16"/>
          <w:szCs w:val="16"/>
          <w:color w:val="202E39"/>
        </w:rPr>
      </w:pPr>
      <w:r>
        <w:rPr>
          <w:rFonts w:ascii="Arial" w:cs="Arial" w:eastAsia="Arial" w:hAnsi="Arial"/>
          <w:sz w:val="16"/>
          <w:szCs w:val="16"/>
          <w:color w:val="202E39"/>
        </w:rPr>
        <w:t>The lapse of such reasonable period of time following the exercise of the Option as the Committee (or Board, in the case of Options granted to Independent Directors) may establish from time to time for reasons of administrative convenience; and</w:t>
      </w:r>
    </w:p>
    <w:p>
      <w:pPr>
        <w:spacing w:after="0" w:line="87" w:lineRule="exact"/>
        <w:rPr>
          <w:rFonts w:ascii="Arial" w:cs="Arial" w:eastAsia="Arial" w:hAnsi="Arial"/>
          <w:sz w:val="16"/>
          <w:szCs w:val="16"/>
          <w:color w:val="202E39"/>
        </w:rPr>
      </w:pPr>
    </w:p>
    <w:p>
      <w:pPr>
        <w:ind w:left="880" w:hanging="236"/>
        <w:spacing w:after="0"/>
        <w:tabs>
          <w:tab w:leader="none" w:pos="880" w:val="left"/>
        </w:tabs>
        <w:numPr>
          <w:ilvl w:val="0"/>
          <w:numId w:val="59"/>
        </w:numPr>
        <w:rPr>
          <w:rFonts w:ascii="Arial" w:cs="Arial" w:eastAsia="Arial" w:hAnsi="Arial"/>
          <w:sz w:val="16"/>
          <w:szCs w:val="16"/>
          <w:color w:val="202E39"/>
        </w:rPr>
      </w:pPr>
      <w:r>
        <w:rPr>
          <w:rFonts w:ascii="Arial" w:cs="Arial" w:eastAsia="Arial" w:hAnsi="Arial"/>
          <w:sz w:val="16"/>
          <w:szCs w:val="16"/>
          <w:color w:val="202E39"/>
        </w:rPr>
        <w:t>The receipt by the Company of full payment for such shares, including payment of any applicable withholding tax.</w:t>
      </w:r>
    </w:p>
    <w:p>
      <w:pPr>
        <w:spacing w:after="0" w:line="113" w:lineRule="exact"/>
        <w:rPr>
          <w:sz w:val="20"/>
          <w:szCs w:val="20"/>
          <w:color w:val="auto"/>
        </w:rPr>
      </w:pPr>
    </w:p>
    <w:p>
      <w:pPr>
        <w:ind w:left="200" w:right="20"/>
        <w:spacing w:after="0" w:line="251" w:lineRule="auto"/>
        <w:rPr>
          <w:sz w:val="20"/>
          <w:szCs w:val="20"/>
          <w:color w:val="auto"/>
        </w:rPr>
      </w:pPr>
      <w:r>
        <w:rPr>
          <w:rFonts w:ascii="Arial" w:cs="Arial" w:eastAsia="Arial" w:hAnsi="Arial"/>
          <w:sz w:val="16"/>
          <w:szCs w:val="16"/>
          <w:color w:val="202E39"/>
        </w:rPr>
        <w:t>Notwithstanding any other provision of the Plan, unless otherwise determined by the Committee (or the Board, in the case of Options granted to Independent Directors) or required by any applicable law, rule or regulation, the Company shall not deliver to any Optionee certificates evidencing shares of Common Stock issued in connection with any Option and instead such shares of Common Stock shall be recorded in the books of the Company (or, as applicable, its transfer agent or stock plan administrator).</w:t>
      </w:r>
    </w:p>
    <w:p>
      <w:pPr>
        <w:spacing w:after="0" w:line="95" w:lineRule="exact"/>
        <w:rPr>
          <w:sz w:val="20"/>
          <w:szCs w:val="20"/>
          <w:color w:val="auto"/>
        </w:rPr>
      </w:pPr>
    </w:p>
    <w:p>
      <w:pPr>
        <w:ind w:left="200" w:right="40"/>
        <w:spacing w:after="0" w:line="253" w:lineRule="auto"/>
        <w:rPr>
          <w:sz w:val="20"/>
          <w:szCs w:val="20"/>
          <w:color w:val="auto"/>
        </w:rPr>
      </w:pPr>
      <w:r>
        <w:rPr>
          <w:rFonts w:ascii="Arial" w:cs="Arial" w:eastAsia="Arial" w:hAnsi="Arial"/>
          <w:sz w:val="16"/>
          <w:szCs w:val="16"/>
          <w:color w:val="202E39"/>
        </w:rPr>
        <w:t xml:space="preserve">5.4 </w:t>
      </w:r>
      <w:r>
        <w:rPr>
          <w:rFonts w:ascii="Arial" w:cs="Arial" w:eastAsia="Arial" w:hAnsi="Arial"/>
          <w:sz w:val="16"/>
          <w:szCs w:val="16"/>
          <w:u w:val="single" w:color="auto"/>
          <w:color w:val="202E39"/>
        </w:rPr>
        <w:t>Rights as Stockholders</w:t>
      </w:r>
      <w:r>
        <w:rPr>
          <w:rFonts w:ascii="Arial" w:cs="Arial" w:eastAsia="Arial" w:hAnsi="Arial"/>
          <w:sz w:val="16"/>
          <w:szCs w:val="16"/>
          <w:color w:val="202E39"/>
        </w:rPr>
        <w:t>.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 or book entries evidencing such shares have been made by the Company.</w:t>
      </w:r>
    </w:p>
    <w:p>
      <w:pPr>
        <w:spacing w:after="0" w:line="93"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202E39"/>
        </w:rPr>
        <w:t xml:space="preserve">5.5 </w:t>
      </w:r>
      <w:r>
        <w:rPr>
          <w:rFonts w:ascii="Arial" w:cs="Arial" w:eastAsia="Arial" w:hAnsi="Arial"/>
          <w:sz w:val="16"/>
          <w:szCs w:val="16"/>
          <w:u w:val="single" w:color="auto"/>
          <w:color w:val="202E39"/>
        </w:rPr>
        <w:t>Ownership and Transfer Restrictions</w:t>
      </w:r>
      <w:r>
        <w:rPr>
          <w:rFonts w:ascii="Arial" w:cs="Arial" w:eastAsia="Arial" w:hAnsi="Arial"/>
          <w:sz w:val="16"/>
          <w:szCs w:val="16"/>
          <w:color w:val="202E39"/>
        </w:rPr>
        <w:t>. The Committee (or Board, in the case of Options granted to Independent Directors),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or book entries evidencing such shares. The Committee may require an</w:t>
      </w:r>
    </w:p>
    <w:p>
      <w:pPr>
        <w:spacing w:after="0" w:line="120"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A-7</w:t>
            </w:r>
          </w:p>
        </w:tc>
      </w:tr>
    </w:tbl>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Employee to give the Company prompt notice of any disposition of shares of Common Stock acquired by exercise of an Incentive Stock Option within</w:t>
      </w:r>
    </w:p>
    <w:p>
      <w:pPr>
        <w:spacing w:after="0" w:line="5" w:lineRule="exact"/>
        <w:rPr>
          <w:sz w:val="20"/>
          <w:szCs w:val="20"/>
          <w:color w:val="auto"/>
        </w:rPr>
      </w:pPr>
    </w:p>
    <w:p>
      <w:pPr>
        <w:ind w:left="200" w:right="80" w:firstLine="4"/>
        <w:spacing w:after="0" w:line="253" w:lineRule="auto"/>
        <w:tabs>
          <w:tab w:leader="none" w:pos="389" w:val="left"/>
        </w:tabs>
        <w:numPr>
          <w:ilvl w:val="0"/>
          <w:numId w:val="60"/>
        </w:numPr>
        <w:rPr>
          <w:rFonts w:ascii="Arial" w:cs="Arial" w:eastAsia="Arial" w:hAnsi="Arial"/>
          <w:sz w:val="16"/>
          <w:szCs w:val="16"/>
          <w:color w:val="202E39"/>
        </w:rPr>
      </w:pPr>
      <w:r>
        <w:rPr>
          <w:rFonts w:ascii="Arial" w:cs="Arial" w:eastAsia="Arial" w:hAnsi="Arial"/>
          <w:sz w:val="16"/>
          <w:szCs w:val="16"/>
          <w:color w:val="202E39"/>
        </w:rPr>
        <w:t>two years from the date of granting such Option to such Employee or (ii) one year after the transfer of such shares to such Employee. The Committee may direct that the certificates or book entries evidencing shares acquired by exercise of an Option refer to such requirement to give prompt notice of disposition.</w:t>
      </w:r>
    </w:p>
    <w:p>
      <w:pPr>
        <w:spacing w:after="0" w:line="93" w:lineRule="exact"/>
        <w:rPr>
          <w:sz w:val="20"/>
          <w:szCs w:val="20"/>
          <w:color w:val="auto"/>
        </w:rPr>
      </w:pPr>
    </w:p>
    <w:p>
      <w:pPr>
        <w:ind w:left="200" w:right="140"/>
        <w:spacing w:after="0" w:line="260" w:lineRule="auto"/>
        <w:rPr>
          <w:sz w:val="20"/>
          <w:szCs w:val="20"/>
          <w:color w:val="auto"/>
        </w:rPr>
      </w:pPr>
      <w:r>
        <w:rPr>
          <w:rFonts w:ascii="Arial" w:cs="Arial" w:eastAsia="Arial" w:hAnsi="Arial"/>
          <w:sz w:val="16"/>
          <w:szCs w:val="16"/>
          <w:color w:val="202E39"/>
        </w:rPr>
        <w:t xml:space="preserve">5.6 </w:t>
      </w:r>
      <w:r>
        <w:rPr>
          <w:rFonts w:ascii="Arial" w:cs="Arial" w:eastAsia="Arial" w:hAnsi="Arial"/>
          <w:sz w:val="16"/>
          <w:szCs w:val="16"/>
          <w:u w:val="single" w:color="auto"/>
          <w:color w:val="202E39"/>
        </w:rPr>
        <w:t>Limitations on Exercise of Options Granted to Independent Directors</w:t>
      </w:r>
      <w:r>
        <w:rPr>
          <w:rFonts w:ascii="Arial" w:cs="Arial" w:eastAsia="Arial" w:hAnsi="Arial"/>
          <w:sz w:val="16"/>
          <w:szCs w:val="16"/>
          <w:color w:val="202E39"/>
        </w:rPr>
        <w:t>. No Option granted to an Independent Director may be exercised to any extent by anyone after the first to occur of the following events:</w:t>
      </w:r>
    </w:p>
    <w:p>
      <w:pPr>
        <w:spacing w:after="0" w:line="88" w:lineRule="exact"/>
        <w:rPr>
          <w:sz w:val="20"/>
          <w:szCs w:val="20"/>
          <w:color w:val="auto"/>
        </w:rPr>
      </w:pPr>
    </w:p>
    <w:p>
      <w:pPr>
        <w:ind w:left="880" w:hanging="236"/>
        <w:spacing w:after="0"/>
        <w:tabs>
          <w:tab w:leader="none" w:pos="880" w:val="left"/>
        </w:tabs>
        <w:numPr>
          <w:ilvl w:val="0"/>
          <w:numId w:val="61"/>
        </w:numPr>
        <w:rPr>
          <w:rFonts w:ascii="Arial" w:cs="Arial" w:eastAsia="Arial" w:hAnsi="Arial"/>
          <w:sz w:val="16"/>
          <w:szCs w:val="16"/>
          <w:color w:val="202E39"/>
        </w:rPr>
      </w:pPr>
      <w:r>
        <w:rPr>
          <w:rFonts w:ascii="Arial" w:cs="Arial" w:eastAsia="Arial" w:hAnsi="Arial"/>
          <w:sz w:val="16"/>
          <w:szCs w:val="16"/>
          <w:color w:val="202E39"/>
        </w:rPr>
        <w:t>The expiration of twelve (12) months from the date of the Optionee’s death;</w:t>
      </w:r>
    </w:p>
    <w:p>
      <w:pPr>
        <w:spacing w:after="0" w:line="113" w:lineRule="exact"/>
        <w:rPr>
          <w:rFonts w:ascii="Arial" w:cs="Arial" w:eastAsia="Arial" w:hAnsi="Arial"/>
          <w:sz w:val="16"/>
          <w:szCs w:val="16"/>
          <w:color w:val="202E39"/>
        </w:rPr>
      </w:pPr>
    </w:p>
    <w:p>
      <w:pPr>
        <w:ind w:left="640" w:right="140" w:firstLine="4"/>
        <w:spacing w:after="0" w:line="260" w:lineRule="auto"/>
        <w:tabs>
          <w:tab w:leader="none" w:pos="883" w:val="left"/>
        </w:tabs>
        <w:numPr>
          <w:ilvl w:val="0"/>
          <w:numId w:val="61"/>
        </w:numPr>
        <w:rPr>
          <w:rFonts w:ascii="Arial" w:cs="Arial" w:eastAsia="Arial" w:hAnsi="Arial"/>
          <w:sz w:val="16"/>
          <w:szCs w:val="16"/>
          <w:color w:val="202E39"/>
        </w:rPr>
      </w:pPr>
      <w:r>
        <w:rPr>
          <w:rFonts w:ascii="Arial" w:cs="Arial" w:eastAsia="Arial" w:hAnsi="Arial"/>
          <w:sz w:val="16"/>
          <w:szCs w:val="16"/>
          <w:color w:val="202E39"/>
        </w:rPr>
        <w:t>The expiration of twelve (12) months from the date of the Optionee’s Termination of Directorship, Termination of Consultancy or Termination of Employment by reason of his permanent and total disability (within the meaning of Section 22(e)(3) of the Code);</w:t>
      </w:r>
    </w:p>
    <w:p>
      <w:pPr>
        <w:spacing w:after="0" w:line="87" w:lineRule="exact"/>
        <w:rPr>
          <w:rFonts w:ascii="Arial" w:cs="Arial" w:eastAsia="Arial" w:hAnsi="Arial"/>
          <w:sz w:val="16"/>
          <w:szCs w:val="16"/>
          <w:color w:val="202E39"/>
        </w:rPr>
      </w:pPr>
    </w:p>
    <w:p>
      <w:pPr>
        <w:ind w:left="640" w:right="820" w:firstLine="4"/>
        <w:spacing w:after="0" w:line="260" w:lineRule="auto"/>
        <w:tabs>
          <w:tab w:leader="none" w:pos="874" w:val="left"/>
        </w:tabs>
        <w:numPr>
          <w:ilvl w:val="0"/>
          <w:numId w:val="61"/>
        </w:numPr>
        <w:rPr>
          <w:rFonts w:ascii="Arial" w:cs="Arial" w:eastAsia="Arial" w:hAnsi="Arial"/>
          <w:sz w:val="16"/>
          <w:szCs w:val="16"/>
          <w:color w:val="202E39"/>
        </w:rPr>
      </w:pPr>
      <w:r>
        <w:rPr>
          <w:rFonts w:ascii="Arial" w:cs="Arial" w:eastAsia="Arial" w:hAnsi="Arial"/>
          <w:sz w:val="16"/>
          <w:szCs w:val="16"/>
          <w:color w:val="202E39"/>
        </w:rPr>
        <w:t>The expiration of three (3) months from the last to occur of the Optionee’s Termination of Directorship, Termination of Consultancy or Termination of Employment, unless the Optionee dies within said three-month period; or</w:t>
      </w:r>
    </w:p>
    <w:p>
      <w:pPr>
        <w:spacing w:after="0" w:line="87" w:lineRule="exact"/>
        <w:rPr>
          <w:rFonts w:ascii="Arial" w:cs="Arial" w:eastAsia="Arial" w:hAnsi="Arial"/>
          <w:sz w:val="16"/>
          <w:szCs w:val="16"/>
          <w:color w:val="202E39"/>
        </w:rPr>
      </w:pPr>
    </w:p>
    <w:p>
      <w:pPr>
        <w:ind w:left="880" w:hanging="236"/>
        <w:spacing w:after="0"/>
        <w:tabs>
          <w:tab w:leader="none" w:pos="880" w:val="left"/>
        </w:tabs>
        <w:numPr>
          <w:ilvl w:val="0"/>
          <w:numId w:val="61"/>
        </w:numPr>
        <w:rPr>
          <w:rFonts w:ascii="Arial" w:cs="Arial" w:eastAsia="Arial" w:hAnsi="Arial"/>
          <w:sz w:val="16"/>
          <w:szCs w:val="16"/>
          <w:color w:val="202E39"/>
        </w:rPr>
      </w:pPr>
      <w:r>
        <w:rPr>
          <w:rFonts w:ascii="Arial" w:cs="Arial" w:eastAsia="Arial" w:hAnsi="Arial"/>
          <w:sz w:val="16"/>
          <w:szCs w:val="16"/>
          <w:color w:val="202E39"/>
        </w:rPr>
        <w:t>The expiration of six (6) years from the date the Option was granted.</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VI. AWARD OF RESTRICTED STOCK</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6.1 </w:t>
      </w:r>
      <w:r>
        <w:rPr>
          <w:rFonts w:ascii="Arial" w:cs="Arial" w:eastAsia="Arial" w:hAnsi="Arial"/>
          <w:sz w:val="16"/>
          <w:szCs w:val="16"/>
          <w:u w:val="single" w:color="auto"/>
          <w:color w:val="202E39"/>
        </w:rPr>
        <w:t>Award of Restricted Stock</w:t>
      </w:r>
      <w:r>
        <w:rPr>
          <w:rFonts w:ascii="Arial" w:cs="Arial" w:eastAsia="Arial" w:hAnsi="Arial"/>
          <w:sz w:val="16"/>
          <w:szCs w:val="16"/>
          <w:color w:val="202E39"/>
        </w:rPr>
        <w:t>.</w:t>
      </w:r>
    </w:p>
    <w:p>
      <w:pPr>
        <w:spacing w:after="0" w:line="113" w:lineRule="exact"/>
        <w:rPr>
          <w:sz w:val="20"/>
          <w:szCs w:val="20"/>
          <w:color w:val="auto"/>
        </w:rPr>
      </w:pPr>
    </w:p>
    <w:p>
      <w:pPr>
        <w:ind w:left="640" w:right="700" w:firstLine="4"/>
        <w:spacing w:after="0" w:line="260" w:lineRule="auto"/>
        <w:tabs>
          <w:tab w:leader="none" w:pos="883" w:val="left"/>
        </w:tabs>
        <w:numPr>
          <w:ilvl w:val="0"/>
          <w:numId w:val="62"/>
        </w:numPr>
        <w:rPr>
          <w:rFonts w:ascii="Arial" w:cs="Arial" w:eastAsia="Arial" w:hAnsi="Arial"/>
          <w:sz w:val="16"/>
          <w:szCs w:val="16"/>
          <w:color w:val="202E39"/>
        </w:rPr>
      </w:pPr>
      <w:r>
        <w:rPr>
          <w:rFonts w:ascii="Arial" w:cs="Arial" w:eastAsia="Arial" w:hAnsi="Arial"/>
          <w:sz w:val="16"/>
          <w:szCs w:val="16"/>
          <w:color w:val="202E39"/>
        </w:rPr>
        <w:t>The Committee (or the Board, in the case of Restricted Stock awarded to Independent Directors) may from time to time, in its absolute discretion:</w:t>
      </w:r>
    </w:p>
    <w:p>
      <w:pPr>
        <w:spacing w:after="0" w:line="87" w:lineRule="exact"/>
        <w:rPr>
          <w:rFonts w:ascii="Arial" w:cs="Arial" w:eastAsia="Arial" w:hAnsi="Arial"/>
          <w:sz w:val="16"/>
          <w:szCs w:val="16"/>
          <w:color w:val="202E39"/>
        </w:rPr>
      </w:pPr>
    </w:p>
    <w:p>
      <w:pPr>
        <w:ind w:left="980" w:right="180" w:hanging="5"/>
        <w:spacing w:after="0" w:line="260" w:lineRule="auto"/>
        <w:tabs>
          <w:tab w:leader="none" w:pos="1169" w:val="left"/>
        </w:tabs>
        <w:numPr>
          <w:ilvl w:val="1"/>
          <w:numId w:val="62"/>
        </w:numPr>
        <w:rPr>
          <w:rFonts w:ascii="Arial" w:cs="Arial" w:eastAsia="Arial" w:hAnsi="Arial"/>
          <w:sz w:val="16"/>
          <w:szCs w:val="16"/>
          <w:color w:val="202E39"/>
        </w:rPr>
      </w:pPr>
      <w:r>
        <w:rPr>
          <w:rFonts w:ascii="Arial" w:cs="Arial" w:eastAsia="Arial" w:hAnsi="Arial"/>
          <w:sz w:val="16"/>
          <w:szCs w:val="16"/>
          <w:color w:val="202E39"/>
        </w:rPr>
        <w:t>Select from among the key Employees, consultants or Independent Directors (including Employees, consultants or Independent Directors who have previously received other awards under this Plan) such of them as in its opinion should be awarded Restricted Stock; and</w:t>
      </w:r>
    </w:p>
    <w:p>
      <w:pPr>
        <w:spacing w:after="0" w:line="87" w:lineRule="exact"/>
        <w:rPr>
          <w:rFonts w:ascii="Arial" w:cs="Arial" w:eastAsia="Arial" w:hAnsi="Arial"/>
          <w:sz w:val="16"/>
          <w:szCs w:val="16"/>
          <w:color w:val="202E39"/>
        </w:rPr>
      </w:pPr>
    </w:p>
    <w:p>
      <w:pPr>
        <w:ind w:left="1200" w:hanging="225"/>
        <w:spacing w:after="0"/>
        <w:tabs>
          <w:tab w:leader="none" w:pos="1200" w:val="left"/>
        </w:tabs>
        <w:numPr>
          <w:ilvl w:val="1"/>
          <w:numId w:val="62"/>
        </w:numPr>
        <w:rPr>
          <w:rFonts w:ascii="Arial" w:cs="Arial" w:eastAsia="Arial" w:hAnsi="Arial"/>
          <w:sz w:val="16"/>
          <w:szCs w:val="16"/>
          <w:color w:val="202E39"/>
        </w:rPr>
      </w:pPr>
      <w:r>
        <w:rPr>
          <w:rFonts w:ascii="Arial" w:cs="Arial" w:eastAsia="Arial" w:hAnsi="Arial"/>
          <w:sz w:val="16"/>
          <w:szCs w:val="16"/>
          <w:color w:val="202E39"/>
        </w:rPr>
        <w:t>Determine the purchase price, if any, and other terms and conditions applicable to such Restricted Stock, consistent with this Plan.</w:t>
      </w:r>
    </w:p>
    <w:p>
      <w:pPr>
        <w:spacing w:after="0" w:line="113" w:lineRule="exact"/>
        <w:rPr>
          <w:rFonts w:ascii="Arial" w:cs="Arial" w:eastAsia="Arial" w:hAnsi="Arial"/>
          <w:sz w:val="16"/>
          <w:szCs w:val="16"/>
          <w:color w:val="202E39"/>
        </w:rPr>
      </w:pPr>
    </w:p>
    <w:p>
      <w:pPr>
        <w:jc w:val="both"/>
        <w:ind w:left="640" w:right="100" w:firstLine="4"/>
        <w:spacing w:after="0" w:line="251" w:lineRule="auto"/>
        <w:tabs>
          <w:tab w:leader="none" w:pos="883" w:val="left"/>
        </w:tabs>
        <w:numPr>
          <w:ilvl w:val="0"/>
          <w:numId w:val="62"/>
        </w:numPr>
        <w:rPr>
          <w:rFonts w:ascii="Arial" w:cs="Arial" w:eastAsia="Arial" w:hAnsi="Arial"/>
          <w:sz w:val="16"/>
          <w:szCs w:val="16"/>
          <w:color w:val="202E39"/>
        </w:rPr>
      </w:pPr>
      <w:r>
        <w:rPr>
          <w:rFonts w:ascii="Arial" w:cs="Arial" w:eastAsia="Arial" w:hAnsi="Arial"/>
          <w:sz w:val="16"/>
          <w:szCs w:val="16"/>
          <w:color w:val="202E39"/>
        </w:rPr>
        <w:t xml:space="preserve">The Committee (or the Board, in the case of Restricted Stock awarded to Independent Directors) shall establish the purchase price, if any, and form of payment for Restricted Stock;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purchase price shall be no less than the par value of the Common Stock to be purchased, unless otherwise permitted by applicable state law. In all cases, legal consideration shall be required for each issuance of Restricted Stock.</w:t>
      </w:r>
    </w:p>
    <w:p>
      <w:pPr>
        <w:spacing w:after="0" w:line="94" w:lineRule="exact"/>
        <w:rPr>
          <w:rFonts w:ascii="Arial" w:cs="Arial" w:eastAsia="Arial" w:hAnsi="Arial"/>
          <w:sz w:val="16"/>
          <w:szCs w:val="16"/>
          <w:color w:val="202E39"/>
        </w:rPr>
      </w:pPr>
    </w:p>
    <w:p>
      <w:pPr>
        <w:ind w:left="640" w:right="80" w:firstLine="4"/>
        <w:spacing w:after="0" w:line="253" w:lineRule="auto"/>
        <w:tabs>
          <w:tab w:leader="none" w:pos="874" w:val="left"/>
        </w:tabs>
        <w:numPr>
          <w:ilvl w:val="0"/>
          <w:numId w:val="62"/>
        </w:numPr>
        <w:rPr>
          <w:rFonts w:ascii="Arial" w:cs="Arial" w:eastAsia="Arial" w:hAnsi="Arial"/>
          <w:sz w:val="16"/>
          <w:szCs w:val="16"/>
          <w:color w:val="202E39"/>
        </w:rPr>
      </w:pPr>
      <w:r>
        <w:rPr>
          <w:rFonts w:ascii="Arial" w:cs="Arial" w:eastAsia="Arial" w:hAnsi="Arial"/>
          <w:sz w:val="16"/>
          <w:szCs w:val="16"/>
          <w:color w:val="202E39"/>
        </w:rPr>
        <w:t>Upon the selection of a key Employee, consultant or Independent Director to be awarded Restricted Stock, the Committee (or the Board, in the case of Restricted Stock awarded to Independent Directors) shall instruct the Secretary of the Company to issue such Restricted Stock and may impose such conditions on the issuance of such Restricted Stock as it deems appropriate.</w:t>
      </w:r>
    </w:p>
    <w:p>
      <w:pPr>
        <w:spacing w:after="0" w:line="93"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202E39"/>
        </w:rPr>
        <w:t xml:space="preserve">6.2 </w:t>
      </w:r>
      <w:r>
        <w:rPr>
          <w:rFonts w:ascii="Arial" w:cs="Arial" w:eastAsia="Arial" w:hAnsi="Arial"/>
          <w:sz w:val="16"/>
          <w:szCs w:val="16"/>
          <w:u w:val="single" w:color="auto"/>
          <w:color w:val="202E39"/>
        </w:rPr>
        <w:t>Restricted Stock Agreement</w:t>
      </w:r>
      <w:r>
        <w:rPr>
          <w:rFonts w:ascii="Arial" w:cs="Arial" w:eastAsia="Arial" w:hAnsi="Arial"/>
          <w:sz w:val="16"/>
          <w:szCs w:val="16"/>
          <w:color w:val="202E39"/>
        </w:rPr>
        <w:t>. Restricted Stock shall be issued only pursuant to a written Restricted Stock Agreement, which shall be executed by the selected key Employee, consultant or Independent Director and an authorized officer of the Company and which shall contain such terms and conditions as the Committee (or the Board, in the case of Restricted Stock granted to an Independent Director) shall determine, consistent with this Plan. The issuance of any shares of Restricted Stock shall be made subject to satisfaction of all provisions of Section 5.3.</w:t>
      </w:r>
    </w:p>
    <w:p>
      <w:pPr>
        <w:spacing w:after="0" w:line="95"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 xml:space="preserve">6.3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issuance of Restricted Stock, in addition to payment of any purchase price, the Restricted Stockholder shall agree, in the written Restricted Stock Agreement, to remain in the employ of, to consult for, or to remain as an Independent Director of, as applicable, the Company or any Subsidiary for a period of at least one year after the Restricted Stock is issued (or such shorter period as may be fixed in the Restricted Stock Agreement or by action of the Committee (or the Board, in the case of Restricted Stock granted to an Independent Director) following grant of the Restricted Stock or, in the case of an Independent Director, until the next annual meeting of stockholders of the Company). Nothing in this Plan or in any Restricted Stock Agreement hereunder shall confer on any Restricted Stockholder any right to continue in the employ of, as a consultant for or as an Independent Director of the Company or any Subsidiary or shall interfere with or restrict in any way the rights of the Company and any Subsidiary, which are hereby expressly reserved, to discharge any Restricted Stockholder at any time for any reason whatsoever, with or without good cause.</w:t>
      </w:r>
    </w:p>
    <w:p>
      <w:pPr>
        <w:spacing w:after="0" w:line="100"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202E39"/>
        </w:rPr>
        <w:t xml:space="preserve">6.4 </w:t>
      </w:r>
      <w:r>
        <w:rPr>
          <w:rFonts w:ascii="Arial" w:cs="Arial" w:eastAsia="Arial" w:hAnsi="Arial"/>
          <w:sz w:val="16"/>
          <w:szCs w:val="16"/>
          <w:u w:val="single" w:color="auto"/>
          <w:color w:val="202E39"/>
        </w:rPr>
        <w:t>Rights as Stockholders</w:t>
      </w:r>
      <w:r>
        <w:rPr>
          <w:rFonts w:ascii="Arial" w:cs="Arial" w:eastAsia="Arial" w:hAnsi="Arial"/>
          <w:sz w:val="16"/>
          <w:szCs w:val="16"/>
          <w:color w:val="202E39"/>
        </w:rPr>
        <w:t xml:space="preserve">. Upon delivery of the shares of Restricted Stock to the escrow holder pursuant to Section 6.7, the Restricted Stockholder shall have, unless otherwise provided by the Committee (or the Board, in the case of Restricted Stock granted to an Independent Director), all the rights of a stockholder with respect to said shares, subject to the restrictions in his Restricted Stock Agreement, including, subject to Section 10.14 and the last sentence of this Section 6.4 below, the right to receive all dividends and other distributions paid or made with respect to the shares;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in the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85090</wp:posOffset>
            </wp:positionV>
            <wp:extent cx="42862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A-8</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202E39"/>
        </w:rPr>
        <w:t>of the Committee (or the Board, in the case of Restricted Stock granted to an Independent Director), any extraordinary distributions with respect to the Common Stock shall be subject to the restrictions set forth in Section 6.5. Notwithstanding the foregoing, with respect to Restricted Stock that is subject to vesting, dividends which are paid prior to vesting shall only be paid out to the Restricted Stockholder to the extent that the vesting conditions are subsequently satisfied and the share of Restricted Stock vests.</w:t>
      </w:r>
    </w:p>
    <w:p>
      <w:pPr>
        <w:spacing w:after="0" w:line="95"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 xml:space="preserve">6.5 </w:t>
      </w:r>
      <w:r>
        <w:rPr>
          <w:rFonts w:ascii="Arial" w:cs="Arial" w:eastAsia="Arial" w:hAnsi="Arial"/>
          <w:sz w:val="16"/>
          <w:szCs w:val="16"/>
          <w:u w:val="single" w:color="auto"/>
          <w:color w:val="202E39"/>
        </w:rPr>
        <w:t>Restriction</w:t>
      </w:r>
      <w:r>
        <w:rPr>
          <w:rFonts w:ascii="Arial" w:cs="Arial" w:eastAsia="Arial" w:hAnsi="Arial"/>
          <w:sz w:val="16"/>
          <w:szCs w:val="16"/>
          <w:color w:val="202E39"/>
        </w:rPr>
        <w:t xml:space="preserve">. All shares of Restricted Stock issued under this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(or the Board, in the case of Restricted Stock granted to an Independent Director) shall provide, which restrictions may include, without limitation, restrictions concerning voting rights and transferability and vesting restrictions based on duration of employment with the Company, Company performance and individual performance; </w:t>
      </w:r>
      <w:r>
        <w:rPr>
          <w:rFonts w:ascii="Arial" w:cs="Arial" w:eastAsia="Arial" w:hAnsi="Arial"/>
          <w:sz w:val="16"/>
          <w:szCs w:val="16"/>
          <w:u w:val="single" w:color="auto"/>
          <w:color w:val="202E39"/>
        </w:rPr>
        <w:t>provided, further</w:t>
      </w:r>
      <w:r>
        <w:rPr>
          <w:rFonts w:ascii="Arial" w:cs="Arial" w:eastAsia="Arial" w:hAnsi="Arial"/>
          <w:sz w:val="16"/>
          <w:szCs w:val="16"/>
          <w:color w:val="202E39"/>
        </w:rPr>
        <w:t>, that by action taken after the Restricted Stock is issued, the Committee (or the Board, in the case of Restricted Stock granted to an Independent Director) may, on such terms and conditions as it may determine to be appropriate, remove any or all of the restrictions imposed by the terms of the Restricted Stock Agreement. Notwithstanding the foregoing, except as permitted under Section 10.3 of the Plan but subject to Section 10.13, shares of Restricted Stock will vest no more rapidly than ratably over a three (3) year period from the date of grant, unless the Committee (or the Board, in the case of Restricted Stock granted to an Independent Director) determines that the Restricted Stock award is to vest upon the achievement of one or more performance goals, in which case the period for measuring performance will be at least twelve (12) months. Restricted Stock may not be sold or encumbered until all restrictions are terminated or expire.</w:t>
      </w:r>
    </w:p>
    <w:p>
      <w:pPr>
        <w:spacing w:after="0" w:line="97"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 xml:space="preserve">6.6 </w:t>
      </w:r>
      <w:r>
        <w:rPr>
          <w:rFonts w:ascii="Arial" w:cs="Arial" w:eastAsia="Arial" w:hAnsi="Arial"/>
          <w:sz w:val="16"/>
          <w:szCs w:val="16"/>
          <w:u w:val="single" w:color="auto"/>
          <w:color w:val="202E39"/>
        </w:rPr>
        <w:t>Repurchase or Forfeiture of Restricted Stock</w:t>
      </w:r>
      <w:r>
        <w:rPr>
          <w:rFonts w:ascii="Arial" w:cs="Arial" w:eastAsia="Arial" w:hAnsi="Arial"/>
          <w:sz w:val="16"/>
          <w:szCs w:val="16"/>
          <w:color w:val="202E39"/>
        </w:rPr>
        <w:t xml:space="preserve">. The Committee (or the Board, in the case of Restricted Stock granted to an Independent Director) shall provide in the terms of each individual Restricted Stock Agreement that the Company shall have the right to repurchase from the Restricted Stockholder the Restricted Stock then subject to restrictions under the Restricted Stock Agreement immediately upon a Termination of Employment, Termination of Consultancy or Termination of Directorship between the Restricted Stockholder and the Company, at a cash price per share equal to the price paid by the Restricted Stockholder for such Restricted Stock;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provision may be made that no such right of repurchase shall exist in the event of a Termination of Employment, Termination of Consultancy or Termination of Directorship without cause, or following a change in control of the Company or because of the Restricted Stockholder’s retirement, death or disability, or otherwise. Unless provided otherwise by the Committee (or the Board, in the case of Restricted Stock granted to an Independent Director), if no cash consideration was paid by the Restricted Stockholder upon issuance, a Restricted Stockholder’s rights in unvested Restricted Stock shall lapse upon the last to occur of Termination of Employment, Termination of Consultancy or Termination of Directorship with the Company.</w:t>
      </w:r>
    </w:p>
    <w:p>
      <w:pPr>
        <w:spacing w:after="0" w:line="98" w:lineRule="exact"/>
        <w:rPr>
          <w:sz w:val="20"/>
          <w:szCs w:val="20"/>
          <w:color w:val="auto"/>
        </w:rPr>
      </w:pPr>
    </w:p>
    <w:p>
      <w:pPr>
        <w:ind w:left="200" w:right="20"/>
        <w:spacing w:after="0" w:line="253" w:lineRule="auto"/>
        <w:rPr>
          <w:sz w:val="20"/>
          <w:szCs w:val="20"/>
          <w:color w:val="auto"/>
        </w:rPr>
      </w:pPr>
      <w:r>
        <w:rPr>
          <w:rFonts w:ascii="Arial" w:cs="Arial" w:eastAsia="Arial" w:hAnsi="Arial"/>
          <w:sz w:val="16"/>
          <w:szCs w:val="16"/>
          <w:color w:val="202E39"/>
        </w:rPr>
        <w:t xml:space="preserve">6.7 </w:t>
      </w:r>
      <w:r>
        <w:rPr>
          <w:rFonts w:ascii="Arial" w:cs="Arial" w:eastAsia="Arial" w:hAnsi="Arial"/>
          <w:sz w:val="16"/>
          <w:szCs w:val="16"/>
          <w:u w:val="single" w:color="auto"/>
          <w:color w:val="202E39"/>
        </w:rPr>
        <w:t>Escrow</w:t>
      </w:r>
      <w:r>
        <w:rPr>
          <w:rFonts w:ascii="Arial" w:cs="Arial" w:eastAsia="Arial" w:hAnsi="Arial"/>
          <w:sz w:val="16"/>
          <w:szCs w:val="16"/>
          <w:color w:val="202E39"/>
        </w:rPr>
        <w:t>. The Secretary of the Company or such other escrow holder as the Committee (or the Board, in the case of Restricted Stock granted to an Independent Director)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93" w:lineRule="exact"/>
        <w:rPr>
          <w:sz w:val="20"/>
          <w:szCs w:val="20"/>
          <w:color w:val="auto"/>
        </w:rPr>
      </w:pPr>
    </w:p>
    <w:p>
      <w:pPr>
        <w:ind w:left="200" w:right="120"/>
        <w:spacing w:after="0" w:line="251" w:lineRule="auto"/>
        <w:rPr>
          <w:sz w:val="20"/>
          <w:szCs w:val="20"/>
          <w:color w:val="auto"/>
        </w:rPr>
      </w:pPr>
      <w:r>
        <w:rPr>
          <w:rFonts w:ascii="Arial" w:cs="Arial" w:eastAsia="Arial" w:hAnsi="Arial"/>
          <w:sz w:val="16"/>
          <w:szCs w:val="16"/>
          <w:color w:val="202E39"/>
        </w:rPr>
        <w:t xml:space="preserve">6.8 </w:t>
      </w:r>
      <w:r>
        <w:rPr>
          <w:rFonts w:ascii="Arial" w:cs="Arial" w:eastAsia="Arial" w:hAnsi="Arial"/>
          <w:sz w:val="16"/>
          <w:szCs w:val="16"/>
          <w:u w:val="single" w:color="auto"/>
          <w:color w:val="202E39"/>
        </w:rPr>
        <w:t>Legend</w:t>
      </w:r>
      <w:r>
        <w:rPr>
          <w:rFonts w:ascii="Arial" w:cs="Arial" w:eastAsia="Arial" w:hAnsi="Arial"/>
          <w:sz w:val="16"/>
          <w:szCs w:val="16"/>
          <w:color w:val="202E39"/>
        </w:rPr>
        <w:t>. In order to enforce the restrictions imposed upon shares of Restricted Stock hereunder, the Committee (or the Board, in the case of Restricted Stock granted to an Independent Director) shall cause a legend or legends to be placed on certificates or book entries representing all shares of Restricted Stock that are still subject to restrictions under Restricted Stock Agreements, which legend or legends shall make appropriate reference to the conditions imposed thereby.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202E39"/>
        </w:rPr>
        <w:t>ARTICLE VII. PERFORMANCE AWARDS, DIVIDEND EQUIVALENTS, RESTRICTED STOCK UNITS, STOCK PAYMENTS</w:t>
      </w:r>
    </w:p>
    <w:p>
      <w:pPr>
        <w:spacing w:after="0" w:line="135" w:lineRule="exact"/>
        <w:rPr>
          <w:sz w:val="20"/>
          <w:szCs w:val="20"/>
          <w:color w:val="auto"/>
        </w:rPr>
      </w:pPr>
    </w:p>
    <w:p>
      <w:pPr>
        <w:ind w:left="200" w:right="120"/>
        <w:spacing w:after="0" w:line="246" w:lineRule="auto"/>
        <w:rPr>
          <w:sz w:val="20"/>
          <w:szCs w:val="20"/>
          <w:color w:val="auto"/>
        </w:rPr>
      </w:pPr>
      <w:r>
        <w:rPr>
          <w:rFonts w:ascii="Arial" w:cs="Arial" w:eastAsia="Arial" w:hAnsi="Arial"/>
          <w:sz w:val="16"/>
          <w:szCs w:val="16"/>
          <w:color w:val="202E39"/>
        </w:rPr>
        <w:t xml:space="preserve">7.1 </w:t>
      </w:r>
      <w:r>
        <w:rPr>
          <w:rFonts w:ascii="Arial" w:cs="Arial" w:eastAsia="Arial" w:hAnsi="Arial"/>
          <w:sz w:val="16"/>
          <w:szCs w:val="16"/>
          <w:u w:val="single" w:color="auto"/>
          <w:color w:val="202E39"/>
        </w:rPr>
        <w:t>Performance Awards</w:t>
      </w:r>
      <w:r>
        <w:rPr>
          <w:rFonts w:ascii="Arial" w:cs="Arial" w:eastAsia="Arial" w:hAnsi="Arial"/>
          <w:sz w:val="16"/>
          <w:szCs w:val="16"/>
          <w:color w:val="202E39"/>
        </w:rPr>
        <w:t>. Any key Employee, consultant or Independent Director selected by the Committee (or the Board, in the case of an award to an Independent Director) may be granted one or more Performance Awards. The Committee shall select the performance criteria (and any permissible adjustments) for each Performance Award for purposes of establishing the performance goal or performance goals applicable to such Performance Award for the designated performance period. The performance criteria that may be used to establish such performance goals may include, but are not limited to, the following: (a) net earnings (either before or after one or more of the following: (i) interest, (ii) taxes, (iii) depreciation and (iv) amortization),</w:t>
      </w:r>
    </w:p>
    <w:p>
      <w:pPr>
        <w:spacing w:after="0" w:line="2" w:lineRule="exact"/>
        <w:rPr>
          <w:sz w:val="20"/>
          <w:szCs w:val="20"/>
          <w:color w:val="auto"/>
        </w:rPr>
      </w:pPr>
    </w:p>
    <w:p>
      <w:pPr>
        <w:ind w:left="200" w:right="160" w:firstLine="4"/>
        <w:spacing w:after="0" w:line="248" w:lineRule="auto"/>
        <w:tabs>
          <w:tab w:leader="none" w:pos="443" w:val="left"/>
        </w:tabs>
        <w:numPr>
          <w:ilvl w:val="0"/>
          <w:numId w:val="63"/>
        </w:numPr>
        <w:rPr>
          <w:rFonts w:ascii="Arial" w:cs="Arial" w:eastAsia="Arial" w:hAnsi="Arial"/>
          <w:sz w:val="16"/>
          <w:szCs w:val="16"/>
          <w:color w:val="202E39"/>
        </w:rPr>
      </w:pPr>
      <w:r>
        <w:rPr>
          <w:rFonts w:ascii="Arial" w:cs="Arial" w:eastAsia="Arial" w:hAnsi="Arial"/>
          <w:sz w:val="16"/>
          <w:szCs w:val="16"/>
          <w:color w:val="202E39"/>
        </w:rPr>
        <w:t>gross or net sales or revenue, (c) net income (either before or after taxes), (d) operating earnings or profit, (e) cash flow (including, but not limited to, operating cash flow and free cash flow), (f) return on assets, (g) return on capital, (h) return on stockholders’ equity, (i) return on sales, (j) gross or net profit or operating margin, (k) costs, (l) funds from operations, (m) expenses, (n) working capital, (o) earnings per share, or (p) price per share of the Common Stock, any of which may be measured either in absolute terms or as compared to any incremental increase or decrease or as compared to results of a peer group or to market performance indicators. The performance goals for a performance period may be established in writing by the Committee (or the Board, in the case of an award to an Independent Director) based on one or more of the foregoing performance criteria, which goals may be expressed in terms of overall Company performance or the</w:t>
      </w:r>
    </w:p>
    <w:p>
      <w:pPr>
        <w:spacing w:after="0" w:line="126"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A-9</w:t>
            </w:r>
          </w:p>
        </w:tc>
      </w:tr>
    </w:tbl>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202E39"/>
        </w:rPr>
        <w:t>performance of a division, business unit or an individual. In making such determinations, the Committee (or the Board, in the case of an award to an Independent Director) may consider (among such other factors as it deems relevant in light of the specific type of award) the contributions, responsibilities and other compensation of the particular key Employee, consultant or Independent Director.</w:t>
      </w:r>
    </w:p>
    <w:p>
      <w:pPr>
        <w:spacing w:after="0" w:line="93"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 xml:space="preserve">7.2 </w:t>
      </w:r>
      <w:r>
        <w:rPr>
          <w:rFonts w:ascii="Arial" w:cs="Arial" w:eastAsia="Arial" w:hAnsi="Arial"/>
          <w:sz w:val="16"/>
          <w:szCs w:val="16"/>
          <w:u w:val="single" w:color="auto"/>
          <w:color w:val="202E39"/>
        </w:rPr>
        <w:t>Dividend Equivalents</w:t>
      </w:r>
      <w:r>
        <w:rPr>
          <w:rFonts w:ascii="Arial" w:cs="Arial" w:eastAsia="Arial" w:hAnsi="Arial"/>
          <w:sz w:val="16"/>
          <w:szCs w:val="16"/>
          <w:color w:val="202E39"/>
        </w:rPr>
        <w:t>. Any key Employee, consultant or Independent Director selected by the Committee (or the Board, in the case of an award to an Independent Director) may be granted Dividend Equivalents based on the dividends declared on Common Stock, to be credited as of dividend payment dates, during the period between the date an Option, Stock Appreciation Right, Restricted Stock Unit or Performance Award is granted, and the date such Option, Stock Appreciation Right, Restricted Stock Unit or Performance Award is exercised, vests or expires, as determined by the Committee (or the Board, in the case of an award to an Independent Director). Subject to Section 10.14, such Dividend Equivalents shall be converted to cash or additional shares of Common Stock by such formula and at such time and subject to such limitations as may be determined by the Committee (or the Board, in the case of an award to an Independent Director). Notwithstanding the foregoing, no Dividend Equivalents shall be payable with respect to Options or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-863600</wp:posOffset>
            </wp:positionV>
            <wp:extent cx="285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80" w:lineRule="exact"/>
        <w:rPr>
          <w:sz w:val="20"/>
          <w:szCs w:val="20"/>
          <w:color w:val="auto"/>
        </w:rPr>
      </w:pPr>
    </w:p>
    <w:p>
      <w:pPr>
        <w:ind w:left="200" w:right="100"/>
        <w:spacing w:after="0" w:line="250" w:lineRule="auto"/>
        <w:rPr>
          <w:sz w:val="20"/>
          <w:szCs w:val="20"/>
          <w:color w:val="auto"/>
        </w:rPr>
      </w:pPr>
      <w:r>
        <w:rPr>
          <w:rFonts w:ascii="Arial" w:cs="Arial" w:eastAsia="Arial" w:hAnsi="Arial"/>
          <w:sz w:val="16"/>
          <w:szCs w:val="16"/>
          <w:color w:val="202E39"/>
        </w:rPr>
        <w:t xml:space="preserve">7.3 </w:t>
      </w:r>
      <w:r>
        <w:rPr>
          <w:rFonts w:ascii="Arial" w:cs="Arial" w:eastAsia="Arial" w:hAnsi="Arial"/>
          <w:sz w:val="16"/>
          <w:szCs w:val="16"/>
          <w:u w:val="single" w:color="auto"/>
          <w:color w:val="202E39"/>
        </w:rPr>
        <w:t>Stock Payments</w:t>
      </w:r>
      <w:r>
        <w:rPr>
          <w:rFonts w:ascii="Arial" w:cs="Arial" w:eastAsia="Arial" w:hAnsi="Arial"/>
          <w:sz w:val="16"/>
          <w:szCs w:val="16"/>
          <w:color w:val="202E39"/>
        </w:rPr>
        <w:t>. Any key Employee, consultant or Independent Director selected by the Committee (or the Board, in the case of an award to an Independent Director) may receive Stock Payments in the manner determined from time to time by the Committee. The number of shares shall be determined by the Committee (or the Board, in the case of an award to an Independent Director) and may be based upon the Fair Market Value, book value, net profits or other measure of the value of Common Stock or other specific performance criteria determined appropriate by the Committee (or the Board, in the case of an award to an Independent Director), determined on the date such Stock Payment is made or on any date thereafter.</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7.4 </w:t>
      </w:r>
      <w:r>
        <w:rPr>
          <w:rFonts w:ascii="Arial" w:cs="Arial" w:eastAsia="Arial" w:hAnsi="Arial"/>
          <w:sz w:val="16"/>
          <w:szCs w:val="16"/>
          <w:u w:val="single" w:color="auto"/>
          <w:color w:val="202E39"/>
        </w:rPr>
        <w:t>Restricted Stock Units</w:t>
      </w:r>
      <w:r>
        <w:rPr>
          <w:rFonts w:ascii="Arial" w:cs="Arial" w:eastAsia="Arial" w:hAnsi="Arial"/>
          <w:sz w:val="16"/>
          <w:szCs w:val="16"/>
          <w:color w:val="202E39"/>
        </w:rPr>
        <w:t>.</w:t>
      </w:r>
    </w:p>
    <w:p>
      <w:pPr>
        <w:spacing w:after="0" w:line="113" w:lineRule="exact"/>
        <w:rPr>
          <w:sz w:val="20"/>
          <w:szCs w:val="20"/>
          <w:color w:val="auto"/>
        </w:rPr>
      </w:pPr>
    </w:p>
    <w:p>
      <w:pPr>
        <w:ind w:left="640" w:right="100" w:firstLine="4"/>
        <w:spacing w:after="0" w:line="248" w:lineRule="auto"/>
        <w:tabs>
          <w:tab w:leader="none" w:pos="883" w:val="left"/>
        </w:tabs>
        <w:numPr>
          <w:ilvl w:val="0"/>
          <w:numId w:val="64"/>
        </w:numPr>
        <w:rPr>
          <w:rFonts w:ascii="Arial" w:cs="Arial" w:eastAsia="Arial" w:hAnsi="Arial"/>
          <w:sz w:val="16"/>
          <w:szCs w:val="16"/>
          <w:color w:val="202E39"/>
        </w:rPr>
      </w:pPr>
      <w:r>
        <w:rPr>
          <w:rFonts w:ascii="Arial" w:cs="Arial" w:eastAsia="Arial" w:hAnsi="Arial"/>
          <w:sz w:val="16"/>
          <w:szCs w:val="16"/>
          <w:color w:val="202E39"/>
        </w:rPr>
        <w:t>Any key Employee, consultant or Independent Director selected by the Committee (or the Board, in the case of an award to an Independent Director) may be granted an award of Restricted Stock Units in the manner determined from time to time by the Committee. The number of shares subject to a Restricted Stock Unit award shall be determined by the Committee (or the Board, in the case of an award to an Independent Director). Common Stock underlying a Restricted Stock Unit award will not be issued until the Restricted Stock Unit award has vested. Unless otherwise provided by the Committee (or the Board, in the case of an award to an Independent Director), a Grantee of Restricted Stock Units shall have no rights as a Company stockholder with respect to the shares of Common Stock underlying such Restricted Stock Units until such time as the award has vested and such Common Stock underlying the award has been issued.</w:t>
      </w:r>
    </w:p>
    <w:p>
      <w:pPr>
        <w:spacing w:after="0" w:line="100" w:lineRule="exact"/>
        <w:rPr>
          <w:rFonts w:ascii="Arial" w:cs="Arial" w:eastAsia="Arial" w:hAnsi="Arial"/>
          <w:sz w:val="16"/>
          <w:szCs w:val="16"/>
          <w:color w:val="202E39"/>
        </w:rPr>
      </w:pPr>
    </w:p>
    <w:p>
      <w:pPr>
        <w:ind w:left="640" w:right="40" w:firstLine="4"/>
        <w:spacing w:after="0" w:line="247" w:lineRule="auto"/>
        <w:tabs>
          <w:tab w:leader="none" w:pos="883" w:val="left"/>
        </w:tabs>
        <w:numPr>
          <w:ilvl w:val="0"/>
          <w:numId w:val="64"/>
        </w:numPr>
        <w:rPr>
          <w:rFonts w:ascii="Arial" w:cs="Arial" w:eastAsia="Arial" w:hAnsi="Arial"/>
          <w:sz w:val="16"/>
          <w:szCs w:val="16"/>
          <w:color w:val="202E39"/>
        </w:rPr>
      </w:pPr>
      <w:r>
        <w:rPr>
          <w:rFonts w:ascii="Arial" w:cs="Arial" w:eastAsia="Arial" w:hAnsi="Arial"/>
          <w:sz w:val="16"/>
          <w:szCs w:val="16"/>
          <w:color w:val="202E39"/>
        </w:rPr>
        <w:t xml:space="preserve">During the term of the Plan thereafter, each person who is initially elected or appointed to the Board and who is an Independent Director at the time of such initial election or appointment shall automatically be granted an award of Three Thousand (3,000) Restricted Stock Units (subject to adjustment as provided in Section 10.3) on the date of such initial election or appointment, which Restricted Stock Unit award will vest in three equal installments on each of the first three anniversaries of the date of grant, subject to the Independent Director’s continued service as a Director on each such vesting date. In addition, during the term of the Plan thereafter, each Independent Director shall automatically be granted an award of One Thousand Six Hundred (1,600) Restricted Stock Units (subject to adjustment as provided in Section 10.3) on the date of each annual meeting of stockholders after his or her initial election or appointment to the Board at which directors are elected to the Board, which Restricted Stock Unit award will vest on the first anniversary of the date of grant, subject to the Independent Director’s continued service as a Director on such vesting date;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a person who is initially elected to the Board at an annual meeting of stockholders and who is an Independent Director at the time of such initial election shall receive only an initial Restricted Stock Unit award on the date of such election pursuant to the preceding sentence and shall not receive a Restricted Stock Unit award pursuant to this sentence until the date of the next annual meeting of stockholders following such initial election. Members of the Board who are employees of the Company who subsequently retire from the Company and remain on the Board will not receive an initial Restricted Stock Unit award pursuant to the first sentence of this Section 7.4(b), but to the extent that they are otherwise eligible, will receive, after retirement from employment with the Company, Restricted Stock Unit awards as described in the second sentence of this Section 7.4(b).</w:t>
      </w:r>
    </w:p>
    <w:p>
      <w:pPr>
        <w:spacing w:after="0" w:line="104"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202E39"/>
        </w:rPr>
        <w:t xml:space="preserve">7.5 </w:t>
      </w:r>
      <w:r>
        <w:rPr>
          <w:rFonts w:ascii="Arial" w:cs="Arial" w:eastAsia="Arial" w:hAnsi="Arial"/>
          <w:sz w:val="16"/>
          <w:szCs w:val="16"/>
          <w:u w:val="single" w:color="auto"/>
          <w:color w:val="202E39"/>
        </w:rPr>
        <w:t>Performance Award Agreement, Dividend Equivalent Agreement, Restricted Stock Unit Agreement, Stock Payment Agreement</w:t>
      </w:r>
      <w:r>
        <w:rPr>
          <w:rFonts w:ascii="Arial" w:cs="Arial" w:eastAsia="Arial" w:hAnsi="Arial"/>
          <w:sz w:val="16"/>
          <w:szCs w:val="16"/>
          <w:color w:val="202E39"/>
        </w:rPr>
        <w:t>. Each Performance Award, Dividend Equivalent, award of Restricted Stock Units and/or Stock Payment shall be evidenced by a written agreement, which shall be executed by the Grantee and an authorized Officer of the Company and which shall contain such terms and conditions as the Committee (or the Board, in the case of an award to an Independent Director) shall determine, consistent with this Plan.</w:t>
      </w:r>
    </w:p>
    <w:p>
      <w:pPr>
        <w:spacing w:after="0" w:line="95"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202E39"/>
        </w:rPr>
        <w:t xml:space="preserve">7.6 </w:t>
      </w:r>
      <w:r>
        <w:rPr>
          <w:rFonts w:ascii="Arial" w:cs="Arial" w:eastAsia="Arial" w:hAnsi="Arial"/>
          <w:sz w:val="16"/>
          <w:szCs w:val="16"/>
          <w:u w:val="single" w:color="auto"/>
          <w:color w:val="202E39"/>
        </w:rPr>
        <w:t>Term</w:t>
      </w:r>
      <w:r>
        <w:rPr>
          <w:rFonts w:ascii="Arial" w:cs="Arial" w:eastAsia="Arial" w:hAnsi="Arial"/>
          <w:sz w:val="16"/>
          <w:szCs w:val="16"/>
          <w:color w:val="202E39"/>
        </w:rPr>
        <w:t>. The term of a Performance Award, Dividend Equivalent, award of Restricted Stock Unit and/or Stock Payment shall be set by the Committee (or the Board, in the case of an award to an Independent Director) in its discretion.</w:t>
      </w:r>
    </w:p>
    <w:p>
      <w:pPr>
        <w:spacing w:after="0" w:line="88" w:lineRule="exact"/>
        <w:rPr>
          <w:sz w:val="20"/>
          <w:szCs w:val="20"/>
          <w:color w:val="auto"/>
        </w:rPr>
      </w:pPr>
    </w:p>
    <w:p>
      <w:pPr>
        <w:ind w:left="200" w:right="60"/>
        <w:spacing w:after="0" w:line="253" w:lineRule="auto"/>
        <w:rPr>
          <w:sz w:val="20"/>
          <w:szCs w:val="20"/>
          <w:color w:val="auto"/>
        </w:rPr>
      </w:pPr>
      <w:r>
        <w:rPr>
          <w:rFonts w:ascii="Arial" w:cs="Arial" w:eastAsia="Arial" w:hAnsi="Arial"/>
          <w:sz w:val="16"/>
          <w:szCs w:val="16"/>
          <w:color w:val="202E39"/>
        </w:rPr>
        <w:t xml:space="preserve">7.7 </w:t>
      </w:r>
      <w:r>
        <w:rPr>
          <w:rFonts w:ascii="Arial" w:cs="Arial" w:eastAsia="Arial" w:hAnsi="Arial"/>
          <w:sz w:val="16"/>
          <w:szCs w:val="16"/>
          <w:u w:val="single" w:color="auto"/>
          <w:color w:val="202E39"/>
        </w:rPr>
        <w:t>Exercise Upon Termination of Employment</w:t>
      </w:r>
      <w:r>
        <w:rPr>
          <w:rFonts w:ascii="Arial" w:cs="Arial" w:eastAsia="Arial" w:hAnsi="Arial"/>
          <w:sz w:val="16"/>
          <w:szCs w:val="16"/>
          <w:color w:val="202E39"/>
        </w:rPr>
        <w:t>. A Performance Award, Dividend Equivalent, award of Restricted Stock Unit and/or Stock Payment is exercisable or payable only while the Grantee is an Employee, consultant or Independent Director; provided that the Committee may (or the Board, in the case of an award to an Independent Director) determine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83820</wp:posOffset>
            </wp:positionV>
            <wp:extent cx="428625"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A-10</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200" w:right="20"/>
        <w:spacing w:after="0" w:line="253" w:lineRule="auto"/>
        <w:rPr>
          <w:sz w:val="20"/>
          <w:szCs w:val="20"/>
          <w:color w:val="auto"/>
        </w:rPr>
      </w:pPr>
      <w:r>
        <w:rPr>
          <w:rFonts w:ascii="Arial" w:cs="Arial" w:eastAsia="Arial" w:hAnsi="Arial"/>
          <w:sz w:val="16"/>
          <w:szCs w:val="16"/>
          <w:color w:val="202E39"/>
        </w:rPr>
        <w:t>Performance Award, Dividend Equivalent, award of Restricted Stock Unit and/or Stock Payment may be exercised or paid subsequent to Termination of Employment, Termination of Consultancy or Termination of Directorship without cause, or following a change in control of the Company, or because of the Grantee’s retirement, death or disability, or otherwise.</w:t>
      </w:r>
    </w:p>
    <w:p>
      <w:pPr>
        <w:spacing w:after="0" w:line="93"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202E39"/>
        </w:rPr>
        <w:t xml:space="preserve">7.8 </w:t>
      </w:r>
      <w:r>
        <w:rPr>
          <w:rFonts w:ascii="Arial" w:cs="Arial" w:eastAsia="Arial" w:hAnsi="Arial"/>
          <w:sz w:val="16"/>
          <w:szCs w:val="16"/>
          <w:u w:val="single" w:color="auto"/>
          <w:color w:val="202E39"/>
        </w:rPr>
        <w:t>Payment on Exercise</w:t>
      </w:r>
      <w:r>
        <w:rPr>
          <w:rFonts w:ascii="Arial" w:cs="Arial" w:eastAsia="Arial" w:hAnsi="Arial"/>
          <w:sz w:val="16"/>
          <w:szCs w:val="16"/>
          <w:color w:val="202E39"/>
        </w:rPr>
        <w:t>. Payment of the amount determined under Section 7.1 or 7.2 above shall be in cash, in Common Stock or a combination of both, as determined by the Committee (or the Board, in the case of an award to an Independent Director). To the extent any payment under this Article VII is effected in Common Stock, it shall be made subject to satisfaction of all provisions of Section 5.3.</w:t>
      </w:r>
    </w:p>
    <w:p>
      <w:pPr>
        <w:spacing w:after="0" w:line="93"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 xml:space="preserve">7.9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issuance of a Performance Award, Dividend Equivalent, award of Restricted Stock Unit and/or Stock Payment, the Grantee shall agree, in a written agreement, to remain in the employ of, to consult for, or to remain as an Independent Director of, as applicable, the Company or any Subsidiary for a period of at least one year after such Performance Award, Dividend Equivalent, award of Restricted Stock Unit and/or Stock Payment is granted (or such shorter period as may be fixed in such agreement or by action of the Committee (or the Board, in the case of an award to an Independent Director) following such grant or, in the case of an Independent Director, until the next annual meeting of stockholders of the Company). Nothing in this Plan or in any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VIII. STOCK APPRECIATION RIGHTS</w:t>
      </w:r>
    </w:p>
    <w:p>
      <w:pPr>
        <w:spacing w:after="0" w:line="124" w:lineRule="exact"/>
        <w:rPr>
          <w:sz w:val="20"/>
          <w:szCs w:val="20"/>
          <w:color w:val="auto"/>
        </w:rPr>
      </w:pPr>
    </w:p>
    <w:p>
      <w:pPr>
        <w:ind w:left="200" w:right="80"/>
        <w:spacing w:after="0" w:line="246" w:lineRule="auto"/>
        <w:rPr>
          <w:sz w:val="20"/>
          <w:szCs w:val="20"/>
          <w:color w:val="auto"/>
        </w:rPr>
      </w:pPr>
      <w:r>
        <w:rPr>
          <w:rFonts w:ascii="Arial" w:cs="Arial" w:eastAsia="Arial" w:hAnsi="Arial"/>
          <w:sz w:val="16"/>
          <w:szCs w:val="16"/>
          <w:color w:val="202E39"/>
        </w:rPr>
        <w:t xml:space="preserve">8.1 </w:t>
      </w:r>
      <w:r>
        <w:rPr>
          <w:rFonts w:ascii="Arial" w:cs="Arial" w:eastAsia="Arial" w:hAnsi="Arial"/>
          <w:sz w:val="16"/>
          <w:szCs w:val="16"/>
          <w:u w:val="single" w:color="auto"/>
          <w:color w:val="202E39"/>
        </w:rPr>
        <w:t>Grant of Stock Appreciation Rights</w:t>
      </w:r>
      <w:r>
        <w:rPr>
          <w:rFonts w:ascii="Arial" w:cs="Arial" w:eastAsia="Arial" w:hAnsi="Arial"/>
          <w:sz w:val="16"/>
          <w:szCs w:val="16"/>
          <w:color w:val="202E39"/>
        </w:rPr>
        <w:t xml:space="preserve">. A Stock Appreciation Right may be granted to any key Employee, consultant or Independent Director selected by the Committee (or the Board, in the case of an award to an Independent Director). A Stock Appreciation Right may be granted (i) in connection and simultaneously with the grant of an Option, (ii) with respect to a previously granted Option, or (iii) independent of an Option. A Stock Appreciation Right shall be subject to such terms and conditions not inconsistent with this Plan as the Committee (or the Board, in the case of an award to an Independent Director) shall impose and shall be evidenced by a written Stock Appreciation Right Agreement, which shall be executed by the Grantee and an authorized officer of the Company;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xml:space="preserve">, that no Stock Appreciation Right shall have a term longer than six (6) years from the date the Stock Appreciation Right is granted. Without limiting the generality of the foregoing, the Committee may, in its discretion and on such terms as it deems appropriate, require as a condition of the grant of a Stock Appreciation Right to an Employee, consultant or Independent Director that the Employee, consultant or Independent Director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Subject to Section 3.4(b), a Stock Appreciation Right, the grant of which is conditioned upon such surrender, may have an exercise price lower (or higher) than the exercise price of the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except as permitted under Section 10.3 of the Plan, no Stock Appreciation Right shall, without stockholder approval, be</w:t>
      </w:r>
    </w:p>
    <w:p>
      <w:pPr>
        <w:spacing w:after="0" w:line="7" w:lineRule="exact"/>
        <w:rPr>
          <w:sz w:val="20"/>
          <w:szCs w:val="20"/>
          <w:color w:val="auto"/>
        </w:rPr>
      </w:pPr>
    </w:p>
    <w:p>
      <w:pPr>
        <w:ind w:left="200" w:right="600" w:firstLine="4"/>
        <w:spacing w:after="0" w:line="260" w:lineRule="auto"/>
        <w:tabs>
          <w:tab w:leader="none" w:pos="389" w:val="left"/>
        </w:tabs>
        <w:numPr>
          <w:ilvl w:val="0"/>
          <w:numId w:val="65"/>
        </w:numPr>
        <w:rPr>
          <w:rFonts w:ascii="Arial" w:cs="Arial" w:eastAsia="Arial" w:hAnsi="Arial"/>
          <w:sz w:val="16"/>
          <w:szCs w:val="16"/>
          <w:color w:val="202E39"/>
        </w:rPr>
      </w:pPr>
      <w:r>
        <w:rPr>
          <w:rFonts w:ascii="Arial" w:cs="Arial" w:eastAsia="Arial" w:hAnsi="Arial"/>
          <w:sz w:val="16"/>
          <w:szCs w:val="16"/>
          <w:color w:val="202E39"/>
        </w:rPr>
        <w:t>repriced, exchanged for an Option or Stock Appreciation Right with a lower price or otherwise modified where the effect would be to reduce the exercise price of the Stock Appreciation Right; or (ii) exchanged for cash or an alternate award under the Plan.</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8.2 </w:t>
      </w:r>
      <w:r>
        <w:rPr>
          <w:rFonts w:ascii="Arial" w:cs="Arial" w:eastAsia="Arial" w:hAnsi="Arial"/>
          <w:sz w:val="16"/>
          <w:szCs w:val="16"/>
          <w:u w:val="single" w:color="auto"/>
          <w:color w:val="202E39"/>
        </w:rPr>
        <w:t>Coupled Stock Appreciation Rights</w:t>
      </w:r>
      <w:r>
        <w:rPr>
          <w:rFonts w:ascii="Arial" w:cs="Arial" w:eastAsia="Arial" w:hAnsi="Arial"/>
          <w:sz w:val="16"/>
          <w:szCs w:val="16"/>
          <w:color w:val="202E39"/>
        </w:rPr>
        <w:t>.</w:t>
      </w:r>
    </w:p>
    <w:p>
      <w:pPr>
        <w:spacing w:after="0" w:line="113" w:lineRule="exact"/>
        <w:rPr>
          <w:sz w:val="20"/>
          <w:szCs w:val="20"/>
          <w:color w:val="auto"/>
        </w:rPr>
      </w:pPr>
    </w:p>
    <w:p>
      <w:pPr>
        <w:ind w:left="640" w:right="280" w:firstLine="4"/>
        <w:spacing w:after="0" w:line="260" w:lineRule="auto"/>
        <w:tabs>
          <w:tab w:leader="none" w:pos="883"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A Coupled Stock Appreciation Right (“CSAR”) shall be related to a particular Option and shall be exercisable only when and to the extent the related Option is exercisable.</w:t>
      </w:r>
    </w:p>
    <w:p>
      <w:pPr>
        <w:spacing w:after="0" w:line="87" w:lineRule="exact"/>
        <w:rPr>
          <w:rFonts w:ascii="Arial" w:cs="Arial" w:eastAsia="Arial" w:hAnsi="Arial"/>
          <w:sz w:val="16"/>
          <w:szCs w:val="16"/>
          <w:color w:val="202E39"/>
        </w:rPr>
      </w:pPr>
    </w:p>
    <w:p>
      <w:pPr>
        <w:ind w:left="640" w:right="280" w:firstLine="4"/>
        <w:spacing w:after="0" w:line="260" w:lineRule="auto"/>
        <w:tabs>
          <w:tab w:leader="none" w:pos="883"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A CSAR may be granted to the Grantee for no more than the number of shares subject to the simultaneously or previously granted Option to which it is coupled.</w:t>
      </w:r>
    </w:p>
    <w:p>
      <w:pPr>
        <w:spacing w:after="0" w:line="87" w:lineRule="exact"/>
        <w:rPr>
          <w:rFonts w:ascii="Arial" w:cs="Arial" w:eastAsia="Arial" w:hAnsi="Arial"/>
          <w:sz w:val="16"/>
          <w:szCs w:val="16"/>
          <w:color w:val="202E39"/>
        </w:rPr>
      </w:pPr>
    </w:p>
    <w:p>
      <w:pPr>
        <w:ind w:left="640" w:right="120" w:firstLine="4"/>
        <w:spacing w:after="0" w:line="250" w:lineRule="auto"/>
        <w:tabs>
          <w:tab w:leader="none" w:pos="874"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A CSAR shall entitle the Grantee (or other person entitled to exercise the Option pursuant to this Plan) to surrender to the Company unexercised a portion of the Option to which the CSAR relates (to the extent then exercisable pursuant to its terms) and to receive from the Company in exchange therefor an amount determined by multiplying the difference obtained by subtracting the Option exercise price from the Fair Market Value of a share of Common Stock on the date of exercise of the CSAR by the number of shares of Common Stock with respect to which the CSAR shall have been exercised, subject to any limitations the Committee may impose.</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8.3 </w:t>
      </w:r>
      <w:r>
        <w:rPr>
          <w:rFonts w:ascii="Arial" w:cs="Arial" w:eastAsia="Arial" w:hAnsi="Arial"/>
          <w:sz w:val="16"/>
          <w:szCs w:val="16"/>
          <w:u w:val="single" w:color="auto"/>
          <w:color w:val="202E39"/>
        </w:rPr>
        <w:t>Independent Stock Appreciation Rights</w:t>
      </w:r>
      <w:r>
        <w:rPr>
          <w:rFonts w:ascii="Arial" w:cs="Arial" w:eastAsia="Arial" w:hAnsi="Arial"/>
          <w:sz w:val="16"/>
          <w:szCs w:val="16"/>
          <w:color w:val="202E39"/>
        </w:rPr>
        <w:t>.</w:t>
      </w:r>
    </w:p>
    <w:p>
      <w:pPr>
        <w:spacing w:after="0" w:line="113" w:lineRule="exact"/>
        <w:rPr>
          <w:sz w:val="20"/>
          <w:szCs w:val="20"/>
          <w:color w:val="auto"/>
        </w:rPr>
      </w:pPr>
    </w:p>
    <w:p>
      <w:pPr>
        <w:ind w:left="640" w:right="140" w:firstLine="4"/>
        <w:spacing w:after="0" w:line="260" w:lineRule="auto"/>
        <w:tabs>
          <w:tab w:leader="none" w:pos="883" w:val="left"/>
        </w:tabs>
        <w:numPr>
          <w:ilvl w:val="0"/>
          <w:numId w:val="67"/>
        </w:numPr>
        <w:rPr>
          <w:rFonts w:ascii="Arial" w:cs="Arial" w:eastAsia="Arial" w:hAnsi="Arial"/>
          <w:sz w:val="16"/>
          <w:szCs w:val="16"/>
          <w:color w:val="202E39"/>
        </w:rPr>
      </w:pPr>
      <w:r>
        <w:rPr>
          <w:rFonts w:ascii="Arial" w:cs="Arial" w:eastAsia="Arial" w:hAnsi="Arial"/>
          <w:sz w:val="16"/>
          <w:szCs w:val="16"/>
          <w:color w:val="202E39"/>
        </w:rPr>
        <w:t>An Independent Stock Appreciation Right (“ISAR”) shall be unrelated to any Option and shall have a term set by the Committee. An ISAR shall be exercisable in such installments as the Committee may determine. An ISAR shall cover</w:t>
      </w:r>
    </w:p>
    <w:p>
      <w:pPr>
        <w:spacing w:after="0" w:line="113"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540" w:type="dxa"/>
            <w:vAlign w:val="bottom"/>
          </w:tcPr>
          <w:p>
            <w:pPr>
              <w:ind w:left="240"/>
              <w:spacing w:after="0"/>
              <w:rPr>
                <w:sz w:val="20"/>
                <w:szCs w:val="20"/>
                <w:color w:val="auto"/>
              </w:rPr>
            </w:pPr>
            <w:r>
              <w:rPr>
                <w:rFonts w:ascii="Arial" w:cs="Arial" w:eastAsia="Arial" w:hAnsi="Arial"/>
                <w:sz w:val="14"/>
                <w:szCs w:val="14"/>
                <w:b w:val="1"/>
                <w:bCs w:val="1"/>
                <w:color w:val="202E39"/>
                <w:w w:val="92"/>
              </w:rPr>
              <w:t>A-11</w:t>
            </w:r>
          </w:p>
        </w:tc>
      </w:tr>
    </w:tbl>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640" w:right="80"/>
        <w:spacing w:after="0" w:line="248" w:lineRule="auto"/>
        <w:rPr>
          <w:sz w:val="20"/>
          <w:szCs w:val="20"/>
          <w:color w:val="auto"/>
        </w:rPr>
      </w:pPr>
      <w:r>
        <w:rPr>
          <w:rFonts w:ascii="Arial" w:cs="Arial" w:eastAsia="Arial" w:hAnsi="Arial"/>
          <w:sz w:val="16"/>
          <w:szCs w:val="16"/>
          <w:color w:val="202E39"/>
        </w:rPr>
        <w:t xml:space="preserve">such number of shares of Common Stock as the Committee may determine;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xml:space="preserve">, that unless the Committee otherwise provides in the terms of the ISAR or otherwise, no ISAR granted to a person subject to Section 16 of the Exchange Act shall be exercisable until at least six months have elapsed from (but excluding) the date on which the Option was granted. The exercise price per share of Common Stock subject to each ISAR shall be set by the Committee;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price shall not be less than one hundred percent (100%) of the Fair Market Value of a share of Common Stock on the date the ISAR is granted. An ISAR is exercisable only while the Grantee is an Employee, consultant or Independent Director; provided that the Committee may determine that the ISAR may be exercised subsequent to Termination of Employment, Termination of Consultancy or Termination of Directorship without cause, or following a change in control of the Company, or because of the Grantee’s retirement, death or disability, or otherwise.</w:t>
      </w:r>
    </w:p>
    <w:p>
      <w:pPr>
        <w:spacing w:after="0" w:line="100" w:lineRule="exact"/>
        <w:rPr>
          <w:sz w:val="20"/>
          <w:szCs w:val="20"/>
          <w:color w:val="auto"/>
        </w:rPr>
      </w:pPr>
    </w:p>
    <w:p>
      <w:pPr>
        <w:ind w:left="640" w:right="60" w:firstLine="4"/>
        <w:spacing w:after="0" w:line="250" w:lineRule="auto"/>
        <w:tabs>
          <w:tab w:leader="none" w:pos="883" w:val="left"/>
        </w:tabs>
        <w:numPr>
          <w:ilvl w:val="0"/>
          <w:numId w:val="68"/>
        </w:numPr>
        <w:rPr>
          <w:rFonts w:ascii="Arial" w:cs="Arial" w:eastAsia="Arial" w:hAnsi="Arial"/>
          <w:sz w:val="16"/>
          <w:szCs w:val="16"/>
          <w:color w:val="202E39"/>
        </w:rPr>
      </w:pPr>
      <w:r>
        <w:rPr>
          <w:rFonts w:ascii="Arial" w:cs="Arial" w:eastAsia="Arial" w:hAnsi="Arial"/>
          <w:sz w:val="16"/>
          <w:szCs w:val="16"/>
          <w:color w:val="202E39"/>
        </w:rPr>
        <w:t>An ISAR shall entitle the Grantee (or other person entitled to exercise the ISAR pursuant to this Plan) to exercise all or a specified portion of the ISAR (to the extent then exercisable pursuant to its terms) and to receive from the Company an amount determined by multiplying the difference obtained by subtracting the exercise price per share of the ISAR from the Fair Market Value of a share of Common Stock on the date of exercise of the ISAR by the number of shares of Common Stock with respect to which the ISAR shall have been exercised, subject to any limitations the Committee may impose.</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8.4 </w:t>
      </w:r>
      <w:r>
        <w:rPr>
          <w:rFonts w:ascii="Arial" w:cs="Arial" w:eastAsia="Arial" w:hAnsi="Arial"/>
          <w:sz w:val="16"/>
          <w:szCs w:val="16"/>
          <w:u w:val="single" w:color="auto"/>
          <w:color w:val="202E39"/>
        </w:rPr>
        <w:t>Payment and Limitations on Exercise</w:t>
      </w:r>
      <w:r>
        <w:rPr>
          <w:rFonts w:ascii="Arial" w:cs="Arial" w:eastAsia="Arial" w:hAnsi="Arial"/>
          <w:sz w:val="16"/>
          <w:szCs w:val="16"/>
          <w:color w:val="202E39"/>
        </w:rPr>
        <w:t>.</w:t>
      </w:r>
    </w:p>
    <w:p>
      <w:pPr>
        <w:spacing w:after="0" w:line="113" w:lineRule="exact"/>
        <w:rPr>
          <w:sz w:val="20"/>
          <w:szCs w:val="20"/>
          <w:color w:val="auto"/>
        </w:rPr>
      </w:pPr>
    </w:p>
    <w:p>
      <w:pPr>
        <w:jc w:val="both"/>
        <w:ind w:left="640" w:right="100" w:firstLine="4"/>
        <w:spacing w:after="0" w:line="253" w:lineRule="auto"/>
        <w:tabs>
          <w:tab w:leader="none" w:pos="883" w:val="left"/>
        </w:tabs>
        <w:numPr>
          <w:ilvl w:val="0"/>
          <w:numId w:val="69"/>
        </w:numPr>
        <w:rPr>
          <w:rFonts w:ascii="Arial" w:cs="Arial" w:eastAsia="Arial" w:hAnsi="Arial"/>
          <w:sz w:val="16"/>
          <w:szCs w:val="16"/>
          <w:color w:val="202E39"/>
        </w:rPr>
      </w:pPr>
      <w:r>
        <w:rPr>
          <w:rFonts w:ascii="Arial" w:cs="Arial" w:eastAsia="Arial" w:hAnsi="Arial"/>
          <w:sz w:val="16"/>
          <w:szCs w:val="16"/>
          <w:color w:val="202E39"/>
        </w:rPr>
        <w:t>Payment of the amount determined under Sections 8.2(c) and 8.3(b) above shall be in cash, in Common Stock (based on its Fair Market Value as of the date the Stock Appreciation Right is exercised) or a combination of both, as determined by the Committee. To the extent such payment is effected in Common Stock it shall be made subject to satisfaction of all provisions of Section 5.3 above pertaining to Options.</w:t>
      </w:r>
    </w:p>
    <w:p>
      <w:pPr>
        <w:spacing w:after="0" w:line="93" w:lineRule="exact"/>
        <w:rPr>
          <w:rFonts w:ascii="Arial" w:cs="Arial" w:eastAsia="Arial" w:hAnsi="Arial"/>
          <w:sz w:val="16"/>
          <w:szCs w:val="16"/>
          <w:color w:val="202E39"/>
        </w:rPr>
      </w:pPr>
    </w:p>
    <w:p>
      <w:pPr>
        <w:ind w:left="640" w:right="100" w:firstLine="4"/>
        <w:spacing w:after="0" w:line="260" w:lineRule="auto"/>
        <w:tabs>
          <w:tab w:leader="none" w:pos="883" w:val="left"/>
        </w:tabs>
        <w:numPr>
          <w:ilvl w:val="0"/>
          <w:numId w:val="69"/>
        </w:numPr>
        <w:rPr>
          <w:rFonts w:ascii="Arial" w:cs="Arial" w:eastAsia="Arial" w:hAnsi="Arial"/>
          <w:sz w:val="16"/>
          <w:szCs w:val="16"/>
          <w:color w:val="202E39"/>
        </w:rPr>
      </w:pPr>
      <w:r>
        <w:rPr>
          <w:rFonts w:ascii="Arial" w:cs="Arial" w:eastAsia="Arial" w:hAnsi="Arial"/>
          <w:sz w:val="16"/>
          <w:szCs w:val="16"/>
          <w:color w:val="202E39"/>
        </w:rPr>
        <w:t>Grantees of Stock Appreciation Rights may be required to comply with any timing or other restrictions with respect to the settlement or exercise of a Stock Appreciation Right, including a window-period limitation, as may be imposed in the discretion of the Board or Committee.</w:t>
      </w:r>
    </w:p>
    <w:p>
      <w:pPr>
        <w:spacing w:after="0" w:line="88"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 xml:space="preserve">8.5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granting of a Stock Appreciation Right, the Committee (or the Board in the case of an award to an Independent Director) may require the Grantee to agree, in the written Stock Appreciation Right Agreement, to remain in the employ of, to consult for or to remain as an Independent Director of, as applicable, the Company or any Subsidiary for a period of at least one year after the Stock Appreciation Right is granted (or such shorter period as may be fixed in the Stock Appreciation Right Agreement or by action of the Committee (or the Board, in the case of an award to an Independent Director) following grant of the Stock Appreciation Right or, in the case of an Independent Director, until the next annual meeting of stockholders of the Company). Nothing in this Plan or in any Stock Appreciation Right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IX. ADMINISTRATION</w:t>
      </w:r>
    </w:p>
    <w:p>
      <w:pPr>
        <w:spacing w:after="0" w:line="124" w:lineRule="exact"/>
        <w:rPr>
          <w:sz w:val="20"/>
          <w:szCs w:val="20"/>
          <w:color w:val="auto"/>
        </w:rPr>
      </w:pPr>
    </w:p>
    <w:p>
      <w:pPr>
        <w:ind w:left="200" w:right="180"/>
        <w:spacing w:after="0" w:line="248" w:lineRule="auto"/>
        <w:rPr>
          <w:sz w:val="20"/>
          <w:szCs w:val="20"/>
          <w:color w:val="auto"/>
        </w:rPr>
      </w:pPr>
      <w:r>
        <w:rPr>
          <w:rFonts w:ascii="Arial" w:cs="Arial" w:eastAsia="Arial" w:hAnsi="Arial"/>
          <w:sz w:val="16"/>
          <w:szCs w:val="16"/>
          <w:color w:val="202E39"/>
        </w:rPr>
        <w:t xml:space="preserve">9.1 </w:t>
      </w:r>
      <w:r>
        <w:rPr>
          <w:rFonts w:ascii="Arial" w:cs="Arial" w:eastAsia="Arial" w:hAnsi="Arial"/>
          <w:sz w:val="16"/>
          <w:szCs w:val="16"/>
          <w:u w:val="single" w:color="auto"/>
          <w:color w:val="202E39"/>
        </w:rPr>
        <w:t>Compensation Committee</w:t>
      </w:r>
      <w:r>
        <w:rPr>
          <w:rFonts w:ascii="Arial" w:cs="Arial" w:eastAsia="Arial" w:hAnsi="Arial"/>
          <w:sz w:val="16"/>
          <w:szCs w:val="16"/>
          <w:color w:val="202E39"/>
        </w:rPr>
        <w:t>. The Compensation Committee (or another committee or a subcommittee of the Board assuming the functions of the Committee under this Plan) shall consist solely of two or more Independent Directors appointed by and holding office at the pleasure of the Board, each of whom is a “non-employee director” as defined by Rule 16b-3 and otherwise meets the requirements of applicable law. In its absolute discretion, the Board may at any time and from time to time exercise any and all rights and duties of the Committee under this Plan. Appointment of Committee members shall be effective upon acceptance of appointment. Committee members may resign at any time by delivering written notice to the Board. Vacancies in the Committee may be filled by the Board. Should any Awards made under the Plan prior to November 2, 2017 be intended to qualify as “performance-based compensation” within the meaning of Section 162(m)(4)(C) of the Code prior to its repeal (“162(m) Awards”), then all such determinations regarding such Awards will be made solely by a Committee comprised solely of two of more “outside directors” within the meaning of Section 162(m) of the Code.</w:t>
      </w:r>
    </w:p>
    <w:p>
      <w:pPr>
        <w:spacing w:after="0" w:line="99" w:lineRule="exact"/>
        <w:rPr>
          <w:sz w:val="20"/>
          <w:szCs w:val="20"/>
          <w:color w:val="auto"/>
        </w:rPr>
      </w:pPr>
    </w:p>
    <w:p>
      <w:pPr>
        <w:ind w:left="200" w:right="100"/>
        <w:spacing w:after="0" w:line="248" w:lineRule="auto"/>
        <w:rPr>
          <w:sz w:val="20"/>
          <w:szCs w:val="20"/>
          <w:color w:val="auto"/>
        </w:rPr>
      </w:pPr>
      <w:r>
        <w:rPr>
          <w:rFonts w:ascii="Arial" w:cs="Arial" w:eastAsia="Arial" w:hAnsi="Arial"/>
          <w:sz w:val="16"/>
          <w:szCs w:val="16"/>
          <w:color w:val="202E39"/>
        </w:rPr>
        <w:t xml:space="preserve">9.2 </w:t>
      </w:r>
      <w:r>
        <w:rPr>
          <w:rFonts w:ascii="Arial" w:cs="Arial" w:eastAsia="Arial" w:hAnsi="Arial"/>
          <w:sz w:val="16"/>
          <w:szCs w:val="16"/>
          <w:u w:val="single" w:color="auto"/>
          <w:color w:val="202E39"/>
        </w:rPr>
        <w:t>Duties and Powers of Committee</w:t>
      </w:r>
      <w:r>
        <w:rPr>
          <w:rFonts w:ascii="Arial" w:cs="Arial" w:eastAsia="Arial" w:hAnsi="Arial"/>
          <w:sz w:val="16"/>
          <w:szCs w:val="16"/>
          <w:color w:val="202E39"/>
        </w:rPr>
        <w:t>. It shall be the duty of the Committee to conduct the general administration of this Plan in accordance with its provisions. The Committee shall have the power to interpret this Plan and the agreements pursuant to which Options, awards of Restricted Stock or Restricted Stock Units, Performance Awards, Stock Appreciation Rights, Dividend Equivalents or Stock Payments are granted or awarded, and to adopt such rules for the administration, interpretation, and application of this Plan as are consistent therewith and to interpret, amend or revoke any such rules. Notwithstanding the foregoing, the full Board, acting by a majority of its members in office, shall conduct the general administration of the Plan with respect to awards granted to Independent Directors. Any such grant or award under this Plan need not be the same with respect to each Optionee, Grantee or Restricted Stockholder. Any such interpretations and rules with respect to Incentive Stock Options shall be consistent with the provisions of Section 422 of the Code. To the extent permitted by applicable law, the Committee may from time to time delegate to a committee of one or more members of the Board or one or more officers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86995</wp:posOffset>
            </wp:positionV>
            <wp:extent cx="42862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A-12</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color w:val="202E39"/>
        </w:rPr>
        <w:t>Company the authority to grant or amend awards to Participants other than (a) senior executives of the Company who are subject to Section 16 of the Exchange Act, or (b) officers of the Company (or members of the Board) to whom authority to grant or amend awards has been delegated hereunder. Any delegation hereunder shall be subject to the restrictions and limits that the Committee specifies at the time of such delegation, and the Committee may at any time rescind the authority so delegated or appoint a new delegatee. At all times, the delegatee appointed under this Section shall serve in such capacity at the pleasure of the Committee.</w:t>
      </w:r>
    </w:p>
    <w:p>
      <w:pPr>
        <w:spacing w:after="0" w:line="95" w:lineRule="exact"/>
        <w:rPr>
          <w:sz w:val="20"/>
          <w:szCs w:val="20"/>
          <w:color w:val="auto"/>
        </w:rPr>
      </w:pPr>
    </w:p>
    <w:p>
      <w:pPr>
        <w:ind w:left="200" w:right="300"/>
        <w:spacing w:after="0" w:line="260" w:lineRule="auto"/>
        <w:rPr>
          <w:sz w:val="20"/>
          <w:szCs w:val="20"/>
          <w:color w:val="auto"/>
        </w:rPr>
      </w:pPr>
      <w:r>
        <w:rPr>
          <w:rFonts w:ascii="Arial" w:cs="Arial" w:eastAsia="Arial" w:hAnsi="Arial"/>
          <w:sz w:val="16"/>
          <w:szCs w:val="16"/>
          <w:color w:val="202E39"/>
        </w:rPr>
        <w:t xml:space="preserve">9.3 </w:t>
      </w:r>
      <w:r>
        <w:rPr>
          <w:rFonts w:ascii="Arial" w:cs="Arial" w:eastAsia="Arial" w:hAnsi="Arial"/>
          <w:sz w:val="16"/>
          <w:szCs w:val="16"/>
          <w:u w:val="single" w:color="auto"/>
          <w:color w:val="202E39"/>
        </w:rPr>
        <w:t>Majority Rule; Unanimous Written Consent</w:t>
      </w:r>
      <w:r>
        <w:rPr>
          <w:rFonts w:ascii="Arial" w:cs="Arial" w:eastAsia="Arial" w:hAnsi="Arial"/>
          <w:sz w:val="16"/>
          <w:szCs w:val="16"/>
          <w:color w:val="202E39"/>
        </w:rPr>
        <w:t>. The Committee shall act by a majority of its members in attendance at a meeting at which a quorum is present or by a memorandum or other written instrument signed by all members of the Committee.</w:t>
      </w:r>
    </w:p>
    <w:p>
      <w:pPr>
        <w:spacing w:after="0" w:line="88"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 xml:space="preserve">9.4 </w:t>
      </w:r>
      <w:r>
        <w:rPr>
          <w:rFonts w:ascii="Arial" w:cs="Arial" w:eastAsia="Arial" w:hAnsi="Arial"/>
          <w:sz w:val="16"/>
          <w:szCs w:val="16"/>
          <w:u w:val="single" w:color="auto"/>
          <w:color w:val="202E39"/>
        </w:rPr>
        <w:t>Compensation; Professional Assistance; Good Faith Actions</w:t>
      </w:r>
      <w:r>
        <w:rPr>
          <w:rFonts w:ascii="Arial" w:cs="Arial" w:eastAsia="Arial" w:hAnsi="Arial"/>
          <w:sz w:val="16"/>
          <w:szCs w:val="16"/>
          <w:color w:val="202E39"/>
        </w:rPr>
        <w:t>. Members of the Committee shall receive such compensation for their services as members as may be determined by the Board. All expenses and liabilities which members of the Committee incur in connection with the administration of this Plan shall be borne by the Company. The Committee may, with the approval of the Board,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this Plan, Options, awards of Restricted Stock or Restricted Stock Units, Performance Awards, Stock Appreciation Rights, Dividend Equivalents or Stock Payments, and all members of the Committee and the Board shall be fully protected by the Company in respect of any such action, determination or interpretation.</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X. MISCELLANEOUS PROVISIONS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10.1 </w:t>
      </w:r>
      <w:r>
        <w:rPr>
          <w:rFonts w:ascii="Arial" w:cs="Arial" w:eastAsia="Arial" w:hAnsi="Arial"/>
          <w:sz w:val="16"/>
          <w:szCs w:val="16"/>
          <w:u w:val="single" w:color="auto"/>
          <w:color w:val="202E39"/>
        </w:rPr>
        <w:t>Not Transferable</w:t>
      </w:r>
      <w:r>
        <w:rPr>
          <w:rFonts w:ascii="Arial" w:cs="Arial" w:eastAsia="Arial" w:hAnsi="Arial"/>
          <w:sz w:val="16"/>
          <w:szCs w:val="16"/>
          <w:color w:val="202E39"/>
        </w:rPr>
        <w:t>.</w:t>
      </w:r>
    </w:p>
    <w:p>
      <w:pPr>
        <w:spacing w:after="0" w:line="113" w:lineRule="exact"/>
        <w:rPr>
          <w:sz w:val="20"/>
          <w:szCs w:val="20"/>
          <w:color w:val="auto"/>
        </w:rPr>
      </w:pPr>
    </w:p>
    <w:p>
      <w:pPr>
        <w:ind w:left="640" w:right="80" w:firstLine="4"/>
        <w:spacing w:after="0" w:line="248" w:lineRule="auto"/>
        <w:tabs>
          <w:tab w:leader="none" w:pos="883" w:val="left"/>
        </w:tabs>
        <w:numPr>
          <w:ilvl w:val="0"/>
          <w:numId w:val="70"/>
        </w:numPr>
        <w:rPr>
          <w:rFonts w:ascii="Arial" w:cs="Arial" w:eastAsia="Arial" w:hAnsi="Arial"/>
          <w:sz w:val="16"/>
          <w:szCs w:val="16"/>
          <w:color w:val="202E39"/>
        </w:rPr>
      </w:pPr>
      <w:r>
        <w:rPr>
          <w:rFonts w:ascii="Arial" w:cs="Arial" w:eastAsia="Arial" w:hAnsi="Arial"/>
          <w:sz w:val="16"/>
          <w:szCs w:val="16"/>
          <w:color w:val="202E39"/>
        </w:rPr>
        <w:t>Options, Restricted Stock awards, Restricted Stock Unit awards, Performance Awards, Stock Appreciation Rights, Dividend Equivalents or Stock Payments under this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Restricted Stock Unit award, Performance Award, Stock Appreciation Right,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98" w:lineRule="exact"/>
        <w:rPr>
          <w:rFonts w:ascii="Arial" w:cs="Arial" w:eastAsia="Arial" w:hAnsi="Arial"/>
          <w:sz w:val="16"/>
          <w:szCs w:val="16"/>
          <w:color w:val="202E39"/>
        </w:rPr>
      </w:pPr>
    </w:p>
    <w:p>
      <w:pPr>
        <w:ind w:left="640" w:right="80" w:firstLine="4"/>
        <w:spacing w:after="0" w:line="250" w:lineRule="auto"/>
        <w:tabs>
          <w:tab w:leader="none" w:pos="883" w:val="left"/>
        </w:tabs>
        <w:numPr>
          <w:ilvl w:val="0"/>
          <w:numId w:val="70"/>
        </w:numPr>
        <w:rPr>
          <w:rFonts w:ascii="Arial" w:cs="Arial" w:eastAsia="Arial" w:hAnsi="Arial"/>
          <w:sz w:val="16"/>
          <w:szCs w:val="16"/>
          <w:color w:val="202E39"/>
        </w:rPr>
      </w:pPr>
      <w:r>
        <w:rPr>
          <w:rFonts w:ascii="Arial" w:cs="Arial" w:eastAsia="Arial" w:hAnsi="Arial"/>
          <w:sz w:val="16"/>
          <w:szCs w:val="16"/>
          <w:color w:val="202E39"/>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95"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202E39"/>
        </w:rPr>
        <w:t xml:space="preserve">10.2 </w:t>
      </w:r>
      <w:r>
        <w:rPr>
          <w:rFonts w:ascii="Arial" w:cs="Arial" w:eastAsia="Arial" w:hAnsi="Arial"/>
          <w:sz w:val="16"/>
          <w:szCs w:val="16"/>
          <w:u w:val="single" w:color="auto"/>
          <w:color w:val="202E39"/>
        </w:rPr>
        <w:t>Amendment, Suspension or Termination of this Plan</w:t>
      </w:r>
      <w:r>
        <w:rPr>
          <w:rFonts w:ascii="Arial" w:cs="Arial" w:eastAsia="Arial" w:hAnsi="Arial"/>
          <w:sz w:val="16"/>
          <w:szCs w:val="16"/>
          <w:color w:val="202E39"/>
        </w:rPr>
        <w:t>. Except as otherwise provided in this Section 10.2, this Plan may be wholly or partially amended or otherwise modified, suspended or terminated at any time or from time to time by the Board or the Committee. However, without approval of the Company’s stockholders given within twelve months before or after the action by the Board or the Committee, no action of the Board or the Committee may, except as provided in Section 10.3, increase the limits imposed in Section 2.1 on the maximum number of shares which may be issued under this Plan or modify the Award Limit, and no action of the Board or the Committee may be taken that would otherwise require stockholder approval as a matter of applicable law, or the rules and regulations of any stock exchange or national market system on which the Common Stock is then listed. No amendment, suspension or termination of this Plan shall, without the consent of the holder of Options, Restricted Stock awards, Restricted Stock Unit awards, Performance Awards, Stock Appreciation Rights, Dividend Equivalents or Stock Payments, alter or impair any rights or obligations under any Options, Restricted Stock awards, Restricted Stock Unit awards, Performance Awards, Stock Appreciation Rights, Dividend Equivalents or Stock Payments theretofore granted or awarded, unless the award itself otherwise expressly so provides. No Options, Restricted Stock, Restricted Stock Units, Performance Awards, Stock Appreciation Rights, Dividend Equivalents or Stock Payments may be granted or awarded during any period of suspension or after termination of this Plan, and in no event may any Incentive Stock Option be granted under this Plan after June 19, 2028.</w:t>
      </w:r>
    </w:p>
    <w:p>
      <w:pPr>
        <w:spacing w:after="0" w:line="130"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540" w:type="dxa"/>
            <w:vAlign w:val="bottom"/>
          </w:tcPr>
          <w:p>
            <w:pPr>
              <w:ind w:left="240"/>
              <w:spacing w:after="0"/>
              <w:rPr>
                <w:sz w:val="20"/>
                <w:szCs w:val="20"/>
                <w:color w:val="auto"/>
              </w:rPr>
            </w:pPr>
            <w:r>
              <w:rPr>
                <w:rFonts w:ascii="Arial" w:cs="Arial" w:eastAsia="Arial" w:hAnsi="Arial"/>
                <w:sz w:val="14"/>
                <w:szCs w:val="14"/>
                <w:b w:val="1"/>
                <w:bCs w:val="1"/>
                <w:color w:val="202E39"/>
                <w:w w:val="92"/>
              </w:rPr>
              <w:t>A-13</w:t>
            </w:r>
          </w:p>
        </w:tc>
      </w:tr>
    </w:tbl>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10.3 </w:t>
      </w:r>
      <w:r>
        <w:rPr>
          <w:rFonts w:ascii="Arial" w:cs="Arial" w:eastAsia="Arial" w:hAnsi="Arial"/>
          <w:sz w:val="16"/>
          <w:szCs w:val="16"/>
          <w:u w:val="single" w:color="auto"/>
          <w:color w:val="202E39"/>
        </w:rPr>
        <w:t>Changes in Common Stock or Assets of the Company, Acquisition or Liquidation of the Company and Other Corporate Events</w:t>
      </w:r>
      <w:r>
        <w:rPr>
          <w:rFonts w:ascii="Arial" w:cs="Arial" w:eastAsia="Arial" w:hAnsi="Arial"/>
          <w:sz w:val="16"/>
          <w:szCs w:val="16"/>
          <w:color w:val="202E39"/>
        </w:rPr>
        <w:t>.</w:t>
      </w:r>
    </w:p>
    <w:p>
      <w:pPr>
        <w:spacing w:after="0" w:line="113" w:lineRule="exact"/>
        <w:rPr>
          <w:sz w:val="20"/>
          <w:szCs w:val="20"/>
          <w:color w:val="auto"/>
        </w:rPr>
      </w:pPr>
    </w:p>
    <w:p>
      <w:pPr>
        <w:ind w:left="640" w:firstLine="4"/>
        <w:spacing w:after="0" w:line="248" w:lineRule="auto"/>
        <w:tabs>
          <w:tab w:leader="none" w:pos="883" w:val="left"/>
        </w:tabs>
        <w:numPr>
          <w:ilvl w:val="0"/>
          <w:numId w:val="71"/>
        </w:numPr>
        <w:rPr>
          <w:rFonts w:ascii="Arial" w:cs="Arial" w:eastAsia="Arial" w:hAnsi="Arial"/>
          <w:sz w:val="16"/>
          <w:szCs w:val="16"/>
          <w:color w:val="202E39"/>
        </w:rPr>
      </w:pPr>
      <w:r>
        <w:rPr>
          <w:rFonts w:ascii="Arial" w:cs="Arial" w:eastAsia="Arial" w:hAnsi="Arial"/>
          <w:sz w:val="16"/>
          <w:szCs w:val="16"/>
          <w:color w:val="202E39"/>
        </w:rPr>
        <w:t>Subject to Section 10.3(d), in the event that the Committee (or the Board, in the case of awards granted to Independent Directors) determines that any dividend or other distribution (whether in the form of cash, Common Stock, other securities, or other property) (other than normal cash dividends), recapitalization, reclassification, stock split, reverse stock split, reorganization, merger, consolidation, split-up, spin-off, combination, repurchase, liquidation, dissolution, or sale, transfer, exchange or other disposition of all or substantially all of the assets of the Company (including, but not limited to, a Corporate Transaction), or exchange of Common Stock or other securities of the Company, issuance of warrants or other rights to purchase Common Stock or other securities of the Company, or other similar corporate transaction or event (other than an Equity Restructuring), in the Committee’s sole discretion (or in the case of awards granted to Independent Directors, the Board’s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Stock Appreciation Right, Dividend Equivalent, Restricted Stock Unit award or Stock Payment, then the Committee (or the Board, in the case of awards granted to Independent Directors) shall, in such manner as it may deem equitable, adjust any or all of:</w:t>
      </w:r>
    </w:p>
    <w:p>
      <w:pPr>
        <w:spacing w:after="0" w:line="96" w:lineRule="exact"/>
        <w:rPr>
          <w:rFonts w:ascii="Arial" w:cs="Arial" w:eastAsia="Arial" w:hAnsi="Arial"/>
          <w:sz w:val="16"/>
          <w:szCs w:val="16"/>
          <w:color w:val="202E39"/>
        </w:rPr>
      </w:pPr>
    </w:p>
    <w:p>
      <w:pPr>
        <w:ind w:left="980" w:right="100" w:hanging="5"/>
        <w:spacing w:after="0" w:line="250" w:lineRule="auto"/>
        <w:tabs>
          <w:tab w:leader="none" w:pos="1169" w:val="left"/>
        </w:tabs>
        <w:numPr>
          <w:ilvl w:val="1"/>
          <w:numId w:val="71"/>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with respect to which Options, Restricted Stock Units, Performance Awards, Stock Appreciation Rights, Dividend Equivalents or Stock Payments may be granted under the Plan, or which may be granted as Restricted Stock (including, but not limited to, adjustments of the limitations in Section 2.1 on the maximum number and kind of shares which may be issued, adjustments of the Award Limit and adjustments of the manner in which shares subject to Full Value Awards will be counted),</w:t>
      </w:r>
    </w:p>
    <w:p>
      <w:pPr>
        <w:spacing w:after="0" w:line="95" w:lineRule="exact"/>
        <w:rPr>
          <w:rFonts w:ascii="Arial" w:cs="Arial" w:eastAsia="Arial" w:hAnsi="Arial"/>
          <w:sz w:val="16"/>
          <w:szCs w:val="16"/>
          <w:color w:val="202E39"/>
        </w:rPr>
      </w:pPr>
    </w:p>
    <w:p>
      <w:pPr>
        <w:ind w:left="980" w:right="260" w:hanging="5"/>
        <w:spacing w:after="0" w:line="253" w:lineRule="auto"/>
        <w:tabs>
          <w:tab w:leader="none" w:pos="1205" w:val="left"/>
        </w:tabs>
        <w:numPr>
          <w:ilvl w:val="1"/>
          <w:numId w:val="71"/>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subject to outstanding Options, Restricted Stock Units, Performance Awards, Stock Appreciation Rights, Dividend Equivalents, or Stock Payments, and in the number and kind of shares of outstanding Restricted Stock,</w:t>
      </w:r>
    </w:p>
    <w:p>
      <w:pPr>
        <w:spacing w:after="0" w:line="93" w:lineRule="exact"/>
        <w:rPr>
          <w:rFonts w:ascii="Arial" w:cs="Arial" w:eastAsia="Arial" w:hAnsi="Arial"/>
          <w:sz w:val="16"/>
          <w:szCs w:val="16"/>
          <w:color w:val="202E39"/>
        </w:rPr>
      </w:pPr>
    </w:p>
    <w:p>
      <w:pPr>
        <w:ind w:left="980" w:right="460" w:hanging="5"/>
        <w:spacing w:after="0" w:line="260" w:lineRule="auto"/>
        <w:tabs>
          <w:tab w:leader="none" w:pos="1241" w:val="left"/>
        </w:tabs>
        <w:numPr>
          <w:ilvl w:val="1"/>
          <w:numId w:val="71"/>
        </w:numPr>
        <w:rPr>
          <w:rFonts w:ascii="Arial" w:cs="Arial" w:eastAsia="Arial" w:hAnsi="Arial"/>
          <w:sz w:val="16"/>
          <w:szCs w:val="16"/>
          <w:color w:val="202E39"/>
        </w:rPr>
      </w:pPr>
      <w:r>
        <w:rPr>
          <w:rFonts w:ascii="Arial" w:cs="Arial" w:eastAsia="Arial" w:hAnsi="Arial"/>
          <w:sz w:val="16"/>
          <w:szCs w:val="16"/>
          <w:color w:val="202E39"/>
        </w:rPr>
        <w:t>the grant or exercise price with respect to any Option, Restricted Stock Unit, Performance Award, Stock Appreciation Right, Dividend Equivalent or Stock Payment, and</w:t>
      </w:r>
    </w:p>
    <w:p>
      <w:pPr>
        <w:spacing w:after="0" w:line="87" w:lineRule="exact"/>
        <w:rPr>
          <w:rFonts w:ascii="Arial" w:cs="Arial" w:eastAsia="Arial" w:hAnsi="Arial"/>
          <w:sz w:val="16"/>
          <w:szCs w:val="16"/>
          <w:color w:val="202E39"/>
        </w:rPr>
      </w:pPr>
    </w:p>
    <w:p>
      <w:pPr>
        <w:ind w:left="980" w:right="360" w:hanging="5"/>
        <w:spacing w:after="0" w:line="253" w:lineRule="auto"/>
        <w:tabs>
          <w:tab w:leader="none" w:pos="1250" w:val="left"/>
        </w:tabs>
        <w:numPr>
          <w:ilvl w:val="1"/>
          <w:numId w:val="71"/>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for which automatic grants of Options and Restricted Stock Units are subsequently to be made to new and continuing Independent Directors pursuant to Section 3.4(d) and Section 7.4(b), respectively.</w:t>
      </w:r>
    </w:p>
    <w:p>
      <w:pPr>
        <w:spacing w:after="0" w:line="93" w:lineRule="exact"/>
        <w:rPr>
          <w:rFonts w:ascii="Arial" w:cs="Arial" w:eastAsia="Arial" w:hAnsi="Arial"/>
          <w:sz w:val="16"/>
          <w:szCs w:val="16"/>
          <w:color w:val="202E39"/>
        </w:rPr>
      </w:pPr>
    </w:p>
    <w:p>
      <w:pPr>
        <w:ind w:left="880" w:hanging="236"/>
        <w:spacing w:after="0"/>
        <w:tabs>
          <w:tab w:leader="none" w:pos="880" w:val="left"/>
        </w:tabs>
        <w:numPr>
          <w:ilvl w:val="0"/>
          <w:numId w:val="71"/>
        </w:numPr>
        <w:rPr>
          <w:rFonts w:ascii="Arial" w:cs="Arial" w:eastAsia="Arial" w:hAnsi="Arial"/>
          <w:sz w:val="16"/>
          <w:szCs w:val="16"/>
          <w:color w:val="202E39"/>
        </w:rPr>
      </w:pPr>
      <w:r>
        <w:rPr>
          <w:rFonts w:ascii="Arial" w:cs="Arial" w:eastAsia="Arial" w:hAnsi="Arial"/>
          <w:sz w:val="16"/>
          <w:szCs w:val="16"/>
          <w:color w:val="202E39"/>
        </w:rPr>
        <w:t>Subject to Sections 10.3(b)(vii), 10.3(d) and 10.3(e) in the event of any Corporate Transaction or other transaction or event described in</w:t>
      </w:r>
    </w:p>
    <w:p>
      <w:pPr>
        <w:spacing w:after="0" w:line="5" w:lineRule="exact"/>
        <w:rPr>
          <w:sz w:val="20"/>
          <w:szCs w:val="20"/>
          <w:color w:val="auto"/>
        </w:rPr>
      </w:pPr>
    </w:p>
    <w:p>
      <w:pPr>
        <w:ind w:left="640" w:right="20"/>
        <w:spacing w:after="0" w:line="249" w:lineRule="auto"/>
        <w:rPr>
          <w:sz w:val="20"/>
          <w:szCs w:val="20"/>
          <w:color w:val="auto"/>
        </w:rPr>
      </w:pPr>
      <w:r>
        <w:rPr>
          <w:rFonts w:ascii="Arial" w:cs="Arial" w:eastAsia="Arial" w:hAnsi="Arial"/>
          <w:sz w:val="16"/>
          <w:szCs w:val="16"/>
          <w:color w:val="202E39"/>
        </w:rPr>
        <w:t>Section 10.3(a) or any unusual or nonrecurring transactions or events affecting the Company, any affiliate of the Company, or the financial statements of the Company or any affiliate, or of changes in applicable laws, regulations, or accounting principles, the Committee (or the Board, in the case of awards granted to Independent Directors) in its discretion is hereby authorized to take any one or more of the following actions whenever the Committee (or the Board, in the case of awards granted to Independent Directors) determines that such action is appropriate in order to prevent dilution or enlargement of the benefits or potential benefits intended to be made available under the Plan or with respect to any option, right or other award under this Plan, to facilitate such transactions or events or to give effect to such changes in laws, regulations or principles:</w:t>
      </w:r>
    </w:p>
    <w:p>
      <w:pPr>
        <w:spacing w:after="0" w:line="97" w:lineRule="exact"/>
        <w:rPr>
          <w:sz w:val="20"/>
          <w:szCs w:val="20"/>
          <w:color w:val="auto"/>
        </w:rPr>
      </w:pPr>
    </w:p>
    <w:p>
      <w:pPr>
        <w:ind w:left="980" w:hanging="5"/>
        <w:spacing w:after="0" w:line="248" w:lineRule="auto"/>
        <w:tabs>
          <w:tab w:leader="none" w:pos="1169" w:val="left"/>
        </w:tabs>
        <w:numPr>
          <w:ilvl w:val="0"/>
          <w:numId w:val="72"/>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the agreement or by action taken prior to the occurrence of such transaction or event and either automatically or upon the optionee’s request, for either the purchase of any such Option, Performance Award, Stock Appreciation Right, Dividend Equivalent, or Stock Payment, or any Restricted Stock or Restricted Stock Unit for an amount of cash equal to the amount that could have been attained upon the exercise of such option, right or award or realization of the optionee’s rights had such option, right or award been currently exercisable or payable or fully vested or the replacement of such option, right or award with other rights or property selected by the Committee (or the Board, in the case of awards granted to Independent Directors) in its sole discretion;</w:t>
      </w:r>
    </w:p>
    <w:p>
      <w:pPr>
        <w:spacing w:after="0" w:line="100" w:lineRule="exact"/>
        <w:rPr>
          <w:rFonts w:ascii="Arial" w:cs="Arial" w:eastAsia="Arial" w:hAnsi="Arial"/>
          <w:sz w:val="16"/>
          <w:szCs w:val="16"/>
          <w:color w:val="202E39"/>
        </w:rPr>
      </w:pPr>
    </w:p>
    <w:p>
      <w:pPr>
        <w:ind w:left="980" w:right="60" w:hanging="5"/>
        <w:spacing w:after="0" w:line="252" w:lineRule="auto"/>
        <w:tabs>
          <w:tab w:leader="none" w:pos="1205" w:val="left"/>
        </w:tabs>
        <w:numPr>
          <w:ilvl w:val="0"/>
          <w:numId w:val="72"/>
        </w:numPr>
        <w:rPr>
          <w:rFonts w:ascii="Arial" w:cs="Arial" w:eastAsia="Arial" w:hAnsi="Arial"/>
          <w:sz w:val="16"/>
          <w:szCs w:val="16"/>
          <w:color w:val="202E39"/>
        </w:rPr>
      </w:pPr>
      <w:r>
        <w:rPr>
          <w:rFonts w:ascii="Arial" w:cs="Arial" w:eastAsia="Arial" w:hAnsi="Arial"/>
          <w:sz w:val="16"/>
          <w:szCs w:val="16"/>
          <w:color w:val="202E39"/>
        </w:rPr>
        <w:t>In its sole and absolute discretion,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it cannot be exercised after such event;</w:t>
      </w:r>
    </w:p>
    <w:p>
      <w:pPr>
        <w:spacing w:after="0" w:line="284" w:lineRule="exact"/>
        <w:rPr>
          <w:rFonts w:ascii="Arial" w:cs="Arial" w:eastAsia="Arial" w:hAnsi="Arial"/>
          <w:sz w:val="16"/>
          <w:szCs w:val="16"/>
          <w:color w:val="202E39"/>
        </w:rPr>
      </w:pPr>
    </w:p>
    <w:p>
      <w:pPr>
        <w:ind w:left="980" w:right="120" w:hanging="5"/>
        <w:spacing w:after="0" w:line="253" w:lineRule="auto"/>
        <w:tabs>
          <w:tab w:leader="none" w:pos="1241" w:val="left"/>
        </w:tabs>
        <w:numPr>
          <w:ilvl w:val="0"/>
          <w:numId w:val="72"/>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83820</wp:posOffset>
            </wp:positionV>
            <wp:extent cx="42862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A-14</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980" w:right="220"/>
        <w:spacing w:after="0" w:line="251" w:lineRule="auto"/>
        <w:rPr>
          <w:sz w:val="20"/>
          <w:szCs w:val="20"/>
          <w:color w:val="auto"/>
        </w:rPr>
      </w:pPr>
      <w:r>
        <w:rPr>
          <w:rFonts w:ascii="Arial" w:cs="Arial" w:eastAsia="Arial" w:hAnsi="Arial"/>
          <w:sz w:val="16"/>
          <w:szCs w:val="16"/>
          <w:color w:val="202E39"/>
        </w:rPr>
        <w:t>Restricted Stock Unit award or by action taken prior to the occurrence of such transaction or event, that for a specified period of time prior to such transaction or event, such option, right or award shall be vested and/or exercisable as to all shares covered thereby, notwithstanding anything to the contrary in (i) Section 4.4 or (ii) the provisions of such Option, Performance Award, Stock Appreciation Right, Dividend Equivalent, or Stock Payment, or Restricted Stock or Restricted Stock Unit award;</w:t>
      </w:r>
    </w:p>
    <w:p>
      <w:pPr>
        <w:spacing w:after="0" w:line="95" w:lineRule="exact"/>
        <w:rPr>
          <w:sz w:val="20"/>
          <w:szCs w:val="20"/>
          <w:color w:val="auto"/>
        </w:rPr>
      </w:pPr>
    </w:p>
    <w:p>
      <w:pPr>
        <w:ind w:left="980" w:right="60" w:hanging="5"/>
        <w:spacing w:after="0" w:line="249" w:lineRule="auto"/>
        <w:tabs>
          <w:tab w:leader="none" w:pos="1250" w:val="left"/>
        </w:tabs>
        <w:numPr>
          <w:ilvl w:val="1"/>
          <w:numId w:val="73"/>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upon such event, such option, right or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97" w:lineRule="exact"/>
        <w:rPr>
          <w:rFonts w:ascii="Arial" w:cs="Arial" w:eastAsia="Arial" w:hAnsi="Arial"/>
          <w:sz w:val="16"/>
          <w:szCs w:val="16"/>
          <w:color w:val="202E39"/>
        </w:rPr>
      </w:pPr>
    </w:p>
    <w:p>
      <w:pPr>
        <w:ind w:left="980" w:right="20" w:hanging="5"/>
        <w:spacing w:after="0" w:line="249" w:lineRule="auto"/>
        <w:tabs>
          <w:tab w:leader="none" w:pos="1214" w:val="left"/>
        </w:tabs>
        <w:numPr>
          <w:ilvl w:val="1"/>
          <w:numId w:val="73"/>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make adjustments in the number and type of shares of Common Stock (or other securities or property) subject to outstanding Options, Restricted Stock Units, Performance Awards, Stock Appreciation Rights, Dividend Equivalents, or Stock Payments, and in the number and kind of outstanding Restricted Stock and/or in the terms and conditions of (including the grant or exercise price), and the criteria included in, outstanding options, rights and awards and options, rights and awards which may be granted in the future;</w:t>
      </w:r>
    </w:p>
    <w:p>
      <w:pPr>
        <w:spacing w:after="0" w:line="97" w:lineRule="exact"/>
        <w:rPr>
          <w:rFonts w:ascii="Arial" w:cs="Arial" w:eastAsia="Arial" w:hAnsi="Arial"/>
          <w:sz w:val="16"/>
          <w:szCs w:val="16"/>
          <w:color w:val="202E39"/>
        </w:rPr>
      </w:pPr>
    </w:p>
    <w:p>
      <w:pPr>
        <w:ind w:left="980" w:right="40" w:hanging="5"/>
        <w:spacing w:after="0" w:line="250" w:lineRule="auto"/>
        <w:tabs>
          <w:tab w:leader="none" w:pos="1250" w:val="left"/>
        </w:tabs>
        <w:numPr>
          <w:ilvl w:val="1"/>
          <w:numId w:val="73"/>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may provide either by the terms of a Restricted Stock award or by action taken prior to the occurrence of such event that, for a specified period of time prior to such event, the restrictions imposed under a Restricted Stock Agreement upon some or all shares of Restricted Stock may be terminated, and, some or all shares of such Restricted Stock may cease to be subject to repurchase under Section 6.6 or forfeiture under Section 6.5 after such event; and</w:t>
      </w:r>
    </w:p>
    <w:p>
      <w:pPr>
        <w:spacing w:after="0" w:line="286" w:lineRule="exact"/>
        <w:rPr>
          <w:rFonts w:ascii="Arial" w:cs="Arial" w:eastAsia="Arial" w:hAnsi="Arial"/>
          <w:sz w:val="16"/>
          <w:szCs w:val="16"/>
          <w:color w:val="202E39"/>
        </w:rPr>
      </w:pPr>
    </w:p>
    <w:p>
      <w:pPr>
        <w:ind w:left="980" w:right="60" w:hanging="5"/>
        <w:spacing w:after="0" w:line="248" w:lineRule="auto"/>
        <w:tabs>
          <w:tab w:leader="none" w:pos="1286" w:val="left"/>
        </w:tabs>
        <w:numPr>
          <w:ilvl w:val="1"/>
          <w:numId w:val="73"/>
        </w:numPr>
        <w:rPr>
          <w:rFonts w:ascii="Arial" w:cs="Arial" w:eastAsia="Arial" w:hAnsi="Arial"/>
          <w:sz w:val="16"/>
          <w:szCs w:val="16"/>
          <w:color w:val="202E39"/>
        </w:rPr>
      </w:pPr>
      <w:r>
        <w:rPr>
          <w:rFonts w:ascii="Arial" w:cs="Arial" w:eastAsia="Arial" w:hAnsi="Arial"/>
          <w:sz w:val="16"/>
          <w:szCs w:val="16"/>
          <w:color w:val="202E39"/>
        </w:rPr>
        <w:t>None of the foregoing discretionary actions taken under this Section 10.3(b) shall be permitted with respect to awards granted to Independent Directors to the extent that such discretion would be inconsistent with the applicable exemptive conditions of Rule 16b-3. In the event of a Change in Control or a Corporate Transaction, to the extent that the Board does not have the ability under Rule 16b-3 to take or to refrain from taking the discretionary actions set forth in Section 10.3(b)(iii) above, each award granted to an Independent Director shall be vested and/or exercisable as to all shares covered thereby upon such Change in Control or during the five days immediately preceding the consummation of such Corporate Transaction and subject to such consummation, notwithstanding anything to the contrary in Section 4.4 or the vesting schedule of such awards. In the event of a Corporate Transaction, to the extent that the Board does not have the ability under Rule 16b-3 to take or to refrain from taking the discretionary actions set forth in Section 10.3(b)(ii) above, no Option granted to an Independent Director may be exercised following such Corporate Transaction unless such Option is, in connection with such Corporate Transaction, either assumed by the successor or survivor corporation (or parent or subsidiary thereof) or replaced with a comparable right with respect to shares of the capital stock of the successor or survivor corporation (or parent or subsidiary thereof).</w:t>
      </w:r>
    </w:p>
    <w:p>
      <w:pPr>
        <w:spacing w:after="0" w:line="96" w:lineRule="exact"/>
        <w:rPr>
          <w:rFonts w:ascii="Arial" w:cs="Arial" w:eastAsia="Arial" w:hAnsi="Arial"/>
          <w:sz w:val="16"/>
          <w:szCs w:val="16"/>
          <w:color w:val="202E39"/>
        </w:rPr>
      </w:pPr>
    </w:p>
    <w:p>
      <w:pPr>
        <w:ind w:left="640" w:right="380" w:firstLine="4"/>
        <w:spacing w:after="0" w:line="251" w:lineRule="auto"/>
        <w:tabs>
          <w:tab w:leader="none" w:pos="874" w:val="left"/>
        </w:tabs>
        <w:numPr>
          <w:ilvl w:val="0"/>
          <w:numId w:val="74"/>
        </w:numPr>
        <w:rPr>
          <w:rFonts w:ascii="Arial" w:cs="Arial" w:eastAsia="Arial" w:hAnsi="Arial"/>
          <w:sz w:val="16"/>
          <w:szCs w:val="16"/>
          <w:color w:val="202E39"/>
        </w:rPr>
      </w:pPr>
      <w:r>
        <w:rPr>
          <w:rFonts w:ascii="Arial" w:cs="Arial" w:eastAsia="Arial" w:hAnsi="Arial"/>
          <w:sz w:val="16"/>
          <w:szCs w:val="16"/>
          <w:color w:val="202E39"/>
        </w:rPr>
        <w:t>Subject to Sections 10.3(d) and 10.7, the Committee (or the Board, in the case of awards granted to Independent Directors) may, in its discretion, include such further provisions and limitations in any Option, Performance Award, Stock Appreciation Right, Dividend Equivalent, or Stock Payment, or Restricted Stock or Restricted Stock Unit agreement or certificate, as it may deem equitable and in the best interests of the Company.</w:t>
      </w:r>
    </w:p>
    <w:p>
      <w:pPr>
        <w:spacing w:after="0" w:line="94" w:lineRule="exact"/>
        <w:rPr>
          <w:rFonts w:ascii="Arial" w:cs="Arial" w:eastAsia="Arial" w:hAnsi="Arial"/>
          <w:sz w:val="16"/>
          <w:szCs w:val="16"/>
          <w:color w:val="202E39"/>
        </w:rPr>
      </w:pPr>
    </w:p>
    <w:p>
      <w:pPr>
        <w:ind w:left="640" w:right="80" w:firstLine="4"/>
        <w:spacing w:after="0" w:line="248" w:lineRule="auto"/>
        <w:tabs>
          <w:tab w:leader="none" w:pos="883" w:val="left"/>
        </w:tabs>
        <w:numPr>
          <w:ilvl w:val="0"/>
          <w:numId w:val="74"/>
        </w:numPr>
        <w:rPr>
          <w:rFonts w:ascii="Arial" w:cs="Arial" w:eastAsia="Arial" w:hAnsi="Arial"/>
          <w:sz w:val="16"/>
          <w:szCs w:val="16"/>
          <w:color w:val="202E39"/>
        </w:rPr>
      </w:pPr>
      <w:r>
        <w:rPr>
          <w:rFonts w:ascii="Arial" w:cs="Arial" w:eastAsia="Arial" w:hAnsi="Arial"/>
          <w:sz w:val="16"/>
          <w:szCs w:val="16"/>
          <w:color w:val="202E39"/>
        </w:rPr>
        <w:t>With respect to Incentive Stock Options, no adjustment or action described in this Section 10.3 or in any other provision of the Plan shall be authorized to the extent that such adjustment or action would cause the Plan to violate Section 422(b)(1) of the Code or any successor provision thereto. With respect to 162(m) Awards, no adjustment or action described in this Section 10.3 or in any other provision of the Plan shall be authorized to the extent that such adjustment or action would cause such award to fail to so qualify under Code Section 162(m)(4)(C) prior to its repeal unless the Committee determines that the award should not so qualify. Furthermore, no such adjustment or action shall be authorized to the extent such adjustment or action would result in short-swing profits liability under Section 16 or violate the exemptive conditions of Rule 16b-3 unless the Committee (or the Board, in the case of awards granted to Independent Directors) determines that the option or other award is not to comply with such exemptive conditions. The number of shares of Common Stock subject to any option, right or award shall always be rounded to the next whole number.</w:t>
      </w:r>
    </w:p>
    <w:p>
      <w:pPr>
        <w:spacing w:after="0" w:line="124"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540" w:type="dxa"/>
            <w:vAlign w:val="bottom"/>
          </w:tcPr>
          <w:p>
            <w:pPr>
              <w:ind w:left="240"/>
              <w:spacing w:after="0"/>
              <w:rPr>
                <w:sz w:val="20"/>
                <w:szCs w:val="20"/>
                <w:color w:val="auto"/>
              </w:rPr>
            </w:pPr>
            <w:r>
              <w:rPr>
                <w:rFonts w:ascii="Arial" w:cs="Arial" w:eastAsia="Arial" w:hAnsi="Arial"/>
                <w:sz w:val="14"/>
                <w:szCs w:val="14"/>
                <w:b w:val="1"/>
                <w:bCs w:val="1"/>
                <w:color w:val="202E39"/>
                <w:w w:val="92"/>
              </w:rPr>
              <w:t>A-15</w:t>
            </w:r>
          </w:p>
        </w:tc>
      </w:tr>
    </w:tbl>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880" w:hanging="236"/>
        <w:spacing w:after="0"/>
        <w:tabs>
          <w:tab w:leader="none" w:pos="880" w:val="left"/>
        </w:tabs>
        <w:numPr>
          <w:ilvl w:val="0"/>
          <w:numId w:val="75"/>
        </w:numPr>
        <w:rPr>
          <w:rFonts w:ascii="Arial" w:cs="Arial" w:eastAsia="Arial" w:hAnsi="Arial"/>
          <w:sz w:val="16"/>
          <w:szCs w:val="16"/>
          <w:color w:val="202E39"/>
        </w:rPr>
      </w:pPr>
      <w:r>
        <w:rPr>
          <w:rFonts w:ascii="Arial" w:cs="Arial" w:eastAsia="Arial" w:hAnsi="Arial"/>
          <w:sz w:val="16"/>
          <w:szCs w:val="16"/>
          <w:color w:val="202E39"/>
        </w:rPr>
        <w:t>In connection with the occurrence of any Equity Restructuring, and notwithstanding anything to the contrary in Sections 10.3(a) and 10.3(b):</w:t>
      </w:r>
    </w:p>
    <w:p>
      <w:pPr>
        <w:spacing w:after="0" w:line="113" w:lineRule="exact"/>
        <w:rPr>
          <w:rFonts w:ascii="Arial" w:cs="Arial" w:eastAsia="Arial" w:hAnsi="Arial"/>
          <w:sz w:val="16"/>
          <w:szCs w:val="16"/>
          <w:color w:val="202E39"/>
        </w:rPr>
      </w:pPr>
    </w:p>
    <w:p>
      <w:pPr>
        <w:ind w:left="980" w:right="120" w:hanging="5"/>
        <w:spacing w:after="0" w:line="253" w:lineRule="auto"/>
        <w:tabs>
          <w:tab w:leader="none" w:pos="1169" w:val="left"/>
        </w:tabs>
        <w:numPr>
          <w:ilvl w:val="1"/>
          <w:numId w:val="75"/>
        </w:numPr>
        <w:rPr>
          <w:rFonts w:ascii="Arial" w:cs="Arial" w:eastAsia="Arial" w:hAnsi="Arial"/>
          <w:sz w:val="16"/>
          <w:szCs w:val="16"/>
          <w:color w:val="202E39"/>
        </w:rPr>
      </w:pPr>
      <w:r>
        <w:rPr>
          <w:rFonts w:ascii="Arial" w:cs="Arial" w:eastAsia="Arial" w:hAnsi="Arial"/>
          <w:sz w:val="16"/>
          <w:szCs w:val="16"/>
          <w:color w:val="202E39"/>
        </w:rPr>
        <w:t>The number and type of securities subject to each outstanding award and the exercise price or grant price thereof, if applicable, shall be equitably adjusted. The adjustments provided under this Section 10(e) shall be nondiscretionary and shall be final and binding on the affected holder and the Company.</w:t>
      </w:r>
    </w:p>
    <w:p>
      <w:pPr>
        <w:spacing w:after="0" w:line="93" w:lineRule="exact"/>
        <w:rPr>
          <w:rFonts w:ascii="Arial" w:cs="Arial" w:eastAsia="Arial" w:hAnsi="Arial"/>
          <w:sz w:val="16"/>
          <w:szCs w:val="16"/>
          <w:color w:val="202E39"/>
        </w:rPr>
      </w:pPr>
    </w:p>
    <w:p>
      <w:pPr>
        <w:ind w:left="980" w:hanging="5"/>
        <w:spacing w:after="0" w:line="250" w:lineRule="auto"/>
        <w:tabs>
          <w:tab w:leader="none" w:pos="1205" w:val="left"/>
        </w:tabs>
        <w:numPr>
          <w:ilvl w:val="1"/>
          <w:numId w:val="75"/>
        </w:numPr>
        <w:rPr>
          <w:rFonts w:ascii="Arial" w:cs="Arial" w:eastAsia="Arial" w:hAnsi="Arial"/>
          <w:sz w:val="16"/>
          <w:szCs w:val="16"/>
          <w:color w:val="202E39"/>
        </w:rPr>
      </w:pPr>
      <w:r>
        <w:rPr>
          <w:rFonts w:ascii="Arial" w:cs="Arial" w:eastAsia="Arial" w:hAnsi="Arial"/>
          <w:sz w:val="16"/>
          <w:szCs w:val="16"/>
          <w:color w:val="202E39"/>
        </w:rPr>
        <w:t>The Committee (or the Board, in the case of awards granted to Independent Directors) shall make such equitable adjustments, if any, as the Committee may deem appropriate to reflect such Equity Restructuring with respect to the aggregate number and kind of shares that may be issued under the Plan (including, but not limited to, adjustments of the limitations in Section 2.1 on the maximum number and kind of shares which may be issued under the Plan or the Award Limit and adjustments of the manner in which shares subject to Full Value Awards will be counted).</w:t>
      </w:r>
    </w:p>
    <w:p>
      <w:pPr>
        <w:spacing w:after="0" w:line="95"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202E39"/>
        </w:rPr>
        <w:t xml:space="preserve">10.4 </w:t>
      </w:r>
      <w:r>
        <w:rPr>
          <w:rFonts w:ascii="Arial" w:cs="Arial" w:eastAsia="Arial" w:hAnsi="Arial"/>
          <w:sz w:val="16"/>
          <w:szCs w:val="16"/>
          <w:u w:val="single" w:color="auto"/>
          <w:color w:val="202E39"/>
        </w:rPr>
        <w:t>Tax Withholding</w:t>
      </w:r>
      <w:r>
        <w:rPr>
          <w:rFonts w:ascii="Arial" w:cs="Arial" w:eastAsia="Arial" w:hAnsi="Arial"/>
          <w:sz w:val="16"/>
          <w:szCs w:val="16"/>
          <w:color w:val="202E39"/>
        </w:rPr>
        <w:t>. The Company shall be entitled to require payment in cash or deduction from other compensation payable to each Optionee, Grantee or Restricted Stockholder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The Committee (or the Board, in the case of awards granted to Independent Directors) may in its discretion and in satisfaction of the foregoing requirement allow such Optionee, Grantee or Restricted Stockholder to elect to have the Company withhold shares of Common Stock otherwise issuable under such Option or other award (or allow the return of shares of Common Stock) having a Fair Market Value equal to the amounts required to be withheld. For avoidance of doubt, the Committee (or the Board, in the case of awards granted to Independent Directors) may determine the fair market value of the shares of Common Stock for tax purposes upon settlement of an award using such methodology as may be required by applicable laws or as appropriate for administrative reasons. The number of shares of Common Stock which may be so withheld or returned shall be limited to the number of shares of Common Stock which have a fair market value on the date of withholding or return no greater than the aggregate amount of such liabilities based on the minimum statutory withholding rates for federal, state, local and foreign income tax and payroll tax purposes that are applicable to such supplemental taxable income (or, to the extent provided by the Committee (or the Board, in the case of awards granted to Independent Directors), such higher withholding rate that is in no event greater than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w:t>
      </w:r>
    </w:p>
    <w:p>
      <w:pPr>
        <w:spacing w:after="0" w:line="104" w:lineRule="exact"/>
        <w:rPr>
          <w:sz w:val="20"/>
          <w:szCs w:val="20"/>
          <w:color w:val="auto"/>
        </w:rPr>
      </w:pPr>
    </w:p>
    <w:p>
      <w:pPr>
        <w:ind w:left="200" w:right="180"/>
        <w:spacing w:after="0" w:line="250" w:lineRule="auto"/>
        <w:rPr>
          <w:sz w:val="20"/>
          <w:szCs w:val="20"/>
          <w:color w:val="auto"/>
        </w:rPr>
      </w:pPr>
      <w:r>
        <w:rPr>
          <w:rFonts w:ascii="Arial" w:cs="Arial" w:eastAsia="Arial" w:hAnsi="Arial"/>
          <w:sz w:val="16"/>
          <w:szCs w:val="16"/>
          <w:color w:val="202E39"/>
        </w:rPr>
        <w:t xml:space="preserve">10.5 </w:t>
      </w:r>
      <w:r>
        <w:rPr>
          <w:rFonts w:ascii="Arial" w:cs="Arial" w:eastAsia="Arial" w:hAnsi="Arial"/>
          <w:sz w:val="16"/>
          <w:szCs w:val="16"/>
          <w:u w:val="single" w:color="auto"/>
          <w:color w:val="202E39"/>
        </w:rPr>
        <w:t>Loans</w:t>
      </w:r>
      <w:r>
        <w:rPr>
          <w:rFonts w:ascii="Arial" w:cs="Arial" w:eastAsia="Arial" w:hAnsi="Arial"/>
          <w:sz w:val="16"/>
          <w:szCs w:val="16"/>
          <w:color w:val="202E39"/>
        </w:rPr>
        <w:t>. The Committee may, in its discretion, and to the extent permitted by law extend one or more loans to key Employees in connection with the exercise or receipt of an Option, Performance Award, Stock Appreciation Right, Dividend Equivalent or Stock Payment granted under this Plan, or the issuance, vesting or distribution of Restricted Stock or Restricted Stock Units awarded under this Plan. The terms and conditions of any such loan shall be set by the Committee (or the Board, in the case of awards granted to Independent Directors). No loans will be made to key Employees if such loans would be prohibited by Section 402 of the Sarbanes-Oxley Act of 2002.</w:t>
      </w:r>
    </w:p>
    <w:p>
      <w:pPr>
        <w:spacing w:after="0" w:line="95"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 xml:space="preserve">10.6 </w:t>
      </w:r>
      <w:r>
        <w:rPr>
          <w:rFonts w:ascii="Arial" w:cs="Arial" w:eastAsia="Arial" w:hAnsi="Arial"/>
          <w:sz w:val="16"/>
          <w:szCs w:val="16"/>
          <w:u w:val="single" w:color="auto"/>
          <w:color w:val="202E39"/>
        </w:rPr>
        <w:t>Forfeiture Provisions</w:t>
      </w:r>
      <w:r>
        <w:rPr>
          <w:rFonts w:ascii="Arial" w:cs="Arial" w:eastAsia="Arial" w:hAnsi="Arial"/>
          <w:sz w:val="16"/>
          <w:szCs w:val="16"/>
          <w:color w:val="202E39"/>
        </w:rPr>
        <w:t>. Pursuant to its general authority to determine the terms and conditions applicable to awards under the Plan, the Committee (or the Board, in the case of awards granted to Independent Directors) shall have the right (to the extent consistent with the applicable exemptive conditions of Rule 16b-3) to provide, in the terms of Options or other awards made under the Plan, or to require the recipient to agree by separate written instrument, that (i) any proceeds, gains or other economic benefit actually or constructively received by the recipient upon any receipt or exercise of the award, or upon the receipt or resale of any Common Stock underlying such award, must be paid to the Company, and (ii) the award shall terminate and any unexercised portion of such award (whether or not vested) shall be forfeited, if (a) a Termination of Employment, Termination of Consultancy or Termination of Directorship occurs prior to a specified date, or within a specified time period following receipt or exercise of the award, or (b) the recipient at any time, or during a specified time period, engages in any activity in competition with the Company, or which is inimical, contrary or harmful to the interests of the Company, as further defined by the Committee (or the Board, as applicable).</w:t>
      </w:r>
    </w:p>
    <w:p>
      <w:pPr>
        <w:spacing w:after="0" w:line="99"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 xml:space="preserve">10.7 </w:t>
      </w:r>
      <w:r>
        <w:rPr>
          <w:rFonts w:ascii="Arial" w:cs="Arial" w:eastAsia="Arial" w:hAnsi="Arial"/>
          <w:sz w:val="16"/>
          <w:szCs w:val="16"/>
          <w:u w:val="single" w:color="auto"/>
          <w:color w:val="202E39"/>
        </w:rPr>
        <w:t>Limitations Applicable to Section 16 Persons and Performance-Based Compensation</w:t>
      </w:r>
      <w:r>
        <w:rPr>
          <w:rFonts w:ascii="Arial" w:cs="Arial" w:eastAsia="Arial" w:hAnsi="Arial"/>
          <w:sz w:val="16"/>
          <w:szCs w:val="16"/>
          <w:color w:val="202E39"/>
        </w:rPr>
        <w:t>. Notwithstanding any other provision of this Plan, this Plan, and any Option, Performance Award, Stock Appreciation Right, Dividend Equivalent or Stock Payment granted, or Restricted Stock or Restricted Stock Unit awarded, to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Stock Appreciation Rights, Dividend Equivalents, Stock Payments, Restricted Stock and Restricted Stock Units granted or awarded hereunder shall be deemed amended to the extent necessary to conform to such applicable exemptive rule. Furthermore, notwithstanding any other provision of this Plan or any award agreement, each 162(m) Award (and each award which was otherwise not subject to the deduction limitation of Section 162(m) of the Code) shall be subject to any additional limitations as the Committee determines necessary for such 162(m) Award to qualify as “performance-based compensation” as described in Section 162(m)(4)(C) of the Code prior to its repeal (or to be so exempt) pursuant to the transition relief rules in the Tax Cuts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86360</wp:posOffset>
            </wp:positionV>
            <wp:extent cx="42862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A-16</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202E39"/>
        </w:rPr>
        <w:t>and Jobs Act of 2017, and to the extent any of the provisions of the Plan or any award (or any amendments hereto pursuant to this amendment and restatement of the Plan) would cause any 162(m) Awards to fail to so qualify or other awards to be so exempt, any such provisions shall not apply to such awards to the extent necessary to ensure the continued qualification or exemption of such awards. To the extent permitted by applicable law, the Plan and any such awards shall be deemed amended to the extent necessary to conform to such requirements.</w:t>
      </w:r>
    </w:p>
    <w:p>
      <w:pPr>
        <w:spacing w:after="0" w:line="95" w:lineRule="exact"/>
        <w:rPr>
          <w:sz w:val="20"/>
          <w:szCs w:val="20"/>
          <w:color w:val="auto"/>
        </w:rPr>
      </w:pPr>
    </w:p>
    <w:p>
      <w:pPr>
        <w:ind w:left="200" w:right="140"/>
        <w:spacing w:after="0" w:line="249" w:lineRule="auto"/>
        <w:rPr>
          <w:sz w:val="20"/>
          <w:szCs w:val="20"/>
          <w:color w:val="auto"/>
        </w:rPr>
      </w:pPr>
      <w:r>
        <w:rPr>
          <w:rFonts w:ascii="Arial" w:cs="Arial" w:eastAsia="Arial" w:hAnsi="Arial"/>
          <w:sz w:val="16"/>
          <w:szCs w:val="16"/>
          <w:color w:val="202E39"/>
        </w:rPr>
        <w:t xml:space="preserve">10.8 </w:t>
      </w:r>
      <w:r>
        <w:rPr>
          <w:rFonts w:ascii="Arial" w:cs="Arial" w:eastAsia="Arial" w:hAnsi="Arial"/>
          <w:sz w:val="16"/>
          <w:szCs w:val="16"/>
          <w:u w:val="single" w:color="auto"/>
          <w:color w:val="202E39"/>
        </w:rPr>
        <w:t>Effect of Plan Upon Options and Compensation Plans</w:t>
      </w:r>
      <w:r>
        <w:rPr>
          <w:rFonts w:ascii="Arial" w:cs="Arial" w:eastAsia="Arial" w:hAnsi="Arial"/>
          <w:sz w:val="16"/>
          <w:szCs w:val="16"/>
          <w:color w:val="202E39"/>
        </w:rPr>
        <w:t>. The adoption of this Plan shall not affect any other compensation or incentive plans in effect for the Company or any Subsidiary. Nothing in this Plan shall be construed to limit the right of the Company (i) to establish any other forms of incentives or compensation for Employees, Directors or Consultants of the Company or any Subsidiary or (ii) to grant or assume options or other rights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97"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 xml:space="preserve">10.9 </w:t>
      </w:r>
      <w:r>
        <w:rPr>
          <w:rFonts w:ascii="Arial" w:cs="Arial" w:eastAsia="Arial" w:hAnsi="Arial"/>
          <w:sz w:val="16"/>
          <w:szCs w:val="16"/>
          <w:u w:val="single" w:color="auto"/>
          <w:color w:val="202E39"/>
        </w:rPr>
        <w:t>Compliance with Laws</w:t>
      </w:r>
      <w:r>
        <w:rPr>
          <w:rFonts w:ascii="Arial" w:cs="Arial" w:eastAsia="Arial" w:hAnsi="Arial"/>
          <w:sz w:val="16"/>
          <w:szCs w:val="16"/>
          <w:color w:val="202E39"/>
        </w:rPr>
        <w:t>. This Plan, the granting and vesting of Options, Restricted Stock awards, Restricted Stock Unit awards, Performance Awards, Stock Appreciation Rights, Dividend Equivalents or Stock Payments under this Plan and the issuance and delivery of shares of Common Stock and the payment of money under this Plan or under Options, Performance Awards, Stock Appreciation Rights, Dividend Equivalents or Stock Payments granted or Restricted Stock or Restricted Stock Units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Restricted Stock Unit awards, Performance Awards, Stock Appreciation Rights, Dividend Equivalents or Stock Payments granted or awarded hereunder shall be deemed amended to the extent necessary to conform to such laws, rules and regulations.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10.10 </w:t>
      </w:r>
      <w:r>
        <w:rPr>
          <w:rFonts w:ascii="Arial" w:cs="Arial" w:eastAsia="Arial" w:hAnsi="Arial"/>
          <w:sz w:val="16"/>
          <w:szCs w:val="16"/>
          <w:u w:val="single" w:color="auto"/>
          <w:color w:val="202E39"/>
        </w:rPr>
        <w:t>Titles</w:t>
      </w:r>
      <w:r>
        <w:rPr>
          <w:rFonts w:ascii="Arial" w:cs="Arial" w:eastAsia="Arial" w:hAnsi="Arial"/>
          <w:sz w:val="16"/>
          <w:szCs w:val="16"/>
          <w:color w:val="202E39"/>
        </w:rPr>
        <w:t>. Titles are provided herein for convenience only and are not to serve as a basis for interpretation or construction of this Plan.</w:t>
      </w:r>
    </w:p>
    <w:p>
      <w:pPr>
        <w:spacing w:after="0" w:line="113" w:lineRule="exact"/>
        <w:rPr>
          <w:sz w:val="20"/>
          <w:szCs w:val="20"/>
          <w:color w:val="auto"/>
        </w:rPr>
      </w:pPr>
    </w:p>
    <w:p>
      <w:pPr>
        <w:ind w:left="200" w:right="240"/>
        <w:spacing w:after="0" w:line="260" w:lineRule="auto"/>
        <w:rPr>
          <w:sz w:val="20"/>
          <w:szCs w:val="20"/>
          <w:color w:val="auto"/>
        </w:rPr>
      </w:pPr>
      <w:r>
        <w:rPr>
          <w:rFonts w:ascii="Arial" w:cs="Arial" w:eastAsia="Arial" w:hAnsi="Arial"/>
          <w:sz w:val="16"/>
          <w:szCs w:val="16"/>
          <w:color w:val="202E39"/>
        </w:rPr>
        <w:t xml:space="preserve">10.11 </w:t>
      </w:r>
      <w:r>
        <w:rPr>
          <w:rFonts w:ascii="Arial" w:cs="Arial" w:eastAsia="Arial" w:hAnsi="Arial"/>
          <w:sz w:val="16"/>
          <w:szCs w:val="16"/>
          <w:u w:val="single" w:color="auto"/>
          <w:color w:val="202E39"/>
        </w:rPr>
        <w:t>Governing Law</w:t>
      </w:r>
      <w:r>
        <w:rPr>
          <w:rFonts w:ascii="Arial" w:cs="Arial" w:eastAsia="Arial" w:hAnsi="Arial"/>
          <w:sz w:val="16"/>
          <w:szCs w:val="16"/>
          <w:color w:val="202E39"/>
        </w:rPr>
        <w:t>. This Plan and any agreements hereunder shall be administered, interpreted and enforced under the internal laws of the State of California without regard to conflicts of laws thereof.</w:t>
      </w:r>
    </w:p>
    <w:p>
      <w:pPr>
        <w:spacing w:after="0" w:line="88" w:lineRule="exact"/>
        <w:rPr>
          <w:sz w:val="20"/>
          <w:szCs w:val="20"/>
          <w:color w:val="auto"/>
        </w:rPr>
      </w:pPr>
    </w:p>
    <w:p>
      <w:pPr>
        <w:ind w:left="200" w:right="120"/>
        <w:spacing w:after="0" w:line="248" w:lineRule="auto"/>
        <w:rPr>
          <w:sz w:val="20"/>
          <w:szCs w:val="20"/>
          <w:color w:val="auto"/>
        </w:rPr>
      </w:pPr>
      <w:r>
        <w:rPr>
          <w:rFonts w:ascii="Arial" w:cs="Arial" w:eastAsia="Arial" w:hAnsi="Arial"/>
          <w:sz w:val="16"/>
          <w:szCs w:val="16"/>
          <w:color w:val="202E39"/>
        </w:rPr>
        <w:t xml:space="preserve">10.12 </w:t>
      </w:r>
      <w:r>
        <w:rPr>
          <w:rFonts w:ascii="Arial" w:cs="Arial" w:eastAsia="Arial" w:hAnsi="Arial"/>
          <w:sz w:val="16"/>
          <w:szCs w:val="16"/>
          <w:u w:val="single" w:color="auto"/>
          <w:color w:val="202E39"/>
        </w:rPr>
        <w:t>Section 409A</w:t>
      </w:r>
      <w:r>
        <w:rPr>
          <w:rFonts w:ascii="Arial" w:cs="Arial" w:eastAsia="Arial" w:hAnsi="Arial"/>
          <w:sz w:val="16"/>
          <w:szCs w:val="16"/>
          <w:color w:val="202E39"/>
        </w:rPr>
        <w:t>. To the extent that the Committee (or the Board, in the case of awards granted to Independent Directors)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Notwithstanding any provision of the Plan to the contrary, in the event that the Committee (or the Board, in the case of awards granted to Independent Directors) determines that any award may be subject to Section 409A of the Code and related Department of Treasury guidance (including Department of Treasury guidance), the Committee (or the Board, in the case of awards granted to Independent Directors) may adopt such amendments to the Plan and the applicable award agreement or adopt other policies and procedures (including amendments, policies and procedures with retroactive effect), or take any other actions, that the Committee (or the Board, in the case of awards granted to Independent Directors)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w:t>
      </w:r>
    </w:p>
    <w:p>
      <w:pPr>
        <w:spacing w:after="0" w:line="97"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 xml:space="preserve">10.13 </w:t>
      </w:r>
      <w:r>
        <w:rPr>
          <w:rFonts w:ascii="Arial" w:cs="Arial" w:eastAsia="Arial" w:hAnsi="Arial"/>
          <w:sz w:val="16"/>
          <w:szCs w:val="16"/>
          <w:u w:val="single" w:color="auto"/>
          <w:color w:val="202E39"/>
        </w:rPr>
        <w:t>Award Vesting Limitations</w:t>
      </w:r>
      <w:r>
        <w:rPr>
          <w:rFonts w:ascii="Arial" w:cs="Arial" w:eastAsia="Arial" w:hAnsi="Arial"/>
          <w:sz w:val="16"/>
          <w:szCs w:val="16"/>
          <w:color w:val="202E39"/>
        </w:rPr>
        <w:t xml:space="preserve">. Notwithstanding any other provision of the Plan to the contrary, but subject to Section 10.3 and the last sentence of this Section 10.13, Options, awards of Restricted Stock, Performance Awards, Dividend Equivalents, awards of Restricted Stock Units, Stock Payments or Stock Appreciation Rights granted under the Plan shall vest no earlier than the first anniversary of the date the award is granted and no award agreement shall reduce or eliminate the minimum vesting requirement;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notwithstanding the foregoing, awards that result in the issuance of an aggregate of up to five percent (5%) of the shares of Common Stock available pursuant to Section 2.1(a) as of the Restatement Effective Date may be granted to any one or more Employees, consultants or Independent Directors without respect to and/or administered without regard for this minimum vesting provision. Nothing in this Section 10.13 precludes the Committee (or the Board, in the case of awards granted to Independent Directors) from taking action, in its sole discretion, to accelerate the vesting of any award in connection with or following a Grantee’s, Optionee’s or Restricted Stockholder’s death, disability, Termination of Employment, Termination of Consultancy, Termination of Directorship or the consummation of a Corporate Transaction or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-1104900</wp:posOffset>
            </wp:positionV>
            <wp:extent cx="285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03"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2018 </w:t>
            </w:r>
            <w:r>
              <w:rPr>
                <w:rFonts w:ascii="Arial" w:cs="Arial" w:eastAsia="Arial" w:hAnsi="Arial"/>
                <w:sz w:val="14"/>
                <w:szCs w:val="14"/>
                <w:b w:val="1"/>
                <w:bCs w:val="1"/>
                <w:color w:val="202E39"/>
              </w:rPr>
              <w:t>Proxy Statement</w:t>
            </w:r>
          </w:p>
        </w:tc>
        <w:tc>
          <w:tcPr>
            <w:tcW w:w="540" w:type="dxa"/>
            <w:vAlign w:val="bottom"/>
          </w:tcPr>
          <w:p>
            <w:pPr>
              <w:ind w:left="240"/>
              <w:spacing w:after="0"/>
              <w:rPr>
                <w:sz w:val="20"/>
                <w:szCs w:val="20"/>
                <w:color w:val="auto"/>
              </w:rPr>
            </w:pPr>
            <w:r>
              <w:rPr>
                <w:rFonts w:ascii="Arial" w:cs="Arial" w:eastAsia="Arial" w:hAnsi="Arial"/>
                <w:sz w:val="14"/>
                <w:szCs w:val="14"/>
                <w:b w:val="1"/>
                <w:bCs w:val="1"/>
                <w:color w:val="202E39"/>
                <w:w w:val="92"/>
              </w:rPr>
              <w:t>A-17</w:t>
            </w:r>
          </w:p>
        </w:tc>
      </w:tr>
    </w:tbl>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202E39"/>
        </w:rPr>
        <w:t xml:space="preserve">10.14 </w:t>
      </w:r>
      <w:r>
        <w:rPr>
          <w:rFonts w:ascii="Arial" w:cs="Arial" w:eastAsia="Arial" w:hAnsi="Arial"/>
          <w:sz w:val="16"/>
          <w:szCs w:val="16"/>
          <w:u w:val="single" w:color="auto"/>
          <w:color w:val="202E39"/>
        </w:rPr>
        <w:t>Dividend Limitations</w:t>
      </w:r>
      <w:r>
        <w:rPr>
          <w:rFonts w:ascii="Arial" w:cs="Arial" w:eastAsia="Arial" w:hAnsi="Arial"/>
          <w:sz w:val="16"/>
          <w:szCs w:val="16"/>
          <w:color w:val="202E39"/>
        </w:rPr>
        <w:t>. Notwithstanding any other provision of the Plan to the contrary, dividends and Dividend Equivalents with respect to an award that is subject to vesting that are based on dividends paid prior to the vesting of such award shall only be paid out to the Restricted Stockholder or Grantee, as applicable, to the extent that the vesting conditions are subsequently satisfied and the award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83820</wp:posOffset>
            </wp:positionV>
            <wp:extent cx="42862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A-18</w:t>
      </w:r>
    </w:p>
    <w:p>
      <w:pPr>
        <w:sectPr>
          <w:pgSz w:w="11900" w:h="16838" w:orient="portrait"/>
          <w:cols w:equalWidth="0" w:num="1">
            <w:col w:w="11100"/>
          </w:cols>
          <w:pgMar w:left="240" w:top="459" w:right="5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749415" cy="23152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49415"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360"/>
        </w:trPr>
        <w:tc>
          <w:tcPr>
            <w:tcW w:w="3920" w:type="dxa"/>
            <w:vAlign w:val="bottom"/>
            <w:gridSpan w:val="3"/>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600" w:type="dxa"/>
            <w:vAlign w:val="bottom"/>
          </w:tcPr>
          <w:p>
            <w:pPr>
              <w:ind w:left="280"/>
              <w:spacing w:after="0" w:line="361" w:lineRule="exact"/>
              <w:rPr>
                <w:sz w:val="20"/>
                <w:szCs w:val="20"/>
                <w:color w:val="auto"/>
              </w:rPr>
            </w:pPr>
            <w:r>
              <w:rPr>
                <w:rFonts w:ascii="MS PGothic" w:cs="MS PGothic" w:eastAsia="MS PGothic" w:hAnsi="MS PGothic"/>
                <w:sz w:val="36"/>
                <w:szCs w:val="36"/>
                <w:color w:val="auto"/>
                <w:w w:val="83"/>
              </w:rPr>
              <w:t>☒</w:t>
            </w:r>
          </w:p>
        </w:tc>
      </w:tr>
      <w:tr>
        <w:trPr>
          <w:trHeight w:val="20"/>
        </w:trPr>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6"/>
        </w:trPr>
        <w:tc>
          <w:tcPr>
            <w:tcW w:w="3920" w:type="dxa"/>
            <w:vAlign w:val="bottom"/>
            <w:gridSpan w:val="3"/>
          </w:tcPr>
          <w:p>
            <w:pPr>
              <w:spacing w:after="0"/>
              <w:rPr>
                <w:sz w:val="20"/>
                <w:szCs w:val="20"/>
                <w:color w:val="auto"/>
              </w:rPr>
            </w:pPr>
            <w:r>
              <w:rPr>
                <w:rFonts w:ascii="Arial" w:cs="Arial" w:eastAsia="Arial" w:hAnsi="Arial"/>
                <w:sz w:val="14"/>
                <w:szCs w:val="14"/>
                <w:color w:val="auto"/>
                <w:w w:val="99"/>
              </w:rPr>
              <w:t>this example. Please do not write outside the designated areas.</w:t>
            </w:r>
          </w:p>
        </w:tc>
        <w:tc>
          <w:tcPr>
            <w:tcW w:w="6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6997700" cy="3175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317500"/>
                    </a:xfrm>
                    <a:prstGeom prst="rect">
                      <a:avLst/>
                    </a:prstGeom>
                    <a:noFill/>
                  </pic:spPr>
                </pic:pic>
              </a:graphicData>
            </a:graphic>
          </wp:anchor>
        </w:drawing>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PROXY CARD FOR ANNUAL MEETING</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 xml:space="preserve"> q</w:t>
      </w:r>
    </w:p>
    <w:p>
      <w:pPr>
        <w:spacing w:after="0" w:line="316" w:lineRule="exact"/>
        <w:rPr>
          <w:sz w:val="20"/>
          <w:szCs w:val="20"/>
          <w:color w:val="auto"/>
        </w:rPr>
      </w:pPr>
    </w:p>
    <w:p>
      <w:pPr>
        <w:ind w:left="1700" w:right="840" w:hanging="1461"/>
        <w:spacing w:after="0" w:line="282" w:lineRule="auto"/>
        <w:tabs>
          <w:tab w:leader="none" w:pos="548" w:val="left"/>
        </w:tabs>
        <w:numPr>
          <w:ilvl w:val="0"/>
          <w:numId w:val="76"/>
        </w:numPr>
        <w:rPr>
          <w:rFonts w:ascii="Arial" w:cs="Arial" w:eastAsia="Arial" w:hAnsi="Arial"/>
          <w:sz w:val="18"/>
          <w:szCs w:val="18"/>
          <w:b w:val="1"/>
          <w:bCs w:val="1"/>
          <w:color w:val="FFFFFF"/>
        </w:rPr>
      </w:pPr>
      <w:r>
        <w:rPr>
          <w:rFonts w:ascii="Arial" w:cs="Arial" w:eastAsia="Arial" w:hAnsi="Arial"/>
          <w:sz w:val="18"/>
          <w:szCs w:val="18"/>
          <w:b w:val="1"/>
          <w:bCs w:val="1"/>
          <w:color w:val="auto"/>
        </w:rPr>
        <w:t>Proposals — The Viasat Board of Directors unanimously recommends that stockholders vote “FOR” all the director nominees listed in Proposal 1, and “FOR” proposals 2, 3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-296545</wp:posOffset>
            </wp:positionV>
            <wp:extent cx="14605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sectPr>
      </w:pP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192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780" w:type="dxa"/>
            <w:vAlign w:val="bottom"/>
          </w:tcPr>
          <w:p>
            <w:pPr>
              <w:ind w:left="500"/>
              <w:spacing w:after="0"/>
              <w:rPr>
                <w:sz w:val="20"/>
                <w:szCs w:val="20"/>
                <w:color w:val="auto"/>
              </w:rPr>
            </w:pPr>
            <w:r>
              <w:rPr>
                <w:rFonts w:ascii="Arial" w:cs="Arial" w:eastAsia="Arial" w:hAnsi="Arial"/>
                <w:sz w:val="14"/>
                <w:szCs w:val="14"/>
                <w:b w:val="1"/>
                <w:bCs w:val="1"/>
                <w:color w:val="auto"/>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0" w:type="dxa"/>
            <w:vAlign w:val="bottom"/>
          </w:tcPr>
          <w:p>
            <w:pPr>
              <w:spacing w:after="0"/>
              <w:rPr>
                <w:sz w:val="1"/>
                <w:szCs w:val="1"/>
                <w:color w:val="auto"/>
              </w:rPr>
            </w:pPr>
          </w:p>
        </w:tc>
      </w:tr>
      <w:tr>
        <w:trPr>
          <w:trHeight w:val="230"/>
        </w:trPr>
        <w:tc>
          <w:tcPr>
            <w:tcW w:w="1920" w:type="dxa"/>
            <w:vAlign w:val="bottom"/>
          </w:tcPr>
          <w:p>
            <w:pPr>
              <w:ind w:left="320"/>
              <w:spacing w:after="0"/>
              <w:rPr>
                <w:sz w:val="20"/>
                <w:szCs w:val="20"/>
                <w:color w:val="auto"/>
              </w:rPr>
            </w:pPr>
            <w:r>
              <w:rPr>
                <w:rFonts w:ascii="Arial" w:cs="Arial" w:eastAsia="Arial" w:hAnsi="Arial"/>
                <w:sz w:val="14"/>
                <w:szCs w:val="14"/>
                <w:color w:val="auto"/>
              </w:rPr>
              <w:t>Frank J. Biondi, Jr.</w:t>
            </w:r>
          </w:p>
        </w:tc>
        <w:tc>
          <w:tcPr>
            <w:tcW w:w="780" w:type="dxa"/>
            <w:vAlign w:val="bottom"/>
            <w:vMerge w:val="restart"/>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27"/>
        </w:trPr>
        <w:tc>
          <w:tcPr>
            <w:tcW w:w="19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1920" w:type="dxa"/>
            <w:vAlign w:val="bottom"/>
          </w:tcPr>
          <w:p>
            <w:pPr>
              <w:ind w:left="320"/>
              <w:spacing w:after="0"/>
              <w:rPr>
                <w:sz w:val="20"/>
                <w:szCs w:val="20"/>
                <w:color w:val="auto"/>
              </w:rPr>
            </w:pPr>
            <w:r>
              <w:rPr>
                <w:rFonts w:ascii="Arial" w:cs="Arial" w:eastAsia="Arial" w:hAnsi="Arial"/>
                <w:sz w:val="14"/>
                <w:szCs w:val="14"/>
                <w:color w:val="auto"/>
              </w:rPr>
              <w:t>Robert Johnson</w:t>
            </w:r>
          </w:p>
        </w:tc>
        <w:tc>
          <w:tcPr>
            <w:tcW w:w="780" w:type="dxa"/>
            <w:vAlign w:val="bottom"/>
            <w:vMerge w:val="restart"/>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27"/>
        </w:trPr>
        <w:tc>
          <w:tcPr>
            <w:tcW w:w="19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1920" w:type="dxa"/>
            <w:vAlign w:val="bottom"/>
          </w:tcPr>
          <w:p>
            <w:pPr>
              <w:ind w:left="320"/>
              <w:spacing w:after="0"/>
              <w:rPr>
                <w:sz w:val="20"/>
                <w:szCs w:val="20"/>
                <w:color w:val="auto"/>
              </w:rPr>
            </w:pPr>
            <w:r>
              <w:rPr>
                <w:rFonts w:ascii="Arial" w:cs="Arial" w:eastAsia="Arial" w:hAnsi="Arial"/>
                <w:sz w:val="14"/>
                <w:szCs w:val="14"/>
                <w:color w:val="auto"/>
              </w:rPr>
              <w:t>John Stenbit</w:t>
            </w:r>
          </w:p>
        </w:tc>
        <w:tc>
          <w:tcPr>
            <w:tcW w:w="780" w:type="dxa"/>
            <w:vAlign w:val="bottom"/>
            <w:vMerge w:val="restart"/>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27"/>
        </w:trPr>
        <w:tc>
          <w:tcPr>
            <w:tcW w:w="19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ind w:left="150" w:hanging="150"/>
        <w:spacing w:after="0" w:line="291" w:lineRule="auto"/>
        <w:tabs>
          <w:tab w:leader="none" w:pos="134" w:val="left"/>
        </w:tabs>
        <w:numPr>
          <w:ilvl w:val="0"/>
          <w:numId w:val="77"/>
        </w:numPr>
        <w:rPr>
          <w:rFonts w:ascii="Arial" w:cs="Arial" w:eastAsia="Arial" w:hAnsi="Arial"/>
          <w:sz w:val="13"/>
          <w:szCs w:val="13"/>
          <w:color w:val="auto"/>
        </w:rPr>
      </w:pPr>
      <w:r>
        <w:rPr>
          <w:rFonts w:ascii="Arial" w:cs="Arial" w:eastAsia="Arial" w:hAnsi="Arial"/>
          <w:sz w:val="13"/>
          <w:szCs w:val="13"/>
          <w:color w:val="auto"/>
        </w:rPr>
        <w:t>Ratification of Appointment of PricewaterhouseCoopers LLP as Viasat’s Independent Registered Public Accounting Firm for fiscal year 2019</w:t>
      </w:r>
    </w:p>
    <w:p>
      <w:pPr>
        <w:spacing w:after="0" w:line="15" w:lineRule="exact"/>
        <w:rPr>
          <w:rFonts w:ascii="Arial" w:cs="Arial" w:eastAsia="Arial" w:hAnsi="Arial"/>
          <w:sz w:val="13"/>
          <w:szCs w:val="13"/>
          <w:color w:val="auto"/>
        </w:rPr>
      </w:pPr>
    </w:p>
    <w:p>
      <w:pPr>
        <w:ind w:left="130" w:hanging="130"/>
        <w:spacing w:after="0"/>
        <w:tabs>
          <w:tab w:leader="none" w:pos="13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Advisory Vote on Executive Compensation</w:t>
      </w:r>
    </w:p>
    <w:p>
      <w:pPr>
        <w:spacing w:after="0" w:line="203" w:lineRule="exact"/>
        <w:rPr>
          <w:rFonts w:ascii="Arial" w:cs="Arial" w:eastAsia="Arial" w:hAnsi="Arial"/>
          <w:sz w:val="14"/>
          <w:szCs w:val="14"/>
          <w:color w:val="auto"/>
        </w:rPr>
      </w:pPr>
    </w:p>
    <w:p>
      <w:pPr>
        <w:ind w:left="130" w:hanging="130"/>
        <w:spacing w:after="0"/>
        <w:tabs>
          <w:tab w:leader="none" w:pos="13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Amendment and Restatement of the 1996 Equity Participation Plan</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For Against Abstain  </w:t>
      </w:r>
      <w:r>
        <w:rPr>
          <w:rFonts w:ascii="Arial" w:cs="Arial" w:eastAsia="Arial" w:hAnsi="Arial"/>
          <w:sz w:val="36"/>
          <w:szCs w:val="36"/>
          <w:b w:val="1"/>
          <w:bCs w:val="1"/>
          <w:color w:val="auto"/>
        </w:rPr>
        <w:t>+</w:t>
      </w:r>
    </w:p>
    <w:p>
      <w:pPr>
        <w:spacing w:after="0" w:line="45" w:lineRule="exact"/>
        <w:rPr>
          <w:sz w:val="20"/>
          <w:szCs w:val="20"/>
          <w:color w:val="auto"/>
        </w:rPr>
      </w:pPr>
    </w:p>
    <w:p>
      <w:pPr>
        <w:ind w:left="20"/>
        <w:spacing w:after="0" w:line="221" w:lineRule="exact"/>
        <w:tabs>
          <w:tab w:leader="none" w:pos="440" w:val="left"/>
          <w:tab w:leader="none" w:pos="102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108" w:lineRule="exact"/>
        <w:rPr>
          <w:sz w:val="20"/>
          <w:szCs w:val="20"/>
          <w:color w:val="auto"/>
        </w:rPr>
      </w:pPr>
    </w:p>
    <w:p>
      <w:pPr>
        <w:ind w:left="20"/>
        <w:spacing w:after="0" w:line="221" w:lineRule="exact"/>
        <w:tabs>
          <w:tab w:leader="none" w:pos="440" w:val="left"/>
          <w:tab w:leader="none" w:pos="102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145" w:lineRule="exact"/>
        <w:rPr>
          <w:sz w:val="20"/>
          <w:szCs w:val="20"/>
          <w:color w:val="auto"/>
        </w:rPr>
      </w:pPr>
    </w:p>
    <w:p>
      <w:pPr>
        <w:ind w:left="20"/>
        <w:spacing w:after="0" w:line="221" w:lineRule="exact"/>
        <w:tabs>
          <w:tab w:leader="none" w:pos="440" w:val="left"/>
          <w:tab w:leader="none" w:pos="102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318" w:lineRule="exact"/>
        <w:rPr>
          <w:sz w:val="20"/>
          <w:szCs w:val="20"/>
          <w:color w:val="auto"/>
        </w:rPr>
      </w:pPr>
    </w:p>
    <w:p>
      <w:pPr>
        <w:sectPr>
          <w:pgSz w:w="11900" w:h="16838" w:orient="portrait"/>
          <w:cols w:equalWidth="0" w:num="3">
            <w:col w:w="3630" w:space="720"/>
            <w:col w:w="4350" w:space="400"/>
            <w:col w:w="2040"/>
          </w:cols>
          <w:pgMar w:left="240" w:top="459" w:right="519" w:bottom="1440" w:gutter="0" w:footer="0" w:header="0"/>
          <w:type w:val="continuous"/>
        </w:sectPr>
      </w:pPr>
    </w:p>
    <w:p>
      <w:pPr>
        <w:spacing w:after="0" w:line="193" w:lineRule="exact"/>
        <w:rPr>
          <w:sz w:val="20"/>
          <w:szCs w:val="20"/>
          <w:color w:val="auto"/>
        </w:rPr>
      </w:pPr>
    </w:p>
    <w:p>
      <w:pPr>
        <w:ind w:left="540" w:hanging="291"/>
        <w:spacing w:after="0"/>
        <w:tabs>
          <w:tab w:leader="none" w:pos="540" w:val="left"/>
        </w:tabs>
        <w:numPr>
          <w:ilvl w:val="0"/>
          <w:numId w:val="78"/>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Date and Sign Below — This section must be completed for your vote to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14605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97" w:lineRule="exact"/>
        <w:rPr>
          <w:sz w:val="20"/>
          <w:szCs w:val="20"/>
          <w:color w:val="auto"/>
        </w:rPr>
      </w:pPr>
    </w:p>
    <w:p>
      <w:pPr>
        <w:ind w:left="200" w:right="220"/>
        <w:spacing w:after="0" w:line="253" w:lineRule="auto"/>
        <w:rPr>
          <w:sz w:val="20"/>
          <w:szCs w:val="20"/>
          <w:color w:val="auto"/>
        </w:rPr>
      </w:pPr>
      <w:r>
        <w:rPr>
          <w:rFonts w:ascii="Arial" w:cs="Arial" w:eastAsia="Arial" w:hAnsi="Arial"/>
          <w:sz w:val="14"/>
          <w:szCs w:val="14"/>
          <w:color w:val="auto"/>
        </w:rPr>
        <w:t>Please sign your name(s) EXACTLY as your name(s) appear(s) on this proxy card. If shares are held jointly, each joint holder must sign. When signing as trustee, executor, administrator, guardian, attorney or corporate officer, please print your full title.</w:t>
      </w:r>
    </w:p>
    <w:p>
      <w:pPr>
        <w:spacing w:after="0" w:line="84" w:lineRule="exact"/>
        <w:rPr>
          <w:sz w:val="20"/>
          <w:szCs w:val="20"/>
          <w:color w:val="auto"/>
        </w:rPr>
      </w:pPr>
    </w:p>
    <w:p>
      <w:pPr>
        <w:ind w:left="200"/>
        <w:spacing w:after="0"/>
        <w:tabs>
          <w:tab w:leader="none" w:pos="4140" w:val="left"/>
          <w:tab w:leader="none" w:pos="7740" w:val="left"/>
        </w:tabs>
        <w:rPr>
          <w:sz w:val="20"/>
          <w:szCs w:val="20"/>
          <w:color w:val="auto"/>
        </w:rPr>
      </w:pPr>
      <w:r>
        <w:rPr>
          <w:rFonts w:ascii="Arial" w:cs="Arial" w:eastAsia="Arial" w:hAnsi="Arial"/>
          <w:sz w:val="13"/>
          <w:szCs w:val="13"/>
          <w:color w:val="auto"/>
        </w:rPr>
        <w:t>Date (mm/dd/yyyy) — Please print date below.</w:t>
      </w:r>
      <w:r>
        <w:rPr>
          <w:sz w:val="20"/>
          <w:szCs w:val="20"/>
          <w:color w:val="auto"/>
        </w:rPr>
        <w:tab/>
      </w:r>
      <w:r>
        <w:rPr>
          <w:rFonts w:ascii="Arial" w:cs="Arial" w:eastAsia="Arial" w:hAnsi="Arial"/>
          <w:sz w:val="13"/>
          <w:szCs w:val="13"/>
          <w:color w:val="auto"/>
        </w:rPr>
        <w:t>Signature 1 — Please keep signature within the box.</w:t>
      </w:r>
      <w:r>
        <w:rPr>
          <w:sz w:val="20"/>
          <w:szCs w:val="20"/>
          <w:color w:val="auto"/>
        </w:rPr>
        <w:tab/>
      </w:r>
      <w:r>
        <w:rPr>
          <w:rFonts w:ascii="Arial" w:cs="Arial" w:eastAsia="Arial" w:hAnsi="Arial"/>
          <w:sz w:val="11"/>
          <w:szCs w:val="11"/>
          <w:color w:val="auto"/>
        </w:rPr>
        <w:t>Signature 2 (Joint Owner) — Please keep signature within the box.</w:t>
      </w:r>
    </w:p>
    <w:p>
      <w:pPr>
        <w:spacing w:after="0" w:line="31" w:lineRule="exact"/>
        <w:rPr>
          <w:sz w:val="20"/>
          <w:szCs w:val="20"/>
          <w:color w:val="auto"/>
        </w:rPr>
      </w:pPr>
    </w:p>
    <w:p>
      <w:pPr>
        <w:ind w:left="1140"/>
        <w:spacing w:after="0"/>
        <w:tabs>
          <w:tab w:leader="none" w:pos="2140" w:val="left"/>
        </w:tabs>
        <w:rPr>
          <w:sz w:val="20"/>
          <w:szCs w:val="20"/>
          <w:color w:val="auto"/>
        </w:rPr>
      </w:pPr>
      <w:r>
        <w:rPr>
          <w:rFonts w:ascii="Arial" w:cs="Arial" w:eastAsia="Arial" w:hAnsi="Arial"/>
          <w:sz w:val="45"/>
          <w:szCs w:val="45"/>
          <w:color w:val="auto"/>
        </w:rPr>
        <w:t>/</w:t>
      </w:r>
      <w:r>
        <w:rPr>
          <w:sz w:val="20"/>
          <w:szCs w:val="20"/>
          <w:color w:val="auto"/>
        </w:rPr>
        <w:tab/>
      </w:r>
      <w:r>
        <w:rPr>
          <w:rFonts w:ascii="Arial" w:cs="Arial" w:eastAsia="Arial" w:hAnsi="Arial"/>
          <w:sz w:val="45"/>
          <w:szCs w:val="4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-313690</wp:posOffset>
            </wp:positionV>
            <wp:extent cx="7006590" cy="3429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06590" cy="342900"/>
                    </a:xfrm>
                    <a:prstGeom prst="rect">
                      <a:avLst/>
                    </a:prstGeom>
                    <a:noFill/>
                  </pic:spPr>
                </pic:pic>
              </a:graphicData>
            </a:graphic>
          </wp:anchor>
        </w:drawing>
      </w:r>
    </w:p>
    <w:p>
      <w:pPr>
        <w:spacing w:after="0" w:line="110"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 xml:space="preserve">IF VOTING BY MAIL, YOU </w:t>
      </w:r>
      <w:r>
        <w:rPr>
          <w:rFonts w:ascii="Arial" w:cs="Arial" w:eastAsia="Arial" w:hAnsi="Arial"/>
          <w:sz w:val="20"/>
          <w:szCs w:val="20"/>
          <w:b w:val="1"/>
          <w:bCs w:val="1"/>
          <w:u w:val="single" w:color="auto"/>
          <w:color w:val="auto"/>
        </w:rPr>
        <w:t>MUST</w:t>
      </w:r>
      <w:r>
        <w:rPr>
          <w:rFonts w:ascii="Arial" w:cs="Arial" w:eastAsia="Arial" w:hAnsi="Arial"/>
          <w:sz w:val="20"/>
          <w:szCs w:val="20"/>
          <w:b w:val="1"/>
          <w:bCs w:val="1"/>
          <w:color w:val="auto"/>
        </w:rPr>
        <w:t xml:space="preserve"> COMPLETE SECTIONS A - C ON BOTH SIDES OF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168910</wp:posOffset>
            </wp:positionV>
            <wp:extent cx="6560185" cy="394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601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02V92H</w:t>
      </w:r>
    </w:p>
    <w:p>
      <w:pPr>
        <w:sectPr>
          <w:pgSz w:w="11900" w:h="16838" w:orient="portrait"/>
          <w:cols w:equalWidth="0" w:num="1">
            <w:col w:w="11140"/>
          </w:cols>
          <w:pgMar w:left="240" w:top="459" w:right="51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7278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02145" cy="17278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29"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 xml:space="preserve">The proxy materials for the Viasat annual meeting of stockholders, including the proxy statement and annual report to stockholders, are available over the internet on the Investor Relations section of our website at </w:t>
      </w:r>
      <w:r>
        <w:rPr>
          <w:rFonts w:ascii="Arial" w:cs="Arial" w:eastAsia="Arial" w:hAnsi="Arial"/>
          <w:sz w:val="18"/>
          <w:szCs w:val="18"/>
          <w:i w:val="1"/>
          <w:iCs w:val="1"/>
          <w:color w:val="auto"/>
        </w:rPr>
        <w:t>investors.viasat.com.</w:t>
      </w:r>
    </w:p>
    <w:p>
      <w:pPr>
        <w:spacing w:after="0" w:line="16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Electronic Access To Future Documents</w:t>
      </w:r>
    </w:p>
    <w:p>
      <w:pPr>
        <w:spacing w:after="0" w:line="229"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If you wish to access all future proxy statements and annual reports via the internet as they become available, please consent by marking the appropriate box below. Choosing to receive your future proxy materials electronically will help us conserve natural resources and reduce the costs of printing and distributing our proxy materials. This consent will remain in effect until you notify our transfer agent, Computershare, by mail that you wish to resume mail delivery of the proxy statement and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 xml:space="preserve"> q</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83820</wp:posOffset>
            </wp:positionV>
            <wp:extent cx="656907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69075" cy="17145"/>
                    </a:xfrm>
                    <a:prstGeom prst="rect">
                      <a:avLst/>
                    </a:prstGeom>
                    <a:noFill/>
                  </pic:spPr>
                </pic:pic>
              </a:graphicData>
            </a:graphic>
          </wp:anchor>
        </w:drawing>
      </w:r>
    </w:p>
    <w:p>
      <w:pPr>
        <w:spacing w:after="0" w:line="156" w:lineRule="exact"/>
        <w:rPr>
          <w:sz w:val="20"/>
          <w:szCs w:val="20"/>
          <w:color w:val="auto"/>
        </w:rPr>
      </w:pPr>
    </w:p>
    <w:p>
      <w:pPr>
        <w:jc w:val="center"/>
        <w:ind w:right="420"/>
        <w:spacing w:after="0"/>
        <w:rPr>
          <w:sz w:val="20"/>
          <w:szCs w:val="20"/>
          <w:color w:val="auto"/>
        </w:rPr>
      </w:pPr>
      <w:r>
        <w:rPr>
          <w:rFonts w:ascii="Arial" w:cs="Arial" w:eastAsia="Arial" w:hAnsi="Arial"/>
          <w:sz w:val="25"/>
          <w:szCs w:val="25"/>
          <w:b w:val="1"/>
          <w:bCs w:val="1"/>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-124460</wp:posOffset>
            </wp:positionV>
            <wp:extent cx="6997700" cy="943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VIASAT, INC.</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ANNUAL MEETING OF STOCKHOLDERS</w:t>
      </w:r>
    </w:p>
    <w:p>
      <w:pPr>
        <w:jc w:val="center"/>
        <w:ind w:right="-279"/>
        <w:spacing w:after="0"/>
        <w:rPr>
          <w:sz w:val="20"/>
          <w:szCs w:val="20"/>
          <w:color w:val="auto"/>
        </w:rPr>
      </w:pPr>
      <w:r>
        <w:rPr>
          <w:rFonts w:ascii="Arial" w:cs="Arial" w:eastAsia="Arial" w:hAnsi="Arial"/>
          <w:sz w:val="20"/>
          <w:szCs w:val="20"/>
          <w:b w:val="1"/>
          <w:bCs w:val="1"/>
          <w:color w:val="auto"/>
        </w:rPr>
        <w:t>SEPTEMBER 6, 2018</w:t>
      </w:r>
    </w:p>
    <w:p>
      <w:pPr>
        <w:spacing w:after="0" w:line="126" w:lineRule="exact"/>
        <w:rPr>
          <w:sz w:val="20"/>
          <w:szCs w:val="20"/>
          <w:color w:val="auto"/>
        </w:rPr>
      </w:pPr>
    </w:p>
    <w:p>
      <w:pPr>
        <w:ind w:left="1860"/>
        <w:spacing w:after="0"/>
        <w:rPr>
          <w:sz w:val="20"/>
          <w:szCs w:val="20"/>
          <w:color w:val="auto"/>
        </w:rPr>
      </w:pPr>
      <w:r>
        <w:rPr>
          <w:rFonts w:ascii="Arial" w:cs="Arial" w:eastAsia="Arial" w:hAnsi="Arial"/>
          <w:sz w:val="20"/>
          <w:szCs w:val="20"/>
          <w:b w:val="1"/>
          <w:bCs w:val="1"/>
          <w:color w:val="auto"/>
        </w:rPr>
        <w:t>THIS PROXY IS SOLICITED ON BEHALF OF THE VIASAT BOARD OF DIRECTORS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The undersigned revokes all previous proxies, acknowledges receipt of the notice of annual meeting of stockholders and the accompanying proxy statement, and hereby appoints</w:t>
      </w:r>
    </w:p>
    <w:p>
      <w:pPr>
        <w:spacing w:after="0" w:line="11" w:lineRule="exact"/>
        <w:rPr>
          <w:sz w:val="20"/>
          <w:szCs w:val="20"/>
          <w:color w:val="auto"/>
        </w:rPr>
      </w:pPr>
    </w:p>
    <w:p>
      <w:pPr>
        <w:ind w:left="200" w:right="40"/>
        <w:spacing w:after="0" w:line="229" w:lineRule="auto"/>
        <w:rPr>
          <w:sz w:val="20"/>
          <w:szCs w:val="20"/>
          <w:color w:val="auto"/>
        </w:rPr>
      </w:pPr>
      <w:r>
        <w:rPr>
          <w:rFonts w:ascii="Arial" w:cs="Arial" w:eastAsia="Arial" w:hAnsi="Arial"/>
          <w:sz w:val="14"/>
          <w:szCs w:val="14"/>
          <w:color w:val="auto"/>
        </w:rPr>
        <w:t>Mark Dankberg and Robert Blair, jointly and severally, with full power of substitution to each, as proxies of the undersigned, to represent the undersigned and to vote all shares of common stock of Viasat, Inc. that the undersigned is entitled to vote, either on his or her own behalf or on behalf of an entity or entities, at the annual meeting of stockholders of Viasat, Inc. to be held on September 6, 2018, at 8:30 a.m. Pacific Time, at Viasat, Inc., Founders Hall, 6155 El Camino Real, Carlsbad, CA 92009, and at any adjournments and postponements thereof, with the same force and effect as the undersigned might or could do if personally present.</w:t>
      </w:r>
    </w:p>
    <w:p>
      <w:pPr>
        <w:spacing w:after="0" w:line="180" w:lineRule="exact"/>
        <w:rPr>
          <w:sz w:val="20"/>
          <w:szCs w:val="20"/>
          <w:color w:val="auto"/>
        </w:rPr>
      </w:pPr>
    </w:p>
    <w:p>
      <w:pPr>
        <w:ind w:left="200" w:right="40"/>
        <w:spacing w:after="0" w:line="232" w:lineRule="auto"/>
        <w:rPr>
          <w:sz w:val="20"/>
          <w:szCs w:val="20"/>
          <w:color w:val="auto"/>
        </w:rPr>
      </w:pPr>
      <w:r>
        <w:rPr>
          <w:rFonts w:ascii="Arial" w:cs="Arial" w:eastAsia="Arial" w:hAnsi="Arial"/>
          <w:sz w:val="14"/>
          <w:szCs w:val="14"/>
          <w:b w:val="1"/>
          <w:bCs w:val="1"/>
          <w:color w:val="auto"/>
        </w:rPr>
        <w:t>THE SHARES REPRESENTED BY THIS PROXY CARD WILL BE VOTED AS INSTRUCTED BY THE STOCKHOLDER. IF NO INSTRUCTIONS ARE SPECIFIED, THE SHARES WILL BE VOTED “FOR” ALL THE DIRECTOR NOMINEES LISTED IN PROPOSAL 1, AND “FOR” PROPOSALS 2, 3 AND 4. IF ANY OTHER BUSINESS IS PROPERLY PRESENTED AT THE ANNUAL MEETING, OR ANY ADJOURNMENTS OR POSTPONEMENTS THEREOF, THIS PROXY CARD WILL CONFER DISCRETIONARY AUTHORITY ON THE INDIVIDUALS NAMED AS PROXIES TO VOTE THE SHARES REPRESENTED BY THE PROXIES IN ACCORDANCE WITH THEIR BEST JUDGMENT.</w:t>
      </w:r>
    </w:p>
    <w:p>
      <w:pPr>
        <w:sectPr>
          <w:pgSz w:w="11900" w:h="16838" w:orient="portrait"/>
          <w:cols w:equalWidth="0" w:num="1">
            <w:col w:w="11160"/>
          </w:cols>
          <w:pgMar w:left="240" w:top="459" w:right="499" w:bottom="1440" w:gutter="0" w:footer="0" w:header="0"/>
        </w:sectPr>
      </w:pPr>
    </w:p>
    <w:bookmarkStart w:id="70" w:name="page71"/>
    <w:bookmarkEnd w:id="70"/>
    <w:p>
      <w:pPr>
        <w:ind w:left="340" w:hanging="291"/>
        <w:spacing w:after="0"/>
        <w:tabs>
          <w:tab w:leader="none" w:pos="340" w:val="left"/>
        </w:tabs>
        <w:numPr>
          <w:ilvl w:val="0"/>
          <w:numId w:val="79"/>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14605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Change of Address </w:t>
      </w:r>
      <w:r>
        <w:rPr>
          <w:rFonts w:ascii="Arial" w:cs="Arial" w:eastAsia="Arial" w:hAnsi="Arial"/>
          <w:sz w:val="12"/>
          <w:szCs w:val="12"/>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3258820" cy="540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58820" cy="540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ACCESS TO FUTURE DOCUMENTS</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If you consent to use the internet to access all future notices of stockholder meetings, proxy statements and annual reports issued by Viasat (electronic access), please mark this box. See above for details.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 Consent</w:t>
      </w:r>
    </w:p>
    <w:p>
      <w:pPr>
        <w:spacing w:after="0" w:line="25" w:lineRule="exact"/>
        <w:rPr>
          <w:sz w:val="20"/>
          <w:szCs w:val="20"/>
          <w:color w:val="auto"/>
        </w:rPr>
      </w:pPr>
    </w:p>
    <w:p>
      <w:pPr>
        <w:ind w:left="140"/>
        <w:spacing w:after="0" w:line="361" w:lineRule="exact"/>
        <w:rPr>
          <w:sz w:val="20"/>
          <w:szCs w:val="20"/>
          <w:color w:val="auto"/>
        </w:rPr>
      </w:pPr>
      <w:r>
        <w:rPr>
          <w:rFonts w:ascii="MS PGothic" w:cs="MS PGothic" w:eastAsia="MS PGothic" w:hAnsi="MS PGothic"/>
          <w:sz w:val="36"/>
          <w:szCs w:val="36"/>
          <w:color w:val="auto"/>
        </w:rPr>
        <w:t>☐</w:t>
      </w:r>
    </w:p>
    <w:p>
      <w:pPr>
        <w:spacing w:after="0" w:line="306" w:lineRule="exact"/>
        <w:rPr>
          <w:sz w:val="20"/>
          <w:szCs w:val="20"/>
          <w:color w:val="auto"/>
        </w:rPr>
      </w:pPr>
    </w:p>
    <w:p>
      <w:pPr>
        <w:sectPr>
          <w:pgSz w:w="11900" w:h="16838" w:orient="portrait"/>
          <w:cols w:equalWidth="0" w:num="3">
            <w:col w:w="4820" w:space="720"/>
            <w:col w:w="4300" w:space="580"/>
            <w:col w:w="600"/>
          </w:cols>
          <w:pgMar w:left="440" w:top="621" w:right="4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 xml:space="preserve">IF VOTING BY MAIL, YOU </w:t>
      </w:r>
      <w:r>
        <w:rPr>
          <w:rFonts w:ascii="Arial" w:cs="Arial" w:eastAsia="Arial" w:hAnsi="Arial"/>
          <w:sz w:val="20"/>
          <w:szCs w:val="20"/>
          <w:b w:val="1"/>
          <w:bCs w:val="1"/>
          <w:u w:val="single" w:color="auto"/>
          <w:color w:val="auto"/>
        </w:rPr>
        <w:t>MUST</w:t>
      </w:r>
      <w:r>
        <w:rPr>
          <w:rFonts w:ascii="Arial" w:cs="Arial" w:eastAsia="Arial" w:hAnsi="Arial"/>
          <w:sz w:val="20"/>
          <w:szCs w:val="20"/>
          <w:b w:val="1"/>
          <w:bCs w:val="1"/>
          <w:color w:val="auto"/>
        </w:rPr>
        <w:t xml:space="preserve"> COMPLETE SECTIONS A - C ON BOTH SIDES OF THIS CARD.</w:t>
      </w:r>
    </w:p>
    <w:p>
      <w:pPr>
        <w:spacing w:after="0" w:line="192" w:lineRule="exact"/>
        <w:rPr>
          <w:sz w:val="20"/>
          <w:szCs w:val="20"/>
          <w:color w:val="auto"/>
        </w:rPr>
      </w:pPr>
    </w:p>
    <w:tbl>
      <w:tblPr>
        <w:tblLayout w:type="fixed"/>
        <w:tblInd w:w="850" w:type="dxa"/>
        <w:tblCellMar>
          <w:top w:w="0" w:type="dxa"/>
          <w:left w:w="0" w:type="dxa"/>
          <w:bottom w:w="0" w:type="dxa"/>
          <w:right w:w="0" w:type="dxa"/>
        </w:tblCellMar>
      </w:tblPr>
      <w:tr>
        <w:trPr>
          <w:trHeight w:val="318"/>
        </w:trPr>
        <w:tc>
          <w:tcPr>
            <w:tcW w:w="18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SEE REVERSE SIDE</w:t>
            </w:r>
          </w:p>
        </w:tc>
        <w:tc>
          <w:tcPr>
            <w:tcW w:w="5900" w:type="dxa"/>
            <w:vAlign w:val="bottom"/>
            <w:tcBorders>
              <w:top w:val="single" w:sz="8" w:color="auto"/>
              <w:right w:val="single" w:sz="8" w:color="auto"/>
            </w:tcBorders>
            <w:vMerge w:val="restart"/>
          </w:tcPr>
          <w:p>
            <w:pPr>
              <w:ind w:left="1200"/>
              <w:spacing w:after="0"/>
              <w:rPr>
                <w:sz w:val="20"/>
                <w:szCs w:val="20"/>
                <w:color w:val="auto"/>
              </w:rPr>
            </w:pPr>
            <w:r>
              <w:rPr>
                <w:rFonts w:ascii="Arial" w:cs="Arial" w:eastAsia="Arial" w:hAnsi="Arial"/>
                <w:sz w:val="16"/>
                <w:szCs w:val="16"/>
                <w:b w:val="1"/>
                <w:bCs w:val="1"/>
                <w:color w:val="auto"/>
              </w:rPr>
              <w:t>TO BE SIGNED AND DATED ON REVERSE SIDE</w:t>
            </w:r>
          </w:p>
        </w:tc>
        <w:tc>
          <w:tcPr>
            <w:tcW w:w="18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SEE REVERSE SIDE</w:t>
            </w:r>
          </w:p>
        </w:tc>
        <w:tc>
          <w:tcPr>
            <w:tcW w:w="0" w:type="dxa"/>
            <w:vAlign w:val="bottom"/>
          </w:tcPr>
          <w:p>
            <w:pPr>
              <w:spacing w:after="0"/>
              <w:rPr>
                <w:sz w:val="1"/>
                <w:szCs w:val="1"/>
                <w:color w:val="auto"/>
              </w:rPr>
            </w:pPr>
          </w:p>
        </w:tc>
      </w:tr>
      <w:tr>
        <w:trPr>
          <w:trHeight w:val="111"/>
        </w:trPr>
        <w:tc>
          <w:tcPr>
            <w:tcW w:w="1860" w:type="dxa"/>
            <w:vAlign w:val="bottom"/>
            <w:tcBorders>
              <w:left w:val="single" w:sz="8" w:color="auto"/>
              <w:bottom w:val="single" w:sz="8" w:color="auto"/>
              <w:right w:val="single" w:sz="8" w:color="auto"/>
            </w:tcBorders>
          </w:tcPr>
          <w:p>
            <w:pPr>
              <w:spacing w:after="0"/>
              <w:rPr>
                <w:sz w:val="9"/>
                <w:szCs w:val="9"/>
                <w:color w:val="auto"/>
              </w:rPr>
            </w:pPr>
          </w:p>
        </w:tc>
        <w:tc>
          <w:tcPr>
            <w:tcW w:w="5900" w:type="dxa"/>
            <w:vAlign w:val="bottom"/>
            <w:tcBorders>
              <w:right w:val="single" w:sz="8" w:color="auto"/>
            </w:tcBorders>
            <w:vMerge w:val="continue"/>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188595" cy="1974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8595" cy="197485"/>
                    </a:xfrm>
                    <a:prstGeom prst="rect">
                      <a:avLst/>
                    </a:prstGeom>
                    <a:noFill/>
                  </pic:spPr>
                </pic:pic>
              </a:graphicData>
            </a:graphic>
          </wp:anchor>
        </w:drawing>
        <w:drawing>
          <wp:anchor simplePos="0" relativeHeight="251657728" behindDoc="1" locked="0" layoutInCell="0" allowOverlap="1">
            <wp:simplePos x="0" y="0"/>
            <wp:positionH relativeFrom="column">
              <wp:posOffset>6807200</wp:posOffset>
            </wp:positionH>
            <wp:positionV relativeFrom="paragraph">
              <wp:posOffset>-196850</wp:posOffset>
            </wp:positionV>
            <wp:extent cx="19748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7485" cy="188595"/>
                    </a:xfrm>
                    <a:prstGeom prst="rect">
                      <a:avLst/>
                    </a:prstGeom>
                    <a:noFill/>
                  </pic:spPr>
                </pic:pic>
              </a:graphicData>
            </a:graphic>
          </wp:anchor>
        </w:drawing>
      </w:r>
    </w:p>
    <w:sectPr>
      <w:pgSz w:w="11900" w:h="16838" w:orient="portrait"/>
      <w:cols w:equalWidth="0" w:num="1">
        <w:col w:w="11020"/>
      </w:cols>
      <w:pgMar w:left="440" w:top="6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lvl w:ilvl="1">
      <w:lvlJc w:val="left"/>
      <w:lvlText w:val="(%2)"/>
      <w:numFmt w:val="decimal"/>
      <w:start w:val="1"/>
    </w:lvl>
  </w:abstractNum>
  <w:abstractNum w:abstractNumId="3">
    <w:nsid w:val="3855585C"/>
    <w:multiLevelType w:val="hybridMultilevel"/>
    <w:lvl w:ilvl="0">
      <w:lvlJc w:val="left"/>
      <w:lvlText w:val="%1."/>
      <w:numFmt w:val="decimal"/>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2"/>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1)"/>
      <w:numFmt w:val="decimal"/>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1)"/>
      <w:numFmt w:val="decimal"/>
      <w:start w:val="2"/>
    </w:lvl>
  </w:abstractNum>
  <w:abstractNum w:abstractNumId="15">
    <w:nsid w:val="38437FDB"/>
    <w:multiLevelType w:val="hybridMultilevel"/>
    <w:lvl w:ilvl="0">
      <w:lvlJc w:val="left"/>
      <w:lvlText w:val="(%1)"/>
      <w:numFmt w:val="decimal"/>
      <w:start w:val="2"/>
    </w:lvl>
  </w:abstractNum>
  <w:abstractNum w:abstractNumId="16">
    <w:nsid w:val="7644A45C"/>
    <w:multiLevelType w:val="hybridMultilevel"/>
    <w:lvl w:ilvl="0">
      <w:lvlJc w:val="left"/>
      <w:lvlText w:val="(%1)"/>
      <w:numFmt w:val="decimal"/>
      <w:start w:val="3"/>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1)"/>
      <w:numFmt w:val="lowerLetter"/>
      <w:start w:val="2"/>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1)"/>
      <w:numFmt w:val="decimal"/>
      <w:start w:val="5"/>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2"/>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2"/>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1)"/>
      <w:numFmt w:val="decimal"/>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lowerLetter"/>
      <w:start w:val="1"/>
    </w:lvl>
  </w:abstractNum>
  <w:abstractNum w:abstractNumId="49">
    <w:nsid w:val="5FF87E05"/>
    <w:multiLevelType w:val="hybridMultilevel"/>
    <w:lvl w:ilvl="0">
      <w:lvlJc w:val="left"/>
      <w:lvlText w:val="(%1)"/>
      <w:numFmt w:val="lowerLetter"/>
      <w:start w:val="1"/>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1)"/>
      <w:numFmt w:val="lowerLetter"/>
      <w:start w:val="2"/>
    </w:lvl>
  </w:abstractNum>
  <w:abstractNum w:abstractNumId="52">
    <w:nsid w:val="1DBABF00"/>
    <w:multiLevelType w:val="hybridMultilevel"/>
    <w:lvl w:ilvl="0">
      <w:lvlJc w:val="left"/>
      <w:lvlText w:val="(%1)"/>
      <w:numFmt w:val="lowerRoman"/>
      <w:start w:val="3"/>
    </w:lvl>
  </w:abstractNum>
  <w:abstractNum w:abstractNumId="53">
    <w:nsid w:val="4AD084E9"/>
    <w:multiLevelType w:val="hybridMultilevel"/>
    <w:lvl w:ilvl="0">
      <w:lvlJc w:val="left"/>
      <w:lvlText w:val="(%1)"/>
      <w:numFmt w:val="lowerLetter"/>
      <w:start w:val="1"/>
    </w:lvl>
    <w:lvl w:ilvl="1">
      <w:lvlJc w:val="left"/>
      <w:lvlText w:val="(%2)"/>
      <w:numFmt w:val="lowerRoman"/>
      <w:start w:val="1"/>
    </w:lvl>
  </w:abstractNum>
  <w:abstractNum w:abstractNumId="54">
    <w:nsid w:val="1F48EAA1"/>
    <w:multiLevelType w:val="hybridMultilevel"/>
    <w:lvl w:ilvl="0">
      <w:lvlJc w:val="left"/>
      <w:lvlText w:val="(%1)"/>
      <w:numFmt w:val="decimal"/>
      <w:start w:val="6"/>
    </w:lvl>
  </w:abstractNum>
  <w:abstractNum w:abstractNumId="55">
    <w:nsid w:val="1381823A"/>
    <w:multiLevelType w:val="hybridMultilevel"/>
    <w:lvl w:ilvl="0">
      <w:lvlJc w:val="left"/>
      <w:lvlText w:val="(%1)"/>
      <w:numFmt w:val="lowerLetter"/>
      <w:start w:val="1"/>
    </w:lvl>
  </w:abstractNum>
  <w:abstractNum w:abstractNumId="56">
    <w:nsid w:val="5DB70AE5"/>
    <w:multiLevelType w:val="hybridMultilevel"/>
    <w:lvl w:ilvl="0">
      <w:lvlJc w:val="left"/>
      <w:lvlText w:val="(%1)"/>
      <w:numFmt w:val="lowerLetter"/>
      <w:start w:val="1"/>
    </w:lvl>
  </w:abstractNum>
  <w:abstractNum w:abstractNumId="57">
    <w:nsid w:val="100F8FCA"/>
    <w:multiLevelType w:val="hybridMultilevel"/>
    <w:lvl w:ilvl="0">
      <w:lvlJc w:val="left"/>
      <w:lvlText w:val="(%1)"/>
      <w:numFmt w:val="lowerLetter"/>
      <w:start w:val="2"/>
    </w:lvl>
  </w:abstractNum>
  <w:abstractNum w:abstractNumId="58">
    <w:nsid w:val="6590700B"/>
    <w:multiLevelType w:val="hybridMultilevel"/>
    <w:lvl w:ilvl="0">
      <w:lvlJc w:val="left"/>
      <w:lvlText w:val="(%1)"/>
      <w:numFmt w:val="lowerLetter"/>
      <w:start w:val="1"/>
    </w:lvl>
  </w:abstractNum>
  <w:abstractNum w:abstractNumId="59">
    <w:nsid w:val="15014ACB"/>
    <w:multiLevelType w:val="hybridMultilevel"/>
    <w:lvl w:ilvl="0">
      <w:lvlJc w:val="left"/>
      <w:lvlText w:val="(%1)"/>
      <w:numFmt w:val="lowerRoman"/>
      <w:start w:val="1"/>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lowerLetter"/>
      <w:start w:val="1"/>
    </w:lvl>
    <w:lvl w:ilvl="1">
      <w:lvlJc w:val="left"/>
      <w:lvlText w:val="(%2)"/>
      <w:numFmt w:val="lowerRoman"/>
      <w:start w:val="1"/>
    </w:lvl>
  </w:abstractNum>
  <w:abstractNum w:abstractNumId="62">
    <w:nsid w:val="799D0247"/>
    <w:multiLevelType w:val="hybridMultilevel"/>
    <w:lvl w:ilvl="0">
      <w:lvlJc w:val="left"/>
      <w:lvlText w:val="(%1)"/>
      <w:numFmt w:val="lowerLetter"/>
      <w:start w:val="2"/>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lowerRoman"/>
      <w:start w:val="1"/>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1)"/>
      <w:numFmt w:val="lowerLetter"/>
      <w:start w:val="1"/>
    </w:lvl>
  </w:abstractNum>
  <w:abstractNum w:abstractNumId="67">
    <w:nsid w:val="661E3F1E"/>
    <w:multiLevelType w:val="hybridMultilevel"/>
    <w:lvl w:ilvl="0">
      <w:lvlJc w:val="left"/>
      <w:lvlText w:val="(%1)"/>
      <w:numFmt w:val="lowerLetter"/>
      <w:start w:val="2"/>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lowerLetter"/>
      <w:start w:val="1"/>
    </w:lvl>
  </w:abstractNum>
  <w:abstractNum w:abstractNumId="70">
    <w:nsid w:val="7BD3EE7B"/>
    <w:multiLevelType w:val="hybridMultilevel"/>
    <w:lvl w:ilvl="0">
      <w:lvlJc w:val="left"/>
      <w:lvlText w:val="(%1)"/>
      <w:numFmt w:val="lowerLetter"/>
      <w:start w:val="1"/>
    </w:lvl>
    <w:lvl w:ilvl="1">
      <w:lvlJc w:val="left"/>
      <w:lvlText w:val="(%2)"/>
      <w:numFmt w:val="lowerRoman"/>
      <w:start w:val="1"/>
    </w:lvl>
  </w:abstractNum>
  <w:abstractNum w:abstractNumId="71">
    <w:nsid w:val="51D9C564"/>
    <w:multiLevelType w:val="hybridMultilevel"/>
    <w:lvl w:ilvl="0">
      <w:lvlJc w:val="left"/>
      <w:lvlText w:val="(%1)"/>
      <w:numFmt w:val="lowerRoman"/>
      <w:start w:val="1"/>
    </w:lvl>
  </w:abstractNum>
  <w:abstractNum w:abstractNumId="72">
    <w:nsid w:val="613EFDC5"/>
    <w:multiLevelType w:val="hybridMultilevel"/>
    <w:lvl w:ilvl="0">
      <w:lvlJc w:val="left"/>
      <w:lvlText w:val="%1"/>
      <w:numFmt w:val="lowerLetter"/>
      <w:start w:val="1"/>
    </w:lvl>
    <w:lvl w:ilvl="1">
      <w:lvlJc w:val="left"/>
      <w:lvlText w:val="(%2)"/>
      <w:numFmt w:val="lowerRoman"/>
      <w:start w:val="4"/>
    </w:lvl>
  </w:abstractNum>
  <w:abstractNum w:abstractNumId="73">
    <w:nsid w:val="BF72B14"/>
    <w:multiLevelType w:val="hybridMultilevel"/>
    <w:lvl w:ilvl="0">
      <w:lvlJc w:val="left"/>
      <w:lvlText w:val="(%1)"/>
      <w:numFmt w:val="lowerLetter"/>
      <w:start w:val="3"/>
    </w:lvl>
    <w:lvl w:ilvl="1">
      <w:lvlJc w:val="left"/>
      <w:lvlText w:val="%2"/>
      <w:numFmt w:val="lowerRoman"/>
      <w:start w:val="1"/>
    </w:lvl>
  </w:abstractNum>
  <w:abstractNum w:abstractNumId="74">
    <w:nsid w:val="11447B73"/>
    <w:multiLevelType w:val="hybridMultilevel"/>
    <w:lvl w:ilvl="0">
      <w:lvlJc w:val="left"/>
      <w:lvlText w:val="(%1)"/>
      <w:numFmt w:val="lowerLetter"/>
      <w:start w:val="5"/>
    </w:lvl>
    <w:lvl w:ilvl="1">
      <w:lvlJc w:val="left"/>
      <w:lvlText w:val="(%2)"/>
      <w:numFmt w:val="lowerRoman"/>
      <w:start w:val="1"/>
    </w:lvl>
  </w:abstractNum>
  <w:abstractNum w:abstractNumId="75">
    <w:nsid w:val="42963E5A"/>
    <w:multiLevelType w:val="hybridMultilevel"/>
    <w:lvl w:ilvl="0">
      <w:lvlJc w:val="left"/>
      <w:lvlText w:val="A"/>
      <w:numFmt w:val="bullet"/>
      <w:start w:val="1"/>
    </w:lvl>
  </w:abstractNum>
  <w:abstractNum w:abstractNumId="76">
    <w:nsid w:val="A0382C5"/>
    <w:multiLevelType w:val="hybridMultilevel"/>
    <w:lvl w:ilvl="0">
      <w:lvlJc w:val="left"/>
      <w:lvlText w:val="%1."/>
      <w:numFmt w:val="decimal"/>
      <w:start w:val="2"/>
    </w:lvl>
  </w:abstractNum>
  <w:abstractNum w:abstractNumId="77">
    <w:nsid w:val="8F2B15E"/>
    <w:multiLevelType w:val="hybridMultilevel"/>
    <w:lvl w:ilvl="0">
      <w:lvlJc w:val="left"/>
      <w:lvlText w:val="B"/>
      <w:numFmt w:val="bullet"/>
      <w:start w:val="1"/>
    </w:lvl>
  </w:abstractNum>
  <w:abstractNum w:abstractNumId="78">
    <w:nsid w:val="1A32234B"/>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2019-12-05T15:58:35Z</dcterms:created>
  <dcterms:modified xsi:type="dcterms:W3CDTF">2019-12-05T15:58:35Z</dcterms:modified>
</cp:coreProperties>
</file>