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8434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434070"/>
                    </a:xfrm>
                    <a:prstGeom prst="rect">
                      <a:avLst/>
                    </a:prstGeom>
                    <a:noFill/>
                  </pic:spPr>
                </pic:pic>
              </a:graphicData>
            </a:graphic>
          </wp:anchor>
        </w:drawing>
      </w:r>
    </w:p>
    <w:p>
      <w:pPr>
        <w:spacing w:after="0" w:line="1231" w:lineRule="exact"/>
        <w:rPr>
          <w:sz w:val="24"/>
          <w:szCs w:val="24"/>
          <w:color w:val="auto"/>
        </w:rPr>
      </w:pPr>
    </w:p>
    <w:p>
      <w:pPr>
        <w:sectPr>
          <w:pgSz w:w="11900" w:h="16856"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Miller Craig Andrew</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VIASAT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582"/>
        <w:spacing w:after="0"/>
        <w:rPr>
          <w:sz w:val="20"/>
          <w:szCs w:val="20"/>
          <w:color w:val="auto"/>
        </w:rPr>
      </w:pPr>
      <w:r>
        <w:rPr>
          <w:rFonts w:ascii="Times New Roman" w:cs="Times New Roman" w:eastAsia="Times New Roman" w:hAnsi="Times New Roman"/>
          <w:sz w:val="17"/>
          <w:szCs w:val="17"/>
          <w:color w:val="0000FF"/>
        </w:rPr>
        <w:t>SVP, Pres Viasat Government</w:t>
      </w:r>
    </w:p>
    <w:p>
      <w:pPr>
        <w:spacing w:after="0" w:line="308" w:lineRule="exact"/>
        <w:rPr>
          <w:sz w:val="24"/>
          <w:szCs w:val="24"/>
          <w:color w:val="auto"/>
        </w:rPr>
      </w:pPr>
    </w:p>
    <w:p>
      <w:pPr>
        <w:sectPr>
          <w:pgSz w:w="11900" w:h="16856" w:orient="portrait"/>
          <w:cols w:equalWidth="0" w:num="3">
            <w:col w:w="3180" w:space="720"/>
            <w:col w:w="3118" w:space="720"/>
            <w:col w:w="3342"/>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9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8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4,417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26,944</w:t>
            </w:r>
            <w:r>
              <w:rPr>
                <w:rFonts w:ascii="Times New Roman" w:cs="Times New Roman" w:eastAsia="Times New Roman" w:hAnsi="Times New Roman"/>
                <w:sz w:val="21"/>
                <w:szCs w:val="21"/>
                <w:color w:val="008000"/>
                <w:w w:val="91"/>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1,585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25,359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9,804</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35,163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4,961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30,202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7,353</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37,555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3,742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33,813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4,443</w:t>
            </w:r>
            <w:r>
              <w:rPr>
                <w:rFonts w:ascii="Times New Roman" w:cs="Times New Roman" w:eastAsia="Times New Roman" w:hAnsi="Times New Roman"/>
                <w:sz w:val="21"/>
                <w:szCs w:val="21"/>
                <w:color w:val="008000"/>
                <w:w w:val="91"/>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1,592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4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6"/>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08"/>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00FF"/>
                <w:w w:val="71"/>
              </w:rPr>
              <w:t>0</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4,417</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4,417</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4,417</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00FF"/>
                <w:w w:val="71"/>
              </w:rPr>
              <w:t>0</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9,804</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9,804</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9,804</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00FF"/>
                <w:w w:val="71"/>
              </w:rPr>
              <w:t>0</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7,353</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7,353</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7,353</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gridSpan w:val="2"/>
          </w:tcPr>
          <w:p>
            <w:pPr>
              <w:jc w:val="right"/>
              <w:ind w:right="227"/>
              <w:spacing w:after="0"/>
              <w:rPr>
                <w:sz w:val="20"/>
                <w:szCs w:val="20"/>
                <w:color w:val="auto"/>
              </w:rPr>
            </w:pPr>
            <w:r>
              <w:rPr>
                <w:rFonts w:ascii="Times New Roman" w:cs="Times New Roman" w:eastAsia="Times New Roman" w:hAnsi="Times New Roman"/>
                <w:sz w:val="11"/>
                <w:szCs w:val="11"/>
                <w:color w:val="008000"/>
              </w:rPr>
              <w:t>(7)</w:t>
            </w:r>
          </w:p>
        </w:tc>
        <w:tc>
          <w:tcPr>
            <w:tcW w:w="160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0000FF"/>
              </w:rPr>
              <w:t>28,670</w:t>
            </w:r>
          </w:p>
        </w:tc>
        <w:tc>
          <w:tcPr>
            <w:tcW w:w="62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008000"/>
              </w:rPr>
              <w:t>(8)</w:t>
            </w:r>
          </w:p>
        </w:tc>
        <w:tc>
          <w:tcPr>
            <w:tcW w:w="62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0000FF"/>
                <w:w w:val="94"/>
              </w:rPr>
              <w:t>28,670</w:t>
            </w:r>
          </w:p>
        </w:tc>
        <w:tc>
          <w:tcPr>
            <w:tcW w:w="580" w:type="dxa"/>
            <w:vAlign w:val="bottom"/>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28,670</w:t>
            </w:r>
          </w:p>
        </w:tc>
        <w:tc>
          <w:tcPr>
            <w:tcW w:w="14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66"/>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Includes 1,275 shares purchased under the Viasat Employee Stock Purchase Plan on 01/31/2026.</w:t>
      </w:r>
    </w:p>
    <w:p>
      <w:pPr>
        <w:sectPr>
          <w:pgSz w:w="11900" w:h="16856" w:orient="portrait"/>
          <w:cols w:equalWidth="0" w:num="1">
            <w:col w:w="11080"/>
          </w:cols>
          <w:pgMar w:left="460" w:top="217" w:right="359" w:bottom="0" w:gutter="0" w:footer="0" w:header="0"/>
          <w:type w:val="continuous"/>
        </w:sectPr>
      </w:pPr>
    </w:p>
    <w:bookmarkStart w:id="1" w:name="page2"/>
    <w:bookmarkEnd w:id="1"/>
    <w:p>
      <w:pPr>
        <w:ind w:right="80"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p>
      <w:pPr>
        <w:spacing w:after="0" w:line="19"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 shares of common stock the Reporting Person acquired under the Viasat 401(k) Plan since the date of the Reporting Person's last ownership report.</w:t>
      </w:r>
    </w:p>
    <w:p>
      <w:pPr>
        <w:spacing w:after="0" w:line="42"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17,670 units on 06/07/2023. Subject to the reporting persons election to defer the receipt of the common stock, the units vest and convert into shares of common stock (on a 1 for 1 basis) at the rate of 1/4 on the 13th month anniversary of the grant date and 1/4 on each of the second, third and fourth anniversary of the grant date.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29,412 units on 06/07/2024. Subject to the reporting persons election to defer the receipt of the common stock, the units vest and convert into shares of common stock (on a 1 for 1 basis) at the rate of 1/3 on the 13th month anniversary of the grant date; 1/3 on the second anniversary of the grant date; and 1/3 on the third anniversary of the grant date.</w:t>
      </w:r>
    </w:p>
    <w:p>
      <w:pPr>
        <w:spacing w:after="0" w:line="19"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restricted stock units will vest on June 7, 2027.</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Viasat, Inc. common stock.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 and convert into shares of common stock (on a 1-for-1 basis) in three substantially equal installments on June 7, 2027, June 7, 2028 and June 7, 2029.</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Until vested, the restricted stock unit shall be subject to forfeiture in the event of termination of employment or service with the Issuer.</w:t>
      </w:r>
    </w:p>
    <w:p>
      <w:pPr>
        <w:spacing w:after="0" w:line="32"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Stacy Nguyen,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2"/>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60"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4468"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2026-06-09T20:09:20Z</dcterms:created>
  <dcterms:modified xsi:type="dcterms:W3CDTF">2026-06-09T20:09:20Z</dcterms:modified>
</cp:coreProperties>
</file>