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109220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149225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62" w:lineRule="exact"/>
        <w:rPr>
          <w:sz w:val="24"/>
          <w:szCs w:val="24"/>
          <w:color w:val="auto"/>
        </w:rPr>
      </w:pPr>
    </w:p>
    <w:p>
      <w:pPr>
        <w:ind w:left="520" w:hanging="499"/>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85"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71" w:lineRule="exact"/>
        <w:rPr>
          <w:sz w:val="24"/>
          <w:szCs w:val="24"/>
          <w:color w:val="auto"/>
        </w:rPr>
      </w:pPr>
    </w:p>
    <w:p>
      <w:pPr>
        <w:ind w:left="3540"/>
        <w:spacing w:after="0"/>
        <w:tabs>
          <w:tab w:leader="none" w:pos="6760" w:val="left"/>
          <w:tab w:leader="none" w:pos="7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148590</wp:posOffset>
            </wp:positionV>
            <wp:extent cx="1423035" cy="608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120"/>
        <w:spacing w:after="0"/>
        <w:rPr>
          <w:sz w:val="20"/>
          <w:szCs w:val="20"/>
          <w:color w:val="auto"/>
        </w:rPr>
      </w:pPr>
      <w:r>
        <w:rPr>
          <w:rFonts w:ascii="Arial" w:cs="Arial" w:eastAsia="Arial" w:hAnsi="Arial"/>
          <w:sz w:val="43"/>
          <w:szCs w:val="43"/>
          <w:b w:val="1"/>
          <w:bCs w:val="1"/>
          <w:color w:val="auto"/>
        </w:rPr>
        <w:t>VIASAT, INC.</w:t>
      </w:r>
    </w:p>
    <w:p>
      <w:pPr>
        <w:spacing w:after="0" w:line="3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134620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72" w:lineRule="exact"/>
        <w:rPr>
          <w:sz w:val="24"/>
          <w:szCs w:val="24"/>
          <w:color w:val="auto"/>
        </w:rPr>
      </w:pPr>
    </w:p>
    <w:tbl>
      <w:tblPr>
        <w:tblLayout w:type="fixed"/>
        <w:tblInd w:w="1780" w:type="dxa"/>
        <w:tblCellMar>
          <w:top w:w="0" w:type="dxa"/>
          <w:left w:w="0" w:type="dxa"/>
          <w:bottom w:w="0" w:type="dxa"/>
          <w:right w:w="0" w:type="dxa"/>
        </w:tblCellMar>
      </w:tblPr>
      <w:tr>
        <w:trPr>
          <w:trHeight w:val="212"/>
        </w:trPr>
        <w:tc>
          <w:tcPr>
            <w:tcW w:w="4060" w:type="dxa"/>
            <w:vAlign w:val="bottom"/>
          </w:tcPr>
          <w:p>
            <w:pPr>
              <w:jc w:val="center"/>
              <w:ind w:right="1902"/>
              <w:spacing w:after="0"/>
              <w:rPr>
                <w:sz w:val="20"/>
                <w:szCs w:val="20"/>
                <w:color w:val="auto"/>
              </w:rPr>
            </w:pPr>
            <w:r>
              <w:rPr>
                <w:rFonts w:ascii="Arial" w:cs="Arial" w:eastAsia="Arial" w:hAnsi="Arial"/>
                <w:sz w:val="18"/>
                <w:szCs w:val="18"/>
                <w:b w:val="1"/>
                <w:bCs w:val="1"/>
                <w:color w:val="auto"/>
              </w:rPr>
              <w:t>Delaware</w:t>
            </w:r>
          </w:p>
        </w:tc>
        <w:tc>
          <w:tcPr>
            <w:tcW w:w="3200" w:type="dxa"/>
            <w:vAlign w:val="bottom"/>
          </w:tcPr>
          <w:p>
            <w:pPr>
              <w:jc w:val="center"/>
              <w:ind w:left="1922"/>
              <w:spacing w:after="0"/>
              <w:rPr>
                <w:sz w:val="20"/>
                <w:szCs w:val="20"/>
                <w:color w:val="auto"/>
              </w:rPr>
            </w:pPr>
            <w:r>
              <w:rPr>
                <w:rFonts w:ascii="Arial" w:cs="Arial" w:eastAsia="Arial" w:hAnsi="Arial"/>
                <w:sz w:val="18"/>
                <w:szCs w:val="18"/>
                <w:b w:val="1"/>
                <w:bCs w:val="1"/>
                <w:color w:val="auto"/>
                <w:w w:val="99"/>
              </w:rPr>
              <w:t>33-0174996</w:t>
            </w:r>
          </w:p>
        </w:tc>
      </w:tr>
      <w:tr>
        <w:trPr>
          <w:trHeight w:val="148"/>
        </w:trPr>
        <w:tc>
          <w:tcPr>
            <w:tcW w:w="4060" w:type="dxa"/>
            <w:vAlign w:val="bottom"/>
          </w:tcPr>
          <w:p>
            <w:pPr>
              <w:jc w:val="center"/>
              <w:ind w:right="1922"/>
              <w:spacing w:after="0" w:line="148" w:lineRule="exact"/>
              <w:rPr>
                <w:sz w:val="20"/>
                <w:szCs w:val="20"/>
                <w:color w:val="auto"/>
              </w:rPr>
            </w:pPr>
            <w:r>
              <w:rPr>
                <w:rFonts w:ascii="Arial" w:cs="Arial" w:eastAsia="Arial" w:hAnsi="Arial"/>
                <w:sz w:val="14"/>
                <w:szCs w:val="14"/>
                <w:b w:val="1"/>
                <w:bCs w:val="1"/>
                <w:color w:val="auto"/>
              </w:rPr>
              <w:t>(State or other jurisdiction of</w:t>
            </w:r>
          </w:p>
        </w:tc>
        <w:tc>
          <w:tcPr>
            <w:tcW w:w="3200" w:type="dxa"/>
            <w:vAlign w:val="bottom"/>
          </w:tcPr>
          <w:p>
            <w:pPr>
              <w:jc w:val="center"/>
              <w:ind w:left="1902"/>
              <w:spacing w:after="0" w:line="148" w:lineRule="exact"/>
              <w:rPr>
                <w:sz w:val="20"/>
                <w:szCs w:val="20"/>
                <w:color w:val="auto"/>
              </w:rPr>
            </w:pPr>
            <w:r>
              <w:rPr>
                <w:rFonts w:ascii="Arial" w:cs="Arial" w:eastAsia="Arial" w:hAnsi="Arial"/>
                <w:sz w:val="14"/>
                <w:szCs w:val="14"/>
                <w:b w:val="1"/>
                <w:bCs w:val="1"/>
                <w:color w:val="auto"/>
              </w:rPr>
              <w:t>(I.R.S. Employer</w:t>
            </w:r>
          </w:p>
        </w:tc>
      </w:tr>
      <w:tr>
        <w:trPr>
          <w:trHeight w:val="190"/>
        </w:trPr>
        <w:tc>
          <w:tcPr>
            <w:tcW w:w="4060" w:type="dxa"/>
            <w:vAlign w:val="bottom"/>
          </w:tcPr>
          <w:p>
            <w:pPr>
              <w:jc w:val="center"/>
              <w:ind w:right="1922"/>
              <w:spacing w:after="0"/>
              <w:rPr>
                <w:sz w:val="20"/>
                <w:szCs w:val="20"/>
                <w:color w:val="auto"/>
              </w:rPr>
            </w:pPr>
            <w:r>
              <w:rPr>
                <w:rFonts w:ascii="Arial" w:cs="Arial" w:eastAsia="Arial" w:hAnsi="Arial"/>
                <w:sz w:val="14"/>
                <w:szCs w:val="14"/>
                <w:b w:val="1"/>
                <w:bCs w:val="1"/>
                <w:color w:val="auto"/>
              </w:rPr>
              <w:t>incorporation or organization)</w:t>
            </w:r>
          </w:p>
        </w:tc>
        <w:tc>
          <w:tcPr>
            <w:tcW w:w="3200" w:type="dxa"/>
            <w:vAlign w:val="bottom"/>
          </w:tcPr>
          <w:p>
            <w:pPr>
              <w:jc w:val="center"/>
              <w:ind w:left="1902"/>
              <w:spacing w:after="0"/>
              <w:rPr>
                <w:sz w:val="20"/>
                <w:szCs w:val="20"/>
                <w:color w:val="auto"/>
              </w:rPr>
            </w:pPr>
            <w:r>
              <w:rPr>
                <w:rFonts w:ascii="Arial" w:cs="Arial" w:eastAsia="Arial" w:hAnsi="Arial"/>
                <w:sz w:val="14"/>
                <w:szCs w:val="14"/>
                <w:b w:val="1"/>
                <w:bCs w:val="1"/>
                <w:color w:val="auto"/>
              </w:rPr>
              <w:t>Identification No.)</w:t>
            </w:r>
          </w:p>
        </w:tc>
      </w:tr>
    </w:tbl>
    <w:p>
      <w:pPr>
        <w:spacing w:after="0" w:line="13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6155 El Camino Real</w:t>
      </w:r>
    </w:p>
    <w:p>
      <w:pPr>
        <w:jc w:val="center"/>
        <w:ind w:right="40"/>
        <w:spacing w:after="0" w:line="223" w:lineRule="auto"/>
        <w:rPr>
          <w:sz w:val="20"/>
          <w:szCs w:val="20"/>
          <w:color w:val="auto"/>
        </w:rPr>
      </w:pPr>
      <w:r>
        <w:rPr>
          <w:rFonts w:ascii="Arial" w:cs="Arial" w:eastAsia="Arial" w:hAnsi="Arial"/>
          <w:sz w:val="18"/>
          <w:szCs w:val="18"/>
          <w:b w:val="1"/>
          <w:bCs w:val="1"/>
          <w:color w:val="auto"/>
        </w:rPr>
        <w:t>Carlsbad, California 92009</w:t>
      </w:r>
    </w:p>
    <w:p>
      <w:pPr>
        <w:jc w:val="center"/>
        <w:ind w:right="40"/>
        <w:spacing w:after="0" w:line="226" w:lineRule="auto"/>
        <w:rPr>
          <w:sz w:val="20"/>
          <w:szCs w:val="20"/>
          <w:color w:val="auto"/>
        </w:rPr>
      </w:pPr>
      <w:r>
        <w:rPr>
          <w:rFonts w:ascii="Arial" w:cs="Arial" w:eastAsia="Arial" w:hAnsi="Arial"/>
          <w:sz w:val="18"/>
          <w:szCs w:val="18"/>
          <w:b w:val="1"/>
          <w:bCs w:val="1"/>
          <w:color w:val="auto"/>
        </w:rPr>
        <w:t>(760) 476-2200</w:t>
      </w:r>
    </w:p>
    <w:p>
      <w:pPr>
        <w:jc w:val="center"/>
        <w:ind w:right="40"/>
        <w:spacing w:after="0"/>
        <w:rPr>
          <w:sz w:val="20"/>
          <w:szCs w:val="20"/>
          <w:color w:val="auto"/>
        </w:rPr>
      </w:pPr>
      <w:r>
        <w:rPr>
          <w:rFonts w:ascii="Arial" w:cs="Arial" w:eastAsia="Arial" w:hAnsi="Arial"/>
          <w:sz w:val="14"/>
          <w:szCs w:val="14"/>
          <w:b w:val="1"/>
          <w:bCs w:val="1"/>
          <w:color w:val="auto"/>
        </w:rPr>
        <w:t>(Address of principal executive offices and telephone number)</w:t>
      </w:r>
    </w:p>
    <w:p>
      <w:pPr>
        <w:spacing w:after="0" w:line="11"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100" w:type="dxa"/>
            <w:vAlign w:val="bottom"/>
          </w:tcPr>
          <w:p>
            <w:pPr>
              <w:spacing w:after="0"/>
              <w:rPr>
                <w:sz w:val="16"/>
                <w:szCs w:val="16"/>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8"/>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Common Stock, par value $0.0001 per share</w:t>
            </w:r>
          </w:p>
        </w:tc>
        <w:tc>
          <w:tcPr>
            <w:tcW w:w="1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98"/>
              </w:rPr>
              <w:t>VSAT</w:t>
            </w: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6"/>
                <w:szCs w:val="16"/>
                <w:b w:val="1"/>
                <w:bCs w:val="1"/>
                <w:color w:val="auto"/>
              </w:rPr>
              <w:t>The Nasdaq Stock Market LLC</w:t>
            </w:r>
          </w:p>
        </w:tc>
      </w:tr>
    </w:tbl>
    <w:p>
      <w:pPr>
        <w:spacing w:after="0" w:line="149" w:lineRule="exact"/>
        <w:rPr>
          <w:sz w:val="24"/>
          <w:szCs w:val="24"/>
          <w:color w:val="auto"/>
        </w:rPr>
      </w:pPr>
    </w:p>
    <w:p>
      <w:pPr>
        <w:jc w:val="both"/>
        <w:ind w:right="260" w:firstLine="509"/>
        <w:spacing w:after="0" w:line="21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tabs>
          <w:tab w:leader="none" w:pos="5640" w:val="left"/>
          <w:tab w:leader="none" w:pos="6400" w:val="left"/>
          <w:tab w:leader="none" w:pos="678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w:t>
      </w:r>
      <w:r>
        <w:rPr>
          <w:sz w:val="20"/>
          <w:szCs w:val="20"/>
          <w:color w:val="auto"/>
        </w:rPr>
        <w:tab/>
      </w:r>
      <w:r>
        <w:rPr>
          <w:rFonts w:ascii="MS PGothic" w:cs="MS PGothic" w:eastAsia="MS PGothic" w:hAnsi="MS PGothic"/>
          <w:sz w:val="16"/>
          <w:szCs w:val="16"/>
          <w:color w:val="auto"/>
        </w:rPr>
        <w:t>☐</w:t>
      </w:r>
    </w:p>
    <w:p>
      <w:pPr>
        <w:spacing w:after="0" w:line="54" w:lineRule="exact"/>
        <w:rPr>
          <w:sz w:val="24"/>
          <w:szCs w:val="24"/>
          <w:color w:val="auto"/>
        </w:rPr>
      </w:pPr>
    </w:p>
    <w:p>
      <w:pPr>
        <w:jc w:val="both"/>
        <w:ind w:right="660" w:firstLine="509"/>
        <w:spacing w:after="0" w:line="20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40" w:firstLine="509"/>
        <w:spacing w:after="0" w:line="22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1"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1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00" w:type="dxa"/>
            <w:vAlign w:val="bottom"/>
          </w:tcPr>
          <w:p>
            <w:pPr>
              <w:ind w:left="284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41" w:lineRule="exact"/>
        <w:rPr>
          <w:sz w:val="24"/>
          <w:szCs w:val="24"/>
          <w:color w:val="auto"/>
        </w:rPr>
      </w:pPr>
    </w:p>
    <w:p>
      <w:pPr>
        <w:ind w:right="560" w:firstLine="509"/>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520" w:right="280"/>
        <w:spacing w:after="0" w:line="246"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outstanding of the registrant’s common stock, $0.0001 par value, as of July 22, 2022 was 75,552,525.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980" w:type="dxa"/>
            <w:vAlign w:val="bottom"/>
            <w:gridSpan w:val="11"/>
            <w:vMerge w:val="restart"/>
          </w:tcPr>
          <w:p>
            <w:pPr>
              <w:ind w:left="20"/>
              <w:spacing w:after="0"/>
              <w:rPr>
                <w:rFonts w:ascii="Arial" w:cs="Arial" w:eastAsia="Arial" w:hAnsi="Arial"/>
                <w:sz w:val="18"/>
                <w:szCs w:val="18"/>
                <w:b w:val="1"/>
                <w:bCs w:val="1"/>
                <w:color w:val="0000FF"/>
                <w:w w:val="98"/>
              </w:rPr>
            </w:pPr>
            <w:hyperlink w:anchor="page3">
              <w:r>
                <w:rPr>
                  <w:rFonts w:ascii="Arial" w:cs="Arial" w:eastAsia="Arial" w:hAnsi="Arial"/>
                  <w:sz w:val="18"/>
                  <w:szCs w:val="18"/>
                  <w:b w:val="1"/>
                  <w:bCs w:val="1"/>
                  <w:color w:val="0000FF"/>
                  <w:w w:val="98"/>
                </w:rPr>
                <w:t>PART I. FINANCIAL INFORMATION</w:t>
              </w:r>
            </w:hyperlink>
          </w:p>
        </w:tc>
        <w:tc>
          <w:tcPr>
            <w:tcW w:w="7360" w:type="dxa"/>
            <w:vAlign w:val="bottom"/>
            <w:gridSpan w:val="12"/>
            <w:vMerge w:val="restart"/>
          </w:tcPr>
          <w:p>
            <w:pPr>
              <w:spacing w:after="0"/>
              <w:rPr>
                <w:sz w:val="16"/>
                <w:szCs w:val="16"/>
                <w:color w:val="auto"/>
              </w:rPr>
            </w:pP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980" w:type="dxa"/>
            <w:vAlign w:val="bottom"/>
            <w:tcBorders>
              <w:bottom w:val="single" w:sz="8" w:color="0000FF"/>
            </w:tcBorders>
            <w:gridSpan w:val="11"/>
            <w:vMerge w:val="continue"/>
          </w:tcPr>
          <w:p>
            <w:pPr>
              <w:spacing w:after="0"/>
              <w:rPr>
                <w:sz w:val="14"/>
                <w:szCs w:val="14"/>
                <w:color w:val="auto"/>
              </w:rPr>
            </w:pPr>
          </w:p>
        </w:tc>
        <w:tc>
          <w:tcPr>
            <w:tcW w:w="7360" w:type="dxa"/>
            <w:vAlign w:val="bottom"/>
            <w:gridSpan w:val="12"/>
            <w:vMerge w:val="continue"/>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0000FF"/>
            </w:tcBorders>
            <w:gridSpan w:val="12"/>
          </w:tcPr>
          <w:p>
            <w:pPr>
              <w:ind w:left="20"/>
              <w:spacing w:after="0" w:line="182"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Item 1. Financial Statements (Unaudited)</w:t>
              </w:r>
            </w:hyperlink>
          </w:p>
        </w:tc>
        <w:tc>
          <w:tcPr>
            <w:tcW w:w="20" w:type="dxa"/>
            <w:vAlign w:val="bottom"/>
            <w:tcBorders>
              <w:bottom w:val="single" w:sz="8" w:color="0000EE"/>
            </w:tcBorders>
          </w:tcPr>
          <w:p>
            <w:pPr>
              <w:spacing w:after="0"/>
              <w:rPr>
                <w:sz w:val="15"/>
                <w:szCs w:val="15"/>
                <w:color w:val="auto"/>
              </w:rPr>
            </w:pPr>
          </w:p>
        </w:tc>
        <w:tc>
          <w:tcPr>
            <w:tcW w:w="7020" w:type="dxa"/>
            <w:vAlign w:val="bottom"/>
            <w:gridSpan w:val="10"/>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334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Condensed Consolidated Balance Sheets</w:t>
              </w:r>
            </w:hyperlink>
          </w:p>
        </w:tc>
        <w:tc>
          <w:tcPr>
            <w:tcW w:w="20" w:type="dxa"/>
            <w:vAlign w:val="bottom"/>
            <w:tcBorders>
              <w:bottom w:val="single" w:sz="8" w:color="0000EE"/>
            </w:tcBorders>
          </w:tcPr>
          <w:p>
            <w:pPr>
              <w:spacing w:after="0"/>
              <w:rPr>
                <w:sz w:val="15"/>
                <w:szCs w:val="15"/>
                <w:color w:val="auto"/>
              </w:rPr>
            </w:pPr>
          </w:p>
        </w:tc>
        <w:tc>
          <w:tcPr>
            <w:tcW w:w="6520" w:type="dxa"/>
            <w:vAlign w:val="bottom"/>
            <w:gridSpan w:val="8"/>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9880" w:type="dxa"/>
            <w:vAlign w:val="bottom"/>
            <w:gridSpan w:val="22"/>
          </w:tcPr>
          <w:p>
            <w:pPr>
              <w:spacing w:after="0" w:line="182" w:lineRule="exact"/>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Operations and Comprehensive Income (Loss)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418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Condensed Consolidated Statements of Cash Flows</w:t>
              </w:r>
            </w:hyperlink>
          </w:p>
        </w:tc>
        <w:tc>
          <w:tcPr>
            <w:tcW w:w="2780" w:type="dxa"/>
            <w:vAlign w:val="bottom"/>
            <w:tcBorders>
              <w:top w:val="single" w:sz="8" w:color="0000FF"/>
            </w:tcBorders>
            <w:gridSpan w:val="4"/>
          </w:tcPr>
          <w:p>
            <w:pPr>
              <w:spacing w:after="0"/>
              <w:rPr>
                <w:sz w:val="15"/>
                <w:szCs w:val="15"/>
                <w:color w:val="auto"/>
              </w:rPr>
            </w:pPr>
          </w:p>
        </w:tc>
        <w:tc>
          <w:tcPr>
            <w:tcW w:w="2920" w:type="dxa"/>
            <w:vAlign w:val="bottom"/>
            <w:gridSpan w:val="2"/>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3740" w:type="dxa"/>
            <w:vAlign w:val="bottom"/>
            <w:tcBorders>
              <w:bottom w:val="single" w:sz="8" w:color="0000FF"/>
            </w:tcBorders>
            <w:gridSpan w:val="15"/>
          </w:tcPr>
          <w:p>
            <w:pPr>
              <w:spacing w:after="0" w:line="182"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Condensed Consolidated Statements of Equity</w:t>
              </w:r>
            </w:hyperlink>
          </w:p>
        </w:tc>
        <w:tc>
          <w:tcPr>
            <w:tcW w:w="6140" w:type="dxa"/>
            <w:vAlign w:val="bottom"/>
            <w:gridSpan w:val="7"/>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4780" w:type="dxa"/>
            <w:vAlign w:val="bottom"/>
            <w:tcBorders>
              <w:bottom w:val="single" w:sz="8" w:color="0000FF"/>
            </w:tcBorders>
            <w:gridSpan w:val="17"/>
          </w:tcPr>
          <w:p>
            <w:pPr>
              <w:spacing w:after="0" w:line="182" w:lineRule="exact"/>
              <w:rPr>
                <w:rFonts w:ascii="Arial" w:cs="Arial" w:eastAsia="Arial" w:hAnsi="Arial"/>
                <w:sz w:val="18"/>
                <w:szCs w:val="18"/>
                <w:color w:val="0000FF"/>
                <w:w w:val="99"/>
              </w:rPr>
            </w:pPr>
            <w:hyperlink w:anchor="page7">
              <w:r>
                <w:rPr>
                  <w:rFonts w:ascii="Arial" w:cs="Arial" w:eastAsia="Arial" w:hAnsi="Arial"/>
                  <w:sz w:val="18"/>
                  <w:szCs w:val="18"/>
                  <w:color w:val="0000FF"/>
                  <w:w w:val="99"/>
                </w:rPr>
                <w:t>Notes to the Condensed Consolidated Financial Statements</w:t>
              </w:r>
            </w:hyperlink>
          </w:p>
        </w:tc>
        <w:tc>
          <w:tcPr>
            <w:tcW w:w="20" w:type="dxa"/>
            <w:vAlign w:val="bottom"/>
            <w:tcBorders>
              <w:bottom w:val="single" w:sz="8" w:color="0000EE"/>
            </w:tcBorders>
          </w:tcPr>
          <w:p>
            <w:pPr>
              <w:spacing w:after="0"/>
              <w:rPr>
                <w:sz w:val="15"/>
                <w:szCs w:val="15"/>
                <w:color w:val="auto"/>
              </w:rPr>
            </w:pPr>
          </w:p>
        </w:tc>
        <w:tc>
          <w:tcPr>
            <w:tcW w:w="5080" w:type="dxa"/>
            <w:vAlign w:val="bottom"/>
            <w:gridSpan w:val="4"/>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7700" w:type="dxa"/>
            <w:vAlign w:val="bottom"/>
            <w:tcBorders>
              <w:bottom w:val="single" w:sz="8" w:color="0000FF"/>
            </w:tcBorders>
            <w:gridSpan w:val="22"/>
          </w:tcPr>
          <w:p>
            <w:pPr>
              <w:ind w:left="20"/>
              <w:spacing w:after="0" w:line="182" w:lineRule="exact"/>
              <w:rPr>
                <w:rFonts w:ascii="Arial" w:cs="Arial" w:eastAsia="Arial" w:hAnsi="Arial"/>
                <w:sz w:val="18"/>
                <w:szCs w:val="18"/>
                <w:color w:val="0000FF"/>
                <w:w w:val="99"/>
              </w:rPr>
            </w:pPr>
            <w:hyperlink w:anchor="page33">
              <w:r>
                <w:rPr>
                  <w:rFonts w:ascii="Arial" w:cs="Arial" w:eastAsia="Arial" w:hAnsi="Arial"/>
                  <w:sz w:val="18"/>
                  <w:szCs w:val="18"/>
                  <w:color w:val="0000FF"/>
                  <w:w w:val="99"/>
                </w:rPr>
                <w:t>Item 2. Management’s Discussion and Analysis of Financial Condition and Results of Operations</w:t>
              </w:r>
            </w:hyperlink>
          </w:p>
        </w:tc>
        <w:tc>
          <w:tcPr>
            <w:tcW w:w="264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3"/>
        </w:trPr>
        <w:tc>
          <w:tcPr>
            <w:tcW w:w="5340" w:type="dxa"/>
            <w:vAlign w:val="bottom"/>
            <w:tcBorders>
              <w:bottom w:val="single" w:sz="8" w:color="0000FF"/>
            </w:tcBorders>
            <w:gridSpan w:val="20"/>
          </w:tcPr>
          <w:p>
            <w:pPr>
              <w:ind w:left="20"/>
              <w:spacing w:after="0" w:line="182" w:lineRule="exact"/>
              <w:rPr>
                <w:rFonts w:ascii="Arial" w:cs="Arial" w:eastAsia="Arial" w:hAnsi="Arial"/>
                <w:sz w:val="18"/>
                <w:szCs w:val="18"/>
                <w:color w:val="0000FF"/>
                <w:w w:val="99"/>
              </w:rPr>
            </w:pPr>
            <w:hyperlink w:anchor="page50">
              <w:r>
                <w:rPr>
                  <w:rFonts w:ascii="Arial" w:cs="Arial" w:eastAsia="Arial" w:hAnsi="Arial"/>
                  <w:sz w:val="18"/>
                  <w:szCs w:val="18"/>
                  <w:color w:val="0000FF"/>
                  <w:w w:val="99"/>
                </w:rPr>
                <w:t>Item 3. Quantitative and Qualitative Disclosures About Market Risk</w:t>
              </w:r>
            </w:hyperlink>
          </w:p>
        </w:tc>
        <w:tc>
          <w:tcPr>
            <w:tcW w:w="5000" w:type="dxa"/>
            <w:vAlign w:val="bottom"/>
            <w:gridSpan w:val="3"/>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83"/>
        </w:trPr>
        <w:tc>
          <w:tcPr>
            <w:tcW w:w="600" w:type="dxa"/>
            <w:vAlign w:val="bottom"/>
            <w:tcBorders>
              <w:bottom w:val="single" w:sz="8" w:color="0000FF"/>
            </w:tcBorders>
            <w:gridSpan w:val="2"/>
          </w:tcPr>
          <w:p>
            <w:pPr>
              <w:ind w:left="20"/>
              <w:spacing w:after="0" w:line="182" w:lineRule="exact"/>
              <w:rPr>
                <w:rFonts w:ascii="Arial" w:cs="Arial" w:eastAsia="Arial" w:hAnsi="Arial"/>
                <w:sz w:val="18"/>
                <w:szCs w:val="18"/>
                <w:color w:val="0000FF"/>
              </w:rPr>
            </w:pPr>
            <w:hyperlink w:anchor="page51">
              <w:r>
                <w:rPr>
                  <w:rFonts w:ascii="Arial" w:cs="Arial" w:eastAsia="Arial" w:hAnsi="Arial"/>
                  <w:sz w:val="18"/>
                  <w:szCs w:val="18"/>
                  <w:color w:val="0000FF"/>
                </w:rPr>
                <w:t>Item 4.</w:t>
              </w:r>
            </w:hyperlink>
          </w:p>
        </w:tc>
        <w:tc>
          <w:tcPr>
            <w:tcW w:w="2020" w:type="dxa"/>
            <w:vAlign w:val="bottom"/>
            <w:tcBorders>
              <w:bottom w:val="single" w:sz="8" w:color="0000FF"/>
            </w:tcBorders>
            <w:gridSpan w:val="6"/>
          </w:tcPr>
          <w:p>
            <w:pPr>
              <w:ind w:left="20"/>
              <w:spacing w:after="0" w:line="182" w:lineRule="exact"/>
              <w:rPr>
                <w:rFonts w:ascii="Arial" w:cs="Arial" w:eastAsia="Arial" w:hAnsi="Arial"/>
                <w:sz w:val="18"/>
                <w:szCs w:val="18"/>
                <w:color w:val="0000FF"/>
                <w:w w:val="99"/>
              </w:rPr>
            </w:pPr>
            <w:hyperlink w:anchor="page51">
              <w:r>
                <w:rPr>
                  <w:rFonts w:ascii="Arial" w:cs="Arial" w:eastAsia="Arial" w:hAnsi="Arial"/>
                  <w:sz w:val="18"/>
                  <w:szCs w:val="18"/>
                  <w:color w:val="0000FF"/>
                  <w:w w:val="99"/>
                </w:rPr>
                <w:t>Controls and Procedures</w:t>
              </w:r>
            </w:hyperlink>
          </w:p>
        </w:tc>
        <w:tc>
          <w:tcPr>
            <w:tcW w:w="20" w:type="dxa"/>
            <w:vAlign w:val="bottom"/>
            <w:tcBorders>
              <w:bottom w:val="single" w:sz="8" w:color="0000EE"/>
            </w:tcBorders>
          </w:tcPr>
          <w:p>
            <w:pPr>
              <w:spacing w:after="0"/>
              <w:rPr>
                <w:sz w:val="15"/>
                <w:szCs w:val="15"/>
                <w:color w:val="auto"/>
              </w:rPr>
            </w:pPr>
          </w:p>
        </w:tc>
        <w:tc>
          <w:tcPr>
            <w:tcW w:w="7700" w:type="dxa"/>
            <w:vAlign w:val="bottom"/>
            <w:gridSpan w:val="14"/>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82"/>
        </w:trPr>
        <w:tc>
          <w:tcPr>
            <w:tcW w:w="2640" w:type="dxa"/>
            <w:vAlign w:val="bottom"/>
            <w:tcBorders>
              <w:bottom w:val="single" w:sz="8" w:color="0000FF"/>
            </w:tcBorders>
            <w:gridSpan w:val="9"/>
          </w:tcPr>
          <w:p>
            <w:pPr>
              <w:ind w:left="20"/>
              <w:spacing w:after="0" w:line="182" w:lineRule="exact"/>
              <w:rPr>
                <w:rFonts w:ascii="Arial" w:cs="Arial" w:eastAsia="Arial" w:hAnsi="Arial"/>
                <w:sz w:val="18"/>
                <w:szCs w:val="18"/>
                <w:b w:val="1"/>
                <w:bCs w:val="1"/>
                <w:color w:val="0000FF"/>
                <w:w w:val="96"/>
              </w:rPr>
            </w:pPr>
            <w:hyperlink w:anchor="page51">
              <w:r>
                <w:rPr>
                  <w:rFonts w:ascii="Arial" w:cs="Arial" w:eastAsia="Arial" w:hAnsi="Arial"/>
                  <w:sz w:val="18"/>
                  <w:szCs w:val="18"/>
                  <w:b w:val="1"/>
                  <w:bCs w:val="1"/>
                  <w:color w:val="0000FF"/>
                  <w:w w:val="96"/>
                </w:rPr>
                <w:t>PART II. OTHER INFORMATION</w:t>
              </w:r>
            </w:hyperlink>
          </w:p>
        </w:tc>
        <w:tc>
          <w:tcPr>
            <w:tcW w:w="40" w:type="dxa"/>
            <w:vAlign w:val="bottom"/>
            <w:tcBorders>
              <w:bottom w:val="single" w:sz="8" w:color="0000FF"/>
            </w:tcBorders>
          </w:tcPr>
          <w:p>
            <w:pPr>
              <w:spacing w:after="0"/>
              <w:rPr>
                <w:sz w:val="15"/>
                <w:szCs w:val="15"/>
                <w:color w:val="auto"/>
              </w:rPr>
            </w:pPr>
          </w:p>
        </w:tc>
        <w:tc>
          <w:tcPr>
            <w:tcW w:w="7660" w:type="dxa"/>
            <w:vAlign w:val="bottom"/>
            <w:gridSpan w:val="13"/>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Borders>
              <w:bottom w:val="single" w:sz="8" w:color="0000FF"/>
            </w:tcBorders>
            <w:gridSpan w:val="2"/>
          </w:tcPr>
          <w:p>
            <w:pPr>
              <w:ind w:left="20"/>
              <w:spacing w:after="0" w:line="182" w:lineRule="exact"/>
              <w:rPr>
                <w:rFonts w:ascii="Arial" w:cs="Arial" w:eastAsia="Arial" w:hAnsi="Arial"/>
                <w:sz w:val="18"/>
                <w:szCs w:val="18"/>
                <w:color w:val="0000FF"/>
              </w:rPr>
            </w:pPr>
            <w:hyperlink w:anchor="page51">
              <w:r>
                <w:rPr>
                  <w:rFonts w:ascii="Arial" w:cs="Arial" w:eastAsia="Arial" w:hAnsi="Arial"/>
                  <w:sz w:val="18"/>
                  <w:szCs w:val="18"/>
                  <w:color w:val="0000FF"/>
                </w:rPr>
                <w:t>Item 1.</w:t>
              </w:r>
            </w:hyperlink>
          </w:p>
        </w:tc>
        <w:tc>
          <w:tcPr>
            <w:tcW w:w="1520" w:type="dxa"/>
            <w:vAlign w:val="bottom"/>
            <w:tcBorders>
              <w:bottom w:val="single" w:sz="8" w:color="0000FF"/>
            </w:tcBorders>
            <w:gridSpan w:val="5"/>
          </w:tcPr>
          <w:p>
            <w:pPr>
              <w:ind w:left="20"/>
              <w:spacing w:after="0" w:line="182" w:lineRule="exact"/>
              <w:rPr>
                <w:rFonts w:ascii="Arial" w:cs="Arial" w:eastAsia="Arial" w:hAnsi="Arial"/>
                <w:sz w:val="18"/>
                <w:szCs w:val="18"/>
                <w:color w:val="0000FF"/>
                <w:w w:val="99"/>
              </w:rPr>
            </w:pPr>
            <w:hyperlink w:anchor="page51">
              <w:r>
                <w:rPr>
                  <w:rFonts w:ascii="Arial" w:cs="Arial" w:eastAsia="Arial" w:hAnsi="Arial"/>
                  <w:sz w:val="18"/>
                  <w:szCs w:val="18"/>
                  <w:color w:val="0000FF"/>
                  <w:w w:val="99"/>
                </w:rPr>
                <w:t>Legal Proceedings</w:t>
              </w:r>
            </w:hyperlink>
          </w:p>
        </w:tc>
        <w:tc>
          <w:tcPr>
            <w:tcW w:w="8220" w:type="dxa"/>
            <w:vAlign w:val="bottom"/>
            <w:gridSpan w:val="16"/>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83"/>
        </w:trPr>
        <w:tc>
          <w:tcPr>
            <w:tcW w:w="10340" w:type="dxa"/>
            <w:vAlign w:val="bottom"/>
            <w:gridSpan w:val="23"/>
          </w:tcPr>
          <w:p>
            <w:pPr>
              <w:ind w:left="20"/>
              <w:spacing w:after="0" w:line="182" w:lineRule="exact"/>
              <w:rPr>
                <w:rFonts w:ascii="Arial" w:cs="Arial" w:eastAsia="Arial" w:hAnsi="Arial"/>
                <w:sz w:val="18"/>
                <w:szCs w:val="18"/>
                <w:color w:val="0000FF"/>
              </w:rPr>
            </w:pPr>
            <w:hyperlink w:anchor="page51">
              <w:r>
                <w:rPr>
                  <w:rFonts w:ascii="Arial" w:cs="Arial" w:eastAsia="Arial" w:hAnsi="Arial"/>
                  <w:sz w:val="18"/>
                  <w:szCs w:val="18"/>
                  <w:color w:val="0000FF"/>
                </w:rPr>
                <w:t>Item 1A. Risk Factors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320" w:type="dxa"/>
            <w:vAlign w:val="bottom"/>
            <w:gridSpan w:val="1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gridSpan w:val="2"/>
          </w:tcPr>
          <w:p>
            <w:pPr>
              <w:ind w:left="20"/>
              <w:spacing w:after="0" w:line="182" w:lineRule="exact"/>
              <w:rPr>
                <w:rFonts w:ascii="Arial" w:cs="Arial" w:eastAsia="Arial" w:hAnsi="Arial"/>
                <w:sz w:val="18"/>
                <w:szCs w:val="18"/>
                <w:color w:val="0000FF"/>
              </w:rPr>
            </w:pPr>
            <w:hyperlink w:anchor="page52">
              <w:r>
                <w:rPr>
                  <w:rFonts w:ascii="Arial" w:cs="Arial" w:eastAsia="Arial" w:hAnsi="Arial"/>
                  <w:sz w:val="18"/>
                  <w:szCs w:val="18"/>
                  <w:color w:val="0000FF"/>
                </w:rPr>
                <w:t>Item 5.</w:t>
              </w:r>
            </w:hyperlink>
          </w:p>
        </w:tc>
        <w:tc>
          <w:tcPr>
            <w:tcW w:w="9740" w:type="dxa"/>
            <w:vAlign w:val="bottom"/>
            <w:gridSpan w:val="21"/>
          </w:tcPr>
          <w:p>
            <w:pPr>
              <w:ind w:left="20"/>
              <w:spacing w:after="0" w:line="182" w:lineRule="exact"/>
              <w:rPr>
                <w:rFonts w:ascii="Arial" w:cs="Arial" w:eastAsia="Arial" w:hAnsi="Arial"/>
                <w:sz w:val="18"/>
                <w:szCs w:val="18"/>
                <w:color w:val="0000FF"/>
              </w:rPr>
            </w:pPr>
            <w:hyperlink w:anchor="page52">
              <w:r>
                <w:rPr>
                  <w:rFonts w:ascii="Arial" w:cs="Arial" w:eastAsia="Arial" w:hAnsi="Arial"/>
                  <w:sz w:val="18"/>
                  <w:szCs w:val="18"/>
                  <w:color w:val="0000FF"/>
                </w:rPr>
                <w:t>Other Information</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83"/>
        </w:trPr>
        <w:tc>
          <w:tcPr>
            <w:tcW w:w="600" w:type="dxa"/>
            <w:vAlign w:val="bottom"/>
            <w:tcBorders>
              <w:top w:val="single" w:sz="8" w:color="0000FF"/>
              <w:bottom w:val="single" w:sz="8" w:color="0000FF"/>
            </w:tcBorders>
            <w:gridSpan w:val="2"/>
          </w:tcPr>
          <w:p>
            <w:pPr>
              <w:ind w:left="20"/>
              <w:spacing w:after="0" w:line="182" w:lineRule="exact"/>
              <w:rPr>
                <w:rFonts w:ascii="Arial" w:cs="Arial" w:eastAsia="Arial" w:hAnsi="Arial"/>
                <w:sz w:val="18"/>
                <w:szCs w:val="18"/>
                <w:color w:val="0000FF"/>
              </w:rPr>
            </w:pPr>
            <w:hyperlink w:anchor="page53">
              <w:r>
                <w:rPr>
                  <w:rFonts w:ascii="Arial" w:cs="Arial" w:eastAsia="Arial" w:hAnsi="Arial"/>
                  <w:sz w:val="18"/>
                  <w:szCs w:val="18"/>
                  <w:color w:val="0000FF"/>
                </w:rPr>
                <w:t>Item 6.</w:t>
              </w:r>
            </w:hyperlink>
          </w:p>
        </w:tc>
        <w:tc>
          <w:tcPr>
            <w:tcW w:w="660" w:type="dxa"/>
            <w:vAlign w:val="bottom"/>
            <w:tcBorders>
              <w:top w:val="single" w:sz="8" w:color="0000FF"/>
              <w:bottom w:val="single" w:sz="8" w:color="0000FF"/>
            </w:tcBorders>
            <w:gridSpan w:val="2"/>
          </w:tcPr>
          <w:p>
            <w:pPr>
              <w:ind w:left="20"/>
              <w:spacing w:after="0" w:line="182" w:lineRule="exact"/>
              <w:rPr>
                <w:rFonts w:ascii="Arial" w:cs="Arial" w:eastAsia="Arial" w:hAnsi="Arial"/>
                <w:sz w:val="18"/>
                <w:szCs w:val="18"/>
                <w:color w:val="0000FF"/>
                <w:w w:val="98"/>
              </w:rPr>
            </w:pPr>
            <w:hyperlink w:anchor="page53">
              <w:r>
                <w:rPr>
                  <w:rFonts w:ascii="Arial" w:cs="Arial" w:eastAsia="Arial" w:hAnsi="Arial"/>
                  <w:sz w:val="18"/>
                  <w:szCs w:val="18"/>
                  <w:color w:val="0000FF"/>
                  <w:w w:val="98"/>
                </w:rPr>
                <w:t>Exhibits</w:t>
              </w:r>
            </w:hyperlink>
          </w:p>
        </w:tc>
        <w:tc>
          <w:tcPr>
            <w:tcW w:w="760" w:type="dxa"/>
            <w:vAlign w:val="bottom"/>
            <w:tcBorders>
              <w:top w:val="single" w:sz="8" w:color="0000FF"/>
            </w:tcBorders>
            <w:gridSpan w:val="2"/>
          </w:tcPr>
          <w:p>
            <w:pPr>
              <w:spacing w:after="0"/>
              <w:rPr>
                <w:sz w:val="15"/>
                <w:szCs w:val="15"/>
                <w:color w:val="auto"/>
              </w:rPr>
            </w:pPr>
          </w:p>
        </w:tc>
        <w:tc>
          <w:tcPr>
            <w:tcW w:w="8320" w:type="dxa"/>
            <w:vAlign w:val="bottom"/>
            <w:gridSpan w:val="17"/>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83"/>
        </w:trPr>
        <w:tc>
          <w:tcPr>
            <w:tcW w:w="10340" w:type="dxa"/>
            <w:vAlign w:val="bottom"/>
            <w:gridSpan w:val="23"/>
          </w:tcPr>
          <w:p>
            <w:pPr>
              <w:ind w:left="20"/>
              <w:spacing w:after="0" w:line="182" w:lineRule="exact"/>
              <w:rPr>
                <w:rFonts w:ascii="Arial" w:cs="Arial" w:eastAsia="Arial" w:hAnsi="Arial"/>
                <w:sz w:val="18"/>
                <w:szCs w:val="18"/>
                <w:color w:val="0000FF"/>
              </w:rPr>
            </w:pPr>
            <w:hyperlink w:anchor="page54">
              <w:r>
                <w:rPr>
                  <w:rFonts w:ascii="Arial" w:cs="Arial" w:eastAsia="Arial" w:hAnsi="Arial"/>
                  <w:sz w:val="18"/>
                  <w:szCs w:val="18"/>
                  <w:color w:val="0000FF"/>
                </w:rPr>
                <w:t>Signatures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642"/>
        </w:trPr>
        <w:tc>
          <w:tcPr>
            <w:tcW w:w="4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540" w:type="dxa"/>
            <w:vAlign w:val="bottom"/>
            <w:gridSpan w:val="18"/>
          </w:tcPr>
          <w:p>
            <w:pPr>
              <w:jc w:val="right"/>
              <w:ind w:right="174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6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jc w:val="right"/>
              <w:ind w:right="928"/>
              <w:spacing w:after="0"/>
              <w:rPr>
                <w:sz w:val="20"/>
                <w:szCs w:val="20"/>
                <w:color w:val="auto"/>
              </w:rPr>
            </w:pPr>
            <w:r>
              <w:rPr>
                <w:rFonts w:ascii="Arial" w:cs="Arial" w:eastAsia="Arial" w:hAnsi="Arial"/>
                <w:sz w:val="14"/>
                <w:szCs w:val="14"/>
                <w:b w:val="1"/>
                <w:bCs w:val="1"/>
                <w:color w:val="auto"/>
              </w:rPr>
              <w:t>As of</w:t>
            </w:r>
          </w:p>
        </w:tc>
        <w:tc>
          <w:tcPr>
            <w:tcW w:w="380" w:type="dxa"/>
            <w:vAlign w:val="bottom"/>
          </w:tcPr>
          <w:p>
            <w:pPr>
              <w:spacing w:after="0"/>
              <w:rPr>
                <w:sz w:val="14"/>
                <w:szCs w:val="14"/>
                <w:color w:val="auto"/>
              </w:rPr>
            </w:pPr>
          </w:p>
        </w:tc>
        <w:tc>
          <w:tcPr>
            <w:tcW w:w="15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As of</w:t>
            </w:r>
          </w:p>
        </w:tc>
      </w:tr>
      <w:tr>
        <w:trPr>
          <w:trHeight w:val="189"/>
        </w:trPr>
        <w:tc>
          <w:tcPr>
            <w:tcW w:w="7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June 30, 2022</w:t>
            </w: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6"/>
                <w:szCs w:val="16"/>
                <w:color w:val="auto"/>
              </w:rPr>
            </w:pPr>
          </w:p>
        </w:tc>
      </w:tr>
      <w:tr>
        <w:trPr>
          <w:trHeight w:val="169"/>
        </w:trPr>
        <w:tc>
          <w:tcPr>
            <w:tcW w:w="7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ind w:right="112"/>
              <w:spacing w:after="0"/>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79"/>
              </w:rPr>
              <w:t>thousands)</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7240" w:type="dxa"/>
            <w:vAlign w:val="bottom"/>
            <w:shd w:val="clear" w:color="auto" w:fill="CFF0FC"/>
          </w:tcPr>
          <w:p>
            <w:pPr>
              <w:ind w:left="3180"/>
              <w:spacing w:after="0" w:line="202" w:lineRule="exact"/>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221,520</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310,459</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280"/>
              <w:spacing w:after="0" w:line="202" w:lineRule="exact"/>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372,118</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359,269</w:t>
            </w: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Inventories</w:t>
            </w: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362,007</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341,890</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2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172,692</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147,854</w:t>
            </w:r>
          </w:p>
        </w:tc>
        <w:tc>
          <w:tcPr>
            <w:tcW w:w="100" w:type="dxa"/>
            <w:vAlign w:val="bottom"/>
          </w:tcPr>
          <w:p>
            <w:pPr>
              <w:spacing w:after="0"/>
              <w:rPr>
                <w:sz w:val="17"/>
                <w:szCs w:val="17"/>
                <w:color w:val="auto"/>
              </w:rPr>
            </w:pPr>
          </w:p>
        </w:tc>
      </w:tr>
      <w:tr>
        <w:trPr>
          <w:trHeight w:val="196"/>
        </w:trPr>
        <w:tc>
          <w:tcPr>
            <w:tcW w:w="724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1,128,337</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1,159,472</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equipment and satellites, net</w:t>
            </w: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3,864,499</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3,741,912</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3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345,369</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356,176</w:t>
            </w: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acquired intangible assets, net</w:t>
            </w: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222,187</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236,043</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187,359</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190,113</w:t>
            </w:r>
          </w:p>
        </w:tc>
        <w:tc>
          <w:tcPr>
            <w:tcW w:w="100" w:type="dxa"/>
            <w:vAlign w:val="bottom"/>
          </w:tcPr>
          <w:p>
            <w:pPr>
              <w:spacing w:after="0"/>
              <w:rPr>
                <w:sz w:val="17"/>
                <w:szCs w:val="17"/>
                <w:color w:val="auto"/>
              </w:rPr>
            </w:pPr>
          </w:p>
        </w:tc>
      </w:tr>
      <w:tr>
        <w:trPr>
          <w:trHeight w:val="203"/>
        </w:trPr>
        <w:tc>
          <w:tcPr>
            <w:tcW w:w="72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735,604</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705,630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240" w:type="dxa"/>
            <w:vAlign w:val="bottom"/>
          </w:tcPr>
          <w:p>
            <w:pPr>
              <w:ind w:left="280"/>
              <w:spacing w:after="0" w:line="196" w:lineRule="exact"/>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6,483,355</w:t>
            </w:r>
          </w:p>
        </w:tc>
        <w:tc>
          <w:tcPr>
            <w:tcW w:w="28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6,389,346</w:t>
            </w:r>
          </w:p>
        </w:tc>
        <w:tc>
          <w:tcPr>
            <w:tcW w:w="100" w:type="dxa"/>
            <w:vAlign w:val="bottom"/>
          </w:tcPr>
          <w:p>
            <w:pPr>
              <w:spacing w:after="0"/>
              <w:rPr>
                <w:sz w:val="17"/>
                <w:szCs w:val="17"/>
                <w:color w:val="auto"/>
              </w:rPr>
            </w:pPr>
          </w:p>
        </w:tc>
      </w:tr>
      <w:tr>
        <w:trPr>
          <w:trHeight w:val="20"/>
        </w:trPr>
        <w:tc>
          <w:tcPr>
            <w:tcW w:w="7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240" w:type="dxa"/>
            <w:vAlign w:val="bottom"/>
            <w:shd w:val="clear" w:color="auto" w:fill="CFF0FC"/>
          </w:tcPr>
          <w:p>
            <w:pPr>
              <w:ind w:left="2440"/>
              <w:spacing w:after="0" w:line="183" w:lineRule="exact"/>
              <w:rPr>
                <w:sz w:val="20"/>
                <w:szCs w:val="20"/>
                <w:color w:val="auto"/>
              </w:rPr>
            </w:pPr>
            <w:r>
              <w:rPr>
                <w:rFonts w:ascii="Arial" w:cs="Arial" w:eastAsia="Arial" w:hAnsi="Arial"/>
                <w:sz w:val="18"/>
                <w:szCs w:val="18"/>
                <w:b w:val="1"/>
                <w:bCs w:val="1"/>
                <w:color w:val="auto"/>
              </w:rPr>
              <w:t>LIABILITIES AND EQUITY</w:t>
            </w:r>
          </w:p>
        </w:tc>
        <w:tc>
          <w:tcPr>
            <w:tcW w:w="30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Accounts payable</w:t>
            </w:r>
          </w:p>
        </w:tc>
        <w:tc>
          <w:tcPr>
            <w:tcW w:w="3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246,516</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219,088</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280"/>
              <w:spacing w:after="0" w:line="202" w:lineRule="exact"/>
              <w:rPr>
                <w:sz w:val="20"/>
                <w:szCs w:val="20"/>
                <w:color w:val="auto"/>
              </w:rPr>
            </w:pPr>
            <w:r>
              <w:rPr>
                <w:rFonts w:ascii="Arial" w:cs="Arial" w:eastAsia="Arial" w:hAnsi="Arial"/>
                <w:sz w:val="18"/>
                <w:szCs w:val="18"/>
                <w:color w:val="auto"/>
              </w:rPr>
              <w:t>Accrued and other liabilities</w:t>
            </w:r>
          </w:p>
        </w:tc>
        <w:tc>
          <w:tcPr>
            <w:tcW w:w="3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441,141</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516,422</w:t>
            </w:r>
          </w:p>
        </w:tc>
        <w:tc>
          <w:tcPr>
            <w:tcW w:w="100" w:type="dxa"/>
            <w:vAlign w:val="bottom"/>
          </w:tcPr>
          <w:p>
            <w:pPr>
              <w:spacing w:after="0"/>
              <w:rPr>
                <w:sz w:val="17"/>
                <w:szCs w:val="17"/>
                <w:color w:val="auto"/>
              </w:rPr>
            </w:pPr>
          </w:p>
        </w:tc>
      </w:tr>
      <w:tr>
        <w:trPr>
          <w:trHeight w:val="203"/>
        </w:trPr>
        <w:tc>
          <w:tcPr>
            <w:tcW w:w="724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Current portion of long-term debt</w:t>
            </w:r>
          </w:p>
        </w:tc>
        <w:tc>
          <w:tcPr>
            <w:tcW w:w="30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38,471</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34,911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240" w:type="dxa"/>
            <w:vAlign w:val="bottom"/>
          </w:tcPr>
          <w:p>
            <w:pPr>
              <w:ind w:left="280"/>
              <w:spacing w:after="0" w:line="196" w:lineRule="exact"/>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726,128</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770,421</w:t>
            </w: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Senior notes</w:t>
            </w:r>
          </w:p>
        </w:tc>
        <w:tc>
          <w:tcPr>
            <w:tcW w:w="3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1,686,965</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1,686,225</w:t>
            </w: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long-term debt</w:t>
            </w: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902,880</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764,991</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Non-current operating lease liabilities</w:t>
            </w:r>
          </w:p>
        </w:tc>
        <w:tc>
          <w:tcPr>
            <w:tcW w:w="3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316,096</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327,664</w:t>
            </w:r>
          </w:p>
        </w:tc>
        <w:tc>
          <w:tcPr>
            <w:tcW w:w="100" w:type="dxa"/>
            <w:vAlign w:val="bottom"/>
          </w:tcPr>
          <w:p>
            <w:pPr>
              <w:spacing w:after="0"/>
              <w:rPr>
                <w:sz w:val="17"/>
                <w:szCs w:val="17"/>
                <w:color w:val="auto"/>
              </w:rPr>
            </w:pPr>
          </w:p>
        </w:tc>
      </w:tr>
      <w:tr>
        <w:trPr>
          <w:trHeight w:val="203"/>
        </w:trPr>
        <w:tc>
          <w:tcPr>
            <w:tcW w:w="72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149,174</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157,451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240" w:type="dxa"/>
            <w:vAlign w:val="bottom"/>
          </w:tcPr>
          <w:p>
            <w:pPr>
              <w:ind w:left="280"/>
              <w:spacing w:after="0" w:line="196" w:lineRule="exact"/>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3,781,243</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3,706,752</w:t>
            </w:r>
          </w:p>
        </w:tc>
        <w:tc>
          <w:tcPr>
            <w:tcW w:w="100" w:type="dxa"/>
            <w:vAlign w:val="bottom"/>
          </w:tcPr>
          <w:p>
            <w:pPr>
              <w:spacing w:after="0"/>
              <w:rPr>
                <w:sz w:val="17"/>
                <w:szCs w:val="17"/>
                <w:color w:val="auto"/>
              </w:rPr>
            </w:pPr>
          </w:p>
        </w:tc>
      </w:tr>
      <w:tr>
        <w:trPr>
          <w:trHeight w:val="196"/>
        </w:trPr>
        <w:tc>
          <w:tcPr>
            <w:tcW w:w="7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Commitments and contingencies (Note 8)</w:t>
            </w: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Equity:</w:t>
            </w: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Viasat, Inc. stockholders’ equity</w:t>
            </w: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280"/>
              <w:spacing w:after="0" w:line="202" w:lineRule="exact"/>
              <w:rPr>
                <w:sz w:val="20"/>
                <w:szCs w:val="20"/>
                <w:color w:val="auto"/>
              </w:rPr>
            </w:pPr>
            <w:r>
              <w:rPr>
                <w:rFonts w:ascii="Arial" w:cs="Arial" w:eastAsia="Arial" w:hAnsi="Arial"/>
                <w:sz w:val="18"/>
                <w:szCs w:val="18"/>
                <w:color w:val="auto"/>
              </w:rPr>
              <w:t>Common stock</w:t>
            </w:r>
          </w:p>
        </w:tc>
        <w:tc>
          <w:tcPr>
            <w:tcW w:w="3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Paid-in capital</w:t>
            </w: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2,482,847</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2,421,950</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280"/>
              <w:spacing w:after="0" w:line="202" w:lineRule="exact"/>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211,966</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233,530</w:t>
            </w: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30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128"/>
              <w:spacing w:after="0" w:line="202" w:lineRule="exact"/>
              <w:rPr>
                <w:sz w:val="20"/>
                <w:szCs w:val="20"/>
                <w:color w:val="auto"/>
              </w:rPr>
            </w:pPr>
            <w:r>
              <w:rPr>
                <w:rFonts w:ascii="Arial" w:cs="Arial" w:eastAsia="Arial" w:hAnsi="Arial"/>
                <w:sz w:val="18"/>
                <w:szCs w:val="18"/>
                <w:color w:val="auto"/>
              </w:rPr>
              <w:t>(41,962 )</w:t>
            </w: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(21,621 )</w:t>
            </w:r>
          </w:p>
        </w:tc>
      </w:tr>
      <w:tr>
        <w:trPr>
          <w:trHeight w:val="196"/>
        </w:trPr>
        <w:tc>
          <w:tcPr>
            <w:tcW w:w="7240" w:type="dxa"/>
            <w:vAlign w:val="bottom"/>
            <w:tcBorders>
              <w:top w:val="single" w:sz="8" w:color="CFF0FC"/>
            </w:tcBorders>
          </w:tcPr>
          <w:p>
            <w:pPr>
              <w:ind w:left="280"/>
              <w:spacing w:after="0" w:line="196" w:lineRule="exact"/>
              <w:rPr>
                <w:sz w:val="20"/>
                <w:szCs w:val="20"/>
                <w:color w:val="auto"/>
              </w:rPr>
            </w:pPr>
            <w:r>
              <w:rPr>
                <w:rFonts w:ascii="Arial" w:cs="Arial" w:eastAsia="Arial" w:hAnsi="Arial"/>
                <w:sz w:val="18"/>
                <w:szCs w:val="18"/>
                <w:color w:val="auto"/>
              </w:rPr>
              <w:t>Total Viasat, Inc. stockholders’ equity</w:t>
            </w:r>
          </w:p>
        </w:tc>
        <w:tc>
          <w:tcPr>
            <w:tcW w:w="3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2,652,859</w:t>
            </w:r>
          </w:p>
        </w:tc>
        <w:tc>
          <w:tcPr>
            <w:tcW w:w="28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2,633,866</w:t>
            </w:r>
          </w:p>
        </w:tc>
        <w:tc>
          <w:tcPr>
            <w:tcW w:w="100" w:type="dxa"/>
            <w:vAlign w:val="bottom"/>
            <w:tcBorders>
              <w:top w:val="single" w:sz="8" w:color="CFF0FC"/>
            </w:tcBorders>
          </w:tcPr>
          <w:p>
            <w:pPr>
              <w:spacing w:after="0"/>
              <w:rPr>
                <w:sz w:val="17"/>
                <w:szCs w:val="17"/>
                <w:color w:val="auto"/>
              </w:rPr>
            </w:pPr>
          </w:p>
        </w:tc>
      </w:tr>
      <w:tr>
        <w:trPr>
          <w:trHeight w:val="203"/>
        </w:trPr>
        <w:tc>
          <w:tcPr>
            <w:tcW w:w="72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Noncontrolling interest in subsidiary</w:t>
            </w:r>
          </w:p>
        </w:tc>
        <w:tc>
          <w:tcPr>
            <w:tcW w:w="30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49,253</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48,728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240" w:type="dxa"/>
            <w:vAlign w:val="bottom"/>
          </w:tcPr>
          <w:p>
            <w:pPr>
              <w:ind w:left="520"/>
              <w:spacing w:after="0" w:line="196" w:lineRule="exact"/>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2,702,112</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2,682,594</w:t>
            </w:r>
          </w:p>
        </w:tc>
        <w:tc>
          <w:tcPr>
            <w:tcW w:w="100" w:type="dxa"/>
            <w:vAlign w:val="bottom"/>
          </w:tcPr>
          <w:p>
            <w:pPr>
              <w:spacing w:after="0"/>
              <w:rPr>
                <w:sz w:val="17"/>
                <w:szCs w:val="17"/>
                <w:color w:val="auto"/>
              </w:rPr>
            </w:pPr>
          </w:p>
        </w:tc>
      </w:tr>
      <w:tr>
        <w:trPr>
          <w:trHeight w:val="236"/>
        </w:trPr>
        <w:tc>
          <w:tcPr>
            <w:tcW w:w="7240" w:type="dxa"/>
            <w:vAlign w:val="bottom"/>
            <w:tcBorders>
              <w:bottom w:val="single" w:sz="8" w:color="CFF0FC"/>
            </w:tcBorders>
            <w:shd w:val="clear" w:color="auto" w:fill="CFF0FC"/>
          </w:tcPr>
          <w:p>
            <w:pPr>
              <w:ind w:left="140"/>
              <w:spacing w:after="0" w:line="196" w:lineRule="exact"/>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6,483,355</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6,389,346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-3194050</wp:posOffset>
            </wp:positionV>
            <wp:extent cx="685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-3194050</wp:posOffset>
            </wp:positionV>
            <wp:extent cx="6858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-2388235</wp:posOffset>
            </wp:positionV>
            <wp:extent cx="685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-2388235</wp:posOffset>
            </wp:positionV>
            <wp:extent cx="685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-1607820</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-1607820</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-561975</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-561975</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-296545</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ind w:right="40"/>
        <w:spacing w:after="0" w:line="234" w:lineRule="auto"/>
        <w:rPr>
          <w:sz w:val="20"/>
          <w:szCs w:val="20"/>
          <w:color w:val="auto"/>
        </w:rPr>
      </w:pPr>
      <w:r>
        <w:rPr>
          <w:rFonts w:ascii="Arial" w:cs="Arial" w:eastAsia="Arial" w:hAnsi="Arial"/>
          <w:sz w:val="18"/>
          <w:szCs w:val="18"/>
          <w:b w:val="1"/>
          <w:bCs w:val="1"/>
          <w:color w:val="auto"/>
        </w:rPr>
        <w:t>AND COMPREHENSIVE INCOME (LOSS)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720" w:type="dxa"/>
            <w:vAlign w:val="bottom"/>
            <w:gridSpan w:val="5"/>
          </w:tcPr>
          <w:p>
            <w:pPr>
              <w:jc w:val="right"/>
              <w:ind w:right="13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9"/>
        </w:trPr>
        <w:tc>
          <w:tcPr>
            <w:tcW w:w="72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June 30, 2022</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03"/>
        </w:trPr>
        <w:tc>
          <w:tcPr>
            <w:tcW w:w="7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Revenues:</w:t>
            </w: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280"/>
              <w:spacing w:after="0" w:line="202" w:lineRule="exact"/>
              <w:rPr>
                <w:sz w:val="20"/>
                <w:szCs w:val="20"/>
                <w:color w:val="auto"/>
              </w:rPr>
            </w:pPr>
            <w:r>
              <w:rPr>
                <w:rFonts w:ascii="Arial" w:cs="Arial" w:eastAsia="Arial" w:hAnsi="Arial"/>
                <w:sz w:val="18"/>
                <w:szCs w:val="18"/>
                <w:color w:val="auto"/>
              </w:rPr>
              <w:t>Product revenues</w:t>
            </w:r>
          </w:p>
        </w:tc>
        <w:tc>
          <w:tcPr>
            <w:tcW w:w="2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268,800</w:t>
            </w:r>
          </w:p>
        </w:tc>
        <w:tc>
          <w:tcPr>
            <w:tcW w:w="260" w:type="dxa"/>
            <w:vAlign w:val="bottom"/>
          </w:tcPr>
          <w:p>
            <w:pPr>
              <w:spacing w:after="0"/>
              <w:rPr>
                <w:sz w:val="17"/>
                <w:szCs w:val="17"/>
                <w:color w:val="auto"/>
              </w:rPr>
            </w:pPr>
          </w:p>
        </w:tc>
        <w:tc>
          <w:tcPr>
            <w:tcW w:w="2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293,264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Service revenues</w:t>
            </w:r>
          </w:p>
        </w:tc>
        <w:tc>
          <w:tcPr>
            <w:tcW w:w="28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409,423</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371,596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40" w:type="dxa"/>
            <w:vAlign w:val="bottom"/>
          </w:tcPr>
          <w:p>
            <w:pPr>
              <w:ind w:left="20"/>
              <w:spacing w:after="0" w:line="196" w:lineRule="exact"/>
              <w:rPr>
                <w:sz w:val="20"/>
                <w:szCs w:val="20"/>
                <w:color w:val="auto"/>
              </w:rPr>
            </w:pPr>
            <w:r>
              <w:rPr>
                <w:rFonts w:ascii="Arial" w:cs="Arial" w:eastAsia="Arial" w:hAnsi="Arial"/>
                <w:sz w:val="18"/>
                <w:szCs w:val="18"/>
                <w:color w:val="auto"/>
              </w:rPr>
              <w:t>Total revenues</w:t>
            </w:r>
          </w:p>
        </w:tc>
        <w:tc>
          <w:tcPr>
            <w:tcW w:w="280" w:type="dxa"/>
            <w:vAlign w:val="bottom"/>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678,223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664,860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280"/>
              <w:spacing w:after="0" w:line="202" w:lineRule="exact"/>
              <w:rPr>
                <w:sz w:val="20"/>
                <w:szCs w:val="20"/>
                <w:color w:val="auto"/>
              </w:rPr>
            </w:pPr>
            <w:r>
              <w:rPr>
                <w:rFonts w:ascii="Arial" w:cs="Arial" w:eastAsia="Arial" w:hAnsi="Arial"/>
                <w:sz w:val="18"/>
                <w:szCs w:val="18"/>
                <w:color w:val="auto"/>
              </w:rPr>
              <w:t>Cost of product revenues</w:t>
            </w:r>
          </w:p>
        </w:tc>
        <w:tc>
          <w:tcPr>
            <w:tcW w:w="28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210,686</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219,347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Cost of service revenues</w:t>
            </w: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271,700</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234,629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280"/>
              <w:spacing w:after="0" w:line="202" w:lineRule="exact"/>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179,613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154,200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Independent research and development</w:t>
            </w: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35,763</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34,463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280"/>
              <w:spacing w:after="0" w:line="202" w:lineRule="exact"/>
              <w:rPr>
                <w:sz w:val="20"/>
                <w:szCs w:val="20"/>
                <w:color w:val="auto"/>
              </w:rPr>
            </w:pPr>
            <w:r>
              <w:rPr>
                <w:rFonts w:ascii="Arial" w:cs="Arial" w:eastAsia="Arial" w:hAnsi="Arial"/>
                <w:sz w:val="18"/>
                <w:szCs w:val="18"/>
                <w:color w:val="auto"/>
              </w:rPr>
              <w:t>Amortization of acquired intangible assets</w:t>
            </w: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7,523</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(loss) from operations</w:t>
            </w: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(27,062</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16,292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Interest income</w:t>
            </w: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280"/>
              <w:spacing w:after="0" w:line="202" w:lineRule="exact"/>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7"/>
                <w:szCs w:val="17"/>
                <w:color w:val="auto"/>
              </w:rPr>
            </w:pPr>
          </w:p>
        </w:tc>
        <w:tc>
          <w:tcPr>
            <w:tcW w:w="18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(5,873 )</w:t>
            </w:r>
          </w:p>
        </w:tc>
        <w:tc>
          <w:tcPr>
            <w:tcW w:w="280" w:type="dxa"/>
            <w:vAlign w:val="bottom"/>
          </w:tcPr>
          <w:p>
            <w:pPr>
              <w:spacing w:after="0"/>
              <w:rPr>
                <w:sz w:val="17"/>
                <w:szCs w:val="17"/>
                <w:color w:val="auto"/>
              </w:rPr>
            </w:pPr>
          </w:p>
        </w:tc>
        <w:tc>
          <w:tcPr>
            <w:tcW w:w="1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(6,292 )</w:t>
            </w:r>
          </w:p>
        </w:tc>
        <w:tc>
          <w:tcPr>
            <w:tcW w:w="0" w:type="dxa"/>
            <w:vAlign w:val="bottom"/>
          </w:tcPr>
          <w:p>
            <w:pPr>
              <w:spacing w:after="0"/>
              <w:rPr>
                <w:sz w:val="1"/>
                <w:szCs w:val="1"/>
                <w:color w:val="auto"/>
              </w:rPr>
            </w:pPr>
          </w:p>
        </w:tc>
      </w:tr>
      <w:tr>
        <w:trPr>
          <w:trHeight w:val="203"/>
        </w:trPr>
        <w:tc>
          <w:tcPr>
            <w:tcW w:w="724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1,011</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4,118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40" w:type="dxa"/>
            <w:vAlign w:val="bottom"/>
          </w:tcPr>
          <w:p>
            <w:pPr>
              <w:ind w:left="20"/>
              <w:spacing w:after="0" w:line="196" w:lineRule="exact"/>
              <w:rPr>
                <w:sz w:val="20"/>
                <w:szCs w:val="20"/>
                <w:color w:val="auto"/>
              </w:rPr>
            </w:pPr>
            <w:r>
              <w:rPr>
                <w:rFonts w:ascii="Arial" w:cs="Arial" w:eastAsia="Arial" w:hAnsi="Arial"/>
                <w:sz w:val="18"/>
                <w:szCs w:val="18"/>
                <w:color w:val="auto"/>
              </w:rPr>
              <w:t>Income (loss) before income taxes</w:t>
            </w:r>
          </w:p>
        </w:tc>
        <w:tc>
          <w:tcPr>
            <w:tcW w:w="280" w:type="dxa"/>
            <w:vAlign w:val="bottom"/>
          </w:tcPr>
          <w:p>
            <w:pPr>
              <w:spacing w:after="0"/>
              <w:rPr>
                <w:sz w:val="17"/>
                <w:szCs w:val="17"/>
                <w:color w:val="auto"/>
              </w:rPr>
            </w:pPr>
          </w:p>
        </w:tc>
        <w:tc>
          <w:tcPr>
            <w:tcW w:w="180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(31,801 )</w:t>
            </w:r>
          </w:p>
        </w:tc>
        <w:tc>
          <w:tcPr>
            <w:tcW w:w="280" w:type="dxa"/>
            <w:vAlign w:val="bottom"/>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14,181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benefit from income taxes</w:t>
            </w: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10,762</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4,087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Equity in income (loss) of unconsolidated affiliate, net</w:t>
            </w:r>
          </w:p>
        </w:tc>
        <w:tc>
          <w:tcPr>
            <w:tcW w:w="280" w:type="dxa"/>
            <w:vAlign w:val="bottom"/>
          </w:tcPr>
          <w:p>
            <w:pPr>
              <w:spacing w:after="0"/>
              <w:rPr>
                <w:sz w:val="17"/>
                <w:szCs w:val="17"/>
                <w:color w:val="auto"/>
              </w:rPr>
            </w:pPr>
          </w:p>
        </w:tc>
        <w:tc>
          <w:tcPr>
            <w:tcW w:w="18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(256 )</w:t>
            </w:r>
          </w:p>
        </w:tc>
        <w:tc>
          <w:tcPr>
            <w:tcW w:w="0" w:type="dxa"/>
            <w:vAlign w:val="bottom"/>
          </w:tcPr>
          <w:p>
            <w:pPr>
              <w:spacing w:after="0"/>
              <w:rPr>
                <w:sz w:val="1"/>
                <w:szCs w:val="1"/>
                <w:color w:val="auto"/>
              </w:rPr>
            </w:pPr>
          </w:p>
        </w:tc>
      </w:tr>
      <w:tr>
        <w:trPr>
          <w:trHeight w:val="196"/>
        </w:trPr>
        <w:tc>
          <w:tcPr>
            <w:tcW w:w="7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(21,039</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18,012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240" w:type="dxa"/>
            <w:vAlign w:val="bottom"/>
          </w:tcPr>
          <w:p>
            <w:pPr>
              <w:ind w:left="20"/>
              <w:spacing w:after="0" w:line="175" w:lineRule="exact"/>
              <w:rPr>
                <w:sz w:val="20"/>
                <w:szCs w:val="20"/>
                <w:color w:val="auto"/>
              </w:rPr>
            </w:pPr>
            <w:r>
              <w:rPr>
                <w:rFonts w:ascii="Arial" w:cs="Arial" w:eastAsia="Arial" w:hAnsi="Arial"/>
                <w:sz w:val="18"/>
                <w:szCs w:val="18"/>
                <w:color w:val="auto"/>
              </w:rPr>
              <w:t>Less: net income (loss) attributable to</w:t>
            </w:r>
          </w:p>
        </w:tc>
        <w:tc>
          <w:tcPr>
            <w:tcW w:w="28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525</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240" w:type="dxa"/>
            <w:vAlign w:val="bottom"/>
          </w:tcPr>
          <w:p>
            <w:pPr>
              <w:ind w:left="180"/>
              <w:spacing w:after="0" w:line="190" w:lineRule="exact"/>
              <w:rPr>
                <w:sz w:val="20"/>
                <w:szCs w:val="20"/>
                <w:color w:val="auto"/>
              </w:rPr>
            </w:pPr>
            <w:r>
              <w:rPr>
                <w:rFonts w:ascii="Arial" w:cs="Arial" w:eastAsia="Arial" w:hAnsi="Arial"/>
                <w:sz w:val="18"/>
                <w:szCs w:val="18"/>
                <w:color w:val="auto"/>
              </w:rPr>
              <w:t>noncontrolling interest, net of tax</w:t>
            </w: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2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 attributable to Viasat, Inc.</w:t>
            </w: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(21,564</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16,968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7240" w:type="dxa"/>
            <w:vAlign w:val="bottom"/>
          </w:tcPr>
          <w:p>
            <w:pPr>
              <w:ind w:left="20"/>
              <w:spacing w:after="0" w:line="155" w:lineRule="exact"/>
              <w:rPr>
                <w:sz w:val="20"/>
                <w:szCs w:val="20"/>
                <w:color w:val="auto"/>
              </w:rPr>
            </w:pPr>
            <w:r>
              <w:rPr>
                <w:rFonts w:ascii="Arial" w:cs="Arial" w:eastAsia="Arial" w:hAnsi="Arial"/>
                <w:sz w:val="17"/>
                <w:szCs w:val="17"/>
                <w:color w:val="auto"/>
              </w:rPr>
              <w:t>Basic net income (loss) per share attributable</w:t>
            </w:r>
          </w:p>
        </w:tc>
        <w:tc>
          <w:tcPr>
            <w:tcW w:w="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180"/>
              <w:spacing w:after="0" w:line="203" w:lineRule="exact"/>
              <w:rPr>
                <w:sz w:val="20"/>
                <w:szCs w:val="20"/>
                <w:color w:val="auto"/>
              </w:rPr>
            </w:pPr>
            <w:r>
              <w:rPr>
                <w:rFonts w:ascii="Arial" w:cs="Arial" w:eastAsia="Arial" w:hAnsi="Arial"/>
                <w:sz w:val="18"/>
                <w:szCs w:val="18"/>
                <w:color w:val="auto"/>
              </w:rPr>
              <w:t>to Viasat, Inc. common stockholders</w:t>
            </w:r>
          </w:p>
        </w:tc>
        <w:tc>
          <w:tcPr>
            <w:tcW w:w="280" w:type="dxa"/>
            <w:vAlign w:val="bottom"/>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800" w:type="dxa"/>
            <w:vAlign w:val="bottom"/>
            <w:gridSpan w:val="2"/>
          </w:tcPr>
          <w:p>
            <w:pPr>
              <w:jc w:val="right"/>
              <w:ind w:right="90"/>
              <w:spacing w:after="0" w:line="203" w:lineRule="exact"/>
              <w:rPr>
                <w:sz w:val="20"/>
                <w:szCs w:val="20"/>
                <w:color w:val="auto"/>
              </w:rPr>
            </w:pPr>
            <w:r>
              <w:rPr>
                <w:rFonts w:ascii="Arial" w:cs="Arial" w:eastAsia="Arial" w:hAnsi="Arial"/>
                <w:sz w:val="18"/>
                <w:szCs w:val="18"/>
                <w:color w:val="auto"/>
              </w:rPr>
              <w:t>(0.29 )</w:t>
            </w:r>
          </w:p>
        </w:tc>
        <w:tc>
          <w:tcPr>
            <w:tcW w:w="280" w:type="dxa"/>
            <w:vAlign w:val="bottom"/>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line="203" w:lineRule="exact"/>
              <w:rPr>
                <w:sz w:val="20"/>
                <w:szCs w:val="20"/>
                <w:color w:val="auto"/>
              </w:rPr>
            </w:pPr>
            <w:r>
              <w:rPr>
                <w:rFonts w:ascii="Arial" w:cs="Arial" w:eastAsia="Arial" w:hAnsi="Arial"/>
                <w:sz w:val="18"/>
                <w:szCs w:val="18"/>
                <w:color w:val="auto"/>
              </w:rPr>
              <w:t>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24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Diluted net income (loss) per share attributable</w:t>
            </w:r>
          </w:p>
        </w:tc>
        <w:tc>
          <w:tcPr>
            <w:tcW w:w="28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CFF0FC"/>
          </w:tcPr>
          <w:p>
            <w:pPr>
              <w:ind w:left="180"/>
              <w:spacing w:after="0" w:line="203" w:lineRule="exact"/>
              <w:rPr>
                <w:sz w:val="20"/>
                <w:szCs w:val="20"/>
                <w:color w:val="auto"/>
              </w:rPr>
            </w:pPr>
            <w:r>
              <w:rPr>
                <w:rFonts w:ascii="Arial" w:cs="Arial" w:eastAsia="Arial" w:hAnsi="Arial"/>
                <w:sz w:val="18"/>
                <w:szCs w:val="18"/>
                <w:color w:val="auto"/>
              </w:rPr>
              <w:t>to Viasat, Inc. common stockholders</w:t>
            </w:r>
          </w:p>
        </w:tc>
        <w:tc>
          <w:tcPr>
            <w:tcW w:w="280" w:type="dxa"/>
            <w:vAlign w:val="bottom"/>
            <w:shd w:val="clear" w:color="auto" w:fill="CFF0FC"/>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FF0FC"/>
          </w:tcPr>
          <w:p>
            <w:pPr>
              <w:jc w:val="right"/>
              <w:ind w:right="90"/>
              <w:spacing w:after="0" w:line="203" w:lineRule="exact"/>
              <w:rPr>
                <w:sz w:val="20"/>
                <w:szCs w:val="20"/>
                <w:color w:val="auto"/>
              </w:rPr>
            </w:pPr>
            <w:r>
              <w:rPr>
                <w:rFonts w:ascii="Arial" w:cs="Arial" w:eastAsia="Arial" w:hAnsi="Arial"/>
                <w:sz w:val="18"/>
                <w:szCs w:val="18"/>
                <w:color w:val="auto"/>
              </w:rPr>
              <w:t>(0.29 )</w:t>
            </w:r>
          </w:p>
        </w:tc>
        <w:tc>
          <w:tcPr>
            <w:tcW w:w="280" w:type="dxa"/>
            <w:vAlign w:val="bottom"/>
            <w:shd w:val="clear" w:color="auto" w:fill="CFF0FC"/>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5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0.23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240" w:type="dxa"/>
            <w:vAlign w:val="bottom"/>
          </w:tcPr>
          <w:p>
            <w:pPr>
              <w:ind w:left="20"/>
              <w:spacing w:after="0" w:line="175" w:lineRule="exact"/>
              <w:rPr>
                <w:sz w:val="20"/>
                <w:szCs w:val="20"/>
                <w:color w:val="auto"/>
              </w:rPr>
            </w:pPr>
            <w:r>
              <w:rPr>
                <w:rFonts w:ascii="Arial" w:cs="Arial" w:eastAsia="Arial" w:hAnsi="Arial"/>
                <w:sz w:val="18"/>
                <w:szCs w:val="18"/>
                <w:color w:val="auto"/>
              </w:rPr>
              <w:t>Shares used in computing basic net</w:t>
            </w:r>
          </w:p>
        </w:tc>
        <w:tc>
          <w:tcPr>
            <w:tcW w:w="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180"/>
              <w:spacing w:after="0" w:line="203" w:lineRule="exact"/>
              <w:rPr>
                <w:sz w:val="20"/>
                <w:szCs w:val="20"/>
                <w:color w:val="auto"/>
              </w:rPr>
            </w:pPr>
            <w:r>
              <w:rPr>
                <w:rFonts w:ascii="Arial" w:cs="Arial" w:eastAsia="Arial" w:hAnsi="Arial"/>
                <w:sz w:val="18"/>
                <w:szCs w:val="18"/>
                <w:color w:val="auto"/>
              </w:rPr>
              <w:t>income (loss) per share</w:t>
            </w:r>
          </w:p>
        </w:tc>
        <w:tc>
          <w:tcPr>
            <w:tcW w:w="28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Arial" w:cs="Arial" w:eastAsia="Arial" w:hAnsi="Arial"/>
                <w:sz w:val="18"/>
                <w:szCs w:val="18"/>
                <w:color w:val="auto"/>
              </w:rPr>
              <w:t>74,863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Arial" w:cs="Arial" w:eastAsia="Arial" w:hAnsi="Arial"/>
                <w:sz w:val="18"/>
                <w:szCs w:val="18"/>
                <w:color w:val="auto"/>
              </w:rPr>
              <w:t>71,543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24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Shares used in computing diluted net</w:t>
            </w:r>
          </w:p>
        </w:tc>
        <w:tc>
          <w:tcPr>
            <w:tcW w:w="28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CFF0FC"/>
          </w:tcPr>
          <w:p>
            <w:pPr>
              <w:ind w:left="180"/>
              <w:spacing w:after="0" w:line="203" w:lineRule="exact"/>
              <w:rPr>
                <w:sz w:val="20"/>
                <w:szCs w:val="20"/>
                <w:color w:val="auto"/>
              </w:rPr>
            </w:pPr>
            <w:r>
              <w:rPr>
                <w:rFonts w:ascii="Arial" w:cs="Arial" w:eastAsia="Arial" w:hAnsi="Arial"/>
                <w:sz w:val="18"/>
                <w:szCs w:val="18"/>
                <w:color w:val="auto"/>
              </w:rPr>
              <w:t>income (loss) per share</w:t>
            </w: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74,863</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72,818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Comprehensive income (loss):</w:t>
            </w: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 (loss)</w:t>
            </w:r>
          </w:p>
        </w:tc>
        <w:tc>
          <w:tcPr>
            <w:tcW w:w="2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(21,039 )</w:t>
            </w:r>
          </w:p>
        </w:tc>
        <w:tc>
          <w:tcPr>
            <w:tcW w:w="2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240" w:type="dxa"/>
            <w:vAlign w:val="bottom"/>
            <w:shd w:val="clear" w:color="auto" w:fill="CFF0FC"/>
          </w:tcPr>
          <w:p>
            <w:pPr>
              <w:ind w:left="280"/>
              <w:spacing w:after="0" w:line="175" w:lineRule="exact"/>
              <w:rPr>
                <w:sz w:val="20"/>
                <w:szCs w:val="20"/>
                <w:color w:val="auto"/>
              </w:rPr>
            </w:pPr>
            <w:r>
              <w:rPr>
                <w:rFonts w:ascii="Arial" w:cs="Arial" w:eastAsia="Arial" w:hAnsi="Arial"/>
                <w:sz w:val="18"/>
                <w:szCs w:val="18"/>
                <w:color w:val="auto"/>
              </w:rPr>
              <w:t>Foreign currency translation adjustments, net</w:t>
            </w:r>
          </w:p>
        </w:tc>
        <w:tc>
          <w:tcPr>
            <w:tcW w:w="280" w:type="dxa"/>
            <w:vAlign w:val="bottom"/>
            <w:shd w:val="clear" w:color="auto" w:fill="CFF0FC"/>
          </w:tcPr>
          <w:p>
            <w:pPr>
              <w:spacing w:after="0"/>
              <w:rPr>
                <w:sz w:val="15"/>
                <w:szCs w:val="15"/>
                <w:color w:val="auto"/>
              </w:rPr>
            </w:pPr>
          </w:p>
        </w:tc>
        <w:tc>
          <w:tcPr>
            <w:tcW w:w="1800" w:type="dxa"/>
            <w:vAlign w:val="bottom"/>
            <w:gridSpan w:val="2"/>
            <w:vMerge w:val="restart"/>
            <w:shd w:val="clear" w:color="auto" w:fill="CFF0FC"/>
          </w:tcPr>
          <w:p>
            <w:pPr>
              <w:jc w:val="right"/>
              <w:ind w:right="90"/>
              <w:spacing w:after="0"/>
              <w:rPr>
                <w:sz w:val="20"/>
                <w:szCs w:val="20"/>
                <w:color w:val="auto"/>
              </w:rPr>
            </w:pPr>
            <w:r>
              <w:rPr>
                <w:rFonts w:ascii="Arial" w:cs="Arial" w:eastAsia="Arial" w:hAnsi="Arial"/>
                <w:sz w:val="18"/>
                <w:szCs w:val="18"/>
                <w:color w:val="auto"/>
              </w:rPr>
              <w:t>(20,341 )</w:t>
            </w:r>
          </w:p>
        </w:tc>
        <w:tc>
          <w:tcPr>
            <w:tcW w:w="280" w:type="dxa"/>
            <w:vAlign w:val="bottom"/>
            <w:shd w:val="clear" w:color="auto" w:fill="CFF0FC"/>
          </w:tcPr>
          <w:p>
            <w:pPr>
              <w:spacing w:after="0"/>
              <w:rPr>
                <w:sz w:val="15"/>
                <w:szCs w:val="15"/>
                <w:color w:val="auto"/>
              </w:rPr>
            </w:pPr>
          </w:p>
        </w:tc>
        <w:tc>
          <w:tcPr>
            <w:tcW w:w="16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(15,742 )</w:t>
            </w:r>
          </w:p>
        </w:tc>
        <w:tc>
          <w:tcPr>
            <w:tcW w:w="0" w:type="dxa"/>
            <w:vAlign w:val="bottom"/>
          </w:tcPr>
          <w:p>
            <w:pPr>
              <w:spacing w:after="0"/>
              <w:rPr>
                <w:sz w:val="1"/>
                <w:szCs w:val="1"/>
                <w:color w:val="auto"/>
              </w:rPr>
            </w:pPr>
          </w:p>
        </w:tc>
      </w:tr>
      <w:tr>
        <w:trPr>
          <w:trHeight w:val="190"/>
        </w:trPr>
        <w:tc>
          <w:tcPr>
            <w:tcW w:w="7240" w:type="dxa"/>
            <w:vAlign w:val="bottom"/>
            <w:shd w:val="clear" w:color="auto" w:fill="CFF0FC"/>
          </w:tcPr>
          <w:p>
            <w:pPr>
              <w:ind w:left="420"/>
              <w:spacing w:after="0" w:line="190" w:lineRule="exact"/>
              <w:rPr>
                <w:sz w:val="20"/>
                <w:szCs w:val="20"/>
                <w:color w:val="auto"/>
              </w:rPr>
            </w:pPr>
            <w:r>
              <w:rPr>
                <w:rFonts w:ascii="Arial" w:cs="Arial" w:eastAsia="Arial" w:hAnsi="Arial"/>
                <w:sz w:val="18"/>
                <w:szCs w:val="18"/>
                <w:color w:val="auto"/>
              </w:rPr>
              <w:t>of tax</w:t>
            </w:r>
          </w:p>
        </w:tc>
        <w:tc>
          <w:tcPr>
            <w:tcW w:w="280" w:type="dxa"/>
            <w:vAlign w:val="bottom"/>
            <w:shd w:val="clear" w:color="auto" w:fill="CFF0FC"/>
          </w:tcPr>
          <w:p>
            <w:pPr>
              <w:spacing w:after="0"/>
              <w:rPr>
                <w:sz w:val="16"/>
                <w:szCs w:val="16"/>
                <w:color w:val="auto"/>
              </w:rPr>
            </w:pPr>
          </w:p>
        </w:tc>
        <w:tc>
          <w:tcPr>
            <w:tcW w:w="1800" w:type="dxa"/>
            <w:vAlign w:val="bottom"/>
            <w:gridSpan w:val="2"/>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40" w:type="dxa"/>
            <w:vAlign w:val="bottom"/>
          </w:tcPr>
          <w:p>
            <w:pPr>
              <w:ind w:left="20"/>
              <w:spacing w:after="0" w:line="196" w:lineRule="exact"/>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17"/>
                <w:szCs w:val="17"/>
                <w:color w:val="auto"/>
              </w:rPr>
            </w:pPr>
          </w:p>
        </w:tc>
        <w:tc>
          <w:tcPr>
            <w:tcW w:w="180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(20,341 )</w:t>
            </w:r>
          </w:p>
        </w:tc>
        <w:tc>
          <w:tcPr>
            <w:tcW w:w="280" w:type="dxa"/>
            <w:vAlign w:val="bottom"/>
          </w:tcPr>
          <w:p>
            <w:pPr>
              <w:spacing w:after="0"/>
              <w:rPr>
                <w:sz w:val="17"/>
                <w:szCs w:val="17"/>
                <w:color w:val="auto"/>
              </w:rPr>
            </w:pPr>
          </w:p>
        </w:tc>
        <w:tc>
          <w:tcPr>
            <w:tcW w:w="1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(15,742 )</w:t>
            </w:r>
          </w:p>
        </w:tc>
        <w:tc>
          <w:tcPr>
            <w:tcW w:w="0" w:type="dxa"/>
            <w:vAlign w:val="bottom"/>
          </w:tcPr>
          <w:p>
            <w:pPr>
              <w:spacing w:after="0"/>
              <w:rPr>
                <w:sz w:val="1"/>
                <w:szCs w:val="1"/>
                <w:color w:val="auto"/>
              </w:rPr>
            </w:pPr>
          </w:p>
        </w:tc>
      </w:tr>
      <w:tr>
        <w:trPr>
          <w:trHeight w:val="196"/>
        </w:trPr>
        <w:tc>
          <w:tcPr>
            <w:tcW w:w="7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Comprehensive income (loss)</w:t>
            </w:r>
          </w:p>
        </w:tc>
        <w:tc>
          <w:tcPr>
            <w:tcW w:w="280" w:type="dxa"/>
            <w:vAlign w:val="bottom"/>
            <w:tcBorders>
              <w:top w:val="single" w:sz="8" w:color="auto"/>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(41,380</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2,270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240" w:type="dxa"/>
            <w:vAlign w:val="bottom"/>
          </w:tcPr>
          <w:p>
            <w:pPr>
              <w:ind w:left="20"/>
              <w:spacing w:after="0" w:line="175" w:lineRule="exact"/>
              <w:rPr>
                <w:sz w:val="20"/>
                <w:szCs w:val="20"/>
                <w:color w:val="auto"/>
              </w:rPr>
            </w:pPr>
            <w:r>
              <w:rPr>
                <w:rFonts w:ascii="Arial" w:cs="Arial" w:eastAsia="Arial" w:hAnsi="Arial"/>
                <w:sz w:val="18"/>
                <w:szCs w:val="18"/>
                <w:color w:val="auto"/>
              </w:rPr>
              <w:t>Less: comprehensive income (loss) attributable</w:t>
            </w:r>
          </w:p>
        </w:tc>
        <w:tc>
          <w:tcPr>
            <w:tcW w:w="28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525</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240" w:type="dxa"/>
            <w:vAlign w:val="bottom"/>
          </w:tcPr>
          <w:p>
            <w:pPr>
              <w:ind w:left="180"/>
              <w:spacing w:after="0" w:line="190" w:lineRule="exact"/>
              <w:rPr>
                <w:sz w:val="20"/>
                <w:szCs w:val="20"/>
                <w:color w:val="auto"/>
              </w:rPr>
            </w:pPr>
            <w:r>
              <w:rPr>
                <w:rFonts w:ascii="Arial" w:cs="Arial" w:eastAsia="Arial" w:hAnsi="Arial"/>
                <w:sz w:val="18"/>
                <w:szCs w:val="18"/>
                <w:color w:val="auto"/>
              </w:rPr>
              <w:t>to noncontrolling interest, net of tax</w:t>
            </w: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724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color w:val="auto"/>
              </w:rPr>
              <w:t>Comprehensive income (loss) attributable to</w:t>
            </w:r>
          </w:p>
        </w:tc>
        <w:tc>
          <w:tcPr>
            <w:tcW w:w="28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800" w:type="dxa"/>
            <w:vAlign w:val="bottom"/>
            <w:gridSpan w:val="2"/>
            <w:vMerge w:val="restart"/>
            <w:shd w:val="clear" w:color="auto" w:fill="CFF0FC"/>
          </w:tcPr>
          <w:p>
            <w:pPr>
              <w:jc w:val="right"/>
              <w:ind w:right="90"/>
              <w:spacing w:after="0"/>
              <w:rPr>
                <w:sz w:val="20"/>
                <w:szCs w:val="20"/>
                <w:color w:val="auto"/>
              </w:rPr>
            </w:pPr>
            <w:r>
              <w:rPr>
                <w:rFonts w:ascii="Arial" w:cs="Arial" w:eastAsia="Arial" w:hAnsi="Arial"/>
                <w:sz w:val="18"/>
                <w:szCs w:val="18"/>
                <w:color w:val="auto"/>
              </w:rPr>
              <w:t>(41,905 )</w:t>
            </w:r>
          </w:p>
        </w:tc>
        <w:tc>
          <w:tcPr>
            <w:tcW w:w="28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240" w:type="dxa"/>
            <w:vAlign w:val="bottom"/>
            <w:shd w:val="clear" w:color="auto" w:fill="CFF0FC"/>
          </w:tcPr>
          <w:p>
            <w:pPr>
              <w:ind w:left="180"/>
              <w:spacing w:after="0" w:line="143" w:lineRule="exact"/>
              <w:rPr>
                <w:sz w:val="20"/>
                <w:szCs w:val="20"/>
                <w:color w:val="auto"/>
              </w:rPr>
            </w:pPr>
            <w:r>
              <w:rPr>
                <w:rFonts w:ascii="Arial" w:cs="Arial" w:eastAsia="Arial" w:hAnsi="Arial"/>
                <w:sz w:val="16"/>
                <w:szCs w:val="16"/>
                <w:color w:val="auto"/>
              </w:rPr>
              <w:t>Viasat, Inc.</w:t>
            </w:r>
          </w:p>
        </w:tc>
        <w:tc>
          <w:tcPr>
            <w:tcW w:w="280" w:type="dxa"/>
            <w:vAlign w:val="bottom"/>
            <w:vMerge w:val="continue"/>
            <w:shd w:val="clear" w:color="auto" w:fill="CFF0FC"/>
          </w:tcPr>
          <w:p>
            <w:pPr>
              <w:spacing w:after="0"/>
              <w:rPr>
                <w:sz w:val="15"/>
                <w:szCs w:val="15"/>
                <w:color w:val="auto"/>
              </w:rPr>
            </w:pPr>
          </w:p>
        </w:tc>
        <w:tc>
          <w:tcPr>
            <w:tcW w:w="1800" w:type="dxa"/>
            <w:vAlign w:val="bottom"/>
            <w:gridSpan w:val="2"/>
            <w:vMerge w:val="continue"/>
            <w:shd w:val="clear" w:color="auto" w:fill="CFF0FC"/>
          </w:tcPr>
          <w:p>
            <w:pPr>
              <w:spacing w:after="0"/>
              <w:rPr>
                <w:sz w:val="15"/>
                <w:szCs w:val="15"/>
                <w:color w:val="auto"/>
              </w:rPr>
            </w:pPr>
          </w:p>
        </w:tc>
        <w:tc>
          <w:tcPr>
            <w:tcW w:w="280" w:type="dxa"/>
            <w:vAlign w:val="bottom"/>
            <w:vMerge w:val="continue"/>
            <w:shd w:val="clear" w:color="auto" w:fill="CFF0FC"/>
          </w:tcPr>
          <w:p>
            <w:pPr>
              <w:spacing w:after="0"/>
              <w:rPr>
                <w:sz w:val="15"/>
                <w:szCs w:val="15"/>
                <w:color w:val="auto"/>
              </w:rPr>
            </w:pPr>
          </w:p>
        </w:tc>
        <w:tc>
          <w:tcPr>
            <w:tcW w:w="154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-4813935</wp:posOffset>
            </wp:positionV>
            <wp:extent cx="6858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-4813935</wp:posOffset>
            </wp:positionV>
            <wp:extent cx="6858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-3253740</wp:posOffset>
            </wp:positionV>
            <wp:extent cx="6858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-3253740</wp:posOffset>
            </wp:positionV>
            <wp:extent cx="685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-2357120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-2339340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-2357120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-2339340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-750570</wp:posOffset>
            </wp:positionV>
            <wp:extent cx="6858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-750570</wp:posOffset>
            </wp:positionV>
            <wp:extent cx="685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700" w:type="dxa"/>
            <w:vAlign w:val="bottom"/>
            <w:gridSpan w:val="5"/>
          </w:tcPr>
          <w:p>
            <w:pPr>
              <w:jc w:val="right"/>
              <w:ind w:right="1261"/>
              <w:spacing w:after="0"/>
              <w:rPr>
                <w:sz w:val="20"/>
                <w:szCs w:val="20"/>
                <w:color w:val="auto"/>
              </w:rPr>
            </w:pPr>
            <w:r>
              <w:rPr>
                <w:rFonts w:ascii="Arial" w:cs="Arial" w:eastAsia="Arial" w:hAnsi="Arial"/>
                <w:sz w:val="14"/>
                <w:szCs w:val="14"/>
                <w:b w:val="1"/>
                <w:bCs w:val="1"/>
                <w:color w:val="auto"/>
              </w:rPr>
              <w:t>Three Months Ended</w:t>
            </w:r>
          </w:p>
        </w:tc>
      </w:tr>
      <w:tr>
        <w:trPr>
          <w:trHeight w:val="169"/>
        </w:trPr>
        <w:tc>
          <w:tcPr>
            <w:tcW w:w="72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4"/>
                <w:szCs w:val="14"/>
                <w:color w:val="auto"/>
              </w:rPr>
            </w:pPr>
          </w:p>
        </w:tc>
      </w:tr>
      <w:tr>
        <w:trPr>
          <w:trHeight w:val="169"/>
        </w:trPr>
        <w:tc>
          <w:tcPr>
            <w:tcW w:w="7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7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280"/>
              <w:spacing w:after="0" w:line="202" w:lineRule="exact"/>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7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(21,039 )</w:t>
            </w:r>
          </w:p>
        </w:tc>
        <w:tc>
          <w:tcPr>
            <w:tcW w:w="40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18,012</w:t>
            </w:r>
          </w:p>
        </w:tc>
        <w:tc>
          <w:tcPr>
            <w:tcW w:w="100" w:type="dxa"/>
            <w:vAlign w:val="bottom"/>
          </w:tcPr>
          <w:p>
            <w:pPr>
              <w:spacing w:after="0"/>
              <w:rPr>
                <w:sz w:val="17"/>
                <w:szCs w:val="17"/>
                <w:color w:val="auto"/>
              </w:rPr>
            </w:pPr>
          </w:p>
        </w:tc>
      </w:tr>
      <w:tr>
        <w:trPr>
          <w:trHeight w:val="162"/>
        </w:trPr>
        <w:tc>
          <w:tcPr>
            <w:tcW w:w="724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b w:val="1"/>
                <w:bCs w:val="1"/>
                <w:color w:val="auto"/>
              </w:rPr>
              <w:t>Adjustments to reconcile net income (loss) to net cash provided by operating</w:t>
            </w:r>
          </w:p>
        </w:tc>
        <w:tc>
          <w:tcPr>
            <w:tcW w:w="30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16"/>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activities:</w:t>
            </w:r>
          </w:p>
        </w:tc>
        <w:tc>
          <w:tcPr>
            <w:tcW w:w="3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7240" w:type="dxa"/>
            <w:vAlign w:val="bottom"/>
          </w:tcPr>
          <w:p>
            <w:pPr>
              <w:ind w:left="520"/>
              <w:spacing w:after="0" w:line="202" w:lineRule="exact"/>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102,353</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94,149</w:t>
            </w: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Amortization of intangible assets</w:t>
            </w:r>
          </w:p>
        </w:tc>
        <w:tc>
          <w:tcPr>
            <w:tcW w:w="3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21,734</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20,603</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520"/>
              <w:spacing w:after="0" w:line="202" w:lineRule="exact"/>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21,232</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22,218</w:t>
            </w: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Loss on disposition of fixed assets</w:t>
            </w:r>
          </w:p>
        </w:tc>
        <w:tc>
          <w:tcPr>
            <w:tcW w:w="3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11,150</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8,713</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520"/>
              <w:spacing w:after="0" w:line="202" w:lineRule="exact"/>
              <w:rPr>
                <w:sz w:val="20"/>
                <w:szCs w:val="20"/>
                <w:color w:val="auto"/>
              </w:rPr>
            </w:pPr>
            <w:r>
              <w:rPr>
                <w:rFonts w:ascii="Arial" w:cs="Arial" w:eastAsia="Arial" w:hAnsi="Arial"/>
                <w:sz w:val="18"/>
                <w:szCs w:val="18"/>
                <w:color w:val="auto"/>
              </w:rPr>
              <w:t>Other non-cash adjustments</w:t>
            </w:r>
          </w:p>
        </w:tc>
        <w:tc>
          <w:tcPr>
            <w:tcW w:w="300" w:type="dxa"/>
            <w:vAlign w:val="bottom"/>
          </w:tcPr>
          <w:p>
            <w:pPr>
              <w:spacing w:after="0"/>
              <w:rPr>
                <w:sz w:val="17"/>
                <w:szCs w:val="17"/>
                <w:color w:val="auto"/>
              </w:rPr>
            </w:pPr>
          </w:p>
        </w:tc>
        <w:tc>
          <w:tcPr>
            <w:tcW w:w="17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(7,569 )</w:t>
            </w:r>
          </w:p>
        </w:tc>
        <w:tc>
          <w:tcPr>
            <w:tcW w:w="400" w:type="dxa"/>
            <w:vAlign w:val="bottom"/>
          </w:tcPr>
          <w:p>
            <w:pPr>
              <w:spacing w:after="0"/>
              <w:rPr>
                <w:sz w:val="17"/>
                <w:szCs w:val="17"/>
                <w:color w:val="auto"/>
              </w:rPr>
            </w:pP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(5,395 )</w:t>
            </w:r>
          </w:p>
        </w:tc>
      </w:tr>
      <w:tr>
        <w:trPr>
          <w:trHeight w:val="175"/>
        </w:trPr>
        <w:tc>
          <w:tcPr>
            <w:tcW w:w="7240" w:type="dxa"/>
            <w:vAlign w:val="bottom"/>
            <w:shd w:val="clear" w:color="auto" w:fill="CFF0FC"/>
          </w:tcPr>
          <w:p>
            <w:pPr>
              <w:ind w:left="280"/>
              <w:spacing w:after="0" w:line="175" w:lineRule="exact"/>
              <w:rPr>
                <w:sz w:val="20"/>
                <w:szCs w:val="20"/>
                <w:color w:val="auto"/>
              </w:rPr>
            </w:pPr>
            <w:r>
              <w:rPr>
                <w:rFonts w:ascii="Arial" w:cs="Arial" w:eastAsia="Arial" w:hAnsi="Arial"/>
                <w:sz w:val="18"/>
                <w:szCs w:val="18"/>
                <w:color w:val="auto"/>
              </w:rPr>
              <w:t>Increase (decrease) in cash resulting from changes in operating</w:t>
            </w:r>
          </w:p>
        </w:tc>
        <w:tc>
          <w:tcPr>
            <w:tcW w:w="30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240" w:type="dxa"/>
            <w:vAlign w:val="bottom"/>
            <w:shd w:val="clear" w:color="auto" w:fill="CFF0FC"/>
          </w:tcPr>
          <w:p>
            <w:pPr>
              <w:ind w:left="420"/>
              <w:spacing w:after="0" w:line="203" w:lineRule="exact"/>
              <w:rPr>
                <w:sz w:val="20"/>
                <w:szCs w:val="20"/>
                <w:color w:val="auto"/>
              </w:rPr>
            </w:pPr>
            <w:r>
              <w:rPr>
                <w:rFonts w:ascii="Arial" w:cs="Arial" w:eastAsia="Arial" w:hAnsi="Arial"/>
                <w:sz w:val="18"/>
                <w:szCs w:val="18"/>
                <w:color w:val="auto"/>
              </w:rPr>
              <w:t>assets and liabilities, net of effect of acquisitions:</w:t>
            </w:r>
          </w:p>
        </w:tc>
        <w:tc>
          <w:tcPr>
            <w:tcW w:w="3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520"/>
              <w:spacing w:after="0" w:line="202" w:lineRule="exact"/>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7"/>
                <w:szCs w:val="17"/>
                <w:color w:val="auto"/>
              </w:rPr>
            </w:pPr>
          </w:p>
        </w:tc>
        <w:tc>
          <w:tcPr>
            <w:tcW w:w="17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(27,102 )</w:t>
            </w:r>
          </w:p>
        </w:tc>
        <w:tc>
          <w:tcPr>
            <w:tcW w:w="400" w:type="dxa"/>
            <w:vAlign w:val="bottom"/>
          </w:tcPr>
          <w:p>
            <w:pPr>
              <w:spacing w:after="0"/>
              <w:rPr>
                <w:sz w:val="17"/>
                <w:szCs w:val="17"/>
                <w:color w:val="auto"/>
              </w:rPr>
            </w:pP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(47,885 )</w:t>
            </w:r>
          </w:p>
        </w:tc>
      </w:tr>
      <w:tr>
        <w:trPr>
          <w:trHeight w:val="203"/>
        </w:trPr>
        <w:tc>
          <w:tcPr>
            <w:tcW w:w="724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Inventories</w:t>
            </w:r>
          </w:p>
        </w:tc>
        <w:tc>
          <w:tcPr>
            <w:tcW w:w="3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(20,563 )</w:t>
            </w:r>
          </w:p>
        </w:tc>
        <w:tc>
          <w:tcPr>
            <w:tcW w:w="4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(10,483 )</w:t>
            </w:r>
          </w:p>
        </w:tc>
      </w:tr>
      <w:tr>
        <w:trPr>
          <w:trHeight w:val="203"/>
        </w:trPr>
        <w:tc>
          <w:tcPr>
            <w:tcW w:w="7240" w:type="dxa"/>
            <w:vAlign w:val="bottom"/>
          </w:tcPr>
          <w:p>
            <w:pPr>
              <w:ind w:left="520"/>
              <w:spacing w:after="0" w:line="202" w:lineRule="exact"/>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9,148</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4,398</w:t>
            </w: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Accounts payable</w:t>
            </w:r>
          </w:p>
        </w:tc>
        <w:tc>
          <w:tcPr>
            <w:tcW w:w="3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16,912</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26,625</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520"/>
              <w:spacing w:after="0" w:line="202" w:lineRule="exact"/>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7"/>
                <w:szCs w:val="17"/>
                <w:color w:val="auto"/>
              </w:rPr>
            </w:pPr>
          </w:p>
        </w:tc>
        <w:tc>
          <w:tcPr>
            <w:tcW w:w="17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(50,195 )</w:t>
            </w:r>
          </w:p>
        </w:tc>
        <w:tc>
          <w:tcPr>
            <w:tcW w:w="400" w:type="dxa"/>
            <w:vAlign w:val="bottom"/>
          </w:tcPr>
          <w:p>
            <w:pPr>
              <w:spacing w:after="0"/>
              <w:rPr>
                <w:sz w:val="17"/>
                <w:szCs w:val="17"/>
                <w:color w:val="auto"/>
              </w:rPr>
            </w:pP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(55,027 )</w:t>
            </w:r>
          </w:p>
        </w:tc>
      </w:tr>
      <w:tr>
        <w:trPr>
          <w:trHeight w:val="203"/>
        </w:trPr>
        <w:tc>
          <w:tcPr>
            <w:tcW w:w="724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Other liabilities</w:t>
            </w:r>
          </w:p>
        </w:tc>
        <w:tc>
          <w:tcPr>
            <w:tcW w:w="3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(16,424 )</w:t>
            </w:r>
          </w:p>
        </w:tc>
        <w:tc>
          <w:tcPr>
            <w:tcW w:w="4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(10,799 )</w:t>
            </w:r>
          </w:p>
        </w:tc>
      </w:tr>
      <w:tr>
        <w:trPr>
          <w:trHeight w:val="196"/>
        </w:trPr>
        <w:tc>
          <w:tcPr>
            <w:tcW w:w="7240" w:type="dxa"/>
            <w:vAlign w:val="bottom"/>
            <w:tcBorders>
              <w:top w:val="single" w:sz="8" w:color="CFF0FC"/>
            </w:tcBorders>
          </w:tcPr>
          <w:p>
            <w:pPr>
              <w:ind w:left="780"/>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3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39,637</w:t>
            </w:r>
          </w:p>
        </w:tc>
        <w:tc>
          <w:tcPr>
            <w:tcW w:w="22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65,129</w:t>
            </w:r>
          </w:p>
        </w:tc>
        <w:tc>
          <w:tcPr>
            <w:tcW w:w="100" w:type="dxa"/>
            <w:vAlign w:val="bottom"/>
            <w:tcBorders>
              <w:top w:val="single" w:sz="8" w:color="CFF0FC"/>
            </w:tcBorders>
          </w:tcPr>
          <w:p>
            <w:pPr>
              <w:spacing w:after="0"/>
              <w:rPr>
                <w:sz w:val="17"/>
                <w:szCs w:val="17"/>
                <w:color w:val="auto"/>
              </w:rPr>
            </w:pPr>
          </w:p>
        </w:tc>
      </w:tr>
      <w:tr>
        <w:trPr>
          <w:trHeight w:val="203"/>
        </w:trPr>
        <w:tc>
          <w:tcPr>
            <w:tcW w:w="7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280"/>
              <w:spacing w:after="0" w:line="202" w:lineRule="exact"/>
              <w:rPr>
                <w:sz w:val="20"/>
                <w:szCs w:val="20"/>
                <w:color w:val="auto"/>
              </w:rPr>
            </w:pPr>
            <w:r>
              <w:rPr>
                <w:rFonts w:ascii="Arial" w:cs="Arial" w:eastAsia="Arial" w:hAnsi="Arial"/>
                <w:sz w:val="18"/>
                <w:szCs w:val="18"/>
                <w:color w:val="auto"/>
              </w:rPr>
              <w:t>Purchase of property, equipment and satellites</w:t>
            </w:r>
          </w:p>
        </w:tc>
        <w:tc>
          <w:tcPr>
            <w:tcW w:w="300" w:type="dxa"/>
            <w:vAlign w:val="bottom"/>
          </w:tcPr>
          <w:p>
            <w:pPr>
              <w:spacing w:after="0"/>
              <w:rPr>
                <w:sz w:val="17"/>
                <w:szCs w:val="17"/>
                <w:color w:val="auto"/>
              </w:rPr>
            </w:pPr>
          </w:p>
        </w:tc>
        <w:tc>
          <w:tcPr>
            <w:tcW w:w="17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(246,854 )</w:t>
            </w:r>
          </w:p>
        </w:tc>
        <w:tc>
          <w:tcPr>
            <w:tcW w:w="400" w:type="dxa"/>
            <w:vAlign w:val="bottom"/>
          </w:tcPr>
          <w:p>
            <w:pPr>
              <w:spacing w:after="0"/>
              <w:rPr>
                <w:sz w:val="17"/>
                <w:szCs w:val="17"/>
                <w:color w:val="auto"/>
              </w:rPr>
            </w:pP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(246,164 )</w:t>
            </w:r>
          </w:p>
        </w:tc>
      </w:tr>
      <w:tr>
        <w:trPr>
          <w:trHeight w:val="202"/>
        </w:trPr>
        <w:tc>
          <w:tcPr>
            <w:tcW w:w="72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Cash paid for patents, licenses and other assets</w:t>
            </w:r>
          </w:p>
        </w:tc>
        <w:tc>
          <w:tcPr>
            <w:tcW w:w="3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(24,003 )</w:t>
            </w:r>
          </w:p>
        </w:tc>
        <w:tc>
          <w:tcPr>
            <w:tcW w:w="4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(14,743 )</w:t>
            </w:r>
          </w:p>
        </w:tc>
      </w:tr>
      <w:tr>
        <w:trPr>
          <w:trHeight w:val="203"/>
        </w:trPr>
        <w:tc>
          <w:tcPr>
            <w:tcW w:w="7240" w:type="dxa"/>
            <w:vAlign w:val="bottom"/>
          </w:tcPr>
          <w:p>
            <w:pPr>
              <w:ind w:left="280"/>
              <w:spacing w:after="0" w:line="202" w:lineRule="exact"/>
              <w:rPr>
                <w:sz w:val="20"/>
                <w:szCs w:val="20"/>
                <w:color w:val="auto"/>
              </w:rPr>
            </w:pPr>
            <w:r>
              <w:rPr>
                <w:rFonts w:ascii="Arial" w:cs="Arial" w:eastAsia="Arial" w:hAnsi="Arial"/>
                <w:sz w:val="18"/>
                <w:szCs w:val="18"/>
                <w:color w:val="auto"/>
              </w:rPr>
              <w:t>Payments related to acquisition of businesses, net of cash acquired</w:t>
            </w:r>
          </w:p>
        </w:tc>
        <w:tc>
          <w:tcPr>
            <w:tcW w:w="300" w:type="dxa"/>
            <w:vAlign w:val="bottom"/>
          </w:tcPr>
          <w:p>
            <w:pPr>
              <w:spacing w:after="0"/>
              <w:rPr>
                <w:sz w:val="17"/>
                <w:szCs w:val="17"/>
                <w:color w:val="auto"/>
              </w:rPr>
            </w:pPr>
          </w:p>
        </w:tc>
        <w:tc>
          <w:tcPr>
            <w:tcW w:w="17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(138,668 )</w:t>
            </w:r>
          </w:p>
        </w:tc>
      </w:tr>
      <w:tr>
        <w:trPr>
          <w:trHeight w:val="196"/>
        </w:trPr>
        <w:tc>
          <w:tcPr>
            <w:tcW w:w="724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Borders>
              <w:top w:val="single" w:sz="8" w:color="auto"/>
            </w:tcBorders>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(270,857</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(399,575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2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Proceeds from debt borrowings</w:t>
            </w:r>
          </w:p>
        </w:tc>
        <w:tc>
          <w:tcPr>
            <w:tcW w:w="3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150,000</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320,000</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280"/>
              <w:spacing w:after="0" w:line="202" w:lineRule="exact"/>
              <w:rPr>
                <w:sz w:val="20"/>
                <w:szCs w:val="20"/>
                <w:color w:val="auto"/>
              </w:rPr>
            </w:pPr>
            <w:r>
              <w:rPr>
                <w:rFonts w:ascii="Arial" w:cs="Arial" w:eastAsia="Arial" w:hAnsi="Arial"/>
                <w:sz w:val="18"/>
                <w:szCs w:val="18"/>
                <w:color w:val="auto"/>
              </w:rPr>
              <w:t>Payments on debt borrowings</w:t>
            </w:r>
          </w:p>
        </w:tc>
        <w:tc>
          <w:tcPr>
            <w:tcW w:w="300" w:type="dxa"/>
            <w:vAlign w:val="bottom"/>
          </w:tcPr>
          <w:p>
            <w:pPr>
              <w:spacing w:after="0"/>
              <w:rPr>
                <w:sz w:val="17"/>
                <w:szCs w:val="17"/>
                <w:color w:val="auto"/>
              </w:rPr>
            </w:pPr>
          </w:p>
        </w:tc>
        <w:tc>
          <w:tcPr>
            <w:tcW w:w="17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(12,693 )</w:t>
            </w:r>
          </w:p>
        </w:tc>
        <w:tc>
          <w:tcPr>
            <w:tcW w:w="400" w:type="dxa"/>
            <w:vAlign w:val="bottom"/>
          </w:tcPr>
          <w:p>
            <w:pPr>
              <w:spacing w:after="0"/>
              <w:rPr>
                <w:sz w:val="17"/>
                <w:szCs w:val="17"/>
                <w:color w:val="auto"/>
              </w:rPr>
            </w:pP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(12,346 )</w:t>
            </w:r>
          </w:p>
        </w:tc>
      </w:tr>
      <w:tr>
        <w:trPr>
          <w:trHeight w:val="203"/>
        </w:trPr>
        <w:tc>
          <w:tcPr>
            <w:tcW w:w="72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Payment of debt issuance costs</w:t>
            </w:r>
          </w:p>
        </w:tc>
        <w:tc>
          <w:tcPr>
            <w:tcW w:w="3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(1,511 )</w:t>
            </w:r>
          </w:p>
        </w:tc>
        <w:tc>
          <w:tcPr>
            <w:tcW w:w="4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03"/>
        </w:trPr>
        <w:tc>
          <w:tcPr>
            <w:tcW w:w="7240" w:type="dxa"/>
            <w:vAlign w:val="bottom"/>
          </w:tcPr>
          <w:p>
            <w:pPr>
              <w:ind w:left="280"/>
              <w:spacing w:after="0" w:line="202" w:lineRule="exact"/>
              <w:rPr>
                <w:sz w:val="20"/>
                <w:szCs w:val="20"/>
                <w:color w:val="auto"/>
              </w:rPr>
            </w:pPr>
            <w:r>
              <w:rPr>
                <w:rFonts w:ascii="Arial" w:cs="Arial" w:eastAsia="Arial" w:hAnsi="Arial"/>
                <w:sz w:val="18"/>
                <w:szCs w:val="18"/>
                <w:color w:val="auto"/>
              </w:rPr>
              <w:t>Proceeds from issuance of common stock under equity plans</w:t>
            </w:r>
          </w:p>
        </w:tc>
        <w:tc>
          <w:tcPr>
            <w:tcW w:w="3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9,626</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8,717</w:t>
            </w:r>
          </w:p>
        </w:tc>
        <w:tc>
          <w:tcPr>
            <w:tcW w:w="100" w:type="dxa"/>
            <w:vAlign w:val="bottom"/>
          </w:tcPr>
          <w:p>
            <w:pPr>
              <w:spacing w:after="0"/>
              <w:rPr>
                <w:sz w:val="17"/>
                <w:szCs w:val="17"/>
                <w:color w:val="auto"/>
              </w:rPr>
            </w:pPr>
          </w:p>
        </w:tc>
      </w:tr>
      <w:tr>
        <w:trPr>
          <w:trHeight w:val="175"/>
        </w:trPr>
        <w:tc>
          <w:tcPr>
            <w:tcW w:w="7240" w:type="dxa"/>
            <w:vAlign w:val="bottom"/>
            <w:shd w:val="clear" w:color="auto" w:fill="CFF0FC"/>
          </w:tcPr>
          <w:p>
            <w:pPr>
              <w:ind w:left="280"/>
              <w:spacing w:after="0" w:line="175" w:lineRule="exact"/>
              <w:rPr>
                <w:sz w:val="20"/>
                <w:szCs w:val="20"/>
                <w:color w:val="auto"/>
              </w:rPr>
            </w:pPr>
            <w:r>
              <w:rPr>
                <w:rFonts w:ascii="Arial" w:cs="Arial" w:eastAsia="Arial" w:hAnsi="Arial"/>
                <w:sz w:val="18"/>
                <w:szCs w:val="18"/>
                <w:color w:val="auto"/>
              </w:rPr>
              <w:t>Purchase of common stock in treasury (immediately retired) related</w:t>
            </w:r>
          </w:p>
        </w:tc>
        <w:tc>
          <w:tcPr>
            <w:tcW w:w="30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240" w:type="dxa"/>
            <w:vAlign w:val="bottom"/>
            <w:shd w:val="clear" w:color="auto" w:fill="CFF0FC"/>
          </w:tcPr>
          <w:p>
            <w:pPr>
              <w:ind w:left="420"/>
              <w:spacing w:after="0" w:line="203" w:lineRule="exact"/>
              <w:rPr>
                <w:sz w:val="20"/>
                <w:szCs w:val="20"/>
                <w:color w:val="auto"/>
              </w:rPr>
            </w:pPr>
            <w:r>
              <w:rPr>
                <w:rFonts w:ascii="Arial" w:cs="Arial" w:eastAsia="Arial" w:hAnsi="Arial"/>
                <w:sz w:val="18"/>
                <w:szCs w:val="18"/>
                <w:color w:val="auto"/>
              </w:rPr>
              <w:t>to tax withholdings for stock-based compensation</w:t>
            </w:r>
          </w:p>
        </w:tc>
        <w:tc>
          <w:tcPr>
            <w:tcW w:w="3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50"/>
              <w:spacing w:after="0" w:line="203" w:lineRule="exact"/>
              <w:rPr>
                <w:sz w:val="20"/>
                <w:szCs w:val="20"/>
                <w:color w:val="auto"/>
              </w:rPr>
            </w:pPr>
            <w:r>
              <w:rPr>
                <w:rFonts w:ascii="Arial" w:cs="Arial" w:eastAsia="Arial" w:hAnsi="Arial"/>
                <w:sz w:val="18"/>
                <w:szCs w:val="18"/>
                <w:color w:val="auto"/>
              </w:rPr>
              <w:t>(505 )</w:t>
            </w:r>
          </w:p>
        </w:tc>
        <w:tc>
          <w:tcPr>
            <w:tcW w:w="4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(458 )</w:t>
            </w:r>
          </w:p>
        </w:tc>
      </w:tr>
      <w:tr>
        <w:trPr>
          <w:trHeight w:val="203"/>
        </w:trPr>
        <w:tc>
          <w:tcPr>
            <w:tcW w:w="7240" w:type="dxa"/>
            <w:vAlign w:val="bottom"/>
          </w:tcPr>
          <w:p>
            <w:pPr>
              <w:ind w:left="280"/>
              <w:spacing w:after="0" w:line="202" w:lineRule="exact"/>
              <w:rPr>
                <w:sz w:val="20"/>
                <w:szCs w:val="20"/>
                <w:color w:val="auto"/>
              </w:rPr>
            </w:pPr>
            <w:r>
              <w:rPr>
                <w:rFonts w:ascii="Arial" w:cs="Arial" w:eastAsia="Arial" w:hAnsi="Arial"/>
                <w:sz w:val="18"/>
                <w:szCs w:val="18"/>
                <w:color w:val="auto"/>
              </w:rPr>
              <w:t>Other financing activities</w:t>
            </w:r>
          </w:p>
        </w:tc>
        <w:tc>
          <w:tcPr>
            <w:tcW w:w="300" w:type="dxa"/>
            <w:vAlign w:val="bottom"/>
          </w:tcPr>
          <w:p>
            <w:pPr>
              <w:spacing w:after="0"/>
              <w:rPr>
                <w:sz w:val="17"/>
                <w:szCs w:val="17"/>
                <w:color w:val="auto"/>
              </w:rPr>
            </w:pPr>
          </w:p>
        </w:tc>
        <w:tc>
          <w:tcPr>
            <w:tcW w:w="17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(706 )</w:t>
            </w:r>
          </w:p>
        </w:tc>
        <w:tc>
          <w:tcPr>
            <w:tcW w:w="400" w:type="dxa"/>
            <w:vAlign w:val="bottom"/>
          </w:tcPr>
          <w:p>
            <w:pPr>
              <w:spacing w:after="0"/>
              <w:rPr>
                <w:sz w:val="17"/>
                <w:szCs w:val="17"/>
                <w:color w:val="auto"/>
              </w:rPr>
            </w:pP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(691 )</w:t>
            </w:r>
          </w:p>
        </w:tc>
      </w:tr>
      <w:tr>
        <w:trPr>
          <w:trHeight w:val="196"/>
        </w:trPr>
        <w:tc>
          <w:tcPr>
            <w:tcW w:w="724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top w:val="single" w:sz="8" w:color="auto"/>
            </w:tcBorders>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144,211</w:t>
            </w:r>
          </w:p>
        </w:tc>
        <w:tc>
          <w:tcPr>
            <w:tcW w:w="22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315,222</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Effect of exchange rate changes on cash</w:t>
            </w:r>
          </w:p>
        </w:tc>
        <w:tc>
          <w:tcPr>
            <w:tcW w:w="300" w:type="dxa"/>
            <w:vAlign w:val="bottom"/>
          </w:tcPr>
          <w:p>
            <w:pPr>
              <w:spacing w:after="0"/>
              <w:rPr>
                <w:sz w:val="17"/>
                <w:szCs w:val="17"/>
                <w:color w:val="auto"/>
              </w:rPr>
            </w:pPr>
          </w:p>
        </w:tc>
        <w:tc>
          <w:tcPr>
            <w:tcW w:w="17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(1,930 )</w:t>
            </w:r>
          </w:p>
        </w:tc>
        <w:tc>
          <w:tcPr>
            <w:tcW w:w="400" w:type="dxa"/>
            <w:vAlign w:val="bottom"/>
          </w:tcPr>
          <w:p>
            <w:pPr>
              <w:spacing w:after="0"/>
              <w:rPr>
                <w:sz w:val="17"/>
                <w:szCs w:val="17"/>
                <w:color w:val="auto"/>
              </w:rPr>
            </w:pP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(1,037 )</w:t>
            </w:r>
          </w:p>
        </w:tc>
      </w:tr>
      <w:tr>
        <w:trPr>
          <w:trHeight w:val="196"/>
        </w:trPr>
        <w:tc>
          <w:tcPr>
            <w:tcW w:w="7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Borders>
              <w:top w:val="single" w:sz="8" w:color="auto"/>
            </w:tcBorders>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(88,939</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(20,261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310,459</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295,949</w:t>
            </w:r>
          </w:p>
        </w:tc>
        <w:tc>
          <w:tcPr>
            <w:tcW w:w="100" w:type="dxa"/>
            <w:vAlign w:val="bottom"/>
          </w:tcPr>
          <w:p>
            <w:pPr>
              <w:spacing w:after="0"/>
              <w:rPr>
                <w:sz w:val="17"/>
                <w:szCs w:val="17"/>
                <w:color w:val="auto"/>
              </w:rPr>
            </w:pPr>
          </w:p>
        </w:tc>
      </w:tr>
      <w:tr>
        <w:trPr>
          <w:trHeight w:val="236"/>
        </w:trPr>
        <w:tc>
          <w:tcPr>
            <w:tcW w:w="72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221,520</w:t>
            </w:r>
          </w:p>
        </w:tc>
        <w:tc>
          <w:tcPr>
            <w:tcW w:w="2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275,688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24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Non-cash investing and financing activities:</w:t>
            </w:r>
          </w:p>
        </w:tc>
        <w:tc>
          <w:tcPr>
            <w:tcW w:w="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2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Issuance of common stock in connection with acquisition</w:t>
            </w:r>
          </w:p>
        </w:tc>
        <w:tc>
          <w:tcPr>
            <w:tcW w:w="3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207,169</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-2748280</wp:posOffset>
            </wp:positionV>
            <wp:extent cx="6858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-2748280</wp:posOffset>
            </wp:positionV>
            <wp:extent cx="6858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-281940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-264795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EQUITY</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66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1"/>
                <w:szCs w:val="11"/>
                <w:b w:val="1"/>
                <w:bCs w:val="1"/>
                <w:color w:val="auto"/>
                <w:w w:val="99"/>
              </w:rPr>
              <w:t>Viasat, Inc. Stockholders</w:t>
            </w: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660" w:type="dxa"/>
            <w:vAlign w:val="bottom"/>
          </w:tcPr>
          <w:p>
            <w:pPr>
              <w:spacing w:after="0"/>
              <w:rPr>
                <w:sz w:val="11"/>
                <w:szCs w:val="11"/>
                <w:color w:val="auto"/>
              </w:rPr>
            </w:pPr>
          </w:p>
        </w:tc>
        <w:tc>
          <w:tcPr>
            <w:tcW w:w="1400" w:type="dxa"/>
            <w:vAlign w:val="bottom"/>
            <w:tcBorders>
              <w:bottom w:val="single" w:sz="8" w:color="auto"/>
            </w:tcBorders>
            <w:gridSpan w:val="3"/>
          </w:tcPr>
          <w:p>
            <w:pPr>
              <w:jc w:val="right"/>
              <w:ind w:right="186"/>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660" w:type="dxa"/>
            <w:vAlign w:val="bottom"/>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Number of</w:t>
            </w: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tcPr>
          <w:p>
            <w:pPr>
              <w:jc w:val="center"/>
              <w:ind w:right="360"/>
              <w:spacing w:after="0" w:line="88" w:lineRule="exact"/>
              <w:rPr>
                <w:sz w:val="20"/>
                <w:szCs w:val="20"/>
                <w:color w:val="auto"/>
              </w:rPr>
            </w:pPr>
            <w:r>
              <w:rPr>
                <w:rFonts w:ascii="Arial" w:cs="Arial" w:eastAsia="Arial" w:hAnsi="Arial"/>
                <w:sz w:val="10"/>
                <w:szCs w:val="10"/>
                <w:b w:val="1"/>
                <w:bCs w:val="1"/>
                <w:color w:val="auto"/>
              </w:rPr>
              <w:t>Accumulated</w:t>
            </w:r>
          </w:p>
        </w:tc>
        <w:tc>
          <w:tcPr>
            <w:tcW w:w="160" w:type="dxa"/>
            <w:vAlign w:val="bottom"/>
          </w:tcPr>
          <w:p>
            <w:pPr>
              <w:spacing w:after="0"/>
              <w:rPr>
                <w:sz w:val="7"/>
                <w:szCs w:val="7"/>
                <w:color w:val="auto"/>
              </w:rPr>
            </w:pPr>
          </w:p>
        </w:tc>
        <w:tc>
          <w:tcPr>
            <w:tcW w:w="1100" w:type="dxa"/>
            <w:vAlign w:val="bottom"/>
            <w:vMerge w:val="restart"/>
          </w:tcPr>
          <w:p>
            <w:pPr>
              <w:jc w:val="center"/>
              <w:ind w:right="86"/>
              <w:spacing w:after="0"/>
              <w:rPr>
                <w:sz w:val="20"/>
                <w:szCs w:val="20"/>
                <w:color w:val="auto"/>
              </w:rPr>
            </w:pPr>
            <w:r>
              <w:rPr>
                <w:rFonts w:ascii="Arial" w:cs="Arial" w:eastAsia="Arial" w:hAnsi="Arial"/>
                <w:sz w:val="11"/>
                <w:szCs w:val="11"/>
                <w:b w:val="1"/>
                <w:bCs w:val="1"/>
                <w:color w:val="auto"/>
                <w:w w:val="97"/>
              </w:rPr>
              <w:t>Noncontrolling</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right"/>
              <w:ind w:right="420"/>
              <w:spacing w:after="0"/>
              <w:rPr>
                <w:sz w:val="20"/>
                <w:szCs w:val="20"/>
                <w:color w:val="auto"/>
              </w:rPr>
            </w:pPr>
            <w:r>
              <w:rPr>
                <w:rFonts w:ascii="Arial" w:cs="Arial" w:eastAsia="Arial" w:hAnsi="Arial"/>
                <w:sz w:val="11"/>
                <w:szCs w:val="11"/>
                <w:b w:val="1"/>
                <w:bCs w:val="1"/>
                <w:color w:val="auto"/>
              </w:rPr>
              <w:t>Paid-in</w:t>
            </w:r>
          </w:p>
        </w:tc>
        <w:tc>
          <w:tcPr>
            <w:tcW w:w="80" w:type="dxa"/>
            <w:vAlign w:val="bottom"/>
          </w:tcPr>
          <w:p>
            <w:pPr>
              <w:spacing w:after="0"/>
              <w:rPr>
                <w:sz w:val="9"/>
                <w:szCs w:val="9"/>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1"/>
                <w:szCs w:val="11"/>
                <w:b w:val="1"/>
                <w:bCs w:val="1"/>
                <w:color w:val="auto"/>
                <w:w w:val="98"/>
              </w:rPr>
              <w:t>Retained</w:t>
            </w:r>
          </w:p>
        </w:tc>
        <w:tc>
          <w:tcPr>
            <w:tcW w:w="140" w:type="dxa"/>
            <w:vAlign w:val="bottom"/>
          </w:tcPr>
          <w:p>
            <w:pPr>
              <w:spacing w:after="0"/>
              <w:rPr>
                <w:sz w:val="9"/>
                <w:szCs w:val="9"/>
                <w:color w:val="auto"/>
              </w:rPr>
            </w:pPr>
          </w:p>
        </w:tc>
        <w:tc>
          <w:tcPr>
            <w:tcW w:w="1320" w:type="dxa"/>
            <w:vAlign w:val="bottom"/>
            <w:gridSpan w:val="2"/>
          </w:tcPr>
          <w:p>
            <w:pPr>
              <w:jc w:val="center"/>
              <w:ind w:right="360"/>
              <w:spacing w:after="0" w:line="108" w:lineRule="exact"/>
              <w:rPr>
                <w:sz w:val="20"/>
                <w:szCs w:val="20"/>
                <w:color w:val="auto"/>
              </w:rPr>
            </w:pPr>
            <w:r>
              <w:rPr>
                <w:rFonts w:ascii="Arial" w:cs="Arial" w:eastAsia="Arial" w:hAnsi="Arial"/>
                <w:sz w:val="11"/>
                <w:szCs w:val="11"/>
                <w:b w:val="1"/>
                <w:bCs w:val="1"/>
                <w:color w:val="auto"/>
                <w:w w:val="95"/>
              </w:rPr>
              <w:t>Other</w:t>
            </w:r>
          </w:p>
        </w:tc>
        <w:tc>
          <w:tcPr>
            <w:tcW w:w="1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6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Shares</w:t>
            </w:r>
          </w:p>
        </w:tc>
        <w:tc>
          <w:tcPr>
            <w:tcW w:w="24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tcPr>
          <w:p>
            <w:pPr>
              <w:jc w:val="center"/>
              <w:ind w:right="340"/>
              <w:spacing w:after="0" w:line="108" w:lineRule="exact"/>
              <w:rPr>
                <w:sz w:val="20"/>
                <w:szCs w:val="20"/>
                <w:color w:val="auto"/>
              </w:rPr>
            </w:pPr>
            <w:r>
              <w:rPr>
                <w:rFonts w:ascii="Arial" w:cs="Arial" w:eastAsia="Arial" w:hAnsi="Arial"/>
                <w:sz w:val="11"/>
                <w:szCs w:val="11"/>
                <w:b w:val="1"/>
                <w:bCs w:val="1"/>
                <w:color w:val="auto"/>
                <w:w w:val="99"/>
              </w:rPr>
              <w:t>Comprehensive</w:t>
            </w:r>
          </w:p>
        </w:tc>
        <w:tc>
          <w:tcPr>
            <w:tcW w:w="160" w:type="dxa"/>
            <w:vAlign w:val="bottom"/>
          </w:tcPr>
          <w:p>
            <w:pPr>
              <w:spacing w:after="0"/>
              <w:rPr>
                <w:sz w:val="9"/>
                <w:szCs w:val="9"/>
                <w:color w:val="auto"/>
              </w:rPr>
            </w:pPr>
          </w:p>
        </w:tc>
        <w:tc>
          <w:tcPr>
            <w:tcW w:w="1100" w:type="dxa"/>
            <w:vAlign w:val="bottom"/>
          </w:tcPr>
          <w:p>
            <w:pPr>
              <w:jc w:val="center"/>
              <w:ind w:right="86"/>
              <w:spacing w:after="0" w:line="108" w:lineRule="exact"/>
              <w:rPr>
                <w:sz w:val="20"/>
                <w:szCs w:val="20"/>
                <w:color w:val="auto"/>
              </w:rPr>
            </w:pPr>
            <w:r>
              <w:rPr>
                <w:rFonts w:ascii="Arial" w:cs="Arial" w:eastAsia="Arial" w:hAnsi="Arial"/>
                <w:sz w:val="11"/>
                <w:szCs w:val="11"/>
                <w:b w:val="1"/>
                <w:bCs w:val="1"/>
                <w:color w:val="auto"/>
                <w:w w:val="98"/>
              </w:rPr>
              <w:t>Interest in</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vMerge w:val="restart"/>
          </w:tcPr>
          <w:p>
            <w:pPr>
              <w:jc w:val="right"/>
              <w:ind w:right="286"/>
              <w:spacing w:after="0"/>
              <w:rPr>
                <w:sz w:val="20"/>
                <w:szCs w:val="20"/>
                <w:color w:val="auto"/>
              </w:rPr>
            </w:pPr>
            <w:r>
              <w:rPr>
                <w:rFonts w:ascii="Arial" w:cs="Arial" w:eastAsia="Arial" w:hAnsi="Arial"/>
                <w:sz w:val="11"/>
                <w:szCs w:val="11"/>
                <w:b w:val="1"/>
                <w:bCs w:val="1"/>
                <w:color w:val="auto"/>
              </w:rPr>
              <w:t>Total</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366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Issued</w:t>
            </w:r>
          </w:p>
        </w:tc>
        <w:tc>
          <w:tcPr>
            <w:tcW w:w="240" w:type="dxa"/>
            <w:vAlign w:val="bottom"/>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Capital</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97"/>
              </w:rPr>
              <w:t>Earnings</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86"/>
              <w:spacing w:after="0"/>
              <w:rPr>
                <w:sz w:val="20"/>
                <w:szCs w:val="20"/>
                <w:color w:val="auto"/>
              </w:rPr>
            </w:pPr>
            <w:r>
              <w:rPr>
                <w:rFonts w:ascii="Arial" w:cs="Arial" w:eastAsia="Arial" w:hAnsi="Arial"/>
                <w:sz w:val="11"/>
                <w:szCs w:val="11"/>
                <w:b w:val="1"/>
                <w:bCs w:val="1"/>
                <w:color w:val="auto"/>
                <w:w w:val="99"/>
              </w:rPr>
              <w:t>Income (Loss)</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86"/>
              <w:spacing w:after="0"/>
              <w:rPr>
                <w:sz w:val="20"/>
                <w:szCs w:val="20"/>
                <w:color w:val="auto"/>
              </w:rPr>
            </w:pPr>
            <w:r>
              <w:rPr>
                <w:rFonts w:ascii="Arial" w:cs="Arial" w:eastAsia="Arial" w:hAnsi="Arial"/>
                <w:sz w:val="11"/>
                <w:szCs w:val="11"/>
                <w:b w:val="1"/>
                <w:bCs w:val="1"/>
                <w:color w:val="auto"/>
                <w:w w:val="99"/>
              </w:rPr>
              <w:t>Subsidiary</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gridSpan w:val="5"/>
          </w:tcPr>
          <w:p>
            <w:pPr>
              <w:jc w:val="right"/>
              <w:ind w:right="460"/>
              <w:spacing w:after="0"/>
              <w:rPr>
                <w:sz w:val="20"/>
                <w:szCs w:val="20"/>
                <w:color w:val="auto"/>
              </w:rPr>
            </w:pPr>
            <w:r>
              <w:rPr>
                <w:rFonts w:ascii="Arial" w:cs="Arial" w:eastAsia="Arial" w:hAnsi="Arial"/>
                <w:sz w:val="11"/>
                <w:szCs w:val="11"/>
                <w:b w:val="1"/>
                <w:bCs w:val="1"/>
                <w:color w:val="auto"/>
              </w:rPr>
              <w:t>(In thousands, except share data)</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For the Three Months Ended June 30, 2022</w:t>
            </w: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660" w:type="dxa"/>
            <w:vAlign w:val="bottom"/>
          </w:tcPr>
          <w:p>
            <w:pPr>
              <w:ind w:left="20"/>
              <w:spacing w:after="0" w:line="105" w:lineRule="exact"/>
              <w:rPr>
                <w:sz w:val="20"/>
                <w:szCs w:val="20"/>
                <w:color w:val="auto"/>
              </w:rPr>
            </w:pPr>
            <w:r>
              <w:rPr>
                <w:rFonts w:ascii="Arial" w:cs="Arial" w:eastAsia="Arial" w:hAnsi="Arial"/>
                <w:sz w:val="11"/>
                <w:szCs w:val="11"/>
                <w:color w:val="auto"/>
              </w:rPr>
              <w:t>Balance at March 31, 2022</w:t>
            </w: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74,428,8</w:t>
            </w: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36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w:t>
            </w:r>
          </w:p>
        </w:tc>
        <w:tc>
          <w:tcPr>
            <w:tcW w:w="800" w:type="dxa"/>
            <w:vAlign w:val="bottom"/>
            <w:gridSpan w:val="2"/>
          </w:tcPr>
          <w:p>
            <w:pPr>
              <w:jc w:val="right"/>
              <w:ind w:right="426"/>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7</w:t>
            </w:r>
          </w:p>
        </w:tc>
        <w:tc>
          <w:tcPr>
            <w:tcW w:w="360" w:type="dxa"/>
            <w:vAlign w:val="bottom"/>
            <w:gridSpan w:val="2"/>
          </w:tcPr>
          <w:p>
            <w:pPr>
              <w:jc w:val="right"/>
              <w:ind w:right="2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2,421,950</w:t>
            </w: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233,530</w:t>
            </w:r>
          </w:p>
        </w:tc>
        <w:tc>
          <w:tcPr>
            <w:tcW w:w="22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320" w:type="dxa"/>
            <w:vAlign w:val="bottom"/>
            <w:gridSpan w:val="2"/>
          </w:tcPr>
          <w:p>
            <w:pPr>
              <w:jc w:val="right"/>
              <w:ind w:right="160"/>
              <w:spacing w:after="0"/>
              <w:rPr>
                <w:sz w:val="20"/>
                <w:szCs w:val="20"/>
                <w:color w:val="auto"/>
              </w:rPr>
            </w:pPr>
            <w:r>
              <w:rPr>
                <w:rFonts w:ascii="Arial" w:cs="Arial" w:eastAsia="Arial" w:hAnsi="Arial"/>
                <w:sz w:val="11"/>
                <w:szCs w:val="11"/>
                <w:color w:val="auto"/>
              </w:rPr>
              <w:t>(21,621 )</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48,728</w:t>
            </w:r>
          </w:p>
        </w:tc>
        <w:tc>
          <w:tcPr>
            <w:tcW w:w="4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2,682,594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660" w:type="dxa"/>
            <w:vAlign w:val="bottom"/>
            <w:shd w:val="clear" w:color="auto" w:fill="CFF0FC"/>
          </w:tcPr>
          <w:p>
            <w:pPr>
              <w:ind w:left="20"/>
              <w:spacing w:after="0" w:line="109" w:lineRule="exact"/>
              <w:rPr>
                <w:sz w:val="20"/>
                <w:szCs w:val="20"/>
                <w:color w:val="auto"/>
              </w:rPr>
            </w:pPr>
            <w:r>
              <w:rPr>
                <w:rFonts w:ascii="Arial" w:cs="Arial" w:eastAsia="Arial" w:hAnsi="Arial"/>
                <w:sz w:val="11"/>
                <w:szCs w:val="11"/>
                <w:color w:val="auto"/>
              </w:rPr>
              <w:t>Issuance of stock under Employee Stock Purchase</w:t>
            </w:r>
          </w:p>
        </w:tc>
        <w:tc>
          <w:tcPr>
            <w:tcW w:w="6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660" w:type="dxa"/>
            <w:vAlign w:val="bottom"/>
            <w:shd w:val="clear" w:color="auto" w:fill="CFF0FC"/>
          </w:tcPr>
          <w:p>
            <w:pPr>
              <w:ind w:left="120"/>
              <w:spacing w:after="0"/>
              <w:rPr>
                <w:sz w:val="20"/>
                <w:szCs w:val="20"/>
                <w:color w:val="auto"/>
              </w:rPr>
            </w:pPr>
            <w:r>
              <w:rPr>
                <w:rFonts w:ascii="Arial" w:cs="Arial" w:eastAsia="Arial" w:hAnsi="Arial"/>
                <w:sz w:val="11"/>
                <w:szCs w:val="11"/>
                <w:color w:val="auto"/>
              </w:rPr>
              <w:t>Plan</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369,712</w:t>
            </w: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72"/>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9,626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9,626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66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72"/>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24,158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24,158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660" w:type="dxa"/>
            <w:vAlign w:val="bottom"/>
            <w:shd w:val="clear" w:color="auto" w:fill="CFF0FC"/>
          </w:tcPr>
          <w:p>
            <w:pPr>
              <w:ind w:left="20"/>
              <w:spacing w:after="0" w:line="107" w:lineRule="exact"/>
              <w:rPr>
                <w:sz w:val="20"/>
                <w:szCs w:val="20"/>
                <w:color w:val="auto"/>
              </w:rPr>
            </w:pPr>
            <w:r>
              <w:rPr>
                <w:rFonts w:ascii="Arial" w:cs="Arial" w:eastAsia="Arial" w:hAnsi="Arial"/>
                <w:sz w:val="11"/>
                <w:szCs w:val="11"/>
                <w:color w:val="auto"/>
              </w:rPr>
              <w:t>Shares issued in settlement of certain accrued</w:t>
            </w:r>
          </w:p>
        </w:tc>
        <w:tc>
          <w:tcPr>
            <w:tcW w:w="6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660" w:type="dxa"/>
            <w:vAlign w:val="bottom"/>
            <w:shd w:val="clear" w:color="auto" w:fill="CFF0FC"/>
          </w:tcPr>
          <w:p>
            <w:pPr>
              <w:ind w:left="120"/>
              <w:spacing w:after="0"/>
              <w:rPr>
                <w:sz w:val="20"/>
                <w:szCs w:val="20"/>
                <w:color w:val="auto"/>
              </w:rPr>
            </w:pPr>
            <w:r>
              <w:rPr>
                <w:rFonts w:ascii="Arial" w:cs="Arial" w:eastAsia="Arial" w:hAnsi="Arial"/>
                <w:sz w:val="11"/>
                <w:szCs w:val="11"/>
                <w:color w:val="auto"/>
              </w:rPr>
              <w:t>employee compensation liabilities</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719,989</w:t>
            </w: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27,618</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27,619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660" w:type="dxa"/>
            <w:vAlign w:val="bottom"/>
          </w:tcPr>
          <w:p>
            <w:pPr>
              <w:ind w:left="20"/>
              <w:spacing w:after="0" w:line="105" w:lineRule="exact"/>
              <w:rPr>
                <w:sz w:val="20"/>
                <w:szCs w:val="20"/>
                <w:color w:val="auto"/>
              </w:rPr>
            </w:pPr>
            <w:r>
              <w:rPr>
                <w:rFonts w:ascii="Arial" w:cs="Arial" w:eastAsia="Arial" w:hAnsi="Arial"/>
                <w:sz w:val="11"/>
                <w:szCs w:val="11"/>
                <w:color w:val="auto"/>
              </w:rPr>
              <w:t>RSU awards vesting, net of shares withheld for taxes</w:t>
            </w: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3660" w:type="dxa"/>
            <w:vAlign w:val="bottom"/>
          </w:tcPr>
          <w:p>
            <w:pPr>
              <w:ind w:left="120"/>
              <w:spacing w:after="0"/>
              <w:rPr>
                <w:sz w:val="20"/>
                <w:szCs w:val="20"/>
                <w:color w:val="auto"/>
              </w:rPr>
            </w:pPr>
            <w:r>
              <w:rPr>
                <w:rFonts w:ascii="Arial" w:cs="Arial" w:eastAsia="Arial" w:hAnsi="Arial"/>
                <w:sz w:val="11"/>
                <w:szCs w:val="11"/>
                <w:color w:val="auto"/>
              </w:rPr>
              <w:t>which have been retired</w:t>
            </w:r>
          </w:p>
        </w:tc>
        <w:tc>
          <w:tcPr>
            <w:tcW w:w="600" w:type="dxa"/>
            <w:vAlign w:val="bottom"/>
          </w:tcPr>
          <w:p>
            <w:pPr>
              <w:jc w:val="right"/>
              <w:spacing w:after="0"/>
              <w:rPr>
                <w:sz w:val="20"/>
                <w:szCs w:val="20"/>
                <w:color w:val="auto"/>
              </w:rPr>
            </w:pPr>
            <w:r>
              <w:rPr>
                <w:rFonts w:ascii="Arial" w:cs="Arial" w:eastAsia="Arial" w:hAnsi="Arial"/>
                <w:sz w:val="11"/>
                <w:szCs w:val="11"/>
                <w:color w:val="auto"/>
              </w:rPr>
              <w:t>33,306</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72"/>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(505 )</w:t>
            </w:r>
          </w:p>
        </w:tc>
        <w:tc>
          <w:tcPr>
            <w:tcW w:w="8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(505 )</w:t>
            </w:r>
          </w:p>
        </w:tc>
        <w:tc>
          <w:tcPr>
            <w:tcW w:w="0" w:type="dxa"/>
            <w:vAlign w:val="bottom"/>
          </w:tcPr>
          <w:p>
            <w:pPr>
              <w:spacing w:after="0"/>
              <w:rPr>
                <w:sz w:val="1"/>
                <w:szCs w:val="1"/>
                <w:color w:val="auto"/>
              </w:rPr>
            </w:pPr>
          </w:p>
        </w:tc>
      </w:tr>
      <w:tr>
        <w:trPr>
          <w:trHeight w:val="139"/>
        </w:trPr>
        <w:tc>
          <w:tcPr>
            <w:tcW w:w="3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income (loss)</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72"/>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(21,564 )</w:t>
            </w:r>
          </w:p>
        </w:tc>
        <w:tc>
          <w:tcPr>
            <w:tcW w:w="1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525</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(21,039 )</w:t>
            </w:r>
          </w:p>
        </w:tc>
        <w:tc>
          <w:tcPr>
            <w:tcW w:w="0" w:type="dxa"/>
            <w:vAlign w:val="bottom"/>
          </w:tcPr>
          <w:p>
            <w:pPr>
              <w:spacing w:after="0"/>
              <w:rPr>
                <w:sz w:val="1"/>
                <w:szCs w:val="1"/>
                <w:color w:val="auto"/>
              </w:rPr>
            </w:pPr>
          </w:p>
        </w:tc>
      </w:tr>
      <w:tr>
        <w:trPr>
          <w:trHeight w:val="132"/>
        </w:trPr>
        <w:tc>
          <w:tcPr>
            <w:tcW w:w="3660" w:type="dxa"/>
            <w:vAlign w:val="bottom"/>
          </w:tcPr>
          <w:p>
            <w:pPr>
              <w:ind w:left="20"/>
              <w:spacing w:after="0"/>
              <w:rPr>
                <w:sz w:val="20"/>
                <w:szCs w:val="20"/>
                <w:color w:val="auto"/>
              </w:rPr>
            </w:pPr>
            <w:r>
              <w:rPr>
                <w:rFonts w:ascii="Arial" w:cs="Arial" w:eastAsia="Arial" w:hAnsi="Arial"/>
                <w:sz w:val="11"/>
                <w:szCs w:val="11"/>
                <w:color w:val="auto"/>
              </w:rPr>
              <w:t>Other comprehensive income (loss), net of tax</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72"/>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1"/>
                <w:szCs w:val="11"/>
                <w:color w:val="auto"/>
              </w:rPr>
              <w:t>(20,341 )</w:t>
            </w:r>
          </w:p>
        </w:tc>
        <w:tc>
          <w:tcPr>
            <w:tcW w:w="16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(20,341 )</w:t>
            </w:r>
          </w:p>
        </w:tc>
        <w:tc>
          <w:tcPr>
            <w:tcW w:w="0" w:type="dxa"/>
            <w:vAlign w:val="bottom"/>
          </w:tcPr>
          <w:p>
            <w:pPr>
              <w:spacing w:after="0"/>
              <w:rPr>
                <w:sz w:val="1"/>
                <w:szCs w:val="1"/>
                <w:color w:val="auto"/>
              </w:rPr>
            </w:pPr>
          </w:p>
        </w:tc>
      </w:tr>
      <w:tr>
        <w:trPr>
          <w:trHeight w:val="101"/>
        </w:trPr>
        <w:tc>
          <w:tcPr>
            <w:tcW w:w="3660" w:type="dxa"/>
            <w:vAlign w:val="bottom"/>
            <w:shd w:val="clear" w:color="auto" w:fill="CFF0FC"/>
          </w:tcPr>
          <w:p>
            <w:pPr>
              <w:ind w:left="20"/>
              <w:spacing w:after="0" w:line="101" w:lineRule="exact"/>
              <w:rPr>
                <w:sz w:val="20"/>
                <w:szCs w:val="20"/>
                <w:color w:val="auto"/>
              </w:rPr>
            </w:pPr>
            <w:r>
              <w:rPr>
                <w:rFonts w:ascii="Arial" w:cs="Arial" w:eastAsia="Arial" w:hAnsi="Arial"/>
                <w:sz w:val="11"/>
                <w:szCs w:val="11"/>
                <w:color w:val="auto"/>
              </w:rPr>
              <w:t>Balance at June 30, 2022</w:t>
            </w:r>
          </w:p>
        </w:tc>
        <w:tc>
          <w:tcPr>
            <w:tcW w:w="600" w:type="dxa"/>
            <w:vAlign w:val="bottom"/>
            <w:tcBorders>
              <w:top w:val="single" w:sz="8" w:color="auto"/>
            </w:tcBorders>
            <w:shd w:val="clear" w:color="auto" w:fill="CFF0FC"/>
          </w:tcPr>
          <w:p>
            <w:pPr>
              <w:jc w:val="right"/>
              <w:spacing w:after="0" w:line="101" w:lineRule="exact"/>
              <w:rPr>
                <w:sz w:val="20"/>
                <w:szCs w:val="20"/>
                <w:color w:val="auto"/>
              </w:rPr>
            </w:pPr>
            <w:r>
              <w:rPr>
                <w:rFonts w:ascii="Arial" w:cs="Arial" w:eastAsia="Arial" w:hAnsi="Arial"/>
                <w:sz w:val="11"/>
                <w:szCs w:val="11"/>
                <w:color w:val="auto"/>
              </w:rPr>
              <w:t>75,551,8</w:t>
            </w:r>
          </w:p>
        </w:tc>
        <w:tc>
          <w:tcPr>
            <w:tcW w:w="240" w:type="dxa"/>
            <w:vAlign w:val="bottom"/>
            <w:shd w:val="clear" w:color="auto" w:fill="CFF0FC"/>
          </w:tcPr>
          <w:p>
            <w:pPr>
              <w:spacing w:after="0"/>
              <w:rPr>
                <w:sz w:val="8"/>
                <w:szCs w:val="8"/>
                <w:color w:val="auto"/>
              </w:rPr>
            </w:pPr>
          </w:p>
        </w:tc>
        <w:tc>
          <w:tcPr>
            <w:tcW w:w="560" w:type="dxa"/>
            <w:vAlign w:val="bottom"/>
            <w:tcBorders>
              <w:top w:val="single" w:sz="8" w:color="auto"/>
            </w:tcBorders>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112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60" w:type="dxa"/>
            <w:vAlign w:val="bottom"/>
            <w:tcBorders>
              <w:top w:val="single" w:sz="8" w:color="auto"/>
            </w:tcBorders>
            <w:shd w:val="clear" w:color="auto" w:fill="CFF0FC"/>
          </w:tcPr>
          <w:p>
            <w:pPr>
              <w:spacing w:after="0"/>
              <w:rPr>
                <w:sz w:val="8"/>
                <w:szCs w:val="8"/>
                <w:color w:val="auto"/>
              </w:rPr>
            </w:pPr>
          </w:p>
        </w:tc>
        <w:tc>
          <w:tcPr>
            <w:tcW w:w="110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tcBorders>
              <w:top w:val="single" w:sz="8" w:color="auto"/>
            </w:tcBorders>
            <w:shd w:val="clear" w:color="auto" w:fill="CFF0FC"/>
          </w:tcPr>
          <w:p>
            <w:pPr>
              <w:spacing w:after="0"/>
              <w:rPr>
                <w:sz w:val="8"/>
                <w:szCs w:val="8"/>
                <w:color w:val="auto"/>
              </w:rPr>
            </w:pPr>
          </w:p>
        </w:tc>
        <w:tc>
          <w:tcPr>
            <w:tcW w:w="7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36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w:t>
            </w:r>
          </w:p>
        </w:tc>
        <w:tc>
          <w:tcPr>
            <w:tcW w:w="800" w:type="dxa"/>
            <w:vAlign w:val="bottom"/>
            <w:gridSpan w:val="2"/>
            <w:shd w:val="clear" w:color="auto" w:fill="CFF0FC"/>
          </w:tcPr>
          <w:p>
            <w:pPr>
              <w:jc w:val="right"/>
              <w:ind w:right="4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w:t>
            </w:r>
          </w:p>
        </w:tc>
        <w:tc>
          <w:tcPr>
            <w:tcW w:w="360" w:type="dxa"/>
            <w:vAlign w:val="bottom"/>
            <w:gridSpan w:val="2"/>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2,482,847</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211,966</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(41,962 )</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49,253</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2,702,112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660" w:type="dxa"/>
            <w:vAlign w:val="bottom"/>
            <w:tcBorders>
              <w:top w:val="single" w:sz="8" w:color="CFF0F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66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For the Three Months Ended June 30, 2021</w:t>
            </w: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660" w:type="dxa"/>
            <w:vAlign w:val="bottom"/>
          </w:tcPr>
          <w:p>
            <w:pPr>
              <w:ind w:left="20"/>
              <w:spacing w:after="0" w:line="105" w:lineRule="exact"/>
              <w:rPr>
                <w:sz w:val="20"/>
                <w:szCs w:val="20"/>
                <w:color w:val="auto"/>
              </w:rPr>
            </w:pPr>
            <w:r>
              <w:rPr>
                <w:rFonts w:ascii="Arial" w:cs="Arial" w:eastAsia="Arial" w:hAnsi="Arial"/>
                <w:sz w:val="11"/>
                <w:szCs w:val="11"/>
                <w:color w:val="auto"/>
              </w:rPr>
              <w:t>Balance at March 31, 2021</w:t>
            </w: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68,529,1</w:t>
            </w: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36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33</w:t>
            </w:r>
          </w:p>
        </w:tc>
        <w:tc>
          <w:tcPr>
            <w:tcW w:w="800" w:type="dxa"/>
            <w:vAlign w:val="bottom"/>
            <w:gridSpan w:val="2"/>
          </w:tcPr>
          <w:p>
            <w:pPr>
              <w:jc w:val="right"/>
              <w:ind w:right="426"/>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7</w:t>
            </w:r>
          </w:p>
        </w:tc>
        <w:tc>
          <w:tcPr>
            <w:tcW w:w="360" w:type="dxa"/>
            <w:vAlign w:val="bottom"/>
            <w:gridSpan w:val="2"/>
          </w:tcPr>
          <w:p>
            <w:pPr>
              <w:jc w:val="right"/>
              <w:ind w:right="2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2,092,595</w:t>
            </w: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249,064</w:t>
            </w:r>
          </w:p>
        </w:tc>
        <w:tc>
          <w:tcPr>
            <w:tcW w:w="22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9,803</w:t>
            </w:r>
          </w:p>
        </w:tc>
        <w:tc>
          <w:tcPr>
            <w:tcW w:w="200" w:type="dxa"/>
            <w:vAlign w:val="bottom"/>
          </w:tcPr>
          <w:p>
            <w:pPr>
              <w:spacing w:after="0"/>
              <w:rPr>
                <w:sz w:val="11"/>
                <w:szCs w:val="11"/>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35,765</w:t>
            </w:r>
          </w:p>
        </w:tc>
        <w:tc>
          <w:tcPr>
            <w:tcW w:w="4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2,387,234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Exercise of stock options</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363</w:t>
            </w: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72"/>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660" w:type="dxa"/>
            <w:vAlign w:val="bottom"/>
          </w:tcPr>
          <w:p>
            <w:pPr>
              <w:ind w:left="20"/>
              <w:spacing w:after="0" w:line="105" w:lineRule="exact"/>
              <w:rPr>
                <w:sz w:val="20"/>
                <w:szCs w:val="20"/>
                <w:color w:val="auto"/>
              </w:rPr>
            </w:pPr>
            <w:r>
              <w:rPr>
                <w:rFonts w:ascii="Arial" w:cs="Arial" w:eastAsia="Arial" w:hAnsi="Arial"/>
                <w:sz w:val="11"/>
                <w:szCs w:val="11"/>
                <w:color w:val="auto"/>
              </w:rPr>
              <w:t>Issuance of stock under Employee Stock Purchase</w:t>
            </w: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3660" w:type="dxa"/>
            <w:vAlign w:val="bottom"/>
          </w:tcPr>
          <w:p>
            <w:pPr>
              <w:ind w:left="120"/>
              <w:spacing w:after="0"/>
              <w:rPr>
                <w:sz w:val="20"/>
                <w:szCs w:val="20"/>
                <w:color w:val="auto"/>
              </w:rPr>
            </w:pPr>
            <w:r>
              <w:rPr>
                <w:rFonts w:ascii="Arial" w:cs="Arial" w:eastAsia="Arial" w:hAnsi="Arial"/>
                <w:sz w:val="11"/>
                <w:szCs w:val="11"/>
                <w:color w:val="auto"/>
              </w:rPr>
              <w:t>Plan</w:t>
            </w:r>
          </w:p>
        </w:tc>
        <w:tc>
          <w:tcPr>
            <w:tcW w:w="600" w:type="dxa"/>
            <w:vAlign w:val="bottom"/>
          </w:tcPr>
          <w:p>
            <w:pPr>
              <w:jc w:val="right"/>
              <w:spacing w:after="0"/>
              <w:rPr>
                <w:sz w:val="20"/>
                <w:szCs w:val="20"/>
                <w:color w:val="auto"/>
              </w:rPr>
            </w:pPr>
            <w:r>
              <w:rPr>
                <w:rFonts w:ascii="Arial" w:cs="Arial" w:eastAsia="Arial" w:hAnsi="Arial"/>
                <w:sz w:val="11"/>
                <w:szCs w:val="11"/>
                <w:color w:val="auto"/>
              </w:rPr>
              <w:t>313,700</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72"/>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8,706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8,706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Stock-based compensation</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72"/>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27,512</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27,512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660" w:type="dxa"/>
            <w:vAlign w:val="bottom"/>
          </w:tcPr>
          <w:p>
            <w:pPr>
              <w:ind w:left="20"/>
              <w:spacing w:after="0" w:line="105" w:lineRule="exact"/>
              <w:rPr>
                <w:sz w:val="20"/>
                <w:szCs w:val="20"/>
                <w:color w:val="auto"/>
              </w:rPr>
            </w:pPr>
            <w:r>
              <w:rPr>
                <w:rFonts w:ascii="Arial" w:cs="Arial" w:eastAsia="Arial" w:hAnsi="Arial"/>
                <w:sz w:val="11"/>
                <w:szCs w:val="11"/>
                <w:color w:val="auto"/>
              </w:rPr>
              <w:t>Shares issued in settlement of certain accrued</w:t>
            </w: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3660" w:type="dxa"/>
            <w:vAlign w:val="bottom"/>
          </w:tcPr>
          <w:p>
            <w:pPr>
              <w:ind w:left="120"/>
              <w:spacing w:after="0"/>
              <w:rPr>
                <w:sz w:val="20"/>
                <w:szCs w:val="20"/>
                <w:color w:val="auto"/>
              </w:rPr>
            </w:pPr>
            <w:r>
              <w:rPr>
                <w:rFonts w:ascii="Arial" w:cs="Arial" w:eastAsia="Arial" w:hAnsi="Arial"/>
                <w:sz w:val="11"/>
                <w:szCs w:val="11"/>
                <w:color w:val="auto"/>
              </w:rPr>
              <w:t>employee compensation liabilities</w:t>
            </w:r>
          </w:p>
        </w:tc>
        <w:tc>
          <w:tcPr>
            <w:tcW w:w="600" w:type="dxa"/>
            <w:vAlign w:val="bottom"/>
          </w:tcPr>
          <w:p>
            <w:pPr>
              <w:jc w:val="right"/>
              <w:spacing w:after="0"/>
              <w:rPr>
                <w:sz w:val="20"/>
                <w:szCs w:val="20"/>
                <w:color w:val="auto"/>
              </w:rPr>
            </w:pPr>
            <w:r>
              <w:rPr>
                <w:rFonts w:ascii="Arial" w:cs="Arial" w:eastAsia="Arial" w:hAnsi="Arial"/>
                <w:sz w:val="11"/>
                <w:szCs w:val="11"/>
                <w:color w:val="auto"/>
              </w:rPr>
              <w:t>457,130</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72"/>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24,488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24,488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660" w:type="dxa"/>
            <w:vAlign w:val="bottom"/>
            <w:shd w:val="clear" w:color="auto" w:fill="CFF0FC"/>
          </w:tcPr>
          <w:p>
            <w:pPr>
              <w:ind w:left="20"/>
              <w:spacing w:after="0" w:line="109" w:lineRule="exact"/>
              <w:rPr>
                <w:sz w:val="20"/>
                <w:szCs w:val="20"/>
                <w:color w:val="auto"/>
              </w:rPr>
            </w:pPr>
            <w:r>
              <w:rPr>
                <w:rFonts w:ascii="Arial" w:cs="Arial" w:eastAsia="Arial" w:hAnsi="Arial"/>
                <w:sz w:val="11"/>
                <w:szCs w:val="11"/>
                <w:color w:val="auto"/>
              </w:rPr>
              <w:t>RSU awards vesting, net of shares withheld for taxes</w:t>
            </w:r>
          </w:p>
        </w:tc>
        <w:tc>
          <w:tcPr>
            <w:tcW w:w="6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660" w:type="dxa"/>
            <w:vAlign w:val="bottom"/>
            <w:shd w:val="clear" w:color="auto" w:fill="CFF0FC"/>
          </w:tcPr>
          <w:p>
            <w:pPr>
              <w:ind w:left="120"/>
              <w:spacing w:after="0"/>
              <w:rPr>
                <w:sz w:val="20"/>
                <w:szCs w:val="20"/>
                <w:color w:val="auto"/>
              </w:rPr>
            </w:pPr>
            <w:r>
              <w:rPr>
                <w:rFonts w:ascii="Arial" w:cs="Arial" w:eastAsia="Arial" w:hAnsi="Arial"/>
                <w:sz w:val="11"/>
                <w:szCs w:val="11"/>
                <w:color w:val="auto"/>
              </w:rPr>
              <w:t>which have been retired</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20,339</w:t>
            </w: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72"/>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(458 )</w:t>
            </w: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(458 )</w:t>
            </w:r>
          </w:p>
        </w:tc>
        <w:tc>
          <w:tcPr>
            <w:tcW w:w="0" w:type="dxa"/>
            <w:vAlign w:val="bottom"/>
          </w:tcPr>
          <w:p>
            <w:pPr>
              <w:spacing w:after="0"/>
              <w:rPr>
                <w:sz w:val="1"/>
                <w:szCs w:val="1"/>
                <w:color w:val="auto"/>
              </w:rPr>
            </w:pPr>
          </w:p>
        </w:tc>
      </w:tr>
      <w:tr>
        <w:trPr>
          <w:trHeight w:val="105"/>
        </w:trPr>
        <w:tc>
          <w:tcPr>
            <w:tcW w:w="3660" w:type="dxa"/>
            <w:vAlign w:val="bottom"/>
          </w:tcPr>
          <w:p>
            <w:pPr>
              <w:ind w:left="20"/>
              <w:spacing w:after="0" w:line="105" w:lineRule="exact"/>
              <w:rPr>
                <w:sz w:val="20"/>
                <w:szCs w:val="20"/>
                <w:color w:val="auto"/>
              </w:rPr>
            </w:pPr>
            <w:r>
              <w:rPr>
                <w:rFonts w:ascii="Arial" w:cs="Arial" w:eastAsia="Arial" w:hAnsi="Arial"/>
                <w:sz w:val="11"/>
                <w:szCs w:val="11"/>
                <w:color w:val="auto"/>
              </w:rPr>
              <w:t>Shares issued in connection with acquisition of</w:t>
            </w: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4,000,18</w:t>
            </w: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3660" w:type="dxa"/>
            <w:vAlign w:val="bottom"/>
          </w:tcPr>
          <w:p>
            <w:pPr>
              <w:ind w:left="120"/>
              <w:spacing w:after="0"/>
              <w:rPr>
                <w:sz w:val="20"/>
                <w:szCs w:val="20"/>
                <w:color w:val="auto"/>
              </w:rPr>
            </w:pPr>
            <w:r>
              <w:rPr>
                <w:rFonts w:ascii="Arial" w:cs="Arial" w:eastAsia="Arial" w:hAnsi="Arial"/>
                <w:sz w:val="11"/>
                <w:szCs w:val="11"/>
                <w:color w:val="auto"/>
              </w:rPr>
              <w:t>business</w:t>
            </w:r>
          </w:p>
        </w:tc>
        <w:tc>
          <w:tcPr>
            <w:tcW w:w="600" w:type="dxa"/>
            <w:vAlign w:val="bottom"/>
          </w:tcPr>
          <w:p>
            <w:pPr>
              <w:jc w:val="right"/>
              <w:spacing w:after="0"/>
              <w:rPr>
                <w:sz w:val="20"/>
                <w:szCs w:val="20"/>
                <w:color w:val="auto"/>
              </w:rPr>
            </w:pPr>
            <w:r>
              <w:rPr>
                <w:rFonts w:ascii="Arial" w:cs="Arial" w:eastAsia="Arial" w:hAnsi="Arial"/>
                <w:sz w:val="11"/>
                <w:szCs w:val="11"/>
                <w:color w:val="auto"/>
              </w:rPr>
              <w:t>9</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72"/>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207,169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207,169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Other</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72"/>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660" w:type="dxa"/>
            <w:vAlign w:val="bottom"/>
          </w:tcPr>
          <w:p>
            <w:pPr>
              <w:ind w:left="20"/>
              <w:spacing w:after="0"/>
              <w:rPr>
                <w:sz w:val="20"/>
                <w:szCs w:val="20"/>
                <w:color w:val="auto"/>
              </w:rPr>
            </w:pPr>
            <w:r>
              <w:rPr>
                <w:rFonts w:ascii="Arial" w:cs="Arial" w:eastAsia="Arial" w:hAnsi="Arial"/>
                <w:sz w:val="11"/>
                <w:szCs w:val="11"/>
                <w:color w:val="auto"/>
              </w:rPr>
              <w:t>Net income (loss)</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72"/>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16,968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1,044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18,012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Other comprehensive income (loss), net of tax</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72"/>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(15,742 )</w:t>
            </w:r>
          </w:p>
        </w:tc>
        <w:tc>
          <w:tcPr>
            <w:tcW w:w="16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(15,742 )</w:t>
            </w:r>
          </w:p>
        </w:tc>
        <w:tc>
          <w:tcPr>
            <w:tcW w:w="0" w:type="dxa"/>
            <w:vAlign w:val="bottom"/>
          </w:tcPr>
          <w:p>
            <w:pPr>
              <w:spacing w:after="0"/>
              <w:rPr>
                <w:sz w:val="1"/>
                <w:szCs w:val="1"/>
                <w:color w:val="auto"/>
              </w:rPr>
            </w:pPr>
          </w:p>
        </w:tc>
      </w:tr>
      <w:tr>
        <w:trPr>
          <w:trHeight w:val="101"/>
        </w:trPr>
        <w:tc>
          <w:tcPr>
            <w:tcW w:w="3660" w:type="dxa"/>
            <w:vAlign w:val="bottom"/>
            <w:tcBorders>
              <w:top w:val="single" w:sz="8" w:color="CFF0FC"/>
            </w:tcBorders>
          </w:tcPr>
          <w:p>
            <w:pPr>
              <w:ind w:left="20"/>
              <w:spacing w:after="0" w:line="101" w:lineRule="exact"/>
              <w:rPr>
                <w:sz w:val="20"/>
                <w:szCs w:val="20"/>
                <w:color w:val="auto"/>
              </w:rPr>
            </w:pPr>
            <w:r>
              <w:rPr>
                <w:rFonts w:ascii="Arial" w:cs="Arial" w:eastAsia="Arial" w:hAnsi="Arial"/>
                <w:sz w:val="11"/>
                <w:szCs w:val="11"/>
                <w:color w:val="auto"/>
              </w:rPr>
              <w:t>Balance at June 30, 2021</w:t>
            </w:r>
          </w:p>
        </w:tc>
        <w:tc>
          <w:tcPr>
            <w:tcW w:w="60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color w:val="auto"/>
              </w:rPr>
              <w:t>73,320,8</w:t>
            </w:r>
          </w:p>
        </w:tc>
        <w:tc>
          <w:tcPr>
            <w:tcW w:w="240" w:type="dxa"/>
            <w:vAlign w:val="bottom"/>
            <w:tcBorders>
              <w:top w:val="single" w:sz="8" w:color="CFF0FC"/>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36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54</w:t>
            </w:r>
          </w:p>
        </w:tc>
        <w:tc>
          <w:tcPr>
            <w:tcW w:w="800" w:type="dxa"/>
            <w:vAlign w:val="bottom"/>
            <w:gridSpan w:val="2"/>
          </w:tcPr>
          <w:p>
            <w:pPr>
              <w:jc w:val="right"/>
              <w:ind w:right="426"/>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7</w:t>
            </w:r>
          </w:p>
        </w:tc>
        <w:tc>
          <w:tcPr>
            <w:tcW w:w="360" w:type="dxa"/>
            <w:vAlign w:val="bottom"/>
            <w:gridSpan w:val="2"/>
          </w:tcPr>
          <w:p>
            <w:pPr>
              <w:jc w:val="right"/>
              <w:ind w:right="2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2,360,023</w:t>
            </w: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266,032</w:t>
            </w:r>
          </w:p>
        </w:tc>
        <w:tc>
          <w:tcPr>
            <w:tcW w:w="22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320" w:type="dxa"/>
            <w:vAlign w:val="bottom"/>
            <w:gridSpan w:val="2"/>
          </w:tcPr>
          <w:p>
            <w:pPr>
              <w:jc w:val="right"/>
              <w:ind w:right="160"/>
              <w:spacing w:after="0"/>
              <w:rPr>
                <w:sz w:val="20"/>
                <w:szCs w:val="20"/>
                <w:color w:val="auto"/>
              </w:rPr>
            </w:pPr>
            <w:r>
              <w:rPr>
                <w:rFonts w:ascii="Arial" w:cs="Arial" w:eastAsia="Arial" w:hAnsi="Arial"/>
                <w:sz w:val="11"/>
                <w:szCs w:val="11"/>
                <w:color w:val="auto"/>
              </w:rPr>
              <w:t>(5,939 )</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36,887</w:t>
            </w:r>
          </w:p>
        </w:tc>
        <w:tc>
          <w:tcPr>
            <w:tcW w:w="4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2,657,010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-1584960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-1567815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-1584960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-1567815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-1584960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-1567815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-1584960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-1567815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-1584960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-1567815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-1584960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-1567815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-1584960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-184785</wp:posOffset>
            </wp:positionV>
            <wp:extent cx="7683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-184785</wp:posOffset>
            </wp:positionV>
            <wp:extent cx="6858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-184785</wp:posOffset>
            </wp:positionV>
            <wp:extent cx="6858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-184785</wp:posOffset>
            </wp:positionV>
            <wp:extent cx="6858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-184785</wp:posOffset>
            </wp:positionV>
            <wp:extent cx="6858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-184785</wp:posOffset>
            </wp:positionV>
            <wp:extent cx="6858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-184785</wp:posOffset>
            </wp:positionV>
            <wp:extent cx="6858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85"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The accompanying condensed consolidated balance sheet at June 30, 2022, the condensed consolidated statements of operations and comprehensive income (loss) for the three months ended June 30, 2022 and 2021, the condensed consolidated statements of cash flows for the three months ended June 30, 2022 and 2021 and the condensed consolidated statements of equity for the three months ended June 30, 2022 and 2021 have been prepared by the management of Viasat, Inc. (also referred to hereafter as the Company or Viasat), and have not been audited. These financial statements have been prepared on the same basis as the audited consolidated financial statements for the fiscal year ended March 31, 2022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March 31, 2022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151" w:lineRule="exact"/>
        <w:rPr>
          <w:sz w:val="20"/>
          <w:szCs w:val="20"/>
          <w:color w:val="auto"/>
        </w:rPr>
      </w:pPr>
    </w:p>
    <w:p>
      <w:pPr>
        <w:ind w:right="200" w:firstLine="509"/>
        <w:spacing w:after="0" w:line="255" w:lineRule="auto"/>
        <w:rPr>
          <w:sz w:val="20"/>
          <w:szCs w:val="20"/>
          <w:color w:val="auto"/>
        </w:rPr>
      </w:pPr>
      <w:r>
        <w:rPr>
          <w:rFonts w:ascii="Arial" w:cs="Arial" w:eastAsia="Arial" w:hAnsi="Arial"/>
          <w:sz w:val="17"/>
          <w:szCs w:val="17"/>
          <w:color w:val="auto"/>
        </w:rPr>
        <w:t>The Company’s condensed consolidated financial statements include the assets, liabilities and results of operations of Viasat, its wholly owned subsidiaries and its majority-owned subsidiary, TrellisWare Technologies, Inc. (TrellisWare). During the first quarter of fiscal year 2022, the Company completed the acquisitions of the remaining 51% interest in Euro Broadband Infrastructure Sàrl (EBI) and RigNet, Inc. (RigNet) (see Note 11 – Acquisitions for more information). The acquisitions were accounted for as purchases and accordingly, the condensed consolidated financial statements include the operating results of EBI and RigNet from the dates of acquisition.</w:t>
      </w:r>
    </w:p>
    <w:p>
      <w:pPr>
        <w:spacing w:after="0" w:line="136" w:lineRule="exact"/>
        <w:rPr>
          <w:sz w:val="20"/>
          <w:szCs w:val="20"/>
          <w:color w:val="auto"/>
        </w:rPr>
      </w:pPr>
    </w:p>
    <w:p>
      <w:pPr>
        <w:jc w:val="both"/>
        <w:ind w:right="320" w:firstLine="509"/>
        <w:spacing w:after="0"/>
        <w:rPr>
          <w:sz w:val="20"/>
          <w:szCs w:val="20"/>
          <w:color w:val="auto"/>
        </w:rPr>
      </w:pPr>
      <w:r>
        <w:rPr>
          <w:rFonts w:ascii="Arial" w:cs="Arial" w:eastAsia="Arial" w:hAnsi="Arial"/>
          <w:sz w:val="18"/>
          <w:szCs w:val="18"/>
          <w:color w:val="auto"/>
        </w:rPr>
        <w:t>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w:t>
      </w:r>
    </w:p>
    <w:p>
      <w:pPr>
        <w:spacing w:after="0" w:line="14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On November 8, 2021, the Company entered into a Share Purchase Agreement to combine with Connect Topco Limited, a private company limited by shares and incorporated in Guernsey (Inmarsat), with the shareholders of Inmarsat and certain management and employees who hold options and shares of a subsidiary of Inmarsat whose options and shares will be exchanged for shares of Inmarsat prior to closing (collectively, the Sellers). Pursuant to the Share Purchase Agreement, the Company will purchase all of the issued and outstanding shares of Inmarsat from the Sellers upon the terms and subject to the conditions set forth therein (the Inmarsat Transaction) (see Note 11 – Acquisitions for more information).</w:t>
      </w:r>
    </w:p>
    <w:p>
      <w:pPr>
        <w:spacing w:after="0" w:line="15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allowance for doubtful accounts, valuation of goodwill and other intangible assets, patents, orbital slots and other licenses, software development, property, equipment and satellites, long-lived assets, contingencies and income taxes including the valuation allowance on deferred tax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85"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In accordance with the authoritative guidance for revenue from contracts with customers (Accounting Standards Codification (ASC) 606), the Company applies the five-step model to its contracts with its customers. Under this model the Company (1) identifies the contract with the customer, (2) identifies its performance obligations in the contract, (3) determines the transaction price for the contract, (4) allocates the transaction price to its performance obligations and (5) recognizes revenue when or as it satisfies its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16" w:lineRule="exact"/>
        <w:rPr>
          <w:sz w:val="20"/>
          <w:szCs w:val="20"/>
          <w:color w:val="auto"/>
        </w:rPr>
      </w:pPr>
    </w:p>
    <w:p>
      <w:pPr>
        <w:ind w:right="20" w:firstLine="509"/>
        <w:spacing w:after="0" w:line="234" w:lineRule="auto"/>
        <w:rPr>
          <w:sz w:val="20"/>
          <w:szCs w:val="20"/>
          <w:color w:val="auto"/>
        </w:rPr>
      </w:pPr>
      <w:r>
        <w:rPr>
          <w:rFonts w:ascii="Arial" w:cs="Arial" w:eastAsia="Arial" w:hAnsi="Arial"/>
          <w:sz w:val="18"/>
          <w:szCs w:val="18"/>
          <w:color w:val="auto"/>
        </w:rPr>
        <w:t>The timing of satisfaction of performance obligations may require judgment. The Company derives a substantial portion of its revenues from contracts with customers for services, primarily consisting of connectivity services. These contracts typically require advance or recurring monthly payments by the customer. The Company’s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The Company evaluates whether broadband equipment provided to its customers as part of the delivery of connectivity services represents a lease in accordance with ASC</w:t>
      </w:r>
    </w:p>
    <w:p>
      <w:pPr>
        <w:spacing w:after="0" w:line="4" w:lineRule="exact"/>
        <w:rPr>
          <w:sz w:val="20"/>
          <w:szCs w:val="20"/>
          <w:color w:val="auto"/>
        </w:rPr>
      </w:pPr>
    </w:p>
    <w:p>
      <w:pPr>
        <w:jc w:val="both"/>
        <w:ind w:right="60" w:firstLine="8"/>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discussed further below under “Leases - Lessor accounting”, for broadband equipment leased to consumer broadband customers in conjunction with the delivery of connectivity services, the Company accounts for the lease and non-lease components of connectivity service arrangements as a single performance obligation as the connectivity services represent the predominant component.</w:t>
      </w:r>
    </w:p>
    <w:p>
      <w:pPr>
        <w:spacing w:after="0" w:line="149"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The Company also derives a portion of its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the Company considers indicators that include, but are not limited to, whether (1) the Company has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49"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The vast majority of the Company’s revenues from long-term contracts to develop and deliver complex equipment built to customer specifications are derived from contracts with the U.S. Government (including foreign military sales contracted through the U.S. Government). The Company’s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the Company’s U.S. Government fixed-price contracts, the customer pays the Company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the Company’s U.S. Government fixed-price contracts generally result in revenue recognized in excess of billings which the Company presents as unbilled accounts receivable on the balance sheet. Amounts billed and due from the Company’s customers are classified as receivables on the balance sheet. The portion of the payments retained by the customer until final contract settlement is not considered a significant financing component because the intent is to protect the customer. For the Company’s U.S. Government cost-type contracts, the customer generally pays the Company for its actual costs incurred within a short period of time. For non-U.S. Government contracts, the Company typically receives interim payments as work progresses, although for some contracts, the Company may be entitled to receive an advance payment. The Company recognizes a liability for these advance payments in excess of revenue recognized and presents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the Company from the other party failing to adequately complete some or all of its obligations under the contract.</w:t>
      </w:r>
    </w:p>
    <w:p>
      <w:pPr>
        <w:spacing w:after="0" w:line="199" w:lineRule="exact"/>
        <w:rPr>
          <w:sz w:val="20"/>
          <w:szCs w:val="20"/>
          <w:color w:val="auto"/>
        </w:rPr>
      </w:pPr>
    </w:p>
    <w:p>
      <w:pPr>
        <w:ind w:right="120" w:firstLine="509"/>
        <w:spacing w:after="0" w:line="236"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The Company generally uses the cost-to-cost measure of 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w:t>
      </w:r>
    </w:p>
    <w:p>
      <w:pPr>
        <w:spacing w:after="0" w:line="191"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 by the DCAA has not been concluded for fiscal year 2021. As of June 30, 2022, the DCAA had completed its incurred cost audit for fiscal years 2004, 2016, 2019 and 2020 and approved the Company’s incurred costs for those fiscal years, as well as approved the Company’s incurred costs for fiscal years 2005 through 2015, 2017 and 2018 without further audit based on the determination of low risk. Although the Company has recorded contract revenues subsequent to fiscal year 2020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both June 30, 2022 and March 31, 2022, the Company had $12.1 million in contract-related reserves for its estimate of potential refunds to customers for potential cost adjustments on several multi-year U.S. Government cost reimbursable contracts (see Note 8 — Commitments and Contingencies for more information).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transaction price</w:t>
      </w:r>
    </w:p>
    <w:p>
      <w:pPr>
        <w:spacing w:after="0" w:line="216"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the Company’s performance obligations, the estimation of total revenue, and, where applicable, the cost at completion, is complex, subject to many variables and requires significant judgment. The Company’s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The Company estimates variable consideration at the amount to which it expects to be entitled.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 In the event an agreement includes embedded financing components, the Company recognizes interest expense or interest income on the embedded financing components using the effective interest method. This methodology uses an implied interest rate which reflects the incremental borrowing rate which would be expected to be obtained in a separate financing transaction. The Company has elected the practical expedient not to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200" w:lineRule="exact"/>
        <w:rPr>
          <w:sz w:val="20"/>
          <w:szCs w:val="20"/>
          <w:color w:val="auto"/>
        </w:rPr>
      </w:pPr>
    </w:p>
    <w:p>
      <w:pPr>
        <w:ind w:right="280" w:firstLine="509"/>
        <w:spacing w:after="0" w:line="237"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the Company utilizes the observable price of a good or service when the Company sells that good or service separately in similar circumstances and to similar customers. If a standalone selling price is not directly observable, the Company estimates the standalone selling price by considering all information (including market conditions, specific factors, and information about the customer or class of customer) that is reasonably available.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216"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The Company’s remaining performance obligations represent the transaction price of firm contracts and orders for which work has not been performed. The Company includes in its remaining performance obligations only those contracts and orders for which it has accepted purchase orders. Remaining performance obligations associated with the Company’s subscribers for fixed consumer and business broadband services in its satellite services segment exclude month-to-month service contracts in accordance with a practical expedient and are estimated using a portfolio approach in which the Company reviews all relevant promotional activities and calculates the remaining performance obligation using the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average service component for the portfolio and the average time remaining under the contract. The Company’s future recurring in-flight connectivity service contracts in its satellite services segment do not have minimum service purchase requirements and therefore are not included in the Company’s remaining performance obligations. As of June 30, 2022, the aggregate amount of the transaction price allocated to remaining performance obligations was $2.1 billion, of which the Company expects to recognize a little over half over the next 12 months, with the balance recognized thereafter.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16"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The Company operates and manages its business in three reportable segments: satellite services, commercial networks and government systems. Revenue is disaggregated by products and services, customer type, contract type, and geographic area, respectively, as the Company believes this approach best depicts how the nature, amount, timing and uncertainty of its revenue and cash flows are affected by economic factors.</w:t>
      </w:r>
    </w:p>
    <w:p>
      <w:pPr>
        <w:spacing w:after="0" w:line="191" w:lineRule="exact"/>
        <w:rPr>
          <w:sz w:val="20"/>
          <w:szCs w:val="20"/>
          <w:color w:val="auto"/>
        </w:rPr>
      </w:pPr>
    </w:p>
    <w:p>
      <w:pPr>
        <w:ind w:right="280" w:firstLine="509"/>
        <w:spacing w:after="0" w:line="246" w:lineRule="auto"/>
        <w:rPr>
          <w:sz w:val="20"/>
          <w:szCs w:val="20"/>
          <w:color w:val="auto"/>
        </w:rPr>
      </w:pPr>
      <w:r>
        <w:rPr>
          <w:rFonts w:ascii="Arial" w:cs="Arial" w:eastAsia="Arial" w:hAnsi="Arial"/>
          <w:sz w:val="18"/>
          <w:szCs w:val="18"/>
          <w:color w:val="auto"/>
        </w:rPr>
        <w:t>The following sets forth disaggregated reported revenue by segment and product and services for the three months ended June 30, 2022 and 2021:</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Three Months Ended June 30, 2022</w:t>
            </w: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29"/>
        </w:trPr>
        <w:tc>
          <w:tcPr>
            <w:tcW w:w="4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ind w:left="140"/>
              <w:spacing w:after="0" w:line="129" w:lineRule="exact"/>
              <w:rPr>
                <w:sz w:val="20"/>
                <w:szCs w:val="20"/>
                <w:color w:val="auto"/>
              </w:rPr>
            </w:pPr>
            <w:r>
              <w:rPr>
                <w:rFonts w:ascii="Arial" w:cs="Arial" w:eastAsia="Arial" w:hAnsi="Arial"/>
                <w:sz w:val="14"/>
                <w:szCs w:val="14"/>
                <w:b w:val="1"/>
                <w:bCs w:val="1"/>
                <w:color w:val="auto"/>
              </w:rPr>
              <w:t>Satellite</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center"/>
              <w:ind w:right="100"/>
              <w:spacing w:after="0" w:line="129" w:lineRule="exact"/>
              <w:rPr>
                <w:sz w:val="20"/>
                <w:szCs w:val="20"/>
                <w:color w:val="auto"/>
              </w:rPr>
            </w:pPr>
            <w:r>
              <w:rPr>
                <w:rFonts w:ascii="Arial" w:cs="Arial" w:eastAsia="Arial" w:hAnsi="Arial"/>
                <w:sz w:val="14"/>
                <w:szCs w:val="14"/>
                <w:b w:val="1"/>
                <w:bCs w:val="1"/>
                <w:color w:val="auto"/>
              </w:rPr>
              <w:t>Commercial</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center"/>
              <w:ind w:right="117"/>
              <w:spacing w:after="0" w:line="129" w:lineRule="exact"/>
              <w:rPr>
                <w:sz w:val="20"/>
                <w:szCs w:val="20"/>
                <w:color w:val="auto"/>
              </w:rPr>
            </w:pPr>
            <w:r>
              <w:rPr>
                <w:rFonts w:ascii="Arial" w:cs="Arial" w:eastAsia="Arial" w:hAnsi="Arial"/>
                <w:sz w:val="14"/>
                <w:szCs w:val="14"/>
                <w:b w:val="1"/>
                <w:bCs w:val="1"/>
                <w:color w:val="auto"/>
              </w:rPr>
              <w:t>Government</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center"/>
              <w:ind w:right="177"/>
              <w:spacing w:after="0" w:line="129"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r>
      <w:tr>
        <w:trPr>
          <w:trHeight w:val="189"/>
        </w:trPr>
        <w:tc>
          <w:tcPr>
            <w:tcW w:w="4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Services</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Networks</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Systems</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r>
      <w:tr>
        <w:trPr>
          <w:trHeight w:val="196"/>
        </w:trPr>
        <w:tc>
          <w:tcPr>
            <w:tcW w:w="4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gridSpan w:val="4"/>
          </w:tcPr>
          <w:p>
            <w:pPr>
              <w:jc w:val="cente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Product revenues</w:t>
            </w: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93,575</w:t>
            </w:r>
          </w:p>
        </w:tc>
        <w:tc>
          <w:tcPr>
            <w:tcW w:w="48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175,225</w:t>
            </w:r>
          </w:p>
        </w:tc>
        <w:tc>
          <w:tcPr>
            <w:tcW w:w="52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268,800</w:t>
            </w:r>
          </w:p>
        </w:tc>
        <w:tc>
          <w:tcPr>
            <w:tcW w:w="100" w:type="dxa"/>
            <w:vAlign w:val="bottom"/>
            <w:shd w:val="clear" w:color="auto" w:fill="CFF0FC"/>
          </w:tcPr>
          <w:p>
            <w:pPr>
              <w:spacing w:after="0"/>
              <w:rPr>
                <w:sz w:val="17"/>
                <w:szCs w:val="17"/>
                <w:color w:val="auto"/>
              </w:rPr>
            </w:pPr>
          </w:p>
        </w:tc>
      </w:tr>
      <w:tr>
        <w:trPr>
          <w:trHeight w:val="202"/>
        </w:trPr>
        <w:tc>
          <w:tcPr>
            <w:tcW w:w="4800" w:type="dxa"/>
            <w:vAlign w:val="bottom"/>
          </w:tcPr>
          <w:p>
            <w:pPr>
              <w:ind w:left="20"/>
              <w:spacing w:after="0" w:line="202" w:lineRule="exact"/>
              <w:rPr>
                <w:sz w:val="20"/>
                <w:szCs w:val="20"/>
                <w:color w:val="auto"/>
              </w:rPr>
            </w:pPr>
            <w:r>
              <w:rPr>
                <w:rFonts w:ascii="Arial" w:cs="Arial" w:eastAsia="Arial" w:hAnsi="Arial"/>
                <w:sz w:val="18"/>
                <w:szCs w:val="18"/>
                <w:color w:val="auto"/>
              </w:rPr>
              <w:t>Service revenues</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312,100</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19,209</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78,114</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409,423</w:t>
            </w:r>
          </w:p>
        </w:tc>
        <w:tc>
          <w:tcPr>
            <w:tcW w:w="100" w:type="dxa"/>
            <w:vAlign w:val="bottom"/>
          </w:tcPr>
          <w:p>
            <w:pPr>
              <w:spacing w:after="0"/>
              <w:rPr>
                <w:sz w:val="17"/>
                <w:szCs w:val="17"/>
                <w:color w:val="auto"/>
              </w:rPr>
            </w:pPr>
          </w:p>
        </w:tc>
      </w:tr>
      <w:tr>
        <w:trPr>
          <w:trHeight w:val="236"/>
        </w:trPr>
        <w:tc>
          <w:tcPr>
            <w:tcW w:w="48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312,100</w:t>
            </w: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112,784</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253,339</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678,223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574"/>
        </w:trPr>
        <w:tc>
          <w:tcPr>
            <w:tcW w:w="48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Three Months Ended June 30, 2021</w:t>
            </w: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4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ind w:left="140"/>
              <w:spacing w:after="0" w:line="129" w:lineRule="exact"/>
              <w:rPr>
                <w:sz w:val="20"/>
                <w:szCs w:val="20"/>
                <w:color w:val="auto"/>
              </w:rPr>
            </w:pPr>
            <w:r>
              <w:rPr>
                <w:rFonts w:ascii="Arial" w:cs="Arial" w:eastAsia="Arial" w:hAnsi="Arial"/>
                <w:sz w:val="14"/>
                <w:szCs w:val="14"/>
                <w:b w:val="1"/>
                <w:bCs w:val="1"/>
                <w:color w:val="auto"/>
              </w:rPr>
              <w:t>Satellite</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center"/>
              <w:ind w:right="100"/>
              <w:spacing w:after="0" w:line="129" w:lineRule="exact"/>
              <w:rPr>
                <w:sz w:val="20"/>
                <w:szCs w:val="20"/>
                <w:color w:val="auto"/>
              </w:rPr>
            </w:pPr>
            <w:r>
              <w:rPr>
                <w:rFonts w:ascii="Arial" w:cs="Arial" w:eastAsia="Arial" w:hAnsi="Arial"/>
                <w:sz w:val="14"/>
                <w:szCs w:val="14"/>
                <w:b w:val="1"/>
                <w:bCs w:val="1"/>
                <w:color w:val="auto"/>
              </w:rPr>
              <w:t>Commercial</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center"/>
              <w:ind w:right="117"/>
              <w:spacing w:after="0" w:line="129" w:lineRule="exact"/>
              <w:rPr>
                <w:sz w:val="20"/>
                <w:szCs w:val="20"/>
                <w:color w:val="auto"/>
              </w:rPr>
            </w:pPr>
            <w:r>
              <w:rPr>
                <w:rFonts w:ascii="Arial" w:cs="Arial" w:eastAsia="Arial" w:hAnsi="Arial"/>
                <w:sz w:val="14"/>
                <w:szCs w:val="14"/>
                <w:b w:val="1"/>
                <w:bCs w:val="1"/>
                <w:color w:val="auto"/>
              </w:rPr>
              <w:t>Government</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center"/>
              <w:ind w:right="177"/>
              <w:spacing w:after="0" w:line="129"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r>
      <w:tr>
        <w:trPr>
          <w:trHeight w:val="189"/>
        </w:trPr>
        <w:tc>
          <w:tcPr>
            <w:tcW w:w="4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Services</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Networks</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Systems</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r>
      <w:tr>
        <w:trPr>
          <w:trHeight w:val="196"/>
        </w:trPr>
        <w:tc>
          <w:tcPr>
            <w:tcW w:w="4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gridSpan w:val="4"/>
          </w:tcPr>
          <w:p>
            <w:pPr>
              <w:jc w:val="cente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Product revenues</w:t>
            </w: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101,531</w:t>
            </w:r>
          </w:p>
        </w:tc>
        <w:tc>
          <w:tcPr>
            <w:tcW w:w="48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191,733</w:t>
            </w:r>
          </w:p>
        </w:tc>
        <w:tc>
          <w:tcPr>
            <w:tcW w:w="52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293,264</w:t>
            </w:r>
          </w:p>
        </w:tc>
        <w:tc>
          <w:tcPr>
            <w:tcW w:w="100" w:type="dxa"/>
            <w:vAlign w:val="bottom"/>
            <w:shd w:val="clear" w:color="auto" w:fill="CFF0FC"/>
          </w:tcPr>
          <w:p>
            <w:pPr>
              <w:spacing w:after="0"/>
              <w:rPr>
                <w:sz w:val="17"/>
                <w:szCs w:val="17"/>
                <w:color w:val="auto"/>
              </w:rPr>
            </w:pPr>
          </w:p>
        </w:tc>
      </w:tr>
      <w:tr>
        <w:trPr>
          <w:trHeight w:val="203"/>
        </w:trPr>
        <w:tc>
          <w:tcPr>
            <w:tcW w:w="4800" w:type="dxa"/>
            <w:vAlign w:val="bottom"/>
          </w:tcPr>
          <w:p>
            <w:pPr>
              <w:ind w:left="20"/>
              <w:spacing w:after="0" w:line="202" w:lineRule="exact"/>
              <w:rPr>
                <w:sz w:val="20"/>
                <w:szCs w:val="20"/>
                <w:color w:val="auto"/>
              </w:rPr>
            </w:pPr>
            <w:r>
              <w:rPr>
                <w:rFonts w:ascii="Arial" w:cs="Arial" w:eastAsia="Arial" w:hAnsi="Arial"/>
                <w:sz w:val="18"/>
                <w:szCs w:val="18"/>
                <w:color w:val="auto"/>
              </w:rPr>
              <w:t>Service revenues</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274,117</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17,065</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80,414</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371,596</w:t>
            </w:r>
          </w:p>
        </w:tc>
        <w:tc>
          <w:tcPr>
            <w:tcW w:w="100" w:type="dxa"/>
            <w:vAlign w:val="bottom"/>
          </w:tcPr>
          <w:p>
            <w:pPr>
              <w:spacing w:after="0"/>
              <w:rPr>
                <w:sz w:val="17"/>
                <w:szCs w:val="17"/>
                <w:color w:val="auto"/>
              </w:rPr>
            </w:pPr>
          </w:p>
        </w:tc>
      </w:tr>
      <w:tr>
        <w:trPr>
          <w:trHeight w:val="236"/>
        </w:trPr>
        <w:tc>
          <w:tcPr>
            <w:tcW w:w="48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274,117</w:t>
            </w: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118,596</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272,147</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664,860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-1173480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-1156970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-1173480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-1156970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-1173480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-1156970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-24765</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-8255</wp:posOffset>
            </wp:positionV>
            <wp:extent cx="774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-8255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4"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Revenues from the U.S. Government as an individual customer comprised approximately 24% and 28% of total revenues for the three months ended June 30, 2022 and 2021, respectively, mainly reported within the government systems segment. Revenues from the Company’s other customers, mainly reported within the commercial networks and satellite services segments, comprised approximately 76% and 72% of total revenues for the three months ended June 30, 2022 and 2021, respectively.</w:t>
      </w:r>
    </w:p>
    <w:p>
      <w:pPr>
        <w:spacing w:after="0" w:line="191" w:lineRule="exact"/>
        <w:rPr>
          <w:sz w:val="20"/>
          <w:szCs w:val="20"/>
          <w:color w:val="auto"/>
        </w:rPr>
      </w:pPr>
    </w:p>
    <w:p>
      <w:pPr>
        <w:ind w:right="500" w:firstLine="509"/>
        <w:spacing w:after="0" w:line="246" w:lineRule="auto"/>
        <w:rPr>
          <w:sz w:val="20"/>
          <w:szCs w:val="20"/>
          <w:color w:val="auto"/>
        </w:rPr>
      </w:pPr>
      <w:r>
        <w:rPr>
          <w:rFonts w:ascii="Arial" w:cs="Arial" w:eastAsia="Arial" w:hAnsi="Arial"/>
          <w:sz w:val="18"/>
          <w:szCs w:val="18"/>
          <w:color w:val="auto"/>
        </w:rPr>
        <w:t>The Company’s satellite services segment revenues are primarily derived from the Company’s fixed broadband services, in-flight services and energy services (acquired through the RigNet acquisition).</w:t>
      </w:r>
    </w:p>
    <w:p>
      <w:pPr>
        <w:spacing w:after="0" w:line="183"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Revenues in the Company’s commercial networks and government systems segments are primarily derived from three types of contracts: fixed-price, cost-reimbursement and time-and-materials contracts. Fixed-price contracts (which require the Company to provide products and services under a contract at a specified price) comprised approximately 86% and 89% of the Company’s total revenues for these segments for the three months ended June 30, 2022 and 2021, respectively. The remainder of the Company’s revenues in these segments for such periods was derived primarily from cost-reimbursement contracts (under which the Company is reimbursed for all actual costs incurred in performing the contract to the extent such costs are within the contract ceiling and allowable under the terms of the contract, plus a fee or profit) and from time-and-materials contracts (under which the Company is reimbursed for the number of labor hours expended at an established hourly rate negotiated in the contract, plus the cost of materials utilized in providing such products or services).</w:t>
      </w:r>
    </w:p>
    <w:p>
      <w:pPr>
        <w:spacing w:after="0" w:line="194" w:lineRule="exact"/>
        <w:rPr>
          <w:sz w:val="20"/>
          <w:szCs w:val="20"/>
          <w:color w:val="auto"/>
        </w:rPr>
      </w:pPr>
    </w:p>
    <w:p>
      <w:pPr>
        <w:jc w:val="both"/>
        <w:ind w:right="140" w:firstLine="509"/>
        <w:spacing w:after="0"/>
        <w:rPr>
          <w:sz w:val="20"/>
          <w:szCs w:val="20"/>
          <w:color w:val="auto"/>
        </w:rPr>
      </w:pPr>
      <w:r>
        <w:rPr>
          <w:rFonts w:ascii="Arial" w:cs="Arial" w:eastAsia="Arial" w:hAnsi="Arial"/>
          <w:sz w:val="18"/>
          <w:szCs w:val="18"/>
          <w:color w:val="auto"/>
        </w:rPr>
        <w:t>Historically, a significant portion of the Company’s revenues in its commercial networks and government systems segments has been derived from customer contracts that include the development of products. The development efforts are conducted in direct response to the customer’s specific requirements and, accordingly, expenditures related to such</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efforts are included in cost of sales when incurred and the related funding (which includes a profit component) is included in revenues. Revenues for the Company’s funded development from its customer contracts were approximately 23% and 23% of its total revenues for the three months ended June 30, 2022 and 2021, respectively.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16"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Contract balances consist of contract assets and contract liabilities. A contract asset, or with respect to the Company, an unbilled accounts receivable, is recorded when revenue is recognized in advance of the Company’s right to bill and receive consideration, typically resulting from sales under long-term contracts. Unbilled accounts receivable are generally expected to be billed and collected within one year. The unbilled accounts receivable will decrease as provided services or delivered products are billed. The Company receives payments from customers based on a billing schedule established in the Company’s contracts.</w:t>
      </w:r>
    </w:p>
    <w:p>
      <w:pPr>
        <w:spacing w:after="0" w:line="18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When consideration is received in advance of the delivery of goods or services, a contract liability, or with respect to the Company, collections in excess of revenues or deferred revenues, is recorded. Reductions in the collections in excess of revenues or deferred revenues will be recorded as the Company satisfies the performance obligations.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contract assets and liabilities as of June 30, 2022 and March 31, 2022:</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jc w:val="right"/>
              <w:ind w:right="759"/>
              <w:spacing w:after="0"/>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jc w:val="right"/>
              <w:ind w:right="757"/>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r>
      <w:tr>
        <w:trPr>
          <w:trHeight w:val="189"/>
        </w:trPr>
        <w:tc>
          <w:tcPr>
            <w:tcW w:w="6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June 30, 2022</w:t>
            </w:r>
          </w:p>
        </w:tc>
        <w:tc>
          <w:tcPr>
            <w:tcW w:w="2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6"/>
                <w:szCs w:val="16"/>
                <w:color w:val="auto"/>
              </w:rPr>
            </w:pPr>
          </w:p>
        </w:tc>
      </w:tr>
      <w:tr>
        <w:trPr>
          <w:trHeight w:val="196"/>
        </w:trPr>
        <w:tc>
          <w:tcPr>
            <w:tcW w:w="6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Unbilled accounts receivable</w:t>
            </w: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95,799</w:t>
            </w:r>
          </w:p>
        </w:tc>
        <w:tc>
          <w:tcPr>
            <w:tcW w:w="70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103,045</w:t>
            </w:r>
          </w:p>
        </w:tc>
        <w:tc>
          <w:tcPr>
            <w:tcW w:w="100" w:type="dxa"/>
            <w:vAlign w:val="bottom"/>
            <w:shd w:val="clear" w:color="auto" w:fill="CFF0FC"/>
          </w:tcPr>
          <w:p>
            <w:pPr>
              <w:spacing w:after="0"/>
              <w:rPr>
                <w:sz w:val="17"/>
                <w:szCs w:val="17"/>
                <w:color w:val="auto"/>
              </w:rPr>
            </w:pPr>
          </w:p>
        </w:tc>
      </w:tr>
      <w:tr>
        <w:trPr>
          <w:trHeight w:val="203"/>
        </w:trPr>
        <w:tc>
          <w:tcPr>
            <w:tcW w:w="6820" w:type="dxa"/>
            <w:vAlign w:val="bottom"/>
          </w:tcPr>
          <w:p>
            <w:pPr>
              <w:ind w:left="20"/>
              <w:spacing w:after="0" w:line="202" w:lineRule="exact"/>
              <w:rPr>
                <w:sz w:val="20"/>
                <w:szCs w:val="20"/>
                <w:color w:val="auto"/>
              </w:rPr>
            </w:pPr>
            <w:r>
              <w:rPr>
                <w:rFonts w:ascii="Arial" w:cs="Arial" w:eastAsia="Arial" w:hAnsi="Arial"/>
                <w:sz w:val="18"/>
                <w:szCs w:val="18"/>
                <w:color w:val="auto"/>
              </w:rPr>
              <w:t>Collections in excess of revenues and deferred revenues</w:t>
            </w:r>
          </w:p>
        </w:tc>
        <w:tc>
          <w:tcPr>
            <w:tcW w:w="34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154,828</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148,906</w:t>
            </w:r>
          </w:p>
        </w:tc>
        <w:tc>
          <w:tcPr>
            <w:tcW w:w="100" w:type="dxa"/>
            <w:vAlign w:val="bottom"/>
          </w:tcPr>
          <w:p>
            <w:pPr>
              <w:spacing w:after="0"/>
              <w:rPr>
                <w:sz w:val="17"/>
                <w:szCs w:val="17"/>
                <w:color w:val="auto"/>
              </w:rPr>
            </w:pPr>
          </w:p>
        </w:tc>
      </w:tr>
      <w:tr>
        <w:trPr>
          <w:trHeight w:val="203"/>
        </w:trPr>
        <w:tc>
          <w:tcPr>
            <w:tcW w:w="6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revenues, long-term portion</w:t>
            </w:r>
          </w:p>
        </w:tc>
        <w:tc>
          <w:tcPr>
            <w:tcW w:w="34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85,216</w:t>
            </w: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90,151</w:t>
            </w:r>
          </w:p>
        </w:tc>
        <w:tc>
          <w:tcPr>
            <w:tcW w:w="100" w:type="dxa"/>
            <w:vAlign w:val="bottom"/>
            <w:shd w:val="clear" w:color="auto" w:fill="CFF0FC"/>
          </w:tcPr>
          <w:p>
            <w:pPr>
              <w:spacing w:after="0"/>
              <w:rPr>
                <w:sz w:val="17"/>
                <w:szCs w:val="17"/>
                <w:color w:val="auto"/>
              </w:rPr>
            </w:pPr>
          </w:p>
        </w:tc>
      </w:tr>
    </w:tbl>
    <w:p>
      <w:pPr>
        <w:spacing w:after="0" w:line="202" w:lineRule="exact"/>
        <w:rPr>
          <w:sz w:val="20"/>
          <w:szCs w:val="20"/>
          <w:color w:val="auto"/>
        </w:rPr>
      </w:pPr>
    </w:p>
    <w:p>
      <w:pPr>
        <w:ind w:right="160" w:firstLine="509"/>
        <w:spacing w:after="0" w:line="246" w:lineRule="auto"/>
        <w:rPr>
          <w:sz w:val="20"/>
          <w:szCs w:val="20"/>
          <w:color w:val="auto"/>
        </w:rPr>
      </w:pPr>
      <w:r>
        <w:rPr>
          <w:rFonts w:ascii="Arial" w:cs="Arial" w:eastAsia="Arial" w:hAnsi="Arial"/>
          <w:sz w:val="18"/>
          <w:szCs w:val="18"/>
          <w:color w:val="auto"/>
        </w:rPr>
        <w:t>Unbilled accounts receivable decreased $7.2 million during the three months ended June 30, 2022, primarily driven by an increase in billings in the Company’s satellite networks and government systems segments.</w:t>
      </w:r>
    </w:p>
    <w:p>
      <w:pPr>
        <w:spacing w:after="0" w:line="143"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Collections in excess of revenues and deferred revenues increased $5.9 million during the three months ended June 30, 2022, primarily driven by advances on goods or services received in excess of revenue recognized mainly in the Company’s government systems segment.</w:t>
      </w:r>
    </w:p>
    <w:p>
      <w:pPr>
        <w:spacing w:after="0" w:line="149" w:lineRule="exact"/>
        <w:rPr>
          <w:sz w:val="20"/>
          <w:szCs w:val="20"/>
          <w:color w:val="auto"/>
        </w:rPr>
      </w:pPr>
    </w:p>
    <w:p>
      <w:pPr>
        <w:jc w:val="both"/>
        <w:ind w:right="80" w:firstLine="509"/>
        <w:spacing w:after="0" w:line="238" w:lineRule="auto"/>
        <w:rPr>
          <w:sz w:val="20"/>
          <w:szCs w:val="20"/>
          <w:color w:val="auto"/>
        </w:rPr>
      </w:pPr>
      <w:r>
        <w:rPr>
          <w:rFonts w:ascii="Arial" w:cs="Arial" w:eastAsia="Arial" w:hAnsi="Arial"/>
          <w:sz w:val="18"/>
          <w:szCs w:val="18"/>
          <w:color w:val="auto"/>
        </w:rPr>
        <w:t>During the three months ended June 30, 2022, the Company recognized revenue of $81.2 million that was previously included in the Company’s collections in excess of revenues and deferred revenues at March 31, 2022. During the three months ended June 30, 2021, the Company recognized revenue of $78.2 million that was previously included in the Company’s collections in excess of revenues and deferred revenues at March 31,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9"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Satellites and other property and equipment, including internally developed software,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periodically reviews the remaining estimated useful life of its satellites to determine if revisions to estimated useful lives are necessary.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66"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the assets ranging from two to 38 years. Leasehold improvements are capitalized and amortized using the straight-line method over the shorter of the lease term or the life of the improvement.</w:t>
      </w:r>
    </w:p>
    <w:p>
      <w:pPr>
        <w:spacing w:after="0" w:line="143"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Costs related to internally developed software for internal uses are capitalized after the preliminary project stage is complete and are amortized over the estimated useful lives of the assets, which are approximately three to seven years. Capitalized costs for internal-use software are included in property, equipment and satellites, net in the Company’s condensed consolidated balance sheets.</w:t>
      </w:r>
    </w:p>
    <w:p>
      <w:pPr>
        <w:spacing w:after="0" w:line="14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Interest expense is capitalized on the carrying value of assets under construction, in accordance with the authoritative guidance for the capitalization of interest (ASC 835-20). With respect to the construction of satellites, gateway and networking equipment and other assets under construction, the Company capitalized $33.6 million and $23.6 million of interest expense for the three months ended June 30, 2022 and 2021, respectively.</w:t>
      </w:r>
    </w:p>
    <w:p>
      <w:pPr>
        <w:spacing w:after="0" w:line="151"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The Company owns four satellites in service — three over North America (ViaSat-2, ViaSat-1 and WildBlue-1) and, the KA-SAT satellite over Europe, Middle East, and Africa (EMEA). In addition, the Company has lifetime leases of Ka-band capacity on two satellites. The Company is also planning to launch a global constellation of three third-generation ViaSat-3 class satellites under construction. In addition, the Company owns related earth stations and networking equipment for all of its satellites. The Company procures indoor and outdoor CPE units leased to subscribers under a retail leasing program as part of the Company’s satellite services segment, which are reflected in investing activities and property, equipment and satellites, net in the accompanying condensed consolidated financial statements. The Company depreciates the satellites, earth stations and networking equipment, CPE units and related installation costs over their estimated useful lives. The total cost and accumulated depreciation of CPE units included in property, equipment and satellites, net, as of June 30, 2022 were $385.4 million and $210.5 million, respectively. The total cost and accumulated depreciation of CPE units included in property, equipment and satellites, net, as of March 31, 2022 were $395.5 million and $210.6 million, respectively.</w:t>
      </w:r>
    </w:p>
    <w:p>
      <w:pPr>
        <w:spacing w:after="0" w:line="152"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Occasionally, the Company may enter into finance lease arrangements for various machinery, equipment, computer-related equipment, software, furniture, fixtures, or satellites. The Company records amortization of assets leased under finance lease arrangements within depreciation expense. The Company's finance leases consist primarily of satellite lifetime Ka-band capacity leases and have remaining terms from less than one year to four years. The Company reports assets obtained under finance leases in property, equipment and satellites, net and the current and non-current portions of its finance lease liabilities in current portion of long-term debt and other long-term debt, respectively (see Note 1 — Basis of Presentation – Leases for more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81"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In accordance with the authoritative guidance for leases (ASC 842), the Company assesses at contract inception whether the contract is, or contains, a lease. Generally, the Company determines that a lease exists when (1) the contract involves the use of a distinct identified asset, (2) the Company obtains the right to substantially all economic benefits from use of the asset, and (3) the Company has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p>
    <w:p>
      <w:pPr>
        <w:spacing w:after="0" w:line="154"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At the lease commencement date, the Company recognizes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the Company’s incremental borrowing rate for a collateralized loan with the same term as the underlying leases.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payments included in the measurement of lease liabilities consist of (1) fixed lease payments for the noncancelable lease term,</w:t>
      </w:r>
    </w:p>
    <w:p>
      <w:pPr>
        <w:ind w:right="200" w:firstLine="8"/>
        <w:spacing w:after="0" w:line="238"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fixed lease payments for optional renewal periods where it is reasonably certain the renewal option will be exercised, and (3) variable lease payments that depend on an underlying index or rate, based on the index or rate in effect at lease commencement. Certain of the Company’s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148" w:lineRule="exact"/>
        <w:rPr>
          <w:sz w:val="20"/>
          <w:szCs w:val="20"/>
          <w:color w:val="auto"/>
        </w:rPr>
      </w:pPr>
    </w:p>
    <w:p>
      <w:pPr>
        <w:jc w:val="both"/>
        <w:ind w:right="100" w:firstLine="509"/>
        <w:spacing w:after="0" w:line="238"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spacing w:after="0" w:line="151"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The Company’s operating leases consist primarily of leases for office space, data centers and satellite ground facilities and have remaining terms from less than one year to 11 years, some of which include renewal options, and some of which include options to terminate the leases within one year. Certain earth station leases have renewal terms that have been deemed to be reasonably certain to be exercised and as such have been recognized as part of the Company’s right-of-use assets and lease liabilities. The Company’s lease agreements do not contain any material residual value guarantees or material restrictive covenants. The Company recognizes right-of-use assets and lease liabilities for such leases in accordance with the authoritative guidance for leases (ASC 842). The Company reports operating lease right-of-use assets in operating lease right-of-use assets and the current and non-current portions of its operating lease liabilities in accrued and other liabilities and non-current operating lease liabilities, respectively.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81"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For broadband equipment leased to fixed broadband customers in conjunction with the delivery of connectivity services, the Company has made an accounting policy election not to separate the broadband equipment from the related connectivity services. The connectivity services are the predominant component of these arrangements. The connectivity services are accounted for in accordance with ASC 606. The Company is also a lessor for certain insignificant communications equipment. These leases meet the criteria for operating lease classification. Lease income associated with these leases is not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85"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authoritative guidance for business combinations (ASC 805) requires that all business combinations be accounted for using the purchase method. The purchase price for business combinations is allocated to the estimated fair values of acquired tangible and intangible assets, and assumed liabilities, where applicable. The Company recognizes technology, contracts and customer relationships, satellite co-location rights, trade names and other as identifiable intangible assets, which are recorded at fair value as of the transaction date. Goodwill is recorded when consideration transferred exceeds the fair value of identifiable assets and liabilities. Measurement-period adjustments to assets acquired and liabilities assumed with a corresponding offset to goodwill are recorded in the period they occur, which may include up to one year from the acquisition date. Contingent consideration is recorded at fair value at the acquisition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85"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of $3.5 million related to patents were included in other assets as of both June 30, 2022 and March 31, 2022. The Company capitalized costs of $67.7 million and $64.1 million related to acquiring and obtaining orbital slots and other licenses included in other assets as of June 30, 2022 and March 31, 2022, respectively. Accumulated amortization related to these assets was $5.7 million and $5.4 million as of June 30, 2022 and March 31, 2022, respectively. Amortization expense related to these assets was an insignificant amount for both the three months ended June 30, 2022 and 2021. If a patent, orbital slot or other license is rejected, abandoned or otherwise invalidated, the unamortized cost is expensed in that period. During the three months ended June 30, 2022 and 2021, the Company did not write off any significant costs due to abandonment or impairment.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66"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Debt issuance costs are amortized and recognized as interest expense using the effective interest rate method, or, when the results are not materially different, on a straight-line basis over the expected term of the related debt. During both the three months ended June 30, 2022 and 2021, no debt issuance costs were capitalized. Unamortized debt issuance costs related to extinguished debt are expensed at the time the debt is extinguished and recorded in loss on extinguishment of debt in the condensed consolidated statements of operations and comprehensive income (loss). Debt issuance costs related to the Company’s revolving credit facility (the Revolving Credit Facility) are recorded in other long-term assets in the condensed consolidated balance sheets in accordance with the authoritative guidance for imputation of interest (ASC 835-30). Debt issuance costs related to the Company’s $700.0 million senior secured term loan facility (the Term Loan Facility), 5.625% Senior Notes due 2025 (the 2025 Notes), the Company’s 5.625% Senior Secured Notes due 2027 (the 2027 Notes), the Company’s 6.500% Senior Notes due 2028 (the 2028 Notes and, together with the 2025 Notes and the 2027 Notes, the Notes) and the Ex-Im Credit Facility are recorded as a direct deduction from the carrying amount of the related debt, consistent with debt discounts, in accordance with the authoritative guidance for imputation of interest (ASC 835-30).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85"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Costs of developing software for sale are charged to independent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$221.1 million and $221.6 million related to software developed for resale were included in other assets as of June 30, 2022 and March 31, 2022, respectively. The Company capitalized $9.0 million and $9.9 million of costs related to software developed for resale for the three months ended June 30, 2022 and 2021, respectively. Amortization expense for capitalized software development costs was $9.5 million and $14.5 million for the three months ended June 30, 2022 and 2021,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85" w:lineRule="exact"/>
        <w:rPr>
          <w:sz w:val="20"/>
          <w:szCs w:val="20"/>
          <w:color w:val="auto"/>
        </w:rPr>
      </w:pPr>
    </w:p>
    <w:p>
      <w:pPr>
        <w:ind w:right="120" w:firstLine="509"/>
        <w:spacing w:after="0" w:line="236" w:lineRule="auto"/>
        <w:rPr>
          <w:sz w:val="20"/>
          <w:szCs w:val="20"/>
          <w:color w:val="auto"/>
        </w:rPr>
      </w:pPr>
      <w:r>
        <w:rPr>
          <w:rFonts w:ascii="Arial" w:cs="Arial" w:eastAsia="Arial" w:hAnsi="Arial"/>
          <w:sz w:val="18"/>
          <w:szCs w:val="18"/>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$7.1 million and $6.5 million as of June 30, 2022 and March 31, 2022,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and other liabilities in accordance with the estimated timing of the projected payments.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85"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June 30, 2022 and March 31, 2022, no such amounts were accrued related to the aforementioned provisions.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85" w:lineRule="exact"/>
        <w:rPr>
          <w:sz w:val="20"/>
          <w:szCs w:val="20"/>
          <w:color w:val="auto"/>
        </w:rPr>
      </w:pPr>
    </w:p>
    <w:p>
      <w:pPr>
        <w:ind w:right="200" w:firstLine="509"/>
        <w:spacing w:after="0" w:line="238"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 — equity method</w:t>
      </w:r>
    </w:p>
    <w:p>
      <w:pPr>
        <w:spacing w:after="0" w:line="85"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 The Company records its share of the results of such entities within equity in income (loss) of unconsolidated affiliate, net on the condensed consolidated statements of operations and comprehensive income (loss). The Company monitors such investments for other-than-temporary impairment by considering factors including the current economic and market conditions and the operating performance of the entities and records reductions in carrying values when necessary. The fair value of privately held investments is estimated using the best available information as of the valuation date, including current earnings trends, undiscounted cash flows, quoted stock prices of comparable public companies, and other company specific information, including recent financing rounds.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2022 and March 31, 2022, the Company had no shares of common stock held in treasury.</w:t>
      </w:r>
    </w:p>
    <w:p>
      <w:pPr>
        <w:spacing w:after="0" w:line="158"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During the three months ended June 30, 2022 and 2021, the Company issued 46,471 and 29,060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during the three months ended June 30, 2022 and 2021, the Company repurchased 13,165 and 8,721 shares of common stock, respectively, at cost and with a total value of an insignificant amount in both periods.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restricted stock units. These retired shares remain as authorized stock and are considered to be unissued. The retirement of treasury stock had no impact on the Company’s total consolidated stockholders’ equity.</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85" w:lineRule="exact"/>
        <w:rPr>
          <w:sz w:val="20"/>
          <w:szCs w:val="20"/>
          <w:color w:val="auto"/>
        </w:rPr>
      </w:pPr>
    </w:p>
    <w:p>
      <w:pPr>
        <w:ind w:right="140" w:firstLine="509"/>
        <w:spacing w:after="0" w:line="236" w:lineRule="auto"/>
        <w:rPr>
          <w:sz w:val="20"/>
          <w:szCs w:val="20"/>
          <w:color w:val="auto"/>
        </w:rPr>
      </w:pPr>
      <w:r>
        <w:rPr>
          <w:rFonts w:ascii="Arial" w:cs="Arial" w:eastAsia="Arial" w:hAnsi="Arial"/>
          <w:sz w:val="18"/>
          <w:szCs w:val="18"/>
          <w:color w:val="auto"/>
        </w:rPr>
        <w:t>In accordance with the authoritative guidance for share-based payments (ASC 718), the Company measures stock-based compensation cost at the grant date, based on the estimated fair value of the award. Expense for restricted stock units and stock options is recognized on a straight-line basis over the employee’s requisite service period. Expense for total shareholder return (TSR) performance stock options that vest is recognized regardless of the actual TSR outcome achieved and is recognized on a graded-vesting basis. The Company accounts for forfeitures as they occur. The Company recognized $21.2 million and $22.2 million of stock-based compensation expense for the three months ended June 30, 2022 and 2021, respectively. The Company recognizes excess tax benefits or deficiencies on vesting or settlement of awards as discrete items within income tax benefit or provision within net income (loss) and the related cash flows are classified within operating activities.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85" w:lineRule="exact"/>
        <w:rPr>
          <w:sz w:val="20"/>
          <w:szCs w:val="20"/>
          <w:color w:val="auto"/>
        </w:rPr>
      </w:pPr>
    </w:p>
    <w:p>
      <w:pPr>
        <w:ind w:right="100" w:firstLine="509"/>
        <w:spacing w:after="0" w:line="236"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54"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Ordinarily, the Company calculates its provision for income taxes at the end of each interim reporting period on the basis of an estimated annual effective tax rate adjusted for tax items that are discrete to each period. However, when a reliable estimate cannot be made, the Company computes its provision for income taxes using the actual effective tax rate (discrete method) for the year-to-date period. The Company’s effective tax rate is highly influenced by the amount of its research and development (R&amp;D) tax credits. A small change in estimated annual pretax income (loss) can produce a significant variance in the annual effective tax rate given the Company’s expected amount of R&amp;D tax credits. This variability provides an unreliable estimate of the annual effective tax rate. As a result, and in accordance with the authoritative guidance for accounting for income taxes in interim periods, the Company has computed its (provision for) benefit from income taxes for the three months ended June 30, 2022 and 2021 by applying the actual effective tax rate to the pretax income (loss) for the three-month periods.</w:t>
      </w:r>
    </w:p>
    <w:p>
      <w:pPr>
        <w:spacing w:after="0" w:line="153" w:lineRule="exact"/>
        <w:rPr>
          <w:sz w:val="20"/>
          <w:szCs w:val="20"/>
          <w:color w:val="auto"/>
        </w:rPr>
      </w:pPr>
    </w:p>
    <w:p>
      <w:pPr>
        <w:ind w:right="180" w:firstLine="509"/>
        <w:spacing w:after="0" w:line="238" w:lineRule="auto"/>
        <w:rPr>
          <w:sz w:val="20"/>
          <w:szCs w:val="20"/>
          <w:color w:val="auto"/>
        </w:rPr>
      </w:pPr>
      <w:r>
        <w:rPr>
          <w:rFonts w:ascii="Arial" w:cs="Arial" w:eastAsia="Arial" w:hAnsi="Arial"/>
          <w:sz w:val="18"/>
          <w:szCs w:val="18"/>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220" w:lineRule="exact"/>
        <w:rPr>
          <w:sz w:val="20"/>
          <w:szCs w:val="20"/>
          <w:color w:val="auto"/>
        </w:rPr>
      </w:pPr>
    </w:p>
    <w:p>
      <w:pPr>
        <w:ind w:right="120" w:firstLine="509"/>
        <w:spacing w:after="0" w:line="236" w:lineRule="auto"/>
        <w:rPr>
          <w:sz w:val="20"/>
          <w:szCs w:val="20"/>
          <w:color w:val="auto"/>
        </w:rPr>
      </w:pPr>
      <w:r>
        <w:rPr>
          <w:rFonts w:ascii="Arial" w:cs="Arial" w:eastAsia="Arial" w:hAnsi="Arial"/>
          <w:sz w:val="18"/>
          <w:szCs w:val="18"/>
          <w:color w:val="auto"/>
        </w:rPr>
        <w:t>In August 2020, the FASB issued ASU 2020-06, Debt – Debt with Conversion and Other Options (ASC 470-20) and Derivatives and Hedging – Contracts in Entity’s Own Equity (Subtopic 815-40). ASU 2020-06 simplifies the accounting for convertible instruments by removing the beneficial conversion and cash conversion accounting models for convertible instruments and removes certain settlement conditions that are required for contracts to qualify for equity classification. This new standard also simplifies the diluted earnings per share calculations by requiring that an entity use the if-converted method for convertible instruments and requires that the effect of potential share settlement be included in diluted earnings per share calculations when an instrument may be settled in cash or shares. The new standard requires entities to provide expanded disclosures about the terms and features of convertible instruments, how the instruments have been reported in the entity’s financial statements, and information about events, conditions, and circumstances that can affect how to assess the amount or timing of an entity’s future cash flows related to those instruments. The Company adopted the new guidance in the first quarter of fiscal year 2023 and the guidance did not have a material impact on the Company’s consolidated financial statements and disclosures.</w:t>
      </w:r>
    </w:p>
    <w:p>
      <w:pPr>
        <w:spacing w:after="0" w:line="19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October 2021, the FASB issued ASU 2021-08, Business Combinations (ASC 805): Accounting for Contract Assets and Contract Liabilities from Contracts with Customers. ASU 2021-08 requires contract assets and contract liabilities acquired in a business combination to be recognized in accordance with ASC 606 as if the acquirer had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jc w:val="both"/>
        <w:ind w:right="780"/>
        <w:spacing w:after="0" w:line="274" w:lineRule="auto"/>
        <w:rPr>
          <w:sz w:val="20"/>
          <w:szCs w:val="20"/>
          <w:color w:val="auto"/>
        </w:rPr>
      </w:pPr>
      <w:r>
        <w:rPr>
          <w:rFonts w:ascii="Arial" w:cs="Arial" w:eastAsia="Arial" w:hAnsi="Arial"/>
          <w:sz w:val="17"/>
          <w:szCs w:val="17"/>
          <w:color w:val="auto"/>
        </w:rPr>
        <w:t>originated the contracts. The new standard will become effective for the Company beginning in fiscal year 2024, with early adoption permitted. The Company is currently evaluating the impact of this standard on its consolidated financial statements and disclosures.</w:t>
      </w:r>
    </w:p>
    <w:p>
      <w:pPr>
        <w:spacing w:after="0" w:line="161"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In November 2021, the FASB issued ASU 2021-10, Government Assistance (ASC 832): Disclosures by Business Entities about Government Assistance. ASU 2021-10 requires annual disclosures when an entity accounts for a transaction with a government by applying a grant or contribution accounting model by analogy to other accounting guidance. The new standard is effective for annual periods beginning after December 15, 2021. The Company will adopt this guidance effective fiscal year-end 2023. The Company is currently evaluating the impact of this standard on its annual disclosures.</w:t>
      </w:r>
    </w:p>
    <w:p>
      <w:pPr>
        <w:spacing w:after="0" w:line="18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In March 2022, the FASB issued ASU 2022-01, Derivatives and Hedging (ASC 815): Targeted Improvements to Accounting for Hedging Activities. ASU 2022-01 made targeted improvements to the optional hedge accounting model with the objective of improving hedge accounting to better portray the economic results of an entity’s risk management activities in its financial statements. The new standard will become effective for the Company beginning in fiscal year 2024. The Company is currently evaluating the impact of this standard on its consolidated financial statements and disclosures.</w:t>
      </w:r>
    </w:p>
    <w:p>
      <w:pPr>
        <w:spacing w:after="0" w:line="18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In March 2022, the FASB issued ASU 2022-02, Financial Instruments – Credit Losses (ASC 326): Troubled Debt Restructurings and Vintage Disclosures. ASU 2022-02 eliminates the accounting guidance for troubled debt restructurings by creditors in Subtopic 310-40, Receivables – Troubled Debt Restructurings by Creditors, while enhancing certain disclosure requirements for loan refinancings and restructurings by creditors when a borrower is experiencing financial difficulty. Furthermore, it requires that an entity disclose current-period gross write-offs by year of origination for financing receivables and net investments in leases within the scope of Subtopic 326-20, Financial Instruments – Credit Losses – Measured at Amortized Cost. The new standard will become effective for the Company beginning in fiscal year 2024. The Company is currently evaluating the impact of this standard on its consolidated financial statements and disclosures.</w:t>
      </w:r>
    </w:p>
    <w:p>
      <w:pPr>
        <w:spacing w:after="0" w:line="189" w:lineRule="exact"/>
        <w:rPr>
          <w:sz w:val="20"/>
          <w:szCs w:val="20"/>
          <w:color w:val="auto"/>
        </w:rPr>
      </w:pPr>
    </w:p>
    <w:p>
      <w:pPr>
        <w:ind w:right="320" w:firstLine="509"/>
        <w:spacing w:after="0" w:line="238" w:lineRule="auto"/>
        <w:rPr>
          <w:sz w:val="20"/>
          <w:szCs w:val="20"/>
          <w:color w:val="auto"/>
        </w:rPr>
      </w:pPr>
      <w:r>
        <w:rPr>
          <w:rFonts w:ascii="Arial" w:cs="Arial" w:eastAsia="Arial" w:hAnsi="Arial"/>
          <w:sz w:val="18"/>
          <w:szCs w:val="18"/>
          <w:color w:val="auto"/>
        </w:rPr>
        <w:t>In June 2022, the FASB issued ASU 2022-03, Fair Value Measurement (ASC 820): Fair Value Measurement of Equity Securities Subject to Contractual Sale Restrictions. ASU 2022-03 clarifies that a contractual restriction on the sale of an equity security is not considered in measuring the security's fair value. The standard also requires certain disclosures for equity securities that are subject to contractual restrictions. The new standard will become effective for the Company beginning in fiscal year 2025. The Company is currently evaluating the impact of this standard on its consolidated financial statements and disclosures.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40" w:type="dxa"/>
            <w:vAlign w:val="bottom"/>
            <w:gridSpan w:val="2"/>
          </w:tcPr>
          <w:p>
            <w:pPr>
              <w:jc w:val="right"/>
              <w:ind w:right="926"/>
              <w:spacing w:after="0"/>
              <w:rPr>
                <w:sz w:val="20"/>
                <w:szCs w:val="20"/>
                <w:color w:val="auto"/>
              </w:rPr>
            </w:pPr>
            <w:r>
              <w:rPr>
                <w:rFonts w:ascii="Arial" w:cs="Arial" w:eastAsia="Arial" w:hAnsi="Arial"/>
                <w:sz w:val="11"/>
                <w:szCs w:val="11"/>
                <w:b w:val="1"/>
                <w:bCs w:val="1"/>
                <w:color w:val="auto"/>
              </w:rPr>
              <w:t>As of</w:t>
            </w:r>
          </w:p>
        </w:tc>
        <w:tc>
          <w:tcPr>
            <w:tcW w:w="320" w:type="dxa"/>
            <w:vAlign w:val="bottom"/>
          </w:tcPr>
          <w:p>
            <w:pPr>
              <w:spacing w:after="0"/>
              <w:rPr>
                <w:sz w:val="10"/>
                <w:szCs w:val="10"/>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1"/>
                <w:szCs w:val="11"/>
                <w:b w:val="1"/>
                <w:bCs w:val="1"/>
                <w:color w:val="auto"/>
              </w:rPr>
              <w:t>As of</w:t>
            </w:r>
          </w:p>
        </w:tc>
      </w:tr>
      <w:tr>
        <w:trPr>
          <w:trHeight w:val="145"/>
        </w:trPr>
        <w:tc>
          <w:tcPr>
            <w:tcW w:w="76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382"/>
              <w:spacing w:after="0"/>
              <w:rPr>
                <w:sz w:val="20"/>
                <w:szCs w:val="20"/>
                <w:color w:val="auto"/>
              </w:rPr>
            </w:pPr>
            <w:r>
              <w:rPr>
                <w:rFonts w:ascii="Arial" w:cs="Arial" w:eastAsia="Arial" w:hAnsi="Arial"/>
                <w:sz w:val="11"/>
                <w:szCs w:val="11"/>
                <w:b w:val="1"/>
                <w:bCs w:val="1"/>
                <w:color w:val="auto"/>
              </w:rPr>
              <w:t>June 30, 2022</w:t>
            </w:r>
          </w:p>
        </w:tc>
        <w:tc>
          <w:tcPr>
            <w:tcW w:w="3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362"/>
              <w:spacing w:after="0"/>
              <w:rPr>
                <w:sz w:val="20"/>
                <w:szCs w:val="20"/>
                <w:color w:val="auto"/>
              </w:rPr>
            </w:pPr>
            <w:r>
              <w:rPr>
                <w:rFonts w:ascii="Arial" w:cs="Arial" w:eastAsia="Arial" w:hAnsi="Arial"/>
                <w:sz w:val="11"/>
                <w:szCs w:val="11"/>
                <w:b w:val="1"/>
                <w:bCs w:val="1"/>
                <w:color w:val="auto"/>
              </w:rPr>
              <w:t>March 31, 2022</w:t>
            </w:r>
          </w:p>
        </w:tc>
        <w:tc>
          <w:tcPr>
            <w:tcW w:w="100" w:type="dxa"/>
            <w:vAlign w:val="bottom"/>
          </w:tcPr>
          <w:p>
            <w:pPr>
              <w:spacing w:after="0"/>
              <w:rPr>
                <w:sz w:val="12"/>
                <w:szCs w:val="12"/>
                <w:color w:val="auto"/>
              </w:rPr>
            </w:pPr>
          </w:p>
        </w:tc>
      </w:tr>
      <w:tr>
        <w:trPr>
          <w:trHeight w:val="132"/>
        </w:trPr>
        <w:tc>
          <w:tcPr>
            <w:tcW w:w="7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jc w:val="right"/>
              <w:ind w:right="42"/>
              <w:spacing w:after="0"/>
              <w:rPr>
                <w:sz w:val="20"/>
                <w:szCs w:val="20"/>
                <w:color w:val="auto"/>
              </w:rPr>
            </w:pPr>
            <w:r>
              <w:rPr>
                <w:rFonts w:ascii="Arial" w:cs="Arial" w:eastAsia="Arial" w:hAnsi="Arial"/>
                <w:sz w:val="11"/>
                <w:szCs w:val="11"/>
                <w:b w:val="1"/>
                <w:bCs w:val="1"/>
                <w:color w:val="auto"/>
              </w:rPr>
              <w:t>(In</w:t>
            </w:r>
          </w:p>
        </w:tc>
        <w:tc>
          <w:tcPr>
            <w:tcW w:w="620" w:type="dxa"/>
            <w:vAlign w:val="bottom"/>
            <w:gridSpan w:val="2"/>
          </w:tcPr>
          <w:p>
            <w:pPr>
              <w:jc w:val="right"/>
              <w:ind w:right="42"/>
              <w:spacing w:after="0"/>
              <w:rPr>
                <w:sz w:val="20"/>
                <w:szCs w:val="20"/>
                <w:color w:val="auto"/>
              </w:rPr>
            </w:pPr>
            <w:r>
              <w:rPr>
                <w:rFonts w:ascii="Arial" w:cs="Arial" w:eastAsia="Arial" w:hAnsi="Arial"/>
                <w:sz w:val="11"/>
                <w:szCs w:val="11"/>
                <w:b w:val="1"/>
                <w:bCs w:val="1"/>
                <w:color w:val="auto"/>
                <w:w w:val="84"/>
              </w:rPr>
              <w:t>thousands)</w:t>
            </w: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7600" w:type="dxa"/>
            <w:vAlign w:val="bottom"/>
            <w:shd w:val="clear" w:color="auto" w:fill="CFF0FC"/>
          </w:tcPr>
          <w:p>
            <w:pPr>
              <w:ind w:left="20"/>
              <w:spacing w:after="0"/>
              <w:rPr>
                <w:sz w:val="20"/>
                <w:szCs w:val="20"/>
                <w:color w:val="auto"/>
              </w:rPr>
            </w:pPr>
            <w:r>
              <w:rPr>
                <w:rFonts w:ascii="Arial" w:cs="Arial" w:eastAsia="Arial" w:hAnsi="Arial"/>
                <w:sz w:val="12"/>
                <w:szCs w:val="12"/>
                <w:color w:val="auto"/>
              </w:rPr>
              <w:t>Accounts receivable, net:</w:t>
            </w:r>
          </w:p>
        </w:tc>
        <w:tc>
          <w:tcPr>
            <w:tcW w:w="28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5"/>
        </w:trPr>
        <w:tc>
          <w:tcPr>
            <w:tcW w:w="7600" w:type="dxa"/>
            <w:vAlign w:val="bottom"/>
          </w:tcPr>
          <w:p>
            <w:pPr>
              <w:ind w:left="200"/>
              <w:spacing w:after="0"/>
              <w:rPr>
                <w:sz w:val="20"/>
                <w:szCs w:val="20"/>
                <w:color w:val="auto"/>
              </w:rPr>
            </w:pPr>
            <w:r>
              <w:rPr>
                <w:rFonts w:ascii="Arial" w:cs="Arial" w:eastAsia="Arial" w:hAnsi="Arial"/>
                <w:sz w:val="12"/>
                <w:szCs w:val="12"/>
                <w:color w:val="auto"/>
              </w:rPr>
              <w:t>Billed</w:t>
            </w:r>
          </w:p>
        </w:tc>
        <w:tc>
          <w:tcPr>
            <w:tcW w:w="280" w:type="dxa"/>
            <w:vAlign w:val="bottom"/>
          </w:tcPr>
          <w:p>
            <w:pPr>
              <w:jc w:val="right"/>
              <w:ind w:right="142"/>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289,580</w:t>
            </w:r>
          </w:p>
        </w:tc>
        <w:tc>
          <w:tcPr>
            <w:tcW w:w="300" w:type="dxa"/>
            <w:vAlign w:val="bottom"/>
          </w:tcPr>
          <w:p>
            <w:pPr>
              <w:spacing w:after="0"/>
              <w:rPr>
                <w:sz w:val="12"/>
                <w:szCs w:val="12"/>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263,383</w:t>
            </w:r>
          </w:p>
        </w:tc>
        <w:tc>
          <w:tcPr>
            <w:tcW w:w="100" w:type="dxa"/>
            <w:vAlign w:val="bottom"/>
          </w:tcPr>
          <w:p>
            <w:pPr>
              <w:spacing w:after="0"/>
              <w:rPr>
                <w:sz w:val="12"/>
                <w:szCs w:val="12"/>
                <w:color w:val="auto"/>
              </w:rPr>
            </w:pPr>
          </w:p>
        </w:tc>
      </w:tr>
      <w:tr>
        <w:trPr>
          <w:trHeight w:val="152"/>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Unbilled</w:t>
            </w:r>
          </w:p>
        </w:tc>
        <w:tc>
          <w:tcPr>
            <w:tcW w:w="28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95,799</w:t>
            </w: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103,045</w:t>
            </w:r>
          </w:p>
        </w:tc>
        <w:tc>
          <w:tcPr>
            <w:tcW w:w="100" w:type="dxa"/>
            <w:vAlign w:val="bottom"/>
            <w:shd w:val="clear" w:color="auto" w:fill="CFF0FC"/>
          </w:tcPr>
          <w:p>
            <w:pPr>
              <w:spacing w:after="0"/>
              <w:rPr>
                <w:sz w:val="13"/>
                <w:szCs w:val="13"/>
                <w:color w:val="auto"/>
              </w:rPr>
            </w:pPr>
          </w:p>
        </w:tc>
      </w:tr>
      <w:tr>
        <w:trPr>
          <w:trHeight w:val="145"/>
        </w:trPr>
        <w:tc>
          <w:tcPr>
            <w:tcW w:w="7600" w:type="dxa"/>
            <w:vAlign w:val="bottom"/>
          </w:tcPr>
          <w:p>
            <w:pPr>
              <w:ind w:left="200"/>
              <w:spacing w:after="0"/>
              <w:rPr>
                <w:sz w:val="20"/>
                <w:szCs w:val="20"/>
                <w:color w:val="auto"/>
              </w:rPr>
            </w:pPr>
            <w:r>
              <w:rPr>
                <w:rFonts w:ascii="Arial" w:cs="Arial" w:eastAsia="Arial" w:hAnsi="Arial"/>
                <w:sz w:val="12"/>
                <w:szCs w:val="12"/>
                <w:color w:val="auto"/>
              </w:rPr>
              <w:t>Allowance for doubtful accounts</w:t>
            </w:r>
          </w:p>
        </w:tc>
        <w:tc>
          <w:tcPr>
            <w:tcW w:w="280" w:type="dxa"/>
            <w:vAlign w:val="bottom"/>
          </w:tcPr>
          <w:p>
            <w:pPr>
              <w:spacing w:after="0"/>
              <w:rPr>
                <w:sz w:val="12"/>
                <w:szCs w:val="12"/>
                <w:color w:val="auto"/>
              </w:rPr>
            </w:pPr>
          </w:p>
        </w:tc>
        <w:tc>
          <w:tcPr>
            <w:tcW w:w="1640" w:type="dxa"/>
            <w:vAlign w:val="bottom"/>
            <w:gridSpan w:val="2"/>
          </w:tcPr>
          <w:p>
            <w:pPr>
              <w:jc w:val="right"/>
              <w:ind w:right="206"/>
              <w:spacing w:after="0"/>
              <w:rPr>
                <w:sz w:val="20"/>
                <w:szCs w:val="20"/>
                <w:color w:val="auto"/>
              </w:rPr>
            </w:pPr>
            <w:r>
              <w:rPr>
                <w:rFonts w:ascii="Arial" w:cs="Arial" w:eastAsia="Arial" w:hAnsi="Arial"/>
                <w:sz w:val="12"/>
                <w:szCs w:val="12"/>
                <w:color w:val="auto"/>
              </w:rPr>
              <w:t>(13,261 )</w:t>
            </w:r>
          </w:p>
        </w:tc>
        <w:tc>
          <w:tcPr>
            <w:tcW w:w="320" w:type="dxa"/>
            <w:vAlign w:val="bottom"/>
          </w:tcPr>
          <w:p>
            <w:pPr>
              <w:spacing w:after="0"/>
              <w:rPr>
                <w:sz w:val="12"/>
                <w:szCs w:val="12"/>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2"/>
                <w:szCs w:val="12"/>
                <w:color w:val="auto"/>
              </w:rPr>
              <w:t>(7,159 )</w:t>
            </w:r>
          </w:p>
        </w:tc>
      </w:tr>
      <w:tr>
        <w:trPr>
          <w:trHeight w:val="182"/>
        </w:trPr>
        <w:tc>
          <w:tcPr>
            <w:tcW w:w="760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top w:val="single" w:sz="8" w:color="auto"/>
              <w:bottom w:val="single" w:sz="8" w:color="auto"/>
            </w:tcBorders>
            <w:shd w:val="clear" w:color="auto" w:fill="CFF0FC"/>
          </w:tcPr>
          <w:p>
            <w:pPr>
              <w:jc w:val="right"/>
              <w:ind w:right="142"/>
              <w:spacing w:after="0"/>
              <w:rPr>
                <w:sz w:val="20"/>
                <w:szCs w:val="20"/>
                <w:color w:val="auto"/>
              </w:rPr>
            </w:pPr>
            <w:r>
              <w:rPr>
                <w:rFonts w:ascii="Arial" w:cs="Arial" w:eastAsia="Arial" w:hAnsi="Arial"/>
                <w:sz w:val="12"/>
                <w:szCs w:val="12"/>
                <w:color w:val="auto"/>
                <w:w w:val="8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372,118</w:t>
            </w:r>
          </w:p>
        </w:tc>
        <w:tc>
          <w:tcPr>
            <w:tcW w:w="30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jc w:val="right"/>
              <w:ind w:right="182"/>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359,269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29"/>
        </w:trPr>
        <w:tc>
          <w:tcPr>
            <w:tcW w:w="7600" w:type="dxa"/>
            <w:vAlign w:val="bottom"/>
          </w:tcPr>
          <w:p>
            <w:pPr>
              <w:ind w:left="20"/>
              <w:spacing w:after="0" w:line="129" w:lineRule="exact"/>
              <w:rPr>
                <w:sz w:val="20"/>
                <w:szCs w:val="20"/>
                <w:color w:val="auto"/>
              </w:rPr>
            </w:pPr>
            <w:r>
              <w:rPr>
                <w:rFonts w:ascii="Arial" w:cs="Arial" w:eastAsia="Arial" w:hAnsi="Arial"/>
                <w:sz w:val="12"/>
                <w:szCs w:val="12"/>
                <w:color w:val="auto"/>
              </w:rPr>
              <w:t>Inventories:</w:t>
            </w: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2"/>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Raw materials</w:t>
            </w:r>
          </w:p>
        </w:tc>
        <w:tc>
          <w:tcPr>
            <w:tcW w:w="280" w:type="dxa"/>
            <w:vAlign w:val="bottom"/>
            <w:shd w:val="clear" w:color="auto" w:fill="CFF0FC"/>
          </w:tcPr>
          <w:p>
            <w:pPr>
              <w:jc w:val="right"/>
              <w:ind w:right="142"/>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106,047</w:t>
            </w: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182"/>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92,650</w:t>
            </w:r>
          </w:p>
        </w:tc>
        <w:tc>
          <w:tcPr>
            <w:tcW w:w="100" w:type="dxa"/>
            <w:vAlign w:val="bottom"/>
            <w:shd w:val="clear" w:color="auto" w:fill="CFF0FC"/>
          </w:tcPr>
          <w:p>
            <w:pPr>
              <w:spacing w:after="0"/>
              <w:rPr>
                <w:sz w:val="13"/>
                <w:szCs w:val="13"/>
                <w:color w:val="auto"/>
              </w:rPr>
            </w:pPr>
          </w:p>
        </w:tc>
      </w:tr>
      <w:tr>
        <w:trPr>
          <w:trHeight w:val="145"/>
        </w:trPr>
        <w:tc>
          <w:tcPr>
            <w:tcW w:w="7600" w:type="dxa"/>
            <w:vAlign w:val="bottom"/>
          </w:tcPr>
          <w:p>
            <w:pPr>
              <w:ind w:left="200"/>
              <w:spacing w:after="0"/>
              <w:rPr>
                <w:sz w:val="20"/>
                <w:szCs w:val="20"/>
                <w:color w:val="auto"/>
              </w:rPr>
            </w:pPr>
            <w:r>
              <w:rPr>
                <w:rFonts w:ascii="Arial" w:cs="Arial" w:eastAsia="Arial" w:hAnsi="Arial"/>
                <w:sz w:val="12"/>
                <w:szCs w:val="12"/>
                <w:color w:val="auto"/>
              </w:rPr>
              <w:t>Work in process</w:t>
            </w:r>
          </w:p>
        </w:tc>
        <w:tc>
          <w:tcPr>
            <w:tcW w:w="2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65,107</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64,371</w:t>
            </w:r>
          </w:p>
        </w:tc>
        <w:tc>
          <w:tcPr>
            <w:tcW w:w="100" w:type="dxa"/>
            <w:vAlign w:val="bottom"/>
          </w:tcPr>
          <w:p>
            <w:pPr>
              <w:spacing w:after="0"/>
              <w:rPr>
                <w:sz w:val="12"/>
                <w:szCs w:val="12"/>
                <w:color w:val="auto"/>
              </w:rPr>
            </w:pPr>
          </w:p>
        </w:tc>
      </w:tr>
      <w:tr>
        <w:trPr>
          <w:trHeight w:val="148"/>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2"/>
                <w:szCs w:val="12"/>
                <w:color w:val="auto"/>
              </w:rPr>
              <w:t>Finished goods</w:t>
            </w:r>
          </w:p>
        </w:tc>
        <w:tc>
          <w:tcPr>
            <w:tcW w:w="28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190,853</w:t>
            </w:r>
          </w:p>
        </w:tc>
        <w:tc>
          <w:tcPr>
            <w:tcW w:w="30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184,869</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600" w:type="dxa"/>
            <w:vAlign w:val="bottom"/>
          </w:tcPr>
          <w:p>
            <w:pPr>
              <w:spacing w:after="0"/>
              <w:rPr>
                <w:sz w:val="12"/>
                <w:szCs w:val="12"/>
                <w:color w:val="auto"/>
              </w:rPr>
            </w:pPr>
          </w:p>
        </w:tc>
        <w:tc>
          <w:tcPr>
            <w:tcW w:w="2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362,007</w:t>
            </w:r>
          </w:p>
        </w:tc>
        <w:tc>
          <w:tcPr>
            <w:tcW w:w="300" w:type="dxa"/>
            <w:vAlign w:val="bottom"/>
          </w:tcPr>
          <w:p>
            <w:pPr>
              <w:spacing w:after="0"/>
              <w:rPr>
                <w:sz w:val="12"/>
                <w:szCs w:val="12"/>
                <w:color w:val="auto"/>
              </w:rPr>
            </w:pPr>
          </w:p>
        </w:tc>
        <w:tc>
          <w:tcPr>
            <w:tcW w:w="3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341,890</w:t>
            </w:r>
          </w:p>
        </w:tc>
        <w:tc>
          <w:tcPr>
            <w:tcW w:w="100" w:type="dxa"/>
            <w:vAlign w:val="bottom"/>
          </w:tcPr>
          <w:p>
            <w:pPr>
              <w:spacing w:after="0"/>
              <w:rPr>
                <w:sz w:val="12"/>
                <w:szCs w:val="12"/>
                <w:color w:val="auto"/>
              </w:rPr>
            </w:pP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2"/>
        </w:trPr>
        <w:tc>
          <w:tcPr>
            <w:tcW w:w="7600" w:type="dxa"/>
            <w:vAlign w:val="bottom"/>
            <w:shd w:val="clear" w:color="auto" w:fill="CFF0FC"/>
          </w:tcPr>
          <w:p>
            <w:pPr>
              <w:ind w:left="20"/>
              <w:spacing w:after="0" w:line="133" w:lineRule="exact"/>
              <w:rPr>
                <w:sz w:val="20"/>
                <w:szCs w:val="20"/>
                <w:color w:val="auto"/>
              </w:rPr>
            </w:pPr>
            <w:r>
              <w:rPr>
                <w:rFonts w:ascii="Arial" w:cs="Arial" w:eastAsia="Arial" w:hAnsi="Arial"/>
                <w:sz w:val="12"/>
                <w:szCs w:val="12"/>
                <w:color w:val="auto"/>
              </w:rPr>
              <w:t>Prepaid expenses and other current assets:</w:t>
            </w:r>
          </w:p>
        </w:tc>
        <w:tc>
          <w:tcPr>
            <w:tcW w:w="28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5"/>
        </w:trPr>
        <w:tc>
          <w:tcPr>
            <w:tcW w:w="7600" w:type="dxa"/>
            <w:vAlign w:val="bottom"/>
          </w:tcPr>
          <w:p>
            <w:pPr>
              <w:ind w:left="200"/>
              <w:spacing w:after="0"/>
              <w:rPr>
                <w:sz w:val="20"/>
                <w:szCs w:val="20"/>
                <w:color w:val="auto"/>
              </w:rPr>
            </w:pPr>
            <w:r>
              <w:rPr>
                <w:rFonts w:ascii="Arial" w:cs="Arial" w:eastAsia="Arial" w:hAnsi="Arial"/>
                <w:sz w:val="12"/>
                <w:szCs w:val="12"/>
                <w:color w:val="auto"/>
              </w:rPr>
              <w:t>Prepaid expenses</w:t>
            </w:r>
          </w:p>
        </w:tc>
        <w:tc>
          <w:tcPr>
            <w:tcW w:w="280" w:type="dxa"/>
            <w:vAlign w:val="bottom"/>
          </w:tcPr>
          <w:p>
            <w:pPr>
              <w:jc w:val="right"/>
              <w:ind w:right="142"/>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104,039</w:t>
            </w:r>
          </w:p>
        </w:tc>
        <w:tc>
          <w:tcPr>
            <w:tcW w:w="300" w:type="dxa"/>
            <w:vAlign w:val="bottom"/>
          </w:tcPr>
          <w:p>
            <w:pPr>
              <w:spacing w:after="0"/>
              <w:rPr>
                <w:sz w:val="12"/>
                <w:szCs w:val="12"/>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107,885</w:t>
            </w:r>
          </w:p>
        </w:tc>
        <w:tc>
          <w:tcPr>
            <w:tcW w:w="100" w:type="dxa"/>
            <w:vAlign w:val="bottom"/>
          </w:tcPr>
          <w:p>
            <w:pPr>
              <w:spacing w:after="0"/>
              <w:rPr>
                <w:sz w:val="12"/>
                <w:szCs w:val="12"/>
                <w:color w:val="auto"/>
              </w:rPr>
            </w:pPr>
          </w:p>
        </w:tc>
      </w:tr>
      <w:tr>
        <w:trPr>
          <w:trHeight w:val="149"/>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2"/>
                <w:szCs w:val="12"/>
                <w:color w:val="auto"/>
              </w:rPr>
              <w:t>Other</w:t>
            </w:r>
          </w:p>
        </w:tc>
        <w:tc>
          <w:tcPr>
            <w:tcW w:w="28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68,653</w:t>
            </w:r>
          </w:p>
        </w:tc>
        <w:tc>
          <w:tcPr>
            <w:tcW w:w="30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39,969</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600" w:type="dxa"/>
            <w:vAlign w:val="bottom"/>
          </w:tcPr>
          <w:p>
            <w:pPr>
              <w:spacing w:after="0"/>
              <w:rPr>
                <w:sz w:val="12"/>
                <w:szCs w:val="12"/>
                <w:color w:val="auto"/>
              </w:rPr>
            </w:pPr>
          </w:p>
        </w:tc>
        <w:tc>
          <w:tcPr>
            <w:tcW w:w="2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172,692</w:t>
            </w:r>
          </w:p>
        </w:tc>
        <w:tc>
          <w:tcPr>
            <w:tcW w:w="300" w:type="dxa"/>
            <w:vAlign w:val="bottom"/>
          </w:tcPr>
          <w:p>
            <w:pPr>
              <w:spacing w:after="0"/>
              <w:rPr>
                <w:sz w:val="12"/>
                <w:szCs w:val="12"/>
                <w:color w:val="auto"/>
              </w:rPr>
            </w:pPr>
          </w:p>
        </w:tc>
        <w:tc>
          <w:tcPr>
            <w:tcW w:w="3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147,854</w:t>
            </w:r>
          </w:p>
        </w:tc>
        <w:tc>
          <w:tcPr>
            <w:tcW w:w="100" w:type="dxa"/>
            <w:vAlign w:val="bottom"/>
          </w:tcPr>
          <w:p>
            <w:pPr>
              <w:spacing w:after="0"/>
              <w:rPr>
                <w:sz w:val="12"/>
                <w:szCs w:val="12"/>
                <w:color w:val="auto"/>
              </w:rPr>
            </w:pP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2"/>
        </w:trPr>
        <w:tc>
          <w:tcPr>
            <w:tcW w:w="7600" w:type="dxa"/>
            <w:vAlign w:val="bottom"/>
            <w:shd w:val="clear" w:color="auto" w:fill="CFF0FC"/>
          </w:tcPr>
          <w:p>
            <w:pPr>
              <w:ind w:left="20"/>
              <w:spacing w:after="0" w:line="133" w:lineRule="exact"/>
              <w:rPr>
                <w:sz w:val="20"/>
                <w:szCs w:val="20"/>
                <w:color w:val="auto"/>
              </w:rPr>
            </w:pPr>
            <w:r>
              <w:rPr>
                <w:rFonts w:ascii="Arial" w:cs="Arial" w:eastAsia="Arial" w:hAnsi="Arial"/>
                <w:sz w:val="12"/>
                <w:szCs w:val="12"/>
                <w:color w:val="auto"/>
              </w:rPr>
              <w:t>Property, equipment and satellites, net:</w:t>
            </w:r>
          </w:p>
        </w:tc>
        <w:tc>
          <w:tcPr>
            <w:tcW w:w="28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5"/>
        </w:trPr>
        <w:tc>
          <w:tcPr>
            <w:tcW w:w="7600" w:type="dxa"/>
            <w:vAlign w:val="bottom"/>
          </w:tcPr>
          <w:p>
            <w:pPr>
              <w:ind w:left="200"/>
              <w:spacing w:after="0"/>
              <w:rPr>
                <w:sz w:val="20"/>
                <w:szCs w:val="20"/>
                <w:color w:val="auto"/>
              </w:rPr>
            </w:pPr>
            <w:r>
              <w:rPr>
                <w:rFonts w:ascii="Arial" w:cs="Arial" w:eastAsia="Arial" w:hAnsi="Arial"/>
                <w:sz w:val="12"/>
                <w:szCs w:val="12"/>
                <w:color w:val="auto"/>
              </w:rPr>
              <w:t>Equipment and software (estimated useful life of 3-7 years)</w:t>
            </w:r>
          </w:p>
        </w:tc>
        <w:tc>
          <w:tcPr>
            <w:tcW w:w="280" w:type="dxa"/>
            <w:vAlign w:val="bottom"/>
          </w:tcPr>
          <w:p>
            <w:pPr>
              <w:jc w:val="right"/>
              <w:ind w:right="142"/>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1,796,855</w:t>
            </w:r>
          </w:p>
        </w:tc>
        <w:tc>
          <w:tcPr>
            <w:tcW w:w="300" w:type="dxa"/>
            <w:vAlign w:val="bottom"/>
          </w:tcPr>
          <w:p>
            <w:pPr>
              <w:spacing w:after="0"/>
              <w:rPr>
                <w:sz w:val="12"/>
                <w:szCs w:val="12"/>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1,750,855</w:t>
            </w:r>
          </w:p>
        </w:tc>
        <w:tc>
          <w:tcPr>
            <w:tcW w:w="100" w:type="dxa"/>
            <w:vAlign w:val="bottom"/>
          </w:tcPr>
          <w:p>
            <w:pPr>
              <w:spacing w:after="0"/>
              <w:rPr>
                <w:sz w:val="12"/>
                <w:szCs w:val="12"/>
                <w:color w:val="auto"/>
              </w:rPr>
            </w:pPr>
          </w:p>
        </w:tc>
      </w:tr>
      <w:tr>
        <w:trPr>
          <w:trHeight w:val="152"/>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CPE leased equipment (estimated useful life of 4-5 years)</w:t>
            </w:r>
          </w:p>
        </w:tc>
        <w:tc>
          <w:tcPr>
            <w:tcW w:w="28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385,428</w:t>
            </w: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395,539</w:t>
            </w:r>
          </w:p>
        </w:tc>
        <w:tc>
          <w:tcPr>
            <w:tcW w:w="100" w:type="dxa"/>
            <w:vAlign w:val="bottom"/>
            <w:shd w:val="clear" w:color="auto" w:fill="CFF0FC"/>
          </w:tcPr>
          <w:p>
            <w:pPr>
              <w:spacing w:after="0"/>
              <w:rPr>
                <w:sz w:val="13"/>
                <w:szCs w:val="13"/>
                <w:color w:val="auto"/>
              </w:rPr>
            </w:pPr>
          </w:p>
        </w:tc>
      </w:tr>
      <w:tr>
        <w:trPr>
          <w:trHeight w:val="145"/>
        </w:trPr>
        <w:tc>
          <w:tcPr>
            <w:tcW w:w="7600" w:type="dxa"/>
            <w:vAlign w:val="bottom"/>
          </w:tcPr>
          <w:p>
            <w:pPr>
              <w:ind w:left="200"/>
              <w:spacing w:after="0"/>
              <w:rPr>
                <w:sz w:val="20"/>
                <w:szCs w:val="20"/>
                <w:color w:val="auto"/>
              </w:rPr>
            </w:pPr>
            <w:r>
              <w:rPr>
                <w:rFonts w:ascii="Arial" w:cs="Arial" w:eastAsia="Arial" w:hAnsi="Arial"/>
                <w:sz w:val="12"/>
                <w:szCs w:val="12"/>
                <w:color w:val="auto"/>
              </w:rPr>
              <w:t>Furniture and fixtures (estimated useful life of 7 years)</w:t>
            </w:r>
          </w:p>
        </w:tc>
        <w:tc>
          <w:tcPr>
            <w:tcW w:w="2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59,196</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58,602</w:t>
            </w:r>
          </w:p>
        </w:tc>
        <w:tc>
          <w:tcPr>
            <w:tcW w:w="100" w:type="dxa"/>
            <w:vAlign w:val="bottom"/>
          </w:tcPr>
          <w:p>
            <w:pPr>
              <w:spacing w:after="0"/>
              <w:rPr>
                <w:sz w:val="12"/>
                <w:szCs w:val="12"/>
                <w:color w:val="auto"/>
              </w:rPr>
            </w:pPr>
          </w:p>
        </w:tc>
      </w:tr>
      <w:tr>
        <w:trPr>
          <w:trHeight w:val="152"/>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Leasehold improvements (estimated useful life of 2-17 years)</w:t>
            </w:r>
          </w:p>
        </w:tc>
        <w:tc>
          <w:tcPr>
            <w:tcW w:w="28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151,207</w:t>
            </w: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151,508</w:t>
            </w:r>
          </w:p>
        </w:tc>
        <w:tc>
          <w:tcPr>
            <w:tcW w:w="100" w:type="dxa"/>
            <w:vAlign w:val="bottom"/>
            <w:shd w:val="clear" w:color="auto" w:fill="CFF0FC"/>
          </w:tcPr>
          <w:p>
            <w:pPr>
              <w:spacing w:after="0"/>
              <w:rPr>
                <w:sz w:val="13"/>
                <w:szCs w:val="13"/>
                <w:color w:val="auto"/>
              </w:rPr>
            </w:pPr>
          </w:p>
        </w:tc>
      </w:tr>
      <w:tr>
        <w:trPr>
          <w:trHeight w:val="145"/>
        </w:trPr>
        <w:tc>
          <w:tcPr>
            <w:tcW w:w="7600" w:type="dxa"/>
            <w:vAlign w:val="bottom"/>
          </w:tcPr>
          <w:p>
            <w:pPr>
              <w:ind w:left="200"/>
              <w:spacing w:after="0"/>
              <w:rPr>
                <w:sz w:val="20"/>
                <w:szCs w:val="20"/>
                <w:color w:val="auto"/>
              </w:rPr>
            </w:pPr>
            <w:r>
              <w:rPr>
                <w:rFonts w:ascii="Arial" w:cs="Arial" w:eastAsia="Arial" w:hAnsi="Arial"/>
                <w:sz w:val="12"/>
                <w:szCs w:val="12"/>
                <w:color w:val="auto"/>
              </w:rPr>
              <w:t>Buildings (estimated useful life of 12-38 years)</w:t>
            </w:r>
          </w:p>
        </w:tc>
        <w:tc>
          <w:tcPr>
            <w:tcW w:w="2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12,340</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12,440</w:t>
            </w:r>
          </w:p>
        </w:tc>
        <w:tc>
          <w:tcPr>
            <w:tcW w:w="100" w:type="dxa"/>
            <w:vAlign w:val="bottom"/>
          </w:tcPr>
          <w:p>
            <w:pPr>
              <w:spacing w:after="0"/>
              <w:rPr>
                <w:sz w:val="12"/>
                <w:szCs w:val="12"/>
                <w:color w:val="auto"/>
              </w:rPr>
            </w:pPr>
          </w:p>
        </w:tc>
      </w:tr>
      <w:tr>
        <w:trPr>
          <w:trHeight w:val="152"/>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Land</w:t>
            </w:r>
          </w:p>
        </w:tc>
        <w:tc>
          <w:tcPr>
            <w:tcW w:w="28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3,854</w:t>
            </w: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3,944</w:t>
            </w:r>
          </w:p>
        </w:tc>
        <w:tc>
          <w:tcPr>
            <w:tcW w:w="100" w:type="dxa"/>
            <w:vAlign w:val="bottom"/>
            <w:shd w:val="clear" w:color="auto" w:fill="CFF0FC"/>
          </w:tcPr>
          <w:p>
            <w:pPr>
              <w:spacing w:after="0"/>
              <w:rPr>
                <w:sz w:val="13"/>
                <w:szCs w:val="13"/>
                <w:color w:val="auto"/>
              </w:rPr>
            </w:pPr>
          </w:p>
        </w:tc>
      </w:tr>
      <w:tr>
        <w:trPr>
          <w:trHeight w:val="145"/>
        </w:trPr>
        <w:tc>
          <w:tcPr>
            <w:tcW w:w="7600" w:type="dxa"/>
            <w:vAlign w:val="bottom"/>
          </w:tcPr>
          <w:p>
            <w:pPr>
              <w:ind w:left="200"/>
              <w:spacing w:after="0"/>
              <w:rPr>
                <w:sz w:val="20"/>
                <w:szCs w:val="20"/>
                <w:color w:val="auto"/>
              </w:rPr>
            </w:pPr>
            <w:r>
              <w:rPr>
                <w:rFonts w:ascii="Arial" w:cs="Arial" w:eastAsia="Arial" w:hAnsi="Arial"/>
                <w:sz w:val="12"/>
                <w:szCs w:val="12"/>
                <w:color w:val="auto"/>
              </w:rPr>
              <w:t>Construction in progress</w:t>
            </w:r>
          </w:p>
        </w:tc>
        <w:tc>
          <w:tcPr>
            <w:tcW w:w="2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447,147</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387,668</w:t>
            </w:r>
          </w:p>
        </w:tc>
        <w:tc>
          <w:tcPr>
            <w:tcW w:w="100" w:type="dxa"/>
            <w:vAlign w:val="bottom"/>
          </w:tcPr>
          <w:p>
            <w:pPr>
              <w:spacing w:after="0"/>
              <w:rPr>
                <w:sz w:val="12"/>
                <w:szCs w:val="12"/>
                <w:color w:val="auto"/>
              </w:rPr>
            </w:pPr>
          </w:p>
        </w:tc>
      </w:tr>
      <w:tr>
        <w:trPr>
          <w:trHeight w:val="152"/>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Satellites (estimated useful life of 7-17 years)</w:t>
            </w:r>
          </w:p>
        </w:tc>
        <w:tc>
          <w:tcPr>
            <w:tcW w:w="28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1,054,551</w:t>
            </w: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1,059,182</w:t>
            </w:r>
          </w:p>
        </w:tc>
        <w:tc>
          <w:tcPr>
            <w:tcW w:w="100" w:type="dxa"/>
            <w:vAlign w:val="bottom"/>
            <w:shd w:val="clear" w:color="auto" w:fill="CFF0FC"/>
          </w:tcPr>
          <w:p>
            <w:pPr>
              <w:spacing w:after="0"/>
              <w:rPr>
                <w:sz w:val="13"/>
                <w:szCs w:val="13"/>
                <w:color w:val="auto"/>
              </w:rPr>
            </w:pPr>
          </w:p>
        </w:tc>
      </w:tr>
      <w:tr>
        <w:trPr>
          <w:trHeight w:val="145"/>
        </w:trPr>
        <w:tc>
          <w:tcPr>
            <w:tcW w:w="7600" w:type="dxa"/>
            <w:vAlign w:val="bottom"/>
          </w:tcPr>
          <w:p>
            <w:pPr>
              <w:ind w:left="200"/>
              <w:spacing w:after="0"/>
              <w:rPr>
                <w:sz w:val="20"/>
                <w:szCs w:val="20"/>
                <w:color w:val="auto"/>
              </w:rPr>
            </w:pPr>
            <w:r>
              <w:rPr>
                <w:rFonts w:ascii="Arial" w:cs="Arial" w:eastAsia="Arial" w:hAnsi="Arial"/>
                <w:sz w:val="12"/>
                <w:szCs w:val="12"/>
                <w:color w:val="auto"/>
              </w:rPr>
              <w:t>Satellite Ka-band capacity obtained under finance leases (estimated useful life of 7-11 years)</w:t>
            </w:r>
          </w:p>
        </w:tc>
        <w:tc>
          <w:tcPr>
            <w:tcW w:w="2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176,348</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173,480</w:t>
            </w:r>
          </w:p>
        </w:tc>
        <w:tc>
          <w:tcPr>
            <w:tcW w:w="100" w:type="dxa"/>
            <w:vAlign w:val="bottom"/>
          </w:tcPr>
          <w:p>
            <w:pPr>
              <w:spacing w:after="0"/>
              <w:rPr>
                <w:sz w:val="12"/>
                <w:szCs w:val="12"/>
                <w:color w:val="auto"/>
              </w:rPr>
            </w:pPr>
          </w:p>
        </w:tc>
      </w:tr>
      <w:tr>
        <w:trPr>
          <w:trHeight w:val="148"/>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2"/>
                <w:szCs w:val="12"/>
                <w:color w:val="auto"/>
              </w:rPr>
              <w:t>Satellites under construction</w:t>
            </w:r>
          </w:p>
        </w:tc>
        <w:tc>
          <w:tcPr>
            <w:tcW w:w="28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1,917,973</w:t>
            </w:r>
          </w:p>
        </w:tc>
        <w:tc>
          <w:tcPr>
            <w:tcW w:w="30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1,808,474</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6,004,899</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5,801,692</w:t>
            </w:r>
          </w:p>
        </w:tc>
        <w:tc>
          <w:tcPr>
            <w:tcW w:w="100" w:type="dxa"/>
            <w:vAlign w:val="bottom"/>
          </w:tcPr>
          <w:p>
            <w:pPr>
              <w:spacing w:after="0"/>
              <w:rPr>
                <w:sz w:val="12"/>
                <w:szCs w:val="12"/>
                <w:color w:val="auto"/>
              </w:rPr>
            </w:pPr>
          </w:p>
        </w:tc>
      </w:tr>
      <w:tr>
        <w:trPr>
          <w:trHeight w:val="148"/>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Less: accumulated depreciation and amortization</w:t>
            </w:r>
          </w:p>
        </w:tc>
        <w:tc>
          <w:tcPr>
            <w:tcW w:w="28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206"/>
              <w:spacing w:after="0"/>
              <w:rPr>
                <w:sz w:val="20"/>
                <w:szCs w:val="20"/>
                <w:color w:val="auto"/>
              </w:rPr>
            </w:pPr>
            <w:r>
              <w:rPr>
                <w:rFonts w:ascii="Arial" w:cs="Arial" w:eastAsia="Arial" w:hAnsi="Arial"/>
                <w:sz w:val="12"/>
                <w:szCs w:val="12"/>
                <w:color w:val="auto"/>
              </w:rPr>
              <w:t>(2,140,400 )</w:t>
            </w:r>
          </w:p>
        </w:tc>
        <w:tc>
          <w:tcPr>
            <w:tcW w:w="3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(2,059,780 )</w:t>
            </w:r>
          </w:p>
        </w:tc>
      </w:tr>
      <w:tr>
        <w:trPr>
          <w:trHeight w:val="142"/>
        </w:trPr>
        <w:tc>
          <w:tcPr>
            <w:tcW w:w="7600" w:type="dxa"/>
            <w:vAlign w:val="bottom"/>
            <w:tcBorders>
              <w:top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2"/>
                <w:szCs w:val="12"/>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3,864,499</w:t>
            </w:r>
          </w:p>
        </w:tc>
        <w:tc>
          <w:tcPr>
            <w:tcW w:w="300" w:type="dxa"/>
            <w:vAlign w:val="bottom"/>
            <w:tcBorders>
              <w:top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3,741,912</w:t>
            </w:r>
          </w:p>
        </w:tc>
        <w:tc>
          <w:tcPr>
            <w:tcW w:w="100" w:type="dxa"/>
            <w:vAlign w:val="bottom"/>
            <w:tcBorders>
              <w:top w:val="single" w:sz="8" w:color="CFF0FC"/>
            </w:tcBorders>
          </w:tcPr>
          <w:p>
            <w:pPr>
              <w:spacing w:after="0"/>
              <w:rPr>
                <w:sz w:val="12"/>
                <w:szCs w:val="12"/>
                <w:color w:val="auto"/>
              </w:rPr>
            </w:pP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2"/>
        </w:trPr>
        <w:tc>
          <w:tcPr>
            <w:tcW w:w="7600" w:type="dxa"/>
            <w:vAlign w:val="bottom"/>
            <w:shd w:val="clear" w:color="auto" w:fill="CFF0FC"/>
          </w:tcPr>
          <w:p>
            <w:pPr>
              <w:ind w:left="20"/>
              <w:spacing w:after="0" w:line="133" w:lineRule="exact"/>
              <w:rPr>
                <w:sz w:val="20"/>
                <w:szCs w:val="20"/>
                <w:color w:val="auto"/>
              </w:rPr>
            </w:pPr>
            <w:r>
              <w:rPr>
                <w:rFonts w:ascii="Arial" w:cs="Arial" w:eastAsia="Arial" w:hAnsi="Arial"/>
                <w:sz w:val="12"/>
                <w:szCs w:val="12"/>
                <w:color w:val="auto"/>
              </w:rPr>
              <w:t>Other acquired intangible assets, net:</w:t>
            </w:r>
          </w:p>
        </w:tc>
        <w:tc>
          <w:tcPr>
            <w:tcW w:w="28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5"/>
        </w:trPr>
        <w:tc>
          <w:tcPr>
            <w:tcW w:w="7600" w:type="dxa"/>
            <w:vAlign w:val="bottom"/>
          </w:tcPr>
          <w:p>
            <w:pPr>
              <w:ind w:left="200"/>
              <w:spacing w:after="0"/>
              <w:rPr>
                <w:sz w:val="20"/>
                <w:szCs w:val="20"/>
                <w:color w:val="auto"/>
              </w:rPr>
            </w:pPr>
            <w:r>
              <w:rPr>
                <w:rFonts w:ascii="Arial" w:cs="Arial" w:eastAsia="Arial" w:hAnsi="Arial"/>
                <w:sz w:val="12"/>
                <w:szCs w:val="12"/>
                <w:color w:val="auto"/>
              </w:rPr>
              <w:t>Technology (weighted average useful life of 7 years)</w:t>
            </w:r>
          </w:p>
        </w:tc>
        <w:tc>
          <w:tcPr>
            <w:tcW w:w="280" w:type="dxa"/>
            <w:vAlign w:val="bottom"/>
          </w:tcPr>
          <w:p>
            <w:pPr>
              <w:jc w:val="right"/>
              <w:ind w:right="142"/>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150,063</w:t>
            </w:r>
          </w:p>
        </w:tc>
        <w:tc>
          <w:tcPr>
            <w:tcW w:w="300" w:type="dxa"/>
            <w:vAlign w:val="bottom"/>
          </w:tcPr>
          <w:p>
            <w:pPr>
              <w:spacing w:after="0"/>
              <w:rPr>
                <w:sz w:val="12"/>
                <w:szCs w:val="12"/>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154,624</w:t>
            </w:r>
          </w:p>
        </w:tc>
        <w:tc>
          <w:tcPr>
            <w:tcW w:w="100" w:type="dxa"/>
            <w:vAlign w:val="bottom"/>
          </w:tcPr>
          <w:p>
            <w:pPr>
              <w:spacing w:after="0"/>
              <w:rPr>
                <w:sz w:val="12"/>
                <w:szCs w:val="12"/>
                <w:color w:val="auto"/>
              </w:rPr>
            </w:pPr>
          </w:p>
        </w:tc>
      </w:tr>
      <w:tr>
        <w:trPr>
          <w:trHeight w:val="152"/>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Contracts and customer relationships (weighted average useful life of 10 years)</w:t>
            </w:r>
          </w:p>
        </w:tc>
        <w:tc>
          <w:tcPr>
            <w:tcW w:w="28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161,888</w:t>
            </w: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164,635</w:t>
            </w:r>
          </w:p>
        </w:tc>
        <w:tc>
          <w:tcPr>
            <w:tcW w:w="100" w:type="dxa"/>
            <w:vAlign w:val="bottom"/>
            <w:shd w:val="clear" w:color="auto" w:fill="CFF0FC"/>
          </w:tcPr>
          <w:p>
            <w:pPr>
              <w:spacing w:after="0"/>
              <w:rPr>
                <w:sz w:val="13"/>
                <w:szCs w:val="13"/>
                <w:color w:val="auto"/>
              </w:rPr>
            </w:pPr>
          </w:p>
        </w:tc>
      </w:tr>
      <w:tr>
        <w:trPr>
          <w:trHeight w:val="145"/>
        </w:trPr>
        <w:tc>
          <w:tcPr>
            <w:tcW w:w="7600" w:type="dxa"/>
            <w:vAlign w:val="bottom"/>
          </w:tcPr>
          <w:p>
            <w:pPr>
              <w:ind w:left="200"/>
              <w:spacing w:after="0"/>
              <w:rPr>
                <w:sz w:val="20"/>
                <w:szCs w:val="20"/>
                <w:color w:val="auto"/>
              </w:rPr>
            </w:pPr>
            <w:r>
              <w:rPr>
                <w:rFonts w:ascii="Arial" w:cs="Arial" w:eastAsia="Arial" w:hAnsi="Arial"/>
                <w:sz w:val="12"/>
                <w:szCs w:val="12"/>
                <w:color w:val="auto"/>
              </w:rPr>
              <w:t>Satellite co-location rights (weighted average useful life of 9 years)</w:t>
            </w:r>
          </w:p>
        </w:tc>
        <w:tc>
          <w:tcPr>
            <w:tcW w:w="2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8,600</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8,600</w:t>
            </w:r>
          </w:p>
        </w:tc>
        <w:tc>
          <w:tcPr>
            <w:tcW w:w="100" w:type="dxa"/>
            <w:vAlign w:val="bottom"/>
          </w:tcPr>
          <w:p>
            <w:pPr>
              <w:spacing w:after="0"/>
              <w:rPr>
                <w:sz w:val="12"/>
                <w:szCs w:val="12"/>
                <w:color w:val="auto"/>
              </w:rPr>
            </w:pPr>
          </w:p>
        </w:tc>
      </w:tr>
      <w:tr>
        <w:trPr>
          <w:trHeight w:val="152"/>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Trade name (weighted average useful life of 7 years)</w:t>
            </w:r>
          </w:p>
        </w:tc>
        <w:tc>
          <w:tcPr>
            <w:tcW w:w="28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32,138</w:t>
            </w: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32,463</w:t>
            </w:r>
          </w:p>
        </w:tc>
        <w:tc>
          <w:tcPr>
            <w:tcW w:w="100" w:type="dxa"/>
            <w:vAlign w:val="bottom"/>
            <w:shd w:val="clear" w:color="auto" w:fill="CFF0FC"/>
          </w:tcPr>
          <w:p>
            <w:pPr>
              <w:spacing w:after="0"/>
              <w:rPr>
                <w:sz w:val="13"/>
                <w:szCs w:val="13"/>
                <w:color w:val="auto"/>
              </w:rPr>
            </w:pPr>
          </w:p>
        </w:tc>
      </w:tr>
      <w:tr>
        <w:trPr>
          <w:trHeight w:val="145"/>
        </w:trPr>
        <w:tc>
          <w:tcPr>
            <w:tcW w:w="7600" w:type="dxa"/>
            <w:vAlign w:val="bottom"/>
          </w:tcPr>
          <w:p>
            <w:pPr>
              <w:ind w:left="200"/>
              <w:spacing w:after="0"/>
              <w:rPr>
                <w:sz w:val="20"/>
                <w:szCs w:val="20"/>
                <w:color w:val="auto"/>
              </w:rPr>
            </w:pPr>
            <w:r>
              <w:rPr>
                <w:rFonts w:ascii="Arial" w:cs="Arial" w:eastAsia="Arial" w:hAnsi="Arial"/>
                <w:sz w:val="12"/>
                <w:szCs w:val="12"/>
                <w:color w:val="auto"/>
              </w:rPr>
              <w:t>Other (weighted average useful life of 11 years)</w:t>
            </w:r>
          </w:p>
        </w:tc>
        <w:tc>
          <w:tcPr>
            <w:tcW w:w="2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21,754</w:t>
            </w:r>
          </w:p>
        </w:tc>
        <w:tc>
          <w:tcPr>
            <w:tcW w:w="3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22,263</w:t>
            </w:r>
          </w:p>
        </w:tc>
        <w:tc>
          <w:tcPr>
            <w:tcW w:w="100" w:type="dxa"/>
            <w:vAlign w:val="bottom"/>
          </w:tcPr>
          <w:p>
            <w:pPr>
              <w:spacing w:after="0"/>
              <w:rPr>
                <w:sz w:val="12"/>
                <w:szCs w:val="12"/>
                <w:color w:val="auto"/>
              </w:rPr>
            </w:pPr>
          </w:p>
        </w:tc>
      </w:tr>
      <w:tr>
        <w:trPr>
          <w:trHeight w:val="145"/>
        </w:trPr>
        <w:tc>
          <w:tcPr>
            <w:tcW w:w="7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374,443</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382,585</w:t>
            </w:r>
          </w:p>
        </w:tc>
        <w:tc>
          <w:tcPr>
            <w:tcW w:w="100" w:type="dxa"/>
            <w:vAlign w:val="bottom"/>
            <w:shd w:val="clear" w:color="auto" w:fill="CFF0FC"/>
          </w:tcPr>
          <w:p>
            <w:pPr>
              <w:spacing w:after="0"/>
              <w:rPr>
                <w:sz w:val="12"/>
                <w:szCs w:val="12"/>
                <w:color w:val="auto"/>
              </w:rPr>
            </w:pPr>
          </w:p>
        </w:tc>
      </w:tr>
      <w:tr>
        <w:trPr>
          <w:trHeight w:val="145"/>
        </w:trPr>
        <w:tc>
          <w:tcPr>
            <w:tcW w:w="7600" w:type="dxa"/>
            <w:vAlign w:val="bottom"/>
          </w:tcPr>
          <w:p>
            <w:pPr>
              <w:ind w:left="200"/>
              <w:spacing w:after="0"/>
              <w:rPr>
                <w:sz w:val="20"/>
                <w:szCs w:val="20"/>
                <w:color w:val="auto"/>
              </w:rPr>
            </w:pPr>
            <w:r>
              <w:rPr>
                <w:rFonts w:ascii="Arial" w:cs="Arial" w:eastAsia="Arial" w:hAnsi="Arial"/>
                <w:sz w:val="12"/>
                <w:szCs w:val="12"/>
                <w:color w:val="auto"/>
              </w:rPr>
              <w:t>Less: accumulated amortization</w:t>
            </w:r>
          </w:p>
        </w:tc>
        <w:tc>
          <w:tcPr>
            <w:tcW w:w="280" w:type="dxa"/>
            <w:vAlign w:val="bottom"/>
          </w:tcPr>
          <w:p>
            <w:pPr>
              <w:spacing w:after="0"/>
              <w:rPr>
                <w:sz w:val="12"/>
                <w:szCs w:val="12"/>
                <w:color w:val="auto"/>
              </w:rPr>
            </w:pPr>
          </w:p>
        </w:tc>
        <w:tc>
          <w:tcPr>
            <w:tcW w:w="1640" w:type="dxa"/>
            <w:vAlign w:val="bottom"/>
            <w:gridSpan w:val="2"/>
          </w:tcPr>
          <w:p>
            <w:pPr>
              <w:jc w:val="right"/>
              <w:ind w:right="206"/>
              <w:spacing w:after="0"/>
              <w:rPr>
                <w:sz w:val="20"/>
                <w:szCs w:val="20"/>
                <w:color w:val="auto"/>
              </w:rPr>
            </w:pPr>
            <w:r>
              <w:rPr>
                <w:rFonts w:ascii="Arial" w:cs="Arial" w:eastAsia="Arial" w:hAnsi="Arial"/>
                <w:sz w:val="12"/>
                <w:szCs w:val="12"/>
                <w:color w:val="auto"/>
              </w:rPr>
              <w:t>(152,256 )</w:t>
            </w:r>
          </w:p>
        </w:tc>
        <w:tc>
          <w:tcPr>
            <w:tcW w:w="320" w:type="dxa"/>
            <w:vAlign w:val="bottom"/>
          </w:tcPr>
          <w:p>
            <w:pPr>
              <w:spacing w:after="0"/>
              <w:rPr>
                <w:sz w:val="12"/>
                <w:szCs w:val="12"/>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2"/>
                <w:szCs w:val="12"/>
                <w:color w:val="auto"/>
              </w:rPr>
              <w:t>(146,542 )</w:t>
            </w:r>
          </w:p>
        </w:tc>
      </w:tr>
      <w:tr>
        <w:trPr>
          <w:trHeight w:val="182"/>
        </w:trPr>
        <w:tc>
          <w:tcPr>
            <w:tcW w:w="760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top w:val="single" w:sz="8" w:color="auto"/>
              <w:bottom w:val="single" w:sz="8" w:color="auto"/>
            </w:tcBorders>
            <w:shd w:val="clear" w:color="auto" w:fill="CFF0FC"/>
          </w:tcPr>
          <w:p>
            <w:pPr>
              <w:jc w:val="right"/>
              <w:ind w:right="142"/>
              <w:spacing w:after="0"/>
              <w:rPr>
                <w:sz w:val="20"/>
                <w:szCs w:val="20"/>
                <w:color w:val="auto"/>
              </w:rPr>
            </w:pPr>
            <w:r>
              <w:rPr>
                <w:rFonts w:ascii="Arial" w:cs="Arial" w:eastAsia="Arial" w:hAnsi="Arial"/>
                <w:sz w:val="12"/>
                <w:szCs w:val="12"/>
                <w:color w:val="auto"/>
                <w:w w:val="8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222,187</w:t>
            </w:r>
          </w:p>
        </w:tc>
        <w:tc>
          <w:tcPr>
            <w:tcW w:w="30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jc w:val="right"/>
              <w:ind w:right="182"/>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236,043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29"/>
        </w:trPr>
        <w:tc>
          <w:tcPr>
            <w:tcW w:w="7600" w:type="dxa"/>
            <w:vAlign w:val="bottom"/>
          </w:tcPr>
          <w:p>
            <w:pPr>
              <w:ind w:left="20"/>
              <w:spacing w:after="0" w:line="129" w:lineRule="exact"/>
              <w:rPr>
                <w:sz w:val="20"/>
                <w:szCs w:val="20"/>
                <w:color w:val="auto"/>
              </w:rPr>
            </w:pPr>
            <w:r>
              <w:rPr>
                <w:rFonts w:ascii="Arial" w:cs="Arial" w:eastAsia="Arial" w:hAnsi="Arial"/>
                <w:sz w:val="12"/>
                <w:szCs w:val="12"/>
                <w:color w:val="auto"/>
              </w:rPr>
              <w:t>Other assets:</w:t>
            </w: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2"/>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Deferred income taxes</w:t>
            </w:r>
          </w:p>
        </w:tc>
        <w:tc>
          <w:tcPr>
            <w:tcW w:w="280" w:type="dxa"/>
            <w:vAlign w:val="bottom"/>
            <w:shd w:val="clear" w:color="auto" w:fill="CFF0FC"/>
          </w:tcPr>
          <w:p>
            <w:pPr>
              <w:jc w:val="right"/>
              <w:ind w:right="142"/>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314,970</w:t>
            </w: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182"/>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304,642</w:t>
            </w:r>
          </w:p>
        </w:tc>
        <w:tc>
          <w:tcPr>
            <w:tcW w:w="100" w:type="dxa"/>
            <w:vAlign w:val="bottom"/>
            <w:shd w:val="clear" w:color="auto" w:fill="CFF0FC"/>
          </w:tcPr>
          <w:p>
            <w:pPr>
              <w:spacing w:after="0"/>
              <w:rPr>
                <w:sz w:val="13"/>
                <w:szCs w:val="13"/>
                <w:color w:val="auto"/>
              </w:rPr>
            </w:pPr>
          </w:p>
        </w:tc>
      </w:tr>
      <w:tr>
        <w:trPr>
          <w:trHeight w:val="145"/>
        </w:trPr>
        <w:tc>
          <w:tcPr>
            <w:tcW w:w="7600" w:type="dxa"/>
            <w:vAlign w:val="bottom"/>
          </w:tcPr>
          <w:p>
            <w:pPr>
              <w:ind w:left="200"/>
              <w:spacing w:after="0"/>
              <w:rPr>
                <w:sz w:val="20"/>
                <w:szCs w:val="20"/>
                <w:color w:val="auto"/>
              </w:rPr>
            </w:pPr>
            <w:r>
              <w:rPr>
                <w:rFonts w:ascii="Arial" w:cs="Arial" w:eastAsia="Arial" w:hAnsi="Arial"/>
                <w:sz w:val="12"/>
                <w:szCs w:val="12"/>
                <w:color w:val="auto"/>
              </w:rPr>
              <w:t>Capitalized software costs, net</w:t>
            </w:r>
          </w:p>
        </w:tc>
        <w:tc>
          <w:tcPr>
            <w:tcW w:w="2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221,126</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221,647</w:t>
            </w:r>
          </w:p>
        </w:tc>
        <w:tc>
          <w:tcPr>
            <w:tcW w:w="100" w:type="dxa"/>
            <w:vAlign w:val="bottom"/>
          </w:tcPr>
          <w:p>
            <w:pPr>
              <w:spacing w:after="0"/>
              <w:rPr>
                <w:sz w:val="12"/>
                <w:szCs w:val="12"/>
                <w:color w:val="auto"/>
              </w:rPr>
            </w:pPr>
          </w:p>
        </w:tc>
      </w:tr>
      <w:tr>
        <w:trPr>
          <w:trHeight w:val="152"/>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Patents, orbital slots and other licenses, net</w:t>
            </w:r>
          </w:p>
        </w:tc>
        <w:tc>
          <w:tcPr>
            <w:tcW w:w="28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65,525</w:t>
            </w: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62,200</w:t>
            </w:r>
          </w:p>
        </w:tc>
        <w:tc>
          <w:tcPr>
            <w:tcW w:w="100" w:type="dxa"/>
            <w:vAlign w:val="bottom"/>
            <w:shd w:val="clear" w:color="auto" w:fill="CFF0FC"/>
          </w:tcPr>
          <w:p>
            <w:pPr>
              <w:spacing w:after="0"/>
              <w:rPr>
                <w:sz w:val="13"/>
                <w:szCs w:val="13"/>
                <w:color w:val="auto"/>
              </w:rPr>
            </w:pPr>
          </w:p>
        </w:tc>
      </w:tr>
      <w:tr>
        <w:trPr>
          <w:trHeight w:val="145"/>
        </w:trPr>
        <w:tc>
          <w:tcPr>
            <w:tcW w:w="7600" w:type="dxa"/>
            <w:vAlign w:val="bottom"/>
          </w:tcPr>
          <w:p>
            <w:pPr>
              <w:ind w:left="200"/>
              <w:spacing w:after="0"/>
              <w:rPr>
                <w:sz w:val="20"/>
                <w:szCs w:val="20"/>
                <w:color w:val="auto"/>
              </w:rPr>
            </w:pPr>
            <w:r>
              <w:rPr>
                <w:rFonts w:ascii="Arial" w:cs="Arial" w:eastAsia="Arial" w:hAnsi="Arial"/>
                <w:sz w:val="12"/>
                <w:szCs w:val="12"/>
                <w:color w:val="auto"/>
              </w:rPr>
              <w:t>Other</w:t>
            </w:r>
          </w:p>
        </w:tc>
        <w:tc>
          <w:tcPr>
            <w:tcW w:w="2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133,983</w:t>
            </w:r>
          </w:p>
        </w:tc>
        <w:tc>
          <w:tcPr>
            <w:tcW w:w="3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117,141</w:t>
            </w:r>
          </w:p>
        </w:tc>
        <w:tc>
          <w:tcPr>
            <w:tcW w:w="100" w:type="dxa"/>
            <w:vAlign w:val="bottom"/>
          </w:tcPr>
          <w:p>
            <w:pPr>
              <w:spacing w:after="0"/>
              <w:rPr>
                <w:sz w:val="12"/>
                <w:szCs w:val="12"/>
                <w:color w:val="auto"/>
              </w:rPr>
            </w:pPr>
          </w:p>
        </w:tc>
      </w:tr>
      <w:tr>
        <w:trPr>
          <w:trHeight w:val="182"/>
        </w:trPr>
        <w:tc>
          <w:tcPr>
            <w:tcW w:w="760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42"/>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735,604</w:t>
            </w:r>
          </w:p>
        </w:tc>
        <w:tc>
          <w:tcPr>
            <w:tcW w:w="30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705,630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29"/>
        </w:trPr>
        <w:tc>
          <w:tcPr>
            <w:tcW w:w="7600" w:type="dxa"/>
            <w:vAlign w:val="bottom"/>
          </w:tcPr>
          <w:p>
            <w:pPr>
              <w:ind w:left="20"/>
              <w:spacing w:after="0" w:line="129" w:lineRule="exact"/>
              <w:rPr>
                <w:sz w:val="20"/>
                <w:szCs w:val="20"/>
                <w:color w:val="auto"/>
              </w:rPr>
            </w:pPr>
            <w:r>
              <w:rPr>
                <w:rFonts w:ascii="Arial" w:cs="Arial" w:eastAsia="Arial" w:hAnsi="Arial"/>
                <w:sz w:val="12"/>
                <w:szCs w:val="12"/>
                <w:color w:val="auto"/>
              </w:rPr>
              <w:t>Accrued and other liabilities:</w:t>
            </w: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2"/>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Collections in excess of revenues and deferred revenues</w:t>
            </w:r>
          </w:p>
        </w:tc>
        <w:tc>
          <w:tcPr>
            <w:tcW w:w="280" w:type="dxa"/>
            <w:vAlign w:val="bottom"/>
            <w:shd w:val="clear" w:color="auto" w:fill="CFF0FC"/>
          </w:tcPr>
          <w:p>
            <w:pPr>
              <w:jc w:val="right"/>
              <w:ind w:right="142"/>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154,828</w:t>
            </w: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182"/>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148,906</w:t>
            </w:r>
          </w:p>
        </w:tc>
        <w:tc>
          <w:tcPr>
            <w:tcW w:w="100" w:type="dxa"/>
            <w:vAlign w:val="bottom"/>
            <w:shd w:val="clear" w:color="auto" w:fill="CFF0FC"/>
          </w:tcPr>
          <w:p>
            <w:pPr>
              <w:spacing w:after="0"/>
              <w:rPr>
                <w:sz w:val="13"/>
                <w:szCs w:val="13"/>
                <w:color w:val="auto"/>
              </w:rPr>
            </w:pPr>
          </w:p>
        </w:tc>
      </w:tr>
      <w:tr>
        <w:trPr>
          <w:trHeight w:val="145"/>
        </w:trPr>
        <w:tc>
          <w:tcPr>
            <w:tcW w:w="7600" w:type="dxa"/>
            <w:vAlign w:val="bottom"/>
          </w:tcPr>
          <w:p>
            <w:pPr>
              <w:ind w:left="200"/>
              <w:spacing w:after="0"/>
              <w:rPr>
                <w:sz w:val="20"/>
                <w:szCs w:val="20"/>
                <w:color w:val="auto"/>
              </w:rPr>
            </w:pPr>
            <w:r>
              <w:rPr>
                <w:rFonts w:ascii="Arial" w:cs="Arial" w:eastAsia="Arial" w:hAnsi="Arial"/>
                <w:sz w:val="12"/>
                <w:szCs w:val="12"/>
                <w:color w:val="auto"/>
              </w:rPr>
              <w:t>Accrued employee compensation</w:t>
            </w:r>
          </w:p>
        </w:tc>
        <w:tc>
          <w:tcPr>
            <w:tcW w:w="2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34,119</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113,554</w:t>
            </w:r>
          </w:p>
        </w:tc>
        <w:tc>
          <w:tcPr>
            <w:tcW w:w="100" w:type="dxa"/>
            <w:vAlign w:val="bottom"/>
          </w:tcPr>
          <w:p>
            <w:pPr>
              <w:spacing w:after="0"/>
              <w:rPr>
                <w:sz w:val="12"/>
                <w:szCs w:val="12"/>
                <w:color w:val="auto"/>
              </w:rPr>
            </w:pPr>
          </w:p>
        </w:tc>
      </w:tr>
      <w:tr>
        <w:trPr>
          <w:trHeight w:val="152"/>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Accrued vacation</w:t>
            </w:r>
          </w:p>
        </w:tc>
        <w:tc>
          <w:tcPr>
            <w:tcW w:w="28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50,045</w:t>
            </w: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51,675</w:t>
            </w:r>
          </w:p>
        </w:tc>
        <w:tc>
          <w:tcPr>
            <w:tcW w:w="100" w:type="dxa"/>
            <w:vAlign w:val="bottom"/>
            <w:shd w:val="clear" w:color="auto" w:fill="CFF0FC"/>
          </w:tcPr>
          <w:p>
            <w:pPr>
              <w:spacing w:after="0"/>
              <w:rPr>
                <w:sz w:val="13"/>
                <w:szCs w:val="13"/>
                <w:color w:val="auto"/>
              </w:rPr>
            </w:pPr>
          </w:p>
        </w:tc>
      </w:tr>
      <w:tr>
        <w:trPr>
          <w:trHeight w:val="145"/>
        </w:trPr>
        <w:tc>
          <w:tcPr>
            <w:tcW w:w="7600" w:type="dxa"/>
            <w:vAlign w:val="bottom"/>
          </w:tcPr>
          <w:p>
            <w:pPr>
              <w:ind w:left="200"/>
              <w:spacing w:after="0"/>
              <w:rPr>
                <w:sz w:val="20"/>
                <w:szCs w:val="20"/>
                <w:color w:val="auto"/>
              </w:rPr>
            </w:pPr>
            <w:r>
              <w:rPr>
                <w:rFonts w:ascii="Arial" w:cs="Arial" w:eastAsia="Arial" w:hAnsi="Arial"/>
                <w:sz w:val="12"/>
                <w:szCs w:val="12"/>
                <w:color w:val="auto"/>
              </w:rPr>
              <w:t>Warranty reserve, current portion</w:t>
            </w:r>
          </w:p>
        </w:tc>
        <w:tc>
          <w:tcPr>
            <w:tcW w:w="2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4,963</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5,043</w:t>
            </w:r>
          </w:p>
        </w:tc>
        <w:tc>
          <w:tcPr>
            <w:tcW w:w="100" w:type="dxa"/>
            <w:vAlign w:val="bottom"/>
          </w:tcPr>
          <w:p>
            <w:pPr>
              <w:spacing w:after="0"/>
              <w:rPr>
                <w:sz w:val="12"/>
                <w:szCs w:val="12"/>
                <w:color w:val="auto"/>
              </w:rPr>
            </w:pPr>
          </w:p>
        </w:tc>
      </w:tr>
      <w:tr>
        <w:trPr>
          <w:trHeight w:val="152"/>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Operating lease liabilities</w:t>
            </w:r>
          </w:p>
        </w:tc>
        <w:tc>
          <w:tcPr>
            <w:tcW w:w="28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52,629</w:t>
            </w: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52,122</w:t>
            </w:r>
          </w:p>
        </w:tc>
        <w:tc>
          <w:tcPr>
            <w:tcW w:w="100" w:type="dxa"/>
            <w:vAlign w:val="bottom"/>
            <w:shd w:val="clear" w:color="auto" w:fill="CFF0FC"/>
          </w:tcPr>
          <w:p>
            <w:pPr>
              <w:spacing w:after="0"/>
              <w:rPr>
                <w:sz w:val="13"/>
                <w:szCs w:val="13"/>
                <w:color w:val="auto"/>
              </w:rPr>
            </w:pPr>
          </w:p>
        </w:tc>
      </w:tr>
      <w:tr>
        <w:trPr>
          <w:trHeight w:val="145"/>
        </w:trPr>
        <w:tc>
          <w:tcPr>
            <w:tcW w:w="7600" w:type="dxa"/>
            <w:vAlign w:val="bottom"/>
          </w:tcPr>
          <w:p>
            <w:pPr>
              <w:ind w:left="200"/>
              <w:spacing w:after="0"/>
              <w:rPr>
                <w:sz w:val="20"/>
                <w:szCs w:val="20"/>
                <w:color w:val="auto"/>
              </w:rPr>
            </w:pPr>
            <w:r>
              <w:rPr>
                <w:rFonts w:ascii="Arial" w:cs="Arial" w:eastAsia="Arial" w:hAnsi="Arial"/>
                <w:sz w:val="12"/>
                <w:szCs w:val="12"/>
                <w:color w:val="auto"/>
              </w:rPr>
              <w:t>Other</w:t>
            </w:r>
          </w:p>
        </w:tc>
        <w:tc>
          <w:tcPr>
            <w:tcW w:w="2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144,557</w:t>
            </w:r>
          </w:p>
        </w:tc>
        <w:tc>
          <w:tcPr>
            <w:tcW w:w="3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145,122</w:t>
            </w:r>
          </w:p>
        </w:tc>
        <w:tc>
          <w:tcPr>
            <w:tcW w:w="100" w:type="dxa"/>
            <w:vAlign w:val="bottom"/>
          </w:tcPr>
          <w:p>
            <w:pPr>
              <w:spacing w:after="0"/>
              <w:rPr>
                <w:sz w:val="12"/>
                <w:szCs w:val="12"/>
                <w:color w:val="auto"/>
              </w:rPr>
            </w:pPr>
          </w:p>
        </w:tc>
      </w:tr>
      <w:tr>
        <w:trPr>
          <w:trHeight w:val="182"/>
        </w:trPr>
        <w:tc>
          <w:tcPr>
            <w:tcW w:w="760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42"/>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441,141</w:t>
            </w:r>
          </w:p>
        </w:tc>
        <w:tc>
          <w:tcPr>
            <w:tcW w:w="30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516,422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29"/>
        </w:trPr>
        <w:tc>
          <w:tcPr>
            <w:tcW w:w="7600" w:type="dxa"/>
            <w:vAlign w:val="bottom"/>
          </w:tcPr>
          <w:p>
            <w:pPr>
              <w:ind w:left="20"/>
              <w:spacing w:after="0" w:line="129" w:lineRule="exact"/>
              <w:rPr>
                <w:sz w:val="20"/>
                <w:szCs w:val="20"/>
                <w:color w:val="auto"/>
              </w:rPr>
            </w:pPr>
            <w:r>
              <w:rPr>
                <w:rFonts w:ascii="Arial" w:cs="Arial" w:eastAsia="Arial" w:hAnsi="Arial"/>
                <w:sz w:val="12"/>
                <w:szCs w:val="12"/>
                <w:color w:val="auto"/>
              </w:rPr>
              <w:t>Other liabilities:</w:t>
            </w: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2"/>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Deferred revenues, long-term portion</w:t>
            </w:r>
          </w:p>
        </w:tc>
        <w:tc>
          <w:tcPr>
            <w:tcW w:w="280" w:type="dxa"/>
            <w:vAlign w:val="bottom"/>
            <w:shd w:val="clear" w:color="auto" w:fill="CFF0FC"/>
          </w:tcPr>
          <w:p>
            <w:pPr>
              <w:jc w:val="right"/>
              <w:ind w:right="142"/>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85,216</w:t>
            </w: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182"/>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90,151</w:t>
            </w:r>
          </w:p>
        </w:tc>
        <w:tc>
          <w:tcPr>
            <w:tcW w:w="100" w:type="dxa"/>
            <w:vAlign w:val="bottom"/>
            <w:shd w:val="clear" w:color="auto" w:fill="CFF0FC"/>
          </w:tcPr>
          <w:p>
            <w:pPr>
              <w:spacing w:after="0"/>
              <w:rPr>
                <w:sz w:val="13"/>
                <w:szCs w:val="13"/>
                <w:color w:val="auto"/>
              </w:rPr>
            </w:pPr>
          </w:p>
        </w:tc>
      </w:tr>
      <w:tr>
        <w:trPr>
          <w:trHeight w:val="145"/>
        </w:trPr>
        <w:tc>
          <w:tcPr>
            <w:tcW w:w="7600" w:type="dxa"/>
            <w:vAlign w:val="bottom"/>
          </w:tcPr>
          <w:p>
            <w:pPr>
              <w:ind w:left="200"/>
              <w:spacing w:after="0"/>
              <w:rPr>
                <w:sz w:val="20"/>
                <w:szCs w:val="20"/>
                <w:color w:val="auto"/>
              </w:rPr>
            </w:pPr>
            <w:r>
              <w:rPr>
                <w:rFonts w:ascii="Arial" w:cs="Arial" w:eastAsia="Arial" w:hAnsi="Arial"/>
                <w:sz w:val="12"/>
                <w:szCs w:val="12"/>
                <w:color w:val="auto"/>
              </w:rPr>
              <w:t>Warranty reserve, long-term portion</w:t>
            </w:r>
          </w:p>
        </w:tc>
        <w:tc>
          <w:tcPr>
            <w:tcW w:w="2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5,533</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5,675</w:t>
            </w:r>
          </w:p>
        </w:tc>
        <w:tc>
          <w:tcPr>
            <w:tcW w:w="100" w:type="dxa"/>
            <w:vAlign w:val="bottom"/>
          </w:tcPr>
          <w:p>
            <w:pPr>
              <w:spacing w:after="0"/>
              <w:rPr>
                <w:sz w:val="12"/>
                <w:szCs w:val="12"/>
                <w:color w:val="auto"/>
              </w:rPr>
            </w:pPr>
          </w:p>
        </w:tc>
      </w:tr>
      <w:tr>
        <w:trPr>
          <w:trHeight w:val="152"/>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Satellite performance incentive obligations, long-term portion</w:t>
            </w:r>
          </w:p>
        </w:tc>
        <w:tc>
          <w:tcPr>
            <w:tcW w:w="28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17,700</w:t>
            </w: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18,651</w:t>
            </w:r>
          </w:p>
        </w:tc>
        <w:tc>
          <w:tcPr>
            <w:tcW w:w="100" w:type="dxa"/>
            <w:vAlign w:val="bottom"/>
            <w:shd w:val="clear" w:color="auto" w:fill="CFF0FC"/>
          </w:tcPr>
          <w:p>
            <w:pPr>
              <w:spacing w:after="0"/>
              <w:rPr>
                <w:sz w:val="13"/>
                <w:szCs w:val="13"/>
                <w:color w:val="auto"/>
              </w:rPr>
            </w:pPr>
          </w:p>
        </w:tc>
      </w:tr>
      <w:tr>
        <w:trPr>
          <w:trHeight w:val="145"/>
        </w:trPr>
        <w:tc>
          <w:tcPr>
            <w:tcW w:w="7600" w:type="dxa"/>
            <w:vAlign w:val="bottom"/>
          </w:tcPr>
          <w:p>
            <w:pPr>
              <w:ind w:left="200"/>
              <w:spacing w:after="0"/>
              <w:rPr>
                <w:sz w:val="20"/>
                <w:szCs w:val="20"/>
                <w:color w:val="auto"/>
              </w:rPr>
            </w:pPr>
            <w:r>
              <w:rPr>
                <w:rFonts w:ascii="Arial" w:cs="Arial" w:eastAsia="Arial" w:hAnsi="Arial"/>
                <w:sz w:val="12"/>
                <w:szCs w:val="12"/>
                <w:color w:val="auto"/>
              </w:rPr>
              <w:t>Deferred income taxes</w:t>
            </w:r>
          </w:p>
        </w:tc>
        <w:tc>
          <w:tcPr>
            <w:tcW w:w="2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15,775</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16,869</w:t>
            </w:r>
          </w:p>
        </w:tc>
        <w:tc>
          <w:tcPr>
            <w:tcW w:w="100" w:type="dxa"/>
            <w:vAlign w:val="bottom"/>
          </w:tcPr>
          <w:p>
            <w:pPr>
              <w:spacing w:after="0"/>
              <w:rPr>
                <w:sz w:val="12"/>
                <w:szCs w:val="12"/>
                <w:color w:val="auto"/>
              </w:rPr>
            </w:pPr>
          </w:p>
        </w:tc>
      </w:tr>
      <w:tr>
        <w:trPr>
          <w:trHeight w:val="148"/>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2"/>
                <w:szCs w:val="12"/>
                <w:color w:val="auto"/>
              </w:rPr>
              <w:t>Other</w:t>
            </w:r>
          </w:p>
        </w:tc>
        <w:tc>
          <w:tcPr>
            <w:tcW w:w="28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24,950</w:t>
            </w:r>
          </w:p>
        </w:tc>
        <w:tc>
          <w:tcPr>
            <w:tcW w:w="30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26,105</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600" w:type="dxa"/>
            <w:vAlign w:val="bottom"/>
          </w:tcPr>
          <w:p>
            <w:pPr>
              <w:spacing w:after="0"/>
              <w:rPr>
                <w:sz w:val="12"/>
                <w:szCs w:val="12"/>
                <w:color w:val="auto"/>
              </w:rPr>
            </w:pPr>
          </w:p>
        </w:tc>
        <w:tc>
          <w:tcPr>
            <w:tcW w:w="2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149,174</w:t>
            </w:r>
          </w:p>
        </w:tc>
        <w:tc>
          <w:tcPr>
            <w:tcW w:w="300" w:type="dxa"/>
            <w:vAlign w:val="bottom"/>
          </w:tcPr>
          <w:p>
            <w:pPr>
              <w:spacing w:after="0"/>
              <w:rPr>
                <w:sz w:val="12"/>
                <w:szCs w:val="12"/>
                <w:color w:val="auto"/>
              </w:rPr>
            </w:pPr>
          </w:p>
        </w:tc>
        <w:tc>
          <w:tcPr>
            <w:tcW w:w="3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157,451</w:t>
            </w:r>
          </w:p>
        </w:tc>
        <w:tc>
          <w:tcPr>
            <w:tcW w:w="100" w:type="dxa"/>
            <w:vAlign w:val="bottom"/>
          </w:tcPr>
          <w:p>
            <w:pPr>
              <w:spacing w:after="0"/>
              <w:rPr>
                <w:sz w:val="12"/>
                <w:szCs w:val="12"/>
                <w:color w:val="auto"/>
              </w:rPr>
            </w:pP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-5280025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-5262880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-5280025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-5262880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-4874260</wp:posOffset>
            </wp:positionV>
            <wp:extent cx="6858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-4874260</wp:posOffset>
            </wp:positionV>
            <wp:extent cx="6858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-4462780</wp:posOffset>
            </wp:positionV>
            <wp:extent cx="6858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-4462780</wp:posOffset>
            </wp:positionV>
            <wp:extent cx="6858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-3296920</wp:posOffset>
            </wp:positionV>
            <wp:extent cx="6858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-3296920</wp:posOffset>
            </wp:positionV>
            <wp:extent cx="6858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-3099435</wp:posOffset>
            </wp:positionV>
            <wp:extent cx="6858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-3099435</wp:posOffset>
            </wp:positionV>
            <wp:extent cx="6858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-2108200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-2091055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-1508125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-1490980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-719455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-702310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-125095</wp:posOffset>
            </wp:positionV>
            <wp:extent cx="6858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wp:posOffset>
            </wp:positionV>
            <wp:extent cx="6858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9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determines fair value based on the exchange price that would be received for an asset or paid to transfer a liability in an orderly transaction between market participants, and prioritizes the inputs used to measure fair value from market-based assumptions to entity specific assumptions:</w:t>
      </w:r>
    </w:p>
    <w:p>
      <w:pPr>
        <w:spacing w:after="0" w:line="97" w:lineRule="exact"/>
        <w:rPr>
          <w:sz w:val="20"/>
          <w:szCs w:val="20"/>
          <w:color w:val="auto"/>
        </w:rPr>
      </w:pPr>
    </w:p>
    <w:p>
      <w:pPr>
        <w:ind w:left="920" w:hanging="403"/>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103" w:lineRule="exact"/>
        <w:rPr>
          <w:rFonts w:ascii="Arial" w:cs="Arial" w:eastAsia="Arial" w:hAnsi="Arial"/>
          <w:sz w:val="18"/>
          <w:szCs w:val="18"/>
          <w:color w:val="auto"/>
        </w:rPr>
      </w:pPr>
    </w:p>
    <w:p>
      <w:pPr>
        <w:ind w:left="1120" w:right="160" w:hanging="603"/>
        <w:spacing w:after="0"/>
        <w:tabs>
          <w:tab w:leader="none" w:pos="921"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94" w:lineRule="exact"/>
        <w:rPr>
          <w:rFonts w:ascii="Arial" w:cs="Arial" w:eastAsia="Arial" w:hAnsi="Arial"/>
          <w:sz w:val="18"/>
          <w:szCs w:val="18"/>
          <w:color w:val="auto"/>
        </w:rPr>
      </w:pPr>
    </w:p>
    <w:p>
      <w:pPr>
        <w:ind w:left="1120" w:right="160" w:hanging="603"/>
        <w:spacing w:after="0" w:line="246" w:lineRule="auto"/>
        <w:tabs>
          <w:tab w:leader="none" w:pos="921"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43" w:lineRule="exact"/>
        <w:rPr>
          <w:sz w:val="20"/>
          <w:szCs w:val="20"/>
          <w:color w:val="auto"/>
        </w:rPr>
      </w:pPr>
    </w:p>
    <w:p>
      <w:pPr>
        <w:ind w:right="320" w:firstLine="509"/>
        <w:spacing w:after="0" w:line="246" w:lineRule="auto"/>
        <w:rPr>
          <w:sz w:val="20"/>
          <w:szCs w:val="20"/>
          <w:color w:val="auto"/>
        </w:rPr>
      </w:pPr>
      <w:r>
        <w:rPr>
          <w:rFonts w:ascii="Arial" w:cs="Arial" w:eastAsia="Arial" w:hAnsi="Arial"/>
          <w:sz w:val="18"/>
          <w:szCs w:val="18"/>
          <w:color w:val="auto"/>
        </w:rPr>
        <w:t>The Company had $5.0 million in cash equivalents (Level 1) and no liabilities measured at fair value on a recurring basis as of both June 30, 2022 and March 31, 2022.</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40" w:lineRule="exact"/>
        <w:rPr>
          <w:sz w:val="20"/>
          <w:szCs w:val="20"/>
          <w:color w:val="auto"/>
        </w:rPr>
      </w:pPr>
    </w:p>
    <w:p>
      <w:pPr>
        <w:ind w:right="220" w:firstLine="509"/>
        <w:spacing w:after="0" w:line="26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assets in an active market with sufficient volume and frequency of transactions (Level 1).</w:t>
      </w:r>
    </w:p>
    <w:p>
      <w:pPr>
        <w:spacing w:after="0" w:line="106"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 In connection with the acquisition of the remaining 51% interest in EBI on April 30, 2021 (see Note 11 — Acquisitions</w:t>
      </w:r>
      <w:r>
        <w:rPr>
          <w:rFonts w:ascii="Arial" w:cs="Arial" w:eastAsia="Arial" w:hAnsi="Arial"/>
          <w:sz w:val="18"/>
          <w:szCs w:val="18"/>
          <w:i w:val="1"/>
          <w:iCs w:val="1"/>
          <w:color w:val="auto"/>
        </w:rPr>
        <w:t xml:space="preserve"> </w:t>
      </w:r>
      <w:r>
        <w:rPr>
          <w:rFonts w:ascii="Arial" w:cs="Arial" w:eastAsia="Arial" w:hAnsi="Arial"/>
          <w:sz w:val="18"/>
          <w:szCs w:val="18"/>
          <w:color w:val="auto"/>
        </w:rPr>
        <w:t>for more information), part of the purchase price consideration will not be determined until two years after the closing date, when the Company may pay or receive up to €20.0 million, or approximately $21.1 million, in cash. The consideration to be paid in the future is contingent based on certain outcomes as defined in the acquisition agreement. Each reporting period, the Company estimates the fair value of the contingent consideration based on unobservable inputs and probability weightings using standard valuation techniques (Level 3). The fair value amount is currently recorded in other current assets on the condensed consolidated balance sheets and any change to fair value is recorded in the Company’s condensed consolidated statements of operations each reporting period. As of June 30, 2022 and March 31, 2022, and for the three months ended June 30, 2022 and 2021, the Company’s fair value estimate, and change in fair value of the contingent consideration were immaterial.</w:t>
      </w:r>
    </w:p>
    <w:p>
      <w:pPr>
        <w:spacing w:after="0" w:line="137"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The Company’s long-term debt consists of borrowings under its Term Loan Facility, Revolving Credit Facility and</w:t>
      </w:r>
      <w:r>
        <w:rPr>
          <w:rFonts w:ascii="Arial" w:cs="Arial" w:eastAsia="Arial" w:hAnsi="Arial"/>
          <w:sz w:val="18"/>
          <w:szCs w:val="18"/>
          <w:i w:val="1"/>
          <w:iCs w:val="1"/>
          <w:color w:val="auto"/>
        </w:rPr>
        <w:t xml:space="preserve"> </w:t>
      </w:r>
      <w:r>
        <w:rPr>
          <w:rFonts w:ascii="Arial" w:cs="Arial" w:eastAsia="Arial" w:hAnsi="Arial"/>
          <w:sz w:val="18"/>
          <w:szCs w:val="18"/>
          <w:color w:val="auto"/>
        </w:rPr>
        <w:t>Ex-Im Credit Facility (collectively, the Credit Facilities), $700.0 million in aggregate principal amount of 2025 Notes, $600.0 million in aggregate principal amount of 2027 Notes, $400.0 million in aggregate principal amount of 2028 Notes and finance lease obligations reported at the present value of future minimum lease payments with current accrued interest. Long-term debt related to the Revolving Credit Facility is reported at the outstanding principal amount of borrowings, while long-term debt related to the Term Loan Facility, the Ex-Im Credit Facility, the 2025 Notes, the 2027 Notes and the 2028 Notes is reported at amortized cost. However, for disclosure purposes, the Company is required to measure the fair value of outstanding debt on a recurring basis. The fair value of the Company’s long-term debt related to the Term Loan Facility and the Revolving Credit Facility approximates its carrying amount due to its variable interest rate, which approximates a market interest rate. As of June 30, 2022 and March 31, 2022, the fair value of the Company’s long-term debt related to the Ex-Im Credit Facility was determined based on a discounted cash flow analysis using observable market interest rates for instruments with similar terms (Level 2) and was approximately $67.1 million and $78.0 million, respectively. As of June 30, 2022 and March 31, 2022, the estimated fair value of the Company’s outstanding long-term debt related to each series of Notes was determined based on actual or estimated bids and offers for such series of Notes in an over-the-counter market (Level 2) and was $563.5 million and $682.5 million, respectively, for the 2025 Notes, $510.0 million and $588.8 million, respectively, for the 2027 Notes, and $276.0 million and $382.7 million, respectively, for the 2028 Notes.</w:t>
      </w:r>
    </w:p>
    <w:p>
      <w:pPr>
        <w:spacing w:after="0" w:line="134" w:lineRule="exact"/>
        <w:rPr>
          <w:sz w:val="20"/>
          <w:szCs w:val="20"/>
          <w:color w:val="auto"/>
        </w:rPr>
      </w:pPr>
    </w:p>
    <w:p>
      <w:pPr>
        <w:jc w:val="both"/>
        <w:ind w:right="320" w:firstLine="509"/>
        <w:spacing w:after="0" w:line="250" w:lineRule="auto"/>
        <w:rPr>
          <w:sz w:val="20"/>
          <w:szCs w:val="20"/>
          <w:color w:val="auto"/>
        </w:rPr>
      </w:pPr>
      <w:r>
        <w:rPr>
          <w:rFonts w:ascii="Arial" w:cs="Arial" w:eastAsia="Arial" w:hAnsi="Arial"/>
          <w:sz w:val="18"/>
          <w:szCs w:val="18"/>
          <w:i w:val="1"/>
          <w:iCs w:val="1"/>
          <w:color w:val="auto"/>
        </w:rPr>
        <w:t xml:space="preserve">Satellite performance incentive obligations </w:t>
      </w:r>
      <w:r>
        <w:rPr>
          <w:rFonts w:ascii="Arial" w:cs="Arial" w:eastAsia="Arial" w:hAnsi="Arial"/>
          <w:sz w:val="18"/>
          <w:szCs w:val="18"/>
          <w:color w:val="auto"/>
        </w:rPr>
        <w:t>— The Company’s contracts with satellite manufacturers require the Company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monthly in-orbit satellite performance incentive payments with respect to certain satellites in service, including interest, through fiscal year 2028, subject to the continued satisfactory performance of the applicable satellites.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 records the net present value of these expected future payments as a liability and as a component of the cost of the satellites. However, for disclosure purposes, the Company is required to measure the fair value of outstanding satellite performance incentive obligations on a recurring basis. The fair value of the Company’s outstanding satellite performance incentive obligations is estimated to approximate their carrying value based on current rates (Level 2). As of June 30, 2022 and March 31, 2022, the Company’s estimated satellite performance incentive obligations relating to certain satellites in service, including accrued interest, were $23.1 million and $23.7 million,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Shares Used In Computing Diluted Net Income (Loss) Per Share</w:t>
      </w:r>
    </w:p>
    <w:p>
      <w:pPr>
        <w:spacing w:after="0" w:line="200" w:lineRule="exact"/>
        <w:rPr>
          <w:sz w:val="20"/>
          <w:szCs w:val="20"/>
          <w:color w:val="auto"/>
        </w:rPr>
      </w:pP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440" w:type="dxa"/>
            <w:vAlign w:val="bottom"/>
          </w:tcPr>
          <w:p>
            <w:pPr>
              <w:spacing w:after="0"/>
              <w:rPr>
                <w:sz w:val="14"/>
                <w:szCs w:val="14"/>
                <w:color w:val="auto"/>
              </w:rPr>
            </w:pPr>
          </w:p>
        </w:tc>
        <w:tc>
          <w:tcPr>
            <w:tcW w:w="3560" w:type="dxa"/>
            <w:vAlign w:val="bottom"/>
            <w:tcBorders>
              <w:bottom w:val="single" w:sz="8" w:color="auto"/>
            </w:tcBorders>
            <w:gridSpan w:val="4"/>
          </w:tcPr>
          <w:p>
            <w:pPr>
              <w:jc w:val="right"/>
              <w:ind w:right="1074"/>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440" w:type="dxa"/>
            <w:vAlign w:val="bottom"/>
          </w:tcPr>
          <w:p>
            <w:pPr>
              <w:spacing w:after="0"/>
              <w:rPr>
                <w:sz w:val="12"/>
                <w:szCs w:val="12"/>
                <w:color w:val="auto"/>
              </w:rPr>
            </w:pPr>
          </w:p>
        </w:tc>
        <w:tc>
          <w:tcPr>
            <w:tcW w:w="1660" w:type="dxa"/>
            <w:vAlign w:val="bottom"/>
            <w:tcBorders>
              <w:bottom w:val="single" w:sz="8" w:color="auto"/>
            </w:tcBorders>
          </w:tcPr>
          <w:p>
            <w:pPr>
              <w:jc w:val="right"/>
              <w:ind w:right="339"/>
              <w:spacing w:after="0" w:line="143" w:lineRule="exact"/>
              <w:rPr>
                <w:sz w:val="20"/>
                <w:szCs w:val="20"/>
                <w:color w:val="auto"/>
              </w:rPr>
            </w:pPr>
            <w:r>
              <w:rPr>
                <w:rFonts w:ascii="Arial" w:cs="Arial" w:eastAsia="Arial" w:hAnsi="Arial"/>
                <w:sz w:val="13"/>
                <w:szCs w:val="13"/>
                <w:b w:val="1"/>
                <w:bCs w:val="1"/>
                <w:color w:val="auto"/>
              </w:rPr>
              <w:t>June 30, 2022</w:t>
            </w:r>
          </w:p>
        </w:tc>
        <w:tc>
          <w:tcPr>
            <w:tcW w:w="2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314"/>
              <w:spacing w:after="0" w:line="143" w:lineRule="exact"/>
              <w:rPr>
                <w:sz w:val="20"/>
                <w:szCs w:val="20"/>
                <w:color w:val="auto"/>
              </w:rPr>
            </w:pPr>
            <w:r>
              <w:rPr>
                <w:rFonts w:ascii="Arial" w:cs="Arial" w:eastAsia="Arial" w:hAnsi="Arial"/>
                <w:sz w:val="13"/>
                <w:szCs w:val="13"/>
                <w:b w:val="1"/>
                <w:bCs w:val="1"/>
                <w:color w:val="auto"/>
              </w:rPr>
              <w:t>June 30, 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1660" w:type="dxa"/>
            <w:vAlign w:val="bottom"/>
          </w:tcPr>
          <w:p>
            <w:pPr>
              <w:jc w:val="right"/>
              <w:ind w:right="79"/>
              <w:spacing w:after="0" w:line="142" w:lineRule="exact"/>
              <w:rPr>
                <w:sz w:val="20"/>
                <w:szCs w:val="20"/>
                <w:color w:val="auto"/>
              </w:rPr>
            </w:pPr>
            <w:r>
              <w:rPr>
                <w:rFonts w:ascii="Arial" w:cs="Arial" w:eastAsia="Arial" w:hAnsi="Arial"/>
                <w:sz w:val="13"/>
                <w:szCs w:val="13"/>
                <w:b w:val="1"/>
                <w:bCs w:val="1"/>
                <w:color w:val="auto"/>
              </w:rPr>
              <w:t>(In</w:t>
            </w:r>
          </w:p>
        </w:tc>
        <w:tc>
          <w:tcPr>
            <w:tcW w:w="62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w w:val="85"/>
              </w:rPr>
              <w:t>thousands)</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Weighted average:</w:t>
            </w:r>
          </w:p>
        </w:tc>
        <w:tc>
          <w:tcPr>
            <w:tcW w:w="1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440" w:type="dxa"/>
            <w:vAlign w:val="bottom"/>
          </w:tcPr>
          <w:p>
            <w:pPr>
              <w:spacing w:after="0" w:line="175" w:lineRule="exact"/>
              <w:rPr>
                <w:sz w:val="20"/>
                <w:szCs w:val="20"/>
                <w:color w:val="auto"/>
              </w:rPr>
            </w:pPr>
            <w:r>
              <w:rPr>
                <w:rFonts w:ascii="Arial" w:cs="Arial" w:eastAsia="Arial" w:hAnsi="Arial"/>
                <w:sz w:val="18"/>
                <w:szCs w:val="18"/>
                <w:color w:val="auto"/>
              </w:rPr>
              <w:t>Common shares outstanding used in</w:t>
            </w:r>
          </w:p>
        </w:tc>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40" w:type="dxa"/>
            <w:vAlign w:val="bottom"/>
          </w:tcPr>
          <w:p>
            <w:pPr>
              <w:ind w:left="160"/>
              <w:spacing w:after="0" w:line="176" w:lineRule="exact"/>
              <w:rPr>
                <w:sz w:val="20"/>
                <w:szCs w:val="20"/>
                <w:color w:val="auto"/>
              </w:rPr>
            </w:pPr>
            <w:r>
              <w:rPr>
                <w:rFonts w:ascii="Arial" w:cs="Arial" w:eastAsia="Arial" w:hAnsi="Arial"/>
                <w:sz w:val="18"/>
                <w:szCs w:val="18"/>
                <w:color w:val="auto"/>
              </w:rPr>
              <w:t>calculating basic net income (loss)</w:t>
            </w:r>
          </w:p>
        </w:tc>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40" w:type="dxa"/>
            <w:vAlign w:val="bottom"/>
          </w:tcPr>
          <w:p>
            <w:pPr>
              <w:ind w:left="160"/>
              <w:spacing w:after="0" w:line="176" w:lineRule="exact"/>
              <w:rPr>
                <w:sz w:val="20"/>
                <w:szCs w:val="20"/>
                <w:color w:val="auto"/>
              </w:rPr>
            </w:pPr>
            <w:r>
              <w:rPr>
                <w:rFonts w:ascii="Arial" w:cs="Arial" w:eastAsia="Arial" w:hAnsi="Arial"/>
                <w:sz w:val="18"/>
                <w:szCs w:val="18"/>
                <w:color w:val="auto"/>
              </w:rPr>
              <w:t>per share attributable to Viasat, Inc.</w:t>
            </w:r>
          </w:p>
        </w:tc>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160"/>
              <w:spacing w:after="0" w:line="203" w:lineRule="exact"/>
              <w:rPr>
                <w:sz w:val="20"/>
                <w:szCs w:val="20"/>
                <w:color w:val="auto"/>
              </w:rPr>
            </w:pPr>
            <w:r>
              <w:rPr>
                <w:rFonts w:ascii="Arial" w:cs="Arial" w:eastAsia="Arial" w:hAnsi="Arial"/>
                <w:sz w:val="18"/>
                <w:szCs w:val="18"/>
                <w:color w:val="auto"/>
              </w:rPr>
              <w:t>common stockholders</w:t>
            </w:r>
          </w:p>
        </w:tc>
        <w:tc>
          <w:tcPr>
            <w:tcW w:w="1660" w:type="dxa"/>
            <w:vAlign w:val="bottom"/>
          </w:tcPr>
          <w:p>
            <w:pPr>
              <w:jc w:val="right"/>
              <w:spacing w:after="0" w:line="203" w:lineRule="exact"/>
              <w:rPr>
                <w:sz w:val="20"/>
                <w:szCs w:val="20"/>
                <w:color w:val="auto"/>
              </w:rPr>
            </w:pPr>
            <w:r>
              <w:rPr>
                <w:rFonts w:ascii="Arial" w:cs="Arial" w:eastAsia="Arial" w:hAnsi="Arial"/>
                <w:sz w:val="18"/>
                <w:szCs w:val="18"/>
                <w:color w:val="auto"/>
              </w:rPr>
              <w:t>74,863</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71,543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440" w:type="dxa"/>
            <w:vAlign w:val="bottom"/>
            <w:shd w:val="clear" w:color="auto" w:fill="CFF0FC"/>
          </w:tcPr>
          <w:p>
            <w:pPr>
              <w:spacing w:after="0" w:line="175" w:lineRule="exact"/>
              <w:rPr>
                <w:sz w:val="20"/>
                <w:szCs w:val="20"/>
                <w:color w:val="auto"/>
              </w:rPr>
            </w:pPr>
            <w:r>
              <w:rPr>
                <w:rFonts w:ascii="Arial" w:cs="Arial" w:eastAsia="Arial" w:hAnsi="Arial"/>
                <w:sz w:val="18"/>
                <w:szCs w:val="18"/>
                <w:color w:val="auto"/>
              </w:rPr>
              <w:t>Options to purchase common stock as</w:t>
            </w:r>
          </w:p>
        </w:tc>
        <w:tc>
          <w:tcPr>
            <w:tcW w:w="1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40" w:type="dxa"/>
            <w:vAlign w:val="bottom"/>
            <w:shd w:val="clear" w:color="auto" w:fill="CFF0FC"/>
          </w:tcPr>
          <w:p>
            <w:pPr>
              <w:ind w:left="160"/>
              <w:spacing w:after="0" w:line="176" w:lineRule="exact"/>
              <w:rPr>
                <w:sz w:val="20"/>
                <w:szCs w:val="20"/>
                <w:color w:val="auto"/>
              </w:rPr>
            </w:pPr>
            <w:r>
              <w:rPr>
                <w:rFonts w:ascii="Arial" w:cs="Arial" w:eastAsia="Arial" w:hAnsi="Arial"/>
                <w:sz w:val="18"/>
                <w:szCs w:val="18"/>
                <w:color w:val="auto"/>
              </w:rPr>
              <w:t>determined by application of the</w:t>
            </w:r>
          </w:p>
        </w:tc>
        <w:tc>
          <w:tcPr>
            <w:tcW w:w="1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treasury stock method</w:t>
            </w:r>
          </w:p>
        </w:tc>
        <w:tc>
          <w:tcPr>
            <w:tcW w:w="2280" w:type="dxa"/>
            <w:vAlign w:val="bottom"/>
            <w:gridSpan w:val="3"/>
            <w:shd w:val="clear" w:color="auto" w:fill="CFF0FC"/>
          </w:tcPr>
          <w:p>
            <w:pPr>
              <w:jc w:val="right"/>
              <w:ind w:right="620"/>
              <w:spacing w:after="0" w:line="203"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440" w:type="dxa"/>
            <w:vAlign w:val="bottom"/>
          </w:tcPr>
          <w:p>
            <w:pPr>
              <w:spacing w:after="0" w:line="175" w:lineRule="exact"/>
              <w:rPr>
                <w:sz w:val="20"/>
                <w:szCs w:val="20"/>
                <w:color w:val="auto"/>
              </w:rPr>
            </w:pPr>
            <w:r>
              <w:rPr>
                <w:rFonts w:ascii="Arial" w:cs="Arial" w:eastAsia="Arial" w:hAnsi="Arial"/>
                <w:sz w:val="18"/>
                <w:szCs w:val="18"/>
                <w:color w:val="auto"/>
              </w:rPr>
              <w:t>TSR performance stock options to</w:t>
            </w:r>
          </w:p>
        </w:tc>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40" w:type="dxa"/>
            <w:vAlign w:val="bottom"/>
          </w:tcPr>
          <w:p>
            <w:pPr>
              <w:ind w:left="160"/>
              <w:spacing w:after="0" w:line="176" w:lineRule="exact"/>
              <w:rPr>
                <w:sz w:val="20"/>
                <w:szCs w:val="20"/>
                <w:color w:val="auto"/>
              </w:rPr>
            </w:pPr>
            <w:r>
              <w:rPr>
                <w:rFonts w:ascii="Arial" w:cs="Arial" w:eastAsia="Arial" w:hAnsi="Arial"/>
                <w:sz w:val="18"/>
                <w:szCs w:val="18"/>
                <w:color w:val="auto"/>
              </w:rPr>
              <w:t>purchase common stock as</w:t>
            </w:r>
          </w:p>
        </w:tc>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40" w:type="dxa"/>
            <w:vAlign w:val="bottom"/>
          </w:tcPr>
          <w:p>
            <w:pPr>
              <w:ind w:left="160"/>
              <w:spacing w:after="0" w:line="176" w:lineRule="exact"/>
              <w:rPr>
                <w:sz w:val="20"/>
                <w:szCs w:val="20"/>
                <w:color w:val="auto"/>
              </w:rPr>
            </w:pPr>
            <w:r>
              <w:rPr>
                <w:rFonts w:ascii="Arial" w:cs="Arial" w:eastAsia="Arial" w:hAnsi="Arial"/>
                <w:sz w:val="18"/>
                <w:szCs w:val="18"/>
                <w:color w:val="auto"/>
              </w:rPr>
              <w:t>determined by application of the</w:t>
            </w:r>
          </w:p>
        </w:tc>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160"/>
              <w:spacing w:after="0" w:line="203" w:lineRule="exact"/>
              <w:rPr>
                <w:sz w:val="20"/>
                <w:szCs w:val="20"/>
                <w:color w:val="auto"/>
              </w:rPr>
            </w:pPr>
            <w:r>
              <w:rPr>
                <w:rFonts w:ascii="Arial" w:cs="Arial" w:eastAsia="Arial" w:hAnsi="Arial"/>
                <w:sz w:val="18"/>
                <w:szCs w:val="18"/>
                <w:color w:val="auto"/>
              </w:rPr>
              <w:t>treasury stock method</w:t>
            </w:r>
          </w:p>
        </w:tc>
        <w:tc>
          <w:tcPr>
            <w:tcW w:w="2280" w:type="dxa"/>
            <w:vAlign w:val="bottom"/>
            <w:gridSpan w:val="3"/>
          </w:tcPr>
          <w:p>
            <w:pPr>
              <w:jc w:val="right"/>
              <w:ind w:right="620"/>
              <w:spacing w:after="0" w:line="203"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440" w:type="dxa"/>
            <w:vAlign w:val="bottom"/>
            <w:shd w:val="clear" w:color="auto" w:fill="CFF0FC"/>
          </w:tcPr>
          <w:p>
            <w:pPr>
              <w:spacing w:after="0" w:line="175" w:lineRule="exact"/>
              <w:rPr>
                <w:sz w:val="20"/>
                <w:szCs w:val="20"/>
                <w:color w:val="auto"/>
              </w:rPr>
            </w:pPr>
            <w:r>
              <w:rPr>
                <w:rFonts w:ascii="Arial" w:cs="Arial" w:eastAsia="Arial" w:hAnsi="Arial"/>
                <w:sz w:val="18"/>
                <w:szCs w:val="18"/>
                <w:color w:val="auto"/>
              </w:rPr>
              <w:t>Restricted stock units to acquire</w:t>
            </w:r>
          </w:p>
        </w:tc>
        <w:tc>
          <w:tcPr>
            <w:tcW w:w="1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40" w:type="dxa"/>
            <w:vAlign w:val="bottom"/>
            <w:shd w:val="clear" w:color="auto" w:fill="CFF0FC"/>
          </w:tcPr>
          <w:p>
            <w:pPr>
              <w:ind w:left="160"/>
              <w:spacing w:after="0" w:line="176" w:lineRule="exact"/>
              <w:rPr>
                <w:sz w:val="20"/>
                <w:szCs w:val="20"/>
                <w:color w:val="auto"/>
              </w:rPr>
            </w:pPr>
            <w:r>
              <w:rPr>
                <w:rFonts w:ascii="Arial" w:cs="Arial" w:eastAsia="Arial" w:hAnsi="Arial"/>
                <w:sz w:val="18"/>
                <w:szCs w:val="18"/>
                <w:color w:val="auto"/>
              </w:rPr>
              <w:t>common stock as determined by</w:t>
            </w:r>
          </w:p>
        </w:tc>
        <w:tc>
          <w:tcPr>
            <w:tcW w:w="1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40" w:type="dxa"/>
            <w:vAlign w:val="bottom"/>
            <w:shd w:val="clear" w:color="auto" w:fill="CFF0FC"/>
          </w:tcPr>
          <w:p>
            <w:pPr>
              <w:ind w:left="160"/>
              <w:spacing w:after="0" w:line="176" w:lineRule="exact"/>
              <w:rPr>
                <w:sz w:val="20"/>
                <w:szCs w:val="20"/>
                <w:color w:val="auto"/>
              </w:rPr>
            </w:pPr>
            <w:r>
              <w:rPr>
                <w:rFonts w:ascii="Arial" w:cs="Arial" w:eastAsia="Arial" w:hAnsi="Arial"/>
                <w:sz w:val="18"/>
                <w:szCs w:val="18"/>
                <w:color w:val="auto"/>
              </w:rPr>
              <w:t>application of the treasury stock</w:t>
            </w:r>
          </w:p>
        </w:tc>
        <w:tc>
          <w:tcPr>
            <w:tcW w:w="1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method</w:t>
            </w:r>
          </w:p>
        </w:tc>
        <w:tc>
          <w:tcPr>
            <w:tcW w:w="2280" w:type="dxa"/>
            <w:vAlign w:val="bottom"/>
            <w:gridSpan w:val="3"/>
            <w:shd w:val="clear" w:color="auto" w:fill="CFF0FC"/>
          </w:tcPr>
          <w:p>
            <w:pPr>
              <w:jc w:val="right"/>
              <w:ind w:right="620"/>
              <w:spacing w:after="0" w:line="203"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440" w:type="dxa"/>
            <w:vAlign w:val="bottom"/>
          </w:tcPr>
          <w:p>
            <w:pPr>
              <w:spacing w:after="0" w:line="175" w:lineRule="exact"/>
              <w:rPr>
                <w:sz w:val="20"/>
                <w:szCs w:val="20"/>
                <w:color w:val="auto"/>
              </w:rPr>
            </w:pPr>
            <w:r>
              <w:rPr>
                <w:rFonts w:ascii="Arial" w:cs="Arial" w:eastAsia="Arial" w:hAnsi="Arial"/>
                <w:sz w:val="18"/>
                <w:szCs w:val="18"/>
                <w:color w:val="auto"/>
              </w:rPr>
              <w:t>Potentially issuable shares in</w:t>
            </w:r>
          </w:p>
        </w:tc>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40" w:type="dxa"/>
            <w:vAlign w:val="bottom"/>
          </w:tcPr>
          <w:p>
            <w:pPr>
              <w:ind w:left="160"/>
              <w:spacing w:after="0" w:line="176" w:lineRule="exact"/>
              <w:rPr>
                <w:sz w:val="20"/>
                <w:szCs w:val="20"/>
                <w:color w:val="auto"/>
              </w:rPr>
            </w:pPr>
            <w:r>
              <w:rPr>
                <w:rFonts w:ascii="Arial" w:cs="Arial" w:eastAsia="Arial" w:hAnsi="Arial"/>
                <w:sz w:val="18"/>
                <w:szCs w:val="18"/>
                <w:color w:val="auto"/>
              </w:rPr>
              <w:t>connection with certain terms</w:t>
            </w:r>
          </w:p>
        </w:tc>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40" w:type="dxa"/>
            <w:vAlign w:val="bottom"/>
          </w:tcPr>
          <w:p>
            <w:pPr>
              <w:ind w:left="160"/>
              <w:spacing w:after="0" w:line="176" w:lineRule="exact"/>
              <w:rPr>
                <w:sz w:val="20"/>
                <w:szCs w:val="20"/>
                <w:color w:val="auto"/>
              </w:rPr>
            </w:pPr>
            <w:r>
              <w:rPr>
                <w:rFonts w:ascii="Arial" w:cs="Arial" w:eastAsia="Arial" w:hAnsi="Arial"/>
                <w:sz w:val="18"/>
                <w:szCs w:val="18"/>
                <w:color w:val="auto"/>
              </w:rPr>
              <w:t>of the Viasat 401(k) Profit</w:t>
            </w:r>
          </w:p>
        </w:tc>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40" w:type="dxa"/>
            <w:vAlign w:val="bottom"/>
          </w:tcPr>
          <w:p>
            <w:pPr>
              <w:ind w:left="160"/>
              <w:spacing w:after="0" w:line="176" w:lineRule="exact"/>
              <w:rPr>
                <w:sz w:val="20"/>
                <w:szCs w:val="20"/>
                <w:color w:val="auto"/>
              </w:rPr>
            </w:pPr>
            <w:r>
              <w:rPr>
                <w:rFonts w:ascii="Arial" w:cs="Arial" w:eastAsia="Arial" w:hAnsi="Arial"/>
                <w:sz w:val="18"/>
                <w:szCs w:val="18"/>
                <w:color w:val="auto"/>
              </w:rPr>
              <w:t>Sharing Plan and Employee Stock</w:t>
            </w:r>
          </w:p>
        </w:tc>
        <w:tc>
          <w:tcPr>
            <w:tcW w:w="2280" w:type="dxa"/>
            <w:vAlign w:val="bottom"/>
            <w:gridSpan w:val="3"/>
            <w:vMerge w:val="restart"/>
          </w:tcPr>
          <w:p>
            <w:pPr>
              <w:jc w:val="right"/>
              <w:ind w:right="62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440" w:type="dxa"/>
            <w:vAlign w:val="bottom"/>
          </w:tcPr>
          <w:p>
            <w:pPr>
              <w:ind w:left="160"/>
              <w:spacing w:after="0" w:line="190" w:lineRule="exact"/>
              <w:rPr>
                <w:sz w:val="20"/>
                <w:szCs w:val="20"/>
                <w:color w:val="auto"/>
              </w:rPr>
            </w:pPr>
            <w:r>
              <w:rPr>
                <w:rFonts w:ascii="Arial" w:cs="Arial" w:eastAsia="Arial" w:hAnsi="Arial"/>
                <w:sz w:val="18"/>
                <w:szCs w:val="18"/>
                <w:color w:val="auto"/>
              </w:rPr>
              <w:t>Purchase Plan</w:t>
            </w:r>
          </w:p>
        </w:tc>
        <w:tc>
          <w:tcPr>
            <w:tcW w:w="2280" w:type="dxa"/>
            <w:vAlign w:val="bottom"/>
            <w:gridSpan w:val="3"/>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6440" w:type="dxa"/>
            <w:vAlign w:val="bottom"/>
            <w:shd w:val="clear" w:color="auto" w:fill="CFF0FC"/>
          </w:tcPr>
          <w:p>
            <w:pPr>
              <w:spacing w:after="0" w:line="168" w:lineRule="exact"/>
              <w:rPr>
                <w:sz w:val="20"/>
                <w:szCs w:val="20"/>
                <w:color w:val="auto"/>
              </w:rPr>
            </w:pPr>
            <w:r>
              <w:rPr>
                <w:rFonts w:ascii="Arial" w:cs="Arial" w:eastAsia="Arial" w:hAnsi="Arial"/>
                <w:sz w:val="18"/>
                <w:szCs w:val="18"/>
                <w:color w:val="auto"/>
              </w:rPr>
              <w:t>Shares used in computing diluted net</w:t>
            </w:r>
          </w:p>
        </w:tc>
        <w:tc>
          <w:tcPr>
            <w:tcW w:w="166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12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40" w:type="dxa"/>
            <w:vAlign w:val="bottom"/>
            <w:shd w:val="clear" w:color="auto" w:fill="CFF0FC"/>
          </w:tcPr>
          <w:p>
            <w:pPr>
              <w:ind w:left="160"/>
              <w:spacing w:after="0" w:line="176" w:lineRule="exact"/>
              <w:rPr>
                <w:sz w:val="20"/>
                <w:szCs w:val="20"/>
                <w:color w:val="auto"/>
              </w:rPr>
            </w:pPr>
            <w:r>
              <w:rPr>
                <w:rFonts w:ascii="Arial" w:cs="Arial" w:eastAsia="Arial" w:hAnsi="Arial"/>
                <w:sz w:val="18"/>
                <w:szCs w:val="18"/>
                <w:color w:val="auto"/>
              </w:rPr>
              <w:t>income (loss) per share attributable</w:t>
            </w:r>
          </w:p>
        </w:tc>
        <w:tc>
          <w:tcPr>
            <w:tcW w:w="1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74,863</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72,818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40" w:type="dxa"/>
            <w:vAlign w:val="bottom"/>
            <w:tcBorders>
              <w:bottom w:val="single" w:sz="8" w:color="CFF0FC"/>
            </w:tcBorders>
            <w:shd w:val="clear" w:color="auto" w:fill="CFF0FC"/>
          </w:tcPr>
          <w:p>
            <w:pPr>
              <w:ind w:left="160"/>
              <w:spacing w:after="0" w:line="143" w:lineRule="exact"/>
              <w:rPr>
                <w:sz w:val="20"/>
                <w:szCs w:val="20"/>
                <w:color w:val="auto"/>
              </w:rPr>
            </w:pPr>
            <w:r>
              <w:rPr>
                <w:rFonts w:ascii="Arial" w:cs="Arial" w:eastAsia="Arial" w:hAnsi="Arial"/>
                <w:sz w:val="16"/>
                <w:szCs w:val="16"/>
                <w:color w:val="auto"/>
              </w:rPr>
              <w:t>to Viasat, Inc. common stockholders</w:t>
            </w:r>
          </w:p>
        </w:tc>
        <w:tc>
          <w:tcPr>
            <w:tcW w:w="1660" w:type="dxa"/>
            <w:vAlign w:val="bottom"/>
            <w:tcBorders>
              <w:bottom w:val="single" w:sz="8" w:color="auto"/>
            </w:tcBorders>
            <w:vMerge w:val="continue"/>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-25400</wp:posOffset>
            </wp:positionV>
            <wp:extent cx="603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-8255</wp:posOffset>
            </wp:positionV>
            <wp:extent cx="603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2"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The weighted average number of shares used to calculate basic and diluted net loss per share attributable to Viasat, Inc. common stockholders is the same for the three months ended June 30, 2022 as the Company incurred a net loss attributable to Viasat, Inc. common stockholders for the period and inclusion of potentially dilutive weighted average shares of common stock would be antidilutive. Potentially dilutive weighted average shares excluded from the calculation for the three months ended June 30, 2022 consisted of 606,634 shares related to stock options (other than TSR performance stock options),182,609 shares related to TSR performance stock options, 2,699,956 shares related to restricted stock units and 716,346 shares related to certain terms of the Viasat 401(k) Profit Sharing Plan and Employee Stock Purchase Plan.</w:t>
      </w:r>
    </w:p>
    <w:p>
      <w:pPr>
        <w:spacing w:after="0" w:line="189" w:lineRule="exact"/>
        <w:rPr>
          <w:sz w:val="20"/>
          <w:szCs w:val="20"/>
          <w:color w:val="auto"/>
        </w:rPr>
      </w:pPr>
    </w:p>
    <w:p>
      <w:pPr>
        <w:ind w:right="320" w:firstLine="509"/>
        <w:spacing w:after="0"/>
        <w:rPr>
          <w:sz w:val="20"/>
          <w:szCs w:val="20"/>
          <w:color w:val="auto"/>
        </w:rPr>
      </w:pPr>
      <w:r>
        <w:rPr>
          <w:rFonts w:ascii="Arial" w:cs="Arial" w:eastAsia="Arial" w:hAnsi="Arial"/>
          <w:sz w:val="18"/>
          <w:szCs w:val="18"/>
          <w:color w:val="auto"/>
        </w:rPr>
        <w:t>Antidilutive shares excluded from the calculation for the three months ended June 30, 2021 consisted of 960,080 shares related to stock options (other than TSR performance stock options), no shares related to TSR performance stock options, and 1,390,251 shares related to restricted stock units.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Acquired Intangible Assets</w:t>
      </w:r>
    </w:p>
    <w:p>
      <w:pPr>
        <w:spacing w:after="0" w:line="99" w:lineRule="exact"/>
        <w:rPr>
          <w:sz w:val="20"/>
          <w:szCs w:val="20"/>
          <w:color w:val="auto"/>
        </w:rPr>
      </w:pPr>
    </w:p>
    <w:p>
      <w:pPr>
        <w:ind w:right="640" w:firstLine="509"/>
        <w:spacing w:after="0" w:line="246" w:lineRule="auto"/>
        <w:rPr>
          <w:sz w:val="20"/>
          <w:szCs w:val="20"/>
          <w:color w:val="auto"/>
        </w:rPr>
      </w:pPr>
      <w:r>
        <w:rPr>
          <w:rFonts w:ascii="Arial" w:cs="Arial" w:eastAsia="Arial" w:hAnsi="Arial"/>
          <w:sz w:val="18"/>
          <w:szCs w:val="18"/>
          <w:color w:val="auto"/>
        </w:rPr>
        <w:t>During the three months ended June 30, 2022 and 2021, the decrease in the Company’s goodwill primarily related to a foreign currency translation effect recorded within all three of the Company’s segments.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Other acquired intangible assets are amortized using the straight-line method over their estimated useful lives of two to 20 years (which approximates the economic pattern of benefit). Amortization expense related to other acquired intangible assets was $7.5 million and $5.9 million for the three months ended June 30, 2022 and 2021, respectively.</w:t>
      </w:r>
    </w:p>
    <w:p>
      <w:pPr>
        <w:spacing w:after="0" w:line="149" w:lineRule="exact"/>
        <w:rPr>
          <w:sz w:val="20"/>
          <w:szCs w:val="20"/>
          <w:color w:val="auto"/>
        </w:rPr>
      </w:pPr>
    </w:p>
    <w:p>
      <w:pPr>
        <w:ind w:right="220" w:firstLine="509"/>
        <w:spacing w:after="0"/>
        <w:rPr>
          <w:sz w:val="20"/>
          <w:szCs w:val="20"/>
          <w:color w:val="auto"/>
        </w:rPr>
      </w:pPr>
      <w:r>
        <w:rPr>
          <w:rFonts w:ascii="Arial" w:cs="Arial" w:eastAsia="Arial" w:hAnsi="Arial"/>
          <w:sz w:val="18"/>
          <w:szCs w:val="18"/>
          <w:color w:val="auto"/>
        </w:rPr>
        <w:t>The expected amortization expense of amortizable acquired intangible assets may change due to the effects of foreign currency fluctuations as a result of international businesses acquired. The current and expected amortization expense for acquired intangible assets for each of the following periods is as follows:</w:t>
      </w:r>
    </w:p>
    <w:p>
      <w:pPr>
        <w:spacing w:after="0" w:line="177"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17780</wp:posOffset>
            </wp:positionV>
            <wp:extent cx="11144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9"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(In thousands)</w:t>
      </w:r>
    </w:p>
    <w:p>
      <w:pPr>
        <w:sectPr>
          <w:pgSz w:w="11900" w:h="16838" w:orient="portrait"/>
          <w:cols w:equalWidth="0" w:num="1">
            <w:col w:w="11240"/>
          </w:cols>
          <w:pgMar w:left="320" w:top="118" w:right="339" w:bottom="1440" w:gutter="0" w:footer="0" w:header="0"/>
        </w:sectPr>
      </w:pPr>
    </w:p>
    <w:p>
      <w:pPr>
        <w:spacing w:after="0" w:line="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the three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6412230"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Expected for the remainder of fiscal year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-123190</wp:posOffset>
            </wp:positionV>
            <wp:extent cx="6412230"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Expected for fiscal year 2024</w:t>
      </w:r>
    </w:p>
    <w:p>
      <w:pPr>
        <w:ind w:left="580"/>
        <w:spacing w:after="0" w:line="234" w:lineRule="auto"/>
        <w:rPr>
          <w:sz w:val="20"/>
          <w:szCs w:val="20"/>
          <w:color w:val="auto"/>
        </w:rPr>
      </w:pPr>
      <w:r>
        <w:rPr>
          <w:rFonts w:ascii="Arial" w:cs="Arial" w:eastAsia="Arial" w:hAnsi="Arial"/>
          <w:sz w:val="18"/>
          <w:szCs w:val="18"/>
          <w:color w:val="auto"/>
        </w:rPr>
        <w:t>Expected for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-127000</wp:posOffset>
            </wp:positionV>
            <wp:extent cx="6412230"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580"/>
        <w:spacing w:after="0" w:line="235" w:lineRule="auto"/>
        <w:rPr>
          <w:sz w:val="20"/>
          <w:szCs w:val="20"/>
          <w:color w:val="auto"/>
        </w:rPr>
      </w:pPr>
      <w:r>
        <w:rPr>
          <w:rFonts w:ascii="Arial" w:cs="Arial" w:eastAsia="Arial" w:hAnsi="Arial"/>
          <w:sz w:val="18"/>
          <w:szCs w:val="18"/>
          <w:color w:val="auto"/>
        </w:rPr>
        <w:t>Expected for fiscal year 2026</w:t>
      </w:r>
    </w:p>
    <w:p>
      <w:pPr>
        <w:ind w:left="580"/>
        <w:spacing w:after="0" w:line="235" w:lineRule="auto"/>
        <w:rPr>
          <w:sz w:val="20"/>
          <w:szCs w:val="20"/>
          <w:color w:val="auto"/>
        </w:rPr>
      </w:pPr>
      <w:r>
        <w:rPr>
          <w:rFonts w:ascii="Arial" w:cs="Arial" w:eastAsia="Arial" w:hAnsi="Arial"/>
          <w:sz w:val="18"/>
          <w:szCs w:val="18"/>
          <w:color w:val="auto"/>
        </w:rPr>
        <w:t>Expected for fiscal year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-127000</wp:posOffset>
            </wp:positionV>
            <wp:extent cx="6412230" cy="1282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412230" cy="12827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6350</wp:posOffset>
            </wp:positionV>
            <wp:extent cx="641223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1283" w:hanging="1283"/>
        <w:spacing w:after="0"/>
        <w:tabs>
          <w:tab w:leader="none" w:pos="1283" w:val="left"/>
        </w:tabs>
        <w:numPr>
          <w:ilvl w:val="0"/>
          <w:numId w:val="6"/>
        </w:numPr>
        <w:rPr>
          <w:rFonts w:ascii="Arial" w:cs="Arial" w:eastAsia="Arial" w:hAnsi="Arial"/>
          <w:sz w:val="17"/>
          <w:szCs w:val="17"/>
          <w:color w:val="auto"/>
        </w:rPr>
      </w:pPr>
      <w:r>
        <w:rPr>
          <w:rFonts w:ascii="Arial" w:cs="Arial" w:eastAsia="Arial" w:hAnsi="Arial"/>
          <w:sz w:val="17"/>
          <w:szCs w:val="17"/>
          <w:color w:val="auto"/>
        </w:rPr>
        <w:t>7,523</w:t>
      </w:r>
    </w:p>
    <w:p>
      <w:pPr>
        <w:spacing w:after="0" w:line="210" w:lineRule="exact"/>
        <w:rPr>
          <w:sz w:val="20"/>
          <w:szCs w:val="20"/>
          <w:color w:val="auto"/>
        </w:rPr>
      </w:pPr>
    </w:p>
    <w:p>
      <w:pPr>
        <w:ind w:left="1183" w:hanging="1183"/>
        <w:spacing w:after="0"/>
        <w:tabs>
          <w:tab w:leader="none" w:pos="1183" w:val="left"/>
        </w:tabs>
        <w:numPr>
          <w:ilvl w:val="0"/>
          <w:numId w:val="7"/>
        </w:numPr>
        <w:rPr>
          <w:rFonts w:ascii="Arial" w:cs="Arial" w:eastAsia="Arial" w:hAnsi="Arial"/>
          <w:sz w:val="17"/>
          <w:szCs w:val="17"/>
          <w:color w:val="auto"/>
        </w:rPr>
      </w:pPr>
      <w:r>
        <w:rPr>
          <w:rFonts w:ascii="Arial" w:cs="Arial" w:eastAsia="Arial" w:hAnsi="Arial"/>
          <w:sz w:val="17"/>
          <w:szCs w:val="17"/>
          <w:color w:val="auto"/>
        </w:rPr>
        <w:t>22,557</w:t>
      </w:r>
    </w:p>
    <w:p>
      <w:pPr>
        <w:spacing w:after="0" w:line="7" w:lineRule="exact"/>
        <w:rPr>
          <w:rFonts w:ascii="Arial" w:cs="Arial" w:eastAsia="Arial" w:hAnsi="Arial"/>
          <w:sz w:val="17"/>
          <w:szCs w:val="17"/>
          <w:color w:val="auto"/>
        </w:rPr>
      </w:pPr>
    </w:p>
    <w:p>
      <w:pPr>
        <w:ind w:left="1183"/>
        <w:spacing w:after="0"/>
        <w:rPr>
          <w:rFonts w:ascii="Arial" w:cs="Arial" w:eastAsia="Arial" w:hAnsi="Arial"/>
          <w:sz w:val="17"/>
          <w:szCs w:val="17"/>
          <w:color w:val="auto"/>
        </w:rPr>
      </w:pPr>
      <w:r>
        <w:rPr>
          <w:rFonts w:ascii="Arial" w:cs="Arial" w:eastAsia="Arial" w:hAnsi="Arial"/>
          <w:sz w:val="17"/>
          <w:szCs w:val="17"/>
          <w:color w:val="auto"/>
        </w:rPr>
        <w:t>28,733</w:t>
      </w:r>
    </w:p>
    <w:p>
      <w:pPr>
        <w:spacing w:after="0" w:line="7" w:lineRule="exact"/>
        <w:rPr>
          <w:rFonts w:ascii="Arial" w:cs="Arial" w:eastAsia="Arial" w:hAnsi="Arial"/>
          <w:sz w:val="17"/>
          <w:szCs w:val="17"/>
          <w:color w:val="auto"/>
        </w:rPr>
      </w:pPr>
    </w:p>
    <w:p>
      <w:pPr>
        <w:ind w:left="1183"/>
        <w:spacing w:after="0"/>
        <w:rPr>
          <w:rFonts w:ascii="Arial" w:cs="Arial" w:eastAsia="Arial" w:hAnsi="Arial"/>
          <w:sz w:val="17"/>
          <w:szCs w:val="17"/>
          <w:color w:val="auto"/>
        </w:rPr>
      </w:pPr>
      <w:r>
        <w:rPr>
          <w:rFonts w:ascii="Arial" w:cs="Arial" w:eastAsia="Arial" w:hAnsi="Arial"/>
          <w:sz w:val="17"/>
          <w:szCs w:val="17"/>
          <w:color w:val="auto"/>
        </w:rPr>
        <w:t>26,701</w:t>
      </w:r>
    </w:p>
    <w:p>
      <w:pPr>
        <w:spacing w:after="0" w:line="7" w:lineRule="exact"/>
        <w:rPr>
          <w:rFonts w:ascii="Arial" w:cs="Arial" w:eastAsia="Arial" w:hAnsi="Arial"/>
          <w:sz w:val="17"/>
          <w:szCs w:val="17"/>
          <w:color w:val="auto"/>
        </w:rPr>
      </w:pPr>
    </w:p>
    <w:p>
      <w:pPr>
        <w:ind w:left="1183"/>
        <w:spacing w:after="0"/>
        <w:rPr>
          <w:rFonts w:ascii="Arial" w:cs="Arial" w:eastAsia="Arial" w:hAnsi="Arial"/>
          <w:sz w:val="17"/>
          <w:szCs w:val="17"/>
          <w:color w:val="auto"/>
        </w:rPr>
      </w:pPr>
      <w:r>
        <w:rPr>
          <w:rFonts w:ascii="Arial" w:cs="Arial" w:eastAsia="Arial" w:hAnsi="Arial"/>
          <w:sz w:val="17"/>
          <w:szCs w:val="17"/>
          <w:color w:val="auto"/>
        </w:rPr>
        <w:t>26,549</w:t>
      </w:r>
    </w:p>
    <w:p>
      <w:pPr>
        <w:spacing w:after="0" w:line="7" w:lineRule="exact"/>
        <w:rPr>
          <w:rFonts w:ascii="Arial" w:cs="Arial" w:eastAsia="Arial" w:hAnsi="Arial"/>
          <w:sz w:val="17"/>
          <w:szCs w:val="17"/>
          <w:color w:val="auto"/>
        </w:rPr>
      </w:pPr>
    </w:p>
    <w:p>
      <w:pPr>
        <w:ind w:left="1183"/>
        <w:spacing w:after="0"/>
        <w:rPr>
          <w:rFonts w:ascii="Arial" w:cs="Arial" w:eastAsia="Arial" w:hAnsi="Arial"/>
          <w:sz w:val="17"/>
          <w:szCs w:val="17"/>
          <w:color w:val="auto"/>
        </w:rPr>
      </w:pPr>
      <w:r>
        <w:rPr>
          <w:rFonts w:ascii="Arial" w:cs="Arial" w:eastAsia="Arial" w:hAnsi="Arial"/>
          <w:sz w:val="17"/>
          <w:szCs w:val="17"/>
          <w:color w:val="auto"/>
        </w:rPr>
        <w:t>26,549</w:t>
      </w:r>
    </w:p>
    <w:p>
      <w:pPr>
        <w:spacing w:after="0" w:line="7" w:lineRule="exact"/>
        <w:rPr>
          <w:rFonts w:ascii="Arial" w:cs="Arial" w:eastAsia="Arial" w:hAnsi="Arial"/>
          <w:sz w:val="17"/>
          <w:szCs w:val="17"/>
          <w:color w:val="auto"/>
        </w:rPr>
      </w:pPr>
    </w:p>
    <w:p>
      <w:pPr>
        <w:ind w:left="1183"/>
        <w:spacing w:after="0"/>
        <w:rPr>
          <w:rFonts w:ascii="Arial" w:cs="Arial" w:eastAsia="Arial" w:hAnsi="Arial"/>
          <w:sz w:val="17"/>
          <w:szCs w:val="17"/>
          <w:color w:val="auto"/>
        </w:rPr>
      </w:pPr>
      <w:r>
        <w:rPr>
          <w:rFonts w:ascii="Arial" w:cs="Arial" w:eastAsia="Arial" w:hAnsi="Arial"/>
          <w:sz w:val="17"/>
          <w:szCs w:val="17"/>
          <w:color w:val="auto"/>
        </w:rPr>
        <w:t>91,098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wp:posOffset>
            </wp:positionV>
            <wp:extent cx="11144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1" w:lineRule="exact"/>
        <w:rPr>
          <w:sz w:val="20"/>
          <w:szCs w:val="20"/>
          <w:color w:val="auto"/>
        </w:rPr>
      </w:pPr>
    </w:p>
    <w:p>
      <w:pPr>
        <w:ind w:left="1083" w:hanging="1083"/>
        <w:spacing w:after="0"/>
        <w:tabs>
          <w:tab w:leader="none" w:pos="1083" w:val="left"/>
        </w:tabs>
        <w:numPr>
          <w:ilvl w:val="0"/>
          <w:numId w:val="8"/>
        </w:numPr>
        <w:rPr>
          <w:rFonts w:ascii="Arial" w:cs="Arial" w:eastAsia="Arial" w:hAnsi="Arial"/>
          <w:sz w:val="17"/>
          <w:szCs w:val="17"/>
          <w:color w:val="auto"/>
        </w:rPr>
      </w:pPr>
      <w:r>
        <w:rPr>
          <w:rFonts w:ascii="Arial" w:cs="Arial" w:eastAsia="Arial" w:hAnsi="Arial"/>
          <w:sz w:val="17"/>
          <w:szCs w:val="17"/>
          <w:color w:val="auto"/>
        </w:rPr>
        <w:t>222,187</w:t>
      </w:r>
    </w:p>
    <w:p>
      <w:pPr>
        <w:spacing w:after="0" w:line="200" w:lineRule="exact"/>
        <w:rPr>
          <w:sz w:val="20"/>
          <w:szCs w:val="20"/>
          <w:color w:val="auto"/>
        </w:rPr>
      </w:pPr>
    </w:p>
    <w:p>
      <w:pPr>
        <w:sectPr>
          <w:pgSz w:w="11900" w:h="16838" w:orient="portrait"/>
          <w:cols w:equalWidth="0" w:num="2">
            <w:col w:w="8117" w:space="720"/>
            <w:col w:w="2403"/>
          </w:cols>
          <w:pgMar w:left="320" w:top="118" w:right="339" w:bottom="1440" w:gutter="0" w:footer="0" w:header="0"/>
          <w:type w:val="continuous"/>
        </w:sectPr>
      </w:pP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Senior Notes and Other Long-Term Debt</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long-term debt consisted of the following as of June 30, 2022 and March 31, 2022:</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2"/>
          </w:tcPr>
          <w:p>
            <w:pPr>
              <w:jc w:val="right"/>
              <w:ind w:right="848"/>
              <w:spacing w:after="0"/>
              <w:rPr>
                <w:sz w:val="20"/>
                <w:szCs w:val="20"/>
                <w:color w:val="auto"/>
              </w:rPr>
            </w:pPr>
            <w:r>
              <w:rPr>
                <w:rFonts w:ascii="Arial" w:cs="Arial" w:eastAsia="Arial" w:hAnsi="Arial"/>
                <w:sz w:val="14"/>
                <w:szCs w:val="14"/>
                <w:b w:val="1"/>
                <w:bCs w:val="1"/>
                <w:color w:val="auto"/>
              </w:rPr>
              <w:t>As of</w:t>
            </w:r>
          </w:p>
        </w:tc>
        <w:tc>
          <w:tcPr>
            <w:tcW w:w="360" w:type="dxa"/>
            <w:vAlign w:val="bottom"/>
          </w:tcPr>
          <w:p>
            <w:pPr>
              <w:spacing w:after="0"/>
              <w:rPr>
                <w:sz w:val="14"/>
                <w:szCs w:val="14"/>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As of</w:t>
            </w:r>
          </w:p>
        </w:tc>
      </w:tr>
      <w:tr>
        <w:trPr>
          <w:trHeight w:val="189"/>
        </w:trPr>
        <w:tc>
          <w:tcPr>
            <w:tcW w:w="5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March 31, 2022</w:t>
            </w:r>
          </w:p>
        </w:tc>
        <w:tc>
          <w:tcPr>
            <w:tcW w:w="8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jc w:val="right"/>
              <w:ind w:right="154"/>
              <w:spacing w:after="0"/>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76"/>
              </w:rPr>
              <w:t>thousands)</w:t>
            </w: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5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2028 Notes</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400,000</w:t>
            </w: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jc w:val="center"/>
              <w:ind w:right="130"/>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400,000</w:t>
            </w:r>
          </w:p>
        </w:tc>
        <w:tc>
          <w:tcPr>
            <w:tcW w:w="80" w:type="dxa"/>
            <w:vAlign w:val="bottom"/>
            <w:shd w:val="clear" w:color="auto" w:fill="CFF0FC"/>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2027 Notes</w:t>
            </w:r>
          </w:p>
        </w:tc>
        <w:tc>
          <w:tcPr>
            <w:tcW w:w="2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600,000</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600,000</w:t>
            </w:r>
          </w:p>
        </w:tc>
        <w:tc>
          <w:tcPr>
            <w:tcW w:w="80" w:type="dxa"/>
            <w:vAlign w:val="bottom"/>
          </w:tcPr>
          <w:p>
            <w:pPr>
              <w:spacing w:after="0"/>
              <w:rPr>
                <w:sz w:val="17"/>
                <w:szCs w:val="17"/>
                <w:color w:val="auto"/>
              </w:rPr>
            </w:pPr>
          </w:p>
        </w:tc>
      </w:tr>
      <w:tr>
        <w:trPr>
          <w:trHeight w:val="203"/>
        </w:trPr>
        <w:tc>
          <w:tcPr>
            <w:tcW w:w="5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2025 Notes</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700,000</w:t>
            </w: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700,000</w:t>
            </w:r>
          </w:p>
        </w:tc>
        <w:tc>
          <w:tcPr>
            <w:tcW w:w="80" w:type="dxa"/>
            <w:vAlign w:val="bottom"/>
            <w:shd w:val="clear" w:color="auto" w:fill="CFF0FC"/>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Term Loan Facility</w:t>
            </w:r>
          </w:p>
        </w:tc>
        <w:tc>
          <w:tcPr>
            <w:tcW w:w="2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700,000</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700,000</w:t>
            </w:r>
          </w:p>
        </w:tc>
        <w:tc>
          <w:tcPr>
            <w:tcW w:w="80" w:type="dxa"/>
            <w:vAlign w:val="bottom"/>
          </w:tcPr>
          <w:p>
            <w:pPr>
              <w:spacing w:after="0"/>
              <w:rPr>
                <w:sz w:val="17"/>
                <w:szCs w:val="17"/>
                <w:color w:val="auto"/>
              </w:rPr>
            </w:pPr>
          </w:p>
        </w:tc>
      </w:tr>
      <w:tr>
        <w:trPr>
          <w:trHeight w:val="203"/>
        </w:trPr>
        <w:tc>
          <w:tcPr>
            <w:tcW w:w="5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Revolving Credit Facility</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150,000</w:t>
            </w: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Ex-Im Credit Facility</w:t>
            </w:r>
          </w:p>
        </w:tc>
        <w:tc>
          <w:tcPr>
            <w:tcW w:w="2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68,783</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78,609</w:t>
            </w:r>
          </w:p>
        </w:tc>
        <w:tc>
          <w:tcPr>
            <w:tcW w:w="80" w:type="dxa"/>
            <w:vAlign w:val="bottom"/>
          </w:tcPr>
          <w:p>
            <w:pPr>
              <w:spacing w:after="0"/>
              <w:rPr>
                <w:sz w:val="17"/>
                <w:szCs w:val="17"/>
                <w:color w:val="auto"/>
              </w:rPr>
            </w:pPr>
          </w:p>
        </w:tc>
      </w:tr>
      <w:tr>
        <w:trPr>
          <w:trHeight w:val="203"/>
        </w:trPr>
        <w:tc>
          <w:tcPr>
            <w:tcW w:w="52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Finance lease obligations (see Note 1)</w:t>
            </w:r>
          </w:p>
        </w:tc>
        <w:tc>
          <w:tcPr>
            <w:tcW w:w="26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45,745</w:t>
            </w:r>
          </w:p>
        </w:tc>
        <w:tc>
          <w:tcPr>
            <w:tcW w:w="2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45,752</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220" w:type="dxa"/>
            <w:vAlign w:val="bottom"/>
          </w:tcPr>
          <w:p>
            <w:pPr>
              <w:spacing w:after="0" w:line="196" w:lineRule="exact"/>
              <w:rPr>
                <w:sz w:val="20"/>
                <w:szCs w:val="20"/>
                <w:color w:val="auto"/>
              </w:rPr>
            </w:pPr>
            <w:r>
              <w:rPr>
                <w:rFonts w:ascii="Arial" w:cs="Arial" w:eastAsia="Arial" w:hAnsi="Arial"/>
                <w:sz w:val="18"/>
                <w:szCs w:val="18"/>
                <w:color w:val="auto"/>
              </w:rPr>
              <w:t>Total debt</w:t>
            </w:r>
          </w:p>
        </w:tc>
        <w:tc>
          <w:tcPr>
            <w:tcW w:w="26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2,664,528</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2,524,361</w:t>
            </w:r>
          </w:p>
        </w:tc>
        <w:tc>
          <w:tcPr>
            <w:tcW w:w="80" w:type="dxa"/>
            <w:vAlign w:val="bottom"/>
          </w:tcPr>
          <w:p>
            <w:pPr>
              <w:spacing w:after="0"/>
              <w:rPr>
                <w:sz w:val="17"/>
                <w:szCs w:val="17"/>
                <w:color w:val="auto"/>
              </w:rPr>
            </w:pPr>
          </w:p>
        </w:tc>
      </w:tr>
      <w:tr>
        <w:trPr>
          <w:trHeight w:val="203"/>
        </w:trPr>
        <w:tc>
          <w:tcPr>
            <w:tcW w:w="5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Unamortized discount and debt issuance costs</w:t>
            </w:r>
          </w:p>
        </w:tc>
        <w:tc>
          <w:tcPr>
            <w:tcW w:w="26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88"/>
              <w:spacing w:after="0" w:line="202" w:lineRule="exact"/>
              <w:rPr>
                <w:sz w:val="20"/>
                <w:szCs w:val="20"/>
                <w:color w:val="auto"/>
              </w:rPr>
            </w:pPr>
            <w:r>
              <w:rPr>
                <w:rFonts w:ascii="Arial" w:cs="Arial" w:eastAsia="Arial" w:hAnsi="Arial"/>
                <w:sz w:val="18"/>
                <w:szCs w:val="18"/>
                <w:color w:val="auto"/>
              </w:rPr>
              <w:t>(36,212 )</w:t>
            </w:r>
          </w:p>
        </w:tc>
        <w:tc>
          <w:tcPr>
            <w:tcW w:w="3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(38,234 )</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Less: current portion of long-term debt</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38,471</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34,911</w:t>
            </w:r>
          </w:p>
        </w:tc>
        <w:tc>
          <w:tcPr>
            <w:tcW w:w="80" w:type="dxa"/>
            <w:vAlign w:val="bottom"/>
          </w:tcPr>
          <w:p>
            <w:pPr>
              <w:spacing w:after="0"/>
              <w:rPr>
                <w:sz w:val="17"/>
                <w:szCs w:val="17"/>
                <w:color w:val="auto"/>
              </w:rPr>
            </w:pPr>
          </w:p>
        </w:tc>
      </w:tr>
      <w:tr>
        <w:trPr>
          <w:trHeight w:val="236"/>
        </w:trPr>
        <w:tc>
          <w:tcPr>
            <w:tcW w:w="52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long-term debt</w:t>
            </w: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2,589,845</w:t>
            </w:r>
          </w:p>
        </w:tc>
        <w:tc>
          <w:tcPr>
            <w:tcW w:w="2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center"/>
              <w:ind w:right="13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2,451,216</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-553720</wp:posOffset>
            </wp:positionV>
            <wp:extent cx="6032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-553720</wp:posOffset>
            </wp:positionV>
            <wp:extent cx="5143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603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85" w:lineRule="exact"/>
        <w:rPr>
          <w:sz w:val="20"/>
          <w:szCs w:val="20"/>
          <w:color w:val="auto"/>
        </w:rPr>
      </w:pPr>
    </w:p>
    <w:p>
      <w:pPr>
        <w:ind w:right="200" w:firstLine="509"/>
        <w:spacing w:after="0" w:line="238" w:lineRule="auto"/>
        <w:rPr>
          <w:sz w:val="20"/>
          <w:szCs w:val="20"/>
          <w:color w:val="auto"/>
        </w:rPr>
      </w:pPr>
      <w:r>
        <w:rPr>
          <w:rFonts w:ascii="Arial" w:cs="Arial" w:eastAsia="Arial" w:hAnsi="Arial"/>
          <w:sz w:val="18"/>
          <w:szCs w:val="18"/>
          <w:color w:val="auto"/>
        </w:rPr>
        <w:t>On March 4, 2022, the Company entered into a $700.0 million Term Loan Facility, which was fully drawn at closing and matures on March 4, 2029. The Company received $686.0 million in proceeds, net of issue discount, from the borrowings under the Term Loan Facility. The Company used a portion of the net proceeds to repay all then-outstanding borrowings under the Revolving Credit Facility. At June 30, 2022, the Company had $700.0 million in principal amount of outstanding borrowings under the Term Loan Facility.</w:t>
      </w:r>
    </w:p>
    <w:p>
      <w:pPr>
        <w:spacing w:after="0" w:line="151" w:lineRule="exact"/>
        <w:rPr>
          <w:sz w:val="20"/>
          <w:szCs w:val="20"/>
          <w:color w:val="auto"/>
        </w:rPr>
      </w:pPr>
    </w:p>
    <w:p>
      <w:pPr>
        <w:ind w:firstLine="509"/>
        <w:spacing w:after="0" w:line="234" w:lineRule="auto"/>
        <w:rPr>
          <w:sz w:val="20"/>
          <w:szCs w:val="20"/>
          <w:color w:val="auto"/>
        </w:rPr>
      </w:pPr>
      <w:r>
        <w:rPr>
          <w:rFonts w:ascii="Arial" w:cs="Arial" w:eastAsia="Arial" w:hAnsi="Arial"/>
          <w:sz w:val="18"/>
          <w:szCs w:val="18"/>
          <w:color w:val="auto"/>
        </w:rPr>
        <w:t>Borrowings under the Term Loan Facility are required to be repaid in quarterly installments of $1.75 million each, which commence on September 30, 2022, followed by a final installment of $654.5 million at maturity. Borrowings under the Term Loan Facility bear interest, at the Company’s option, at either (1) a base rate equal to the greater of the administrative agent’s prime rate as announced from time to time, the federal funds effective rate plus 0.50%, and the forward-looking SOFR term rate administered by CME for a one-month interest period plus 1.00%, subject to a floor of 1.50% for the initial term loans, plus an applicable margin of 3.50%, or (2) the forward-looking SOFR term rate administered by CME for the applicable interest period, subject to a floor of 0.50% for the initial term loans, plus an applicable margin of</w:t>
      </w:r>
    </w:p>
    <w:p>
      <w:pPr>
        <w:spacing w:after="0" w:line="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4.50%. As of June 30, 2022, the effective interest rate on the Company’s outstanding borrowings under the Term Loan Facility was 6.67%. The Term Loan Facility is required to be guaranteed by certain significant domestic subsidiaries of the Company (as defined in the Term Loan Facility) and secured by substantially all of the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Company’s and any such subsidiaries’ assets. As of June 30, 2022, none of the Company’s subsidiaries guaranteed the Term Loan Facility.</w:t>
      </w:r>
    </w:p>
    <w:p>
      <w:pPr>
        <w:spacing w:after="0" w:line="158" w:lineRule="exact"/>
        <w:rPr>
          <w:sz w:val="20"/>
          <w:szCs w:val="20"/>
          <w:color w:val="auto"/>
        </w:rPr>
      </w:pPr>
    </w:p>
    <w:p>
      <w:pPr>
        <w:jc w:val="both"/>
        <w:ind w:right="240" w:firstLine="509"/>
        <w:spacing w:after="0"/>
        <w:rPr>
          <w:sz w:val="20"/>
          <w:szCs w:val="20"/>
          <w:color w:val="auto"/>
        </w:rPr>
      </w:pPr>
      <w:r>
        <w:rPr>
          <w:rFonts w:ascii="Arial" w:cs="Arial" w:eastAsia="Arial" w:hAnsi="Arial"/>
          <w:sz w:val="18"/>
          <w:szCs w:val="18"/>
          <w:color w:val="auto"/>
        </w:rPr>
        <w:t>The Term Loan Facility contains covenants that restrict, among other things, the ability of Company and its restricted subsidiaries to incur additional debt, grant liens, sell assets, make investments, pay dividends and make certain other restricted payments. The Company was in compliance with its financial covenants under the Term Loan Facility as of June 30, 2022.</w:t>
      </w:r>
    </w:p>
    <w:p>
      <w:pPr>
        <w:spacing w:after="0" w:line="149"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Borrowings under the Term Loan Facility are recorded as current portion of long-term debt and as other long-term debt, net of unamortized discount and debt issuance costs, in the Company’s condensed consolidated financial statements. The Term Loan Facility was issued with an original issue discount of 2.00%, or $14.0 million. The original issue discount and deferred financing cost associated with the issuance of the borrowings under the Term Loan Facility are amortized to interest expense on a straight-line basis over the term of the Term Loan Facility, the results of which are not materially different from the effective interest rate basis.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85" w:lineRule="exact"/>
        <w:rPr>
          <w:sz w:val="20"/>
          <w:szCs w:val="20"/>
          <w:color w:val="auto"/>
        </w:rPr>
      </w:pPr>
    </w:p>
    <w:p>
      <w:pPr>
        <w:ind w:right="240" w:firstLine="509"/>
        <w:spacing w:after="0" w:line="238" w:lineRule="auto"/>
        <w:rPr>
          <w:sz w:val="20"/>
          <w:szCs w:val="20"/>
          <w:color w:val="auto"/>
        </w:rPr>
      </w:pPr>
      <w:r>
        <w:rPr>
          <w:rFonts w:ascii="Arial" w:cs="Arial" w:eastAsia="Arial" w:hAnsi="Arial"/>
          <w:sz w:val="18"/>
          <w:szCs w:val="18"/>
          <w:color w:val="auto"/>
        </w:rPr>
        <w:t>As of June 30, 2022, the Revolving Credit Facility provided a $700.0 million revolving line of credit (including up to $150.0 million of letters of credit), with a maturity date of January 18, 2024. At June 30, 2022, the Company had $150.0 million in principal amount of outstanding borrowings under the Revolving Credit Facility and $63.3 million outstanding under standby letters of credit, leaving borrowing availability under the Revolving Credit Facility as of June 30, 2022 of $486.7 million.</w:t>
      </w:r>
    </w:p>
    <w:p>
      <w:pPr>
        <w:spacing w:after="0" w:line="151" w:lineRule="exact"/>
        <w:rPr>
          <w:sz w:val="20"/>
          <w:szCs w:val="20"/>
          <w:color w:val="auto"/>
        </w:rPr>
      </w:pPr>
    </w:p>
    <w:p>
      <w:pPr>
        <w:ind w:right="100" w:firstLine="509"/>
        <w:spacing w:after="0" w:line="248" w:lineRule="auto"/>
        <w:rPr>
          <w:sz w:val="20"/>
          <w:szCs w:val="20"/>
          <w:color w:val="auto"/>
        </w:rPr>
      </w:pPr>
      <w:r>
        <w:rPr>
          <w:rFonts w:ascii="Arial" w:cs="Arial" w:eastAsia="Arial" w:hAnsi="Arial"/>
          <w:sz w:val="17"/>
          <w:szCs w:val="17"/>
          <w:color w:val="auto"/>
        </w:rPr>
        <w:t>Borrowings under the Revolving Credit Facility bear interest, at the Company’s option, at either (1) the highest of the Federal Funds rate plus 0.50%, the Eurodollar rate plus 1.00%, or the administrative agent’s prime rate as announced from time to time, or (2) the Eurodollar rate, plus, in the case of each of (1) and (2), an applicable margin that is based on the Company’s total leverage ratio. As of June 30, 2022, the weighted average effective interest rate on the Company's outstanding borrowings under the Revolving Credit Facility was</w:t>
      </w:r>
    </w:p>
    <w:p>
      <w:pPr>
        <w:spacing w:after="0" w:line="2"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2.92%.The Company has capitalized certain amounts of interest expense on the Revolving Credit Facility in connection with the construction of various assets during the construction period. The Revolving Credit Facility is required to be guaranteed by certain significant domestic subsidiaries of the Company (as defined in the Revolving Credit Facility) and secured by substantially all of the Company’s and any such subsidiaries’ assets. As of June 30, 2022, none of the Company’s subsidiaries guaranteed the Revolving Credit Facility.</w:t>
      </w:r>
    </w:p>
    <w:p>
      <w:pPr>
        <w:spacing w:after="0" w:line="13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Revolving Credit Facility as of June 30, 2022.</w:t>
      </w:r>
    </w:p>
    <w:p>
      <w:pPr>
        <w:spacing w:after="0" w:line="151"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In November 2021, the Company amended the Revolving Credit Facility to, among other matters, permit the consummation of the Inmarsat Transaction and provide additional covenant flexibility following the completion of the Inmarsat Transaction. These amendments will become effective at and are conditional upon the closing of the Inmarsat Transaction. In March 2022, the Company further amended the Revolving Credit Facility to provide additional covenant flexibility and permit the incurrence of the Term Loan Facility.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85"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The Ex-Im Credit Facility originally provided a $362.4 million senior secured direct loan facility, which was fully drawn. Of the $362.4 million in principal amount of borrowings made under the Ex-Im Credit Facility, $321.2 million was used to finance up to 85% of the costs of construction, launch and insurance of the ViaSat-2 satellite and related goods and services (including costs incurred on or after September 18, 2012), with the remaining $41.2 million used to finance the total exposure fees incurred under the Ex-Im Credit Facility (which included all previously accrued completion exposure fees). As of June 30, 2022, the Company had $68.8 million in principal amount of outstanding borrowings under the Ex-Im Credit Facility.</w:t>
      </w:r>
    </w:p>
    <w:p>
      <w:pPr>
        <w:spacing w:after="0" w:line="15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the Company’s outstanding borrowings under the Ex-Im Credit Facility, which takes into account timing and amount of borrowings and payments, exposure fees, debt issuance costs and other fees, is 4.54%. Borrowings under the Ex-Im Credit Facility are required to be repaid in 16 semi-annual principal installments, which commenced on April 15, 2018, with a maturity date of October 15, 2025. The Ex-Im Credit Facility is guaranteed by Viasat and is secured by first-priority liens on the ViaSat-2 satellite and related assets, as well as a pledge of the capital stock of the borrower under the facility.</w:t>
      </w:r>
    </w:p>
    <w:p>
      <w:pPr>
        <w:spacing w:after="0" w:line="151"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Ex-Im Credit Facility as of June 30, 2022.</w:t>
      </w:r>
    </w:p>
    <w:p>
      <w:pPr>
        <w:spacing w:after="0" w:line="151"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Borrowings under the Ex-Im Credit Facility are recorded as current portion of long-term debt and as other long-term debt, net of unamortized discount and debt issuance costs, in the Company’s condensed consolidated financial statements. The discount of $42.3 million (consisting of the initial $6.0 million pre-exposure fee, $35.3 million of completion exposure fees, and other customary fees) and deferred financing cost associated with the issuance of the borrowings under the Ex-Im Credit Facility are amortized to interest expense on an effective interest rate basis over the weighted average term of the Ex-Im Credit Facility and in accordance with the related payment obligations.</w:t>
      </w:r>
    </w:p>
    <w:p>
      <w:pPr>
        <w:spacing w:after="0" w:line="151" w:lineRule="exact"/>
        <w:rPr>
          <w:sz w:val="20"/>
          <w:szCs w:val="20"/>
          <w:color w:val="auto"/>
        </w:rPr>
      </w:pPr>
    </w:p>
    <w:p>
      <w:pPr>
        <w:ind w:right="160" w:firstLine="509"/>
        <w:spacing w:after="0" w:line="246" w:lineRule="auto"/>
        <w:rPr>
          <w:sz w:val="20"/>
          <w:szCs w:val="20"/>
          <w:color w:val="auto"/>
        </w:rPr>
      </w:pPr>
      <w:r>
        <w:rPr>
          <w:rFonts w:ascii="Arial" w:cs="Arial" w:eastAsia="Arial" w:hAnsi="Arial"/>
          <w:sz w:val="18"/>
          <w:szCs w:val="18"/>
          <w:color w:val="auto"/>
        </w:rPr>
        <w:t>In August 2022, the Company amended the Ex-Im Credit Facility to provide additional covenant flexibility. Certain of the amendments will become effective at and are conditional upon the closing of the Inmarsat Transaction.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2028</w:t>
      </w:r>
    </w:p>
    <w:p>
      <w:pPr>
        <w:spacing w:after="0" w:line="81"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In June 2020, the Company issued $400.0 million in principal amount of 2028 Notes in a private placement to institutional buyers. The 2028 Notes were issued at face value and are recorded as long-term debt, net of debt issuance costs, in the Company’s condensed consolidated financial statements. The 2028 Notes bear interest at the rate of 6.500% per year, payable semi-annually in cash in arrears, which interest payments commenced in January 2021. Debt issuance costs associated with the issuance of the 2028 Notes are amortized to interest expense on a straight-line basis over the term of the 2028 Notes, the results of which are not materially different from the effective interest rate basis.</w:t>
      </w:r>
    </w:p>
    <w:p>
      <w:pPr>
        <w:spacing w:after="0" w:line="151" w:lineRule="exact"/>
        <w:rPr>
          <w:sz w:val="20"/>
          <w:szCs w:val="20"/>
          <w:color w:val="auto"/>
        </w:rPr>
      </w:pPr>
    </w:p>
    <w:p>
      <w:pPr>
        <w:ind w:right="180" w:firstLine="509"/>
        <w:spacing w:after="0" w:line="237" w:lineRule="auto"/>
        <w:rPr>
          <w:sz w:val="20"/>
          <w:szCs w:val="20"/>
          <w:color w:val="auto"/>
        </w:rPr>
      </w:pPr>
      <w:r>
        <w:rPr>
          <w:rFonts w:ascii="Arial" w:cs="Arial" w:eastAsia="Arial" w:hAnsi="Arial"/>
          <w:sz w:val="18"/>
          <w:szCs w:val="18"/>
          <w:color w:val="auto"/>
        </w:rPr>
        <w:t>The 2028 Notes are required to be guaranteed on an unsecured senior basis by each of the Company’s existing and future subsidiaries that guarantees the Revolving Credit Facility. As of June 30, 2022, none of the Company’s subsidiaries guaranteed the 2028 Notes. The 2028 Notes are the Company’s general senior unsecured obligations and rank equally in right of payment with all of the Company’s existing and future unsecured unsubordinated debt. The 2028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2028 Notes, and are senior in right of payment to all of the Company’s existing and future subordinated indebtedness.</w:t>
      </w:r>
    </w:p>
    <w:p>
      <w:pPr>
        <w:spacing w:after="0" w:line="149" w:lineRule="exact"/>
        <w:rPr>
          <w:sz w:val="20"/>
          <w:szCs w:val="20"/>
          <w:color w:val="auto"/>
        </w:rPr>
      </w:pPr>
    </w:p>
    <w:p>
      <w:pPr>
        <w:ind w:right="460" w:firstLine="509"/>
        <w:spacing w:after="0" w:line="238" w:lineRule="auto"/>
        <w:rPr>
          <w:sz w:val="20"/>
          <w:szCs w:val="20"/>
          <w:color w:val="auto"/>
        </w:rPr>
      </w:pPr>
      <w:r>
        <w:rPr>
          <w:rFonts w:ascii="Arial" w:cs="Arial" w:eastAsia="Arial" w:hAnsi="Arial"/>
          <w:sz w:val="18"/>
          <w:szCs w:val="18"/>
          <w:color w:val="auto"/>
        </w:rPr>
        <w:t>The indenture governing the 2028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dispose of assets; enter into transactions with affiliates; reduce the Company’s satellite insurance; and consolidate or merge with, or sell substantially all of their assets to, another person.</w:t>
      </w:r>
    </w:p>
    <w:p>
      <w:pPr>
        <w:spacing w:after="0" w:line="143" w:lineRule="exact"/>
        <w:rPr>
          <w:sz w:val="20"/>
          <w:szCs w:val="20"/>
          <w:color w:val="auto"/>
        </w:rPr>
      </w:pPr>
    </w:p>
    <w:p>
      <w:pPr>
        <w:ind w:right="80" w:firstLine="509"/>
        <w:spacing w:after="0" w:line="236" w:lineRule="auto"/>
        <w:rPr>
          <w:sz w:val="20"/>
          <w:szCs w:val="20"/>
          <w:color w:val="auto"/>
        </w:rPr>
      </w:pPr>
      <w:r>
        <w:rPr>
          <w:rFonts w:ascii="Arial" w:cs="Arial" w:eastAsia="Arial" w:hAnsi="Arial"/>
          <w:sz w:val="18"/>
          <w:szCs w:val="18"/>
          <w:color w:val="auto"/>
        </w:rPr>
        <w:t>Prior to July 15, 2023, the Company may redeem up to 40% of the 2028 Notes at a redemption price of 106.500% of the principal amount thereof, plus accrued and unpaid interest, if any, thereon to the redemption date, from the net cash proceeds of specified equity offerings. The Company may also redeem the 2028 Notes prior to July 15, 2023,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2028 Notes and (ii) the excess, if any, of (a) the present value at such date of redemption of (1) the redemption price of such 2028 Notes on July 15, 2023 plus (2) all required interest payments due on such 2028 Notes through July 15, 2023 (excluding accrued but unpaid interest to the date of redemption), computed using a discount rate equal to the treasury rate (as defined under the indenture governing the 2028 Notes) plus 50 basis points, over (b) the then-outstanding principal amount of such 2028 Notes. The 2028 Notes may be redeemed, in whole or in part, at any time during the 12 months beginning on July 15, 2023 at a redemption price of 103.250%, during the 12 months beginning on July 15, 2024 at a redemption price of 101.625%, and at any time on or after July 15, 2025 at a redemption price of 100%, in each case plus accrued and unpaid interest, if any, thereon to the redemption date.</w:t>
      </w:r>
    </w:p>
    <w:p>
      <w:pPr>
        <w:spacing w:after="0" w:line="150" w:lineRule="exact"/>
        <w:rPr>
          <w:sz w:val="20"/>
          <w:szCs w:val="20"/>
          <w:color w:val="auto"/>
        </w:rPr>
      </w:pPr>
    </w:p>
    <w:p>
      <w:pPr>
        <w:jc w:val="both"/>
        <w:ind w:right="140" w:firstLine="509"/>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2028 Notes), each holder will have the right to require the Company to repurchase all or any part of such holder’s 2028 Notes at a purchase price in cash equal to 101% of the aggregate principal amount of the 2028 Notes repurchased, plus accrued and unpaid interest, if any, to the date of purchase (subject to the right of holders of record on the relevant record date to receive interest due on the relevant interest payment date).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 due 2027</w:t>
      </w:r>
    </w:p>
    <w:p>
      <w:pPr>
        <w:spacing w:after="0" w:line="81"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In March 2019, the Company issued $600.0 million in principal amount of 2027 Notes in a private placement to institutional buyers. The 2027 Notes were issued at face value and are recorded as long-term debt, net of debt issuance costs, in the Company’s condensed consolidated financial statements. The 2027 Notes bear interest at the rate of 5.625% per year, payable semi-annually in cash in arrears, which interest payments commenced in October 2019. Debt issuance costs associated with the issuance of the 2027 Notes are amortized to interest expense on a straight-line basis over the term of the 2027 Notes, the results of which are not materially different from the effective interest rate basis.</w:t>
      </w:r>
    </w:p>
    <w:p>
      <w:pPr>
        <w:spacing w:after="0" w:line="151" w:lineRule="exact"/>
        <w:rPr>
          <w:sz w:val="20"/>
          <w:szCs w:val="20"/>
          <w:color w:val="auto"/>
        </w:rPr>
      </w:pPr>
    </w:p>
    <w:p>
      <w:pPr>
        <w:ind w:right="180" w:firstLine="509"/>
        <w:spacing w:after="0" w:line="238" w:lineRule="auto"/>
        <w:rPr>
          <w:sz w:val="20"/>
          <w:szCs w:val="20"/>
          <w:color w:val="auto"/>
        </w:rPr>
      </w:pPr>
      <w:r>
        <w:rPr>
          <w:rFonts w:ascii="Arial" w:cs="Arial" w:eastAsia="Arial" w:hAnsi="Arial"/>
          <w:sz w:val="18"/>
          <w:szCs w:val="18"/>
          <w:color w:val="auto"/>
        </w:rPr>
        <w:t>The 2027 Notes are required to be guaranteed on a senior secured basis by each of the Company’s existing and future subsidiaries that guarantees the Revolving Credit Facility. As of June 30, 2022, none of the Company’s subsidiaries guaranteed the 2027 Notes. The 2027 Notes are secured, equally and ratably with the Revolving Credit Facility and any future parity lien debt, by liens on substantially all of the Company’s assets.</w:t>
      </w:r>
    </w:p>
    <w:p>
      <w:pPr>
        <w:spacing w:after="0" w:line="15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2027 Notes are the Company’s general senior secured obligations and rank equally in right of payment with all of its existing and future unsubordinated debt. The 2027 Notes are effectively senior to all of the Company’s existing and future unsecured debt (including the 2025 Notes and the 2028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are structurally subordinated to all existing and future liabilities (including trade payables) of the Company’s subsidiaries that do not guarantee the 2027 Notes, and are senior in right of payment to all of the Company’s existing and future subordinated indebtedness.</w:t>
      </w:r>
    </w:p>
    <w:p>
      <w:pPr>
        <w:spacing w:after="0" w:line="149" w:lineRule="exact"/>
        <w:rPr>
          <w:sz w:val="20"/>
          <w:szCs w:val="20"/>
          <w:color w:val="auto"/>
        </w:rPr>
      </w:pPr>
    </w:p>
    <w:p>
      <w:pPr>
        <w:ind w:right="440" w:firstLine="509"/>
        <w:spacing w:after="0" w:line="238" w:lineRule="auto"/>
        <w:rPr>
          <w:sz w:val="20"/>
          <w:szCs w:val="20"/>
          <w:color w:val="auto"/>
        </w:rPr>
      </w:pPr>
      <w:r>
        <w:rPr>
          <w:rFonts w:ascii="Arial" w:cs="Arial" w:eastAsia="Arial" w:hAnsi="Arial"/>
          <w:sz w:val="18"/>
          <w:szCs w:val="18"/>
          <w:color w:val="auto"/>
        </w:rPr>
        <w:t>The indenture governing the 2027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8" w:lineRule="exact"/>
        <w:rPr>
          <w:sz w:val="20"/>
          <w:szCs w:val="20"/>
          <w:color w:val="auto"/>
        </w:rPr>
      </w:pPr>
    </w:p>
    <w:p>
      <w:pPr>
        <w:ind w:right="140" w:firstLine="509"/>
        <w:spacing w:after="0" w:line="246" w:lineRule="auto"/>
        <w:rPr>
          <w:sz w:val="20"/>
          <w:szCs w:val="20"/>
          <w:color w:val="auto"/>
        </w:rPr>
      </w:pPr>
      <w:r>
        <w:rPr>
          <w:rFonts w:ascii="Arial" w:cs="Arial" w:eastAsia="Arial" w:hAnsi="Arial"/>
          <w:sz w:val="18"/>
          <w:szCs w:val="18"/>
          <w:color w:val="auto"/>
        </w:rPr>
        <w:t>The 2027 Notes may be redeemed, in whole or in part, at any time during the 12 months beginning on April 15, 2022 at a redemption price of 102.813%, during the 12 months beginning on April 15, 2023 at a redemption price of 101.406%,</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and at any time on or after April 15, 2024 at a redemption price of 100%, in each case plus accrued and unpaid interest, if any, thereon to the redemption date.</w:t>
      </w:r>
    </w:p>
    <w:p>
      <w:pPr>
        <w:spacing w:after="0" w:line="143" w:lineRule="exact"/>
        <w:rPr>
          <w:sz w:val="20"/>
          <w:szCs w:val="20"/>
          <w:color w:val="auto"/>
        </w:rPr>
      </w:pPr>
    </w:p>
    <w:p>
      <w:pPr>
        <w:jc w:val="both"/>
        <w:ind w:right="120" w:firstLine="509"/>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2027 Notes), each holder will have the right to require the Company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81"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In September 2017, the Company issued $700.0 million in principal amount of 2025 Notes in a private placement to institutional buyers. The 2025 Notes were issued at face value and are recorded as long-term debt, net of debt issuance costs, in the Company’s condensed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51" w:lineRule="exact"/>
        <w:rPr>
          <w:sz w:val="20"/>
          <w:szCs w:val="20"/>
          <w:color w:val="auto"/>
        </w:rPr>
      </w:pPr>
    </w:p>
    <w:p>
      <w:pPr>
        <w:ind w:right="140" w:firstLine="509"/>
        <w:spacing w:after="0" w:line="237" w:lineRule="auto"/>
        <w:rPr>
          <w:sz w:val="20"/>
          <w:szCs w:val="20"/>
          <w:color w:val="auto"/>
        </w:rPr>
      </w:pPr>
      <w:r>
        <w:rPr>
          <w:rFonts w:ascii="Arial" w:cs="Arial" w:eastAsia="Arial" w:hAnsi="Arial"/>
          <w:sz w:val="18"/>
          <w:szCs w:val="18"/>
          <w:color w:val="auto"/>
        </w:rPr>
        <w:t>The 2025 Notes are required to be guaranteed on an unsecured senior basis by each of the Company’s existing and future subsidiaries that guarantees the Revolving Credit Facility. As of June 30, 2022, none of the Company’s subsidiaries guaranteed the 2025 Notes. The 2025 Notes are the Company’s general senior unsecured obligations and rank equally in right of payment with all of the Company’s existing and future unsecured unsubordinated debt. The 2025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2025 Notes, and are senior in right of payment to all of the Company’s existing and future subordinated indebtedness.</w:t>
      </w:r>
    </w:p>
    <w:p>
      <w:pPr>
        <w:spacing w:after="0" w:line="149" w:lineRule="exact"/>
        <w:rPr>
          <w:sz w:val="20"/>
          <w:szCs w:val="20"/>
          <w:color w:val="auto"/>
        </w:rPr>
      </w:pPr>
    </w:p>
    <w:p>
      <w:pPr>
        <w:ind w:right="420" w:firstLine="509"/>
        <w:spacing w:after="0" w:line="238" w:lineRule="auto"/>
        <w:rPr>
          <w:sz w:val="20"/>
          <w:szCs w:val="20"/>
          <w:color w:val="auto"/>
        </w:rPr>
      </w:pPr>
      <w:r>
        <w:rPr>
          <w:rFonts w:ascii="Arial" w:cs="Arial" w:eastAsia="Arial" w:hAnsi="Arial"/>
          <w:sz w:val="18"/>
          <w:szCs w:val="18"/>
          <w:color w:val="auto"/>
        </w:rPr>
        <w:t>The indenture governing the 2025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8" w:lineRule="exact"/>
        <w:rPr>
          <w:sz w:val="20"/>
          <w:szCs w:val="20"/>
          <w:color w:val="auto"/>
        </w:rPr>
      </w:pPr>
    </w:p>
    <w:p>
      <w:pPr>
        <w:jc w:val="both"/>
        <w:ind w:right="260" w:firstLine="509"/>
        <w:spacing w:after="0"/>
        <w:rPr>
          <w:sz w:val="20"/>
          <w:szCs w:val="20"/>
          <w:color w:val="auto"/>
        </w:rPr>
      </w:pPr>
      <w:r>
        <w:rPr>
          <w:rFonts w:ascii="Arial" w:cs="Arial" w:eastAsia="Arial" w:hAnsi="Arial"/>
          <w:sz w:val="18"/>
          <w:szCs w:val="18"/>
          <w:color w:val="auto"/>
        </w:rPr>
        <w:t>The 2025 Notes may be redeemed, in whole or in part, at any time prior to September 15, 2022 at a redemption price of 101.406%, and at any time thereafter at a redemption price of 100%, in each case plus accrued and unpaid interest, if any, thereon to the redemption date.</w:t>
      </w:r>
    </w:p>
    <w:p>
      <w:pPr>
        <w:spacing w:after="0" w:line="149" w:lineRule="exact"/>
        <w:rPr>
          <w:sz w:val="20"/>
          <w:szCs w:val="20"/>
          <w:color w:val="auto"/>
        </w:rPr>
      </w:pPr>
    </w:p>
    <w:p>
      <w:pPr>
        <w:jc w:val="both"/>
        <w:ind w:right="120" w:firstLine="509"/>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2025 Notes), each holder will have the right to require the Company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Product Warranty</w:t>
      </w:r>
    </w:p>
    <w:p>
      <w:pPr>
        <w:spacing w:after="0" w:line="9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condensed consolidated financial statements.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three months ended June 30, 2022 and 2021:</w:t>
      </w:r>
    </w:p>
    <w:p>
      <w:pPr>
        <w:spacing w:after="0" w:line="181" w:lineRule="exact"/>
        <w:rPr>
          <w:sz w:val="20"/>
          <w:szCs w:val="20"/>
          <w:color w:val="auto"/>
        </w:rPr>
      </w:pPr>
    </w:p>
    <w:tbl>
      <w:tblPr>
        <w:tblLayout w:type="fixed"/>
        <w:tblInd w:w="170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48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right"/>
              <w:ind w:right="488"/>
              <w:spacing w:after="0" w:line="129" w:lineRule="exact"/>
              <w:rPr>
                <w:sz w:val="20"/>
                <w:szCs w:val="20"/>
                <w:color w:val="auto"/>
              </w:rPr>
            </w:pPr>
            <w:r>
              <w:rPr>
                <w:rFonts w:ascii="Arial" w:cs="Arial" w:eastAsia="Arial" w:hAnsi="Arial"/>
                <w:sz w:val="14"/>
                <w:szCs w:val="14"/>
                <w:b w:val="1"/>
                <w:bCs w:val="1"/>
                <w:color w:val="auto"/>
              </w:rPr>
              <w:t>June 30,</w:t>
            </w:r>
          </w:p>
        </w:tc>
        <w:tc>
          <w:tcPr>
            <w:tcW w:w="2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316"/>
              <w:spacing w:after="0" w:line="129"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139"/>
              <w:spacing w:after="0"/>
              <w:rPr>
                <w:sz w:val="20"/>
                <w:szCs w:val="20"/>
                <w:color w:val="auto"/>
              </w:rPr>
            </w:pPr>
            <w:r>
              <w:rPr>
                <w:rFonts w:ascii="Arial" w:cs="Arial" w:eastAsia="Arial" w:hAnsi="Arial"/>
                <w:sz w:val="14"/>
                <w:szCs w:val="14"/>
                <w:b w:val="1"/>
                <w:bCs w:val="1"/>
                <w:color w:val="auto"/>
              </w:rPr>
              <w:t>(In</w:t>
            </w:r>
          </w:p>
        </w:tc>
        <w:tc>
          <w:tcPr>
            <w:tcW w:w="1560" w:type="dxa"/>
            <w:vAlign w:val="bottom"/>
            <w:gridSpan w:val="3"/>
          </w:tcPr>
          <w:p>
            <w:pPr>
              <w:jc w:val="right"/>
              <w:ind w:right="876"/>
              <w:spacing w:after="0"/>
              <w:rPr>
                <w:sz w:val="20"/>
                <w:szCs w:val="20"/>
                <w:color w:val="auto"/>
              </w:rPr>
            </w:pPr>
            <w:r>
              <w:rPr>
                <w:rFonts w:ascii="Arial" w:cs="Arial" w:eastAsia="Arial" w:hAnsi="Arial"/>
                <w:sz w:val="14"/>
                <w:szCs w:val="14"/>
                <w:b w:val="1"/>
                <w:bCs w:val="1"/>
                <w:color w:val="auto"/>
                <w:w w:val="76"/>
              </w:rPr>
              <w:t>thousands)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10,718</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11,886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260"/>
              <w:spacing w:after="0" w:line="175" w:lineRule="exact"/>
              <w:rPr>
                <w:sz w:val="20"/>
                <w:szCs w:val="20"/>
                <w:color w:val="auto"/>
              </w:rPr>
            </w:pPr>
            <w:r>
              <w:rPr>
                <w:rFonts w:ascii="Arial" w:cs="Arial" w:eastAsia="Arial" w:hAnsi="Arial"/>
                <w:sz w:val="18"/>
                <w:szCs w:val="18"/>
                <w:color w:val="auto"/>
              </w:rPr>
              <w:t>Change in liability for warranties</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420"/>
              <w:spacing w:after="0" w:line="203" w:lineRule="exact"/>
              <w:rPr>
                <w:sz w:val="20"/>
                <w:szCs w:val="20"/>
                <w:color w:val="auto"/>
              </w:rPr>
            </w:pPr>
            <w:r>
              <w:rPr>
                <w:rFonts w:ascii="Arial" w:cs="Arial" w:eastAsia="Arial" w:hAnsi="Arial"/>
                <w:sz w:val="18"/>
                <w:szCs w:val="18"/>
                <w:color w:val="auto"/>
              </w:rPr>
              <w:t>issued in period</w:t>
            </w: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807</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4,064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CFF0FC"/>
          </w:tcPr>
          <w:p>
            <w:pPr>
              <w:ind w:left="260"/>
              <w:spacing w:after="0" w:line="175" w:lineRule="exact"/>
              <w:rPr>
                <w:sz w:val="20"/>
                <w:szCs w:val="20"/>
                <w:color w:val="auto"/>
              </w:rPr>
            </w:pPr>
            <w:r>
              <w:rPr>
                <w:rFonts w:ascii="Arial" w:cs="Arial" w:eastAsia="Arial" w:hAnsi="Arial"/>
                <w:sz w:val="18"/>
                <w:szCs w:val="18"/>
                <w:color w:val="auto"/>
              </w:rPr>
              <w:t>Settlements made (in cash or in kind)</w:t>
            </w:r>
          </w:p>
        </w:tc>
        <w:tc>
          <w:tcPr>
            <w:tcW w:w="260" w:type="dxa"/>
            <w:vAlign w:val="bottom"/>
            <w:shd w:val="clear" w:color="auto" w:fill="CFF0FC"/>
          </w:tcPr>
          <w:p>
            <w:pPr>
              <w:spacing w:after="0"/>
              <w:rPr>
                <w:sz w:val="15"/>
                <w:szCs w:val="15"/>
                <w:color w:val="auto"/>
              </w:rPr>
            </w:pPr>
          </w:p>
        </w:tc>
        <w:tc>
          <w:tcPr>
            <w:tcW w:w="1280" w:type="dxa"/>
            <w:vAlign w:val="bottom"/>
            <w:gridSpan w:val="2"/>
            <w:vMerge w:val="restart"/>
            <w:shd w:val="clear" w:color="auto" w:fill="CFF0FC"/>
          </w:tcPr>
          <w:p>
            <w:pPr>
              <w:jc w:val="right"/>
              <w:ind w:right="28"/>
              <w:spacing w:after="0"/>
              <w:rPr>
                <w:sz w:val="20"/>
                <w:szCs w:val="20"/>
                <w:color w:val="auto"/>
              </w:rPr>
            </w:pPr>
            <w:r>
              <w:rPr>
                <w:rFonts w:ascii="Arial" w:cs="Arial" w:eastAsia="Arial" w:hAnsi="Arial"/>
                <w:sz w:val="18"/>
                <w:szCs w:val="18"/>
                <w:color w:val="auto"/>
              </w:rPr>
              <w:t>(1,029 )</w:t>
            </w:r>
          </w:p>
        </w:tc>
        <w:tc>
          <w:tcPr>
            <w:tcW w:w="260" w:type="dxa"/>
            <w:vAlign w:val="bottom"/>
            <w:shd w:val="clear" w:color="auto" w:fill="CFF0FC"/>
          </w:tcPr>
          <w:p>
            <w:pPr>
              <w:spacing w:after="0"/>
              <w:rPr>
                <w:sz w:val="15"/>
                <w:szCs w:val="15"/>
                <w:color w:val="auto"/>
              </w:rPr>
            </w:pPr>
          </w:p>
        </w:tc>
        <w:tc>
          <w:tcPr>
            <w:tcW w:w="12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(3,420 )</w:t>
            </w:r>
          </w:p>
        </w:tc>
        <w:tc>
          <w:tcPr>
            <w:tcW w:w="0" w:type="dxa"/>
            <w:vAlign w:val="bottom"/>
          </w:tcPr>
          <w:p>
            <w:pPr>
              <w:spacing w:after="0"/>
              <w:rPr>
                <w:sz w:val="1"/>
                <w:szCs w:val="1"/>
                <w:color w:val="auto"/>
              </w:rPr>
            </w:pPr>
          </w:p>
        </w:tc>
      </w:tr>
      <w:tr>
        <w:trPr>
          <w:trHeight w:val="190"/>
        </w:trPr>
        <w:tc>
          <w:tcPr>
            <w:tcW w:w="4860" w:type="dxa"/>
            <w:vAlign w:val="bottom"/>
            <w:shd w:val="clear" w:color="auto" w:fill="CFF0FC"/>
          </w:tcPr>
          <w:p>
            <w:pPr>
              <w:ind w:left="420"/>
              <w:spacing w:after="0" w:line="190" w:lineRule="exact"/>
              <w:rPr>
                <w:sz w:val="20"/>
                <w:szCs w:val="20"/>
                <w:color w:val="auto"/>
              </w:rPr>
            </w:pPr>
            <w:r>
              <w:rPr>
                <w:rFonts w:ascii="Arial" w:cs="Arial" w:eastAsia="Arial" w:hAnsi="Arial"/>
                <w:sz w:val="18"/>
                <w:szCs w:val="18"/>
                <w:color w:val="auto"/>
              </w:rPr>
              <w:t>during the period</w:t>
            </w:r>
          </w:p>
        </w:tc>
        <w:tc>
          <w:tcPr>
            <w:tcW w:w="260" w:type="dxa"/>
            <w:vAlign w:val="bottom"/>
            <w:shd w:val="clear" w:color="auto" w:fill="CFF0FC"/>
          </w:tcPr>
          <w:p>
            <w:pPr>
              <w:spacing w:after="0"/>
              <w:rPr>
                <w:sz w:val="16"/>
                <w:szCs w:val="16"/>
                <w:color w:val="auto"/>
              </w:rPr>
            </w:pPr>
          </w:p>
        </w:tc>
        <w:tc>
          <w:tcPr>
            <w:tcW w:w="1280" w:type="dxa"/>
            <w:vAlign w:val="bottom"/>
            <w:gridSpan w:val="2"/>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Balance, end of period</w:t>
            </w:r>
          </w:p>
        </w:tc>
        <w:tc>
          <w:tcPr>
            <w:tcW w:w="26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10,496</w:t>
            </w:r>
          </w:p>
        </w:tc>
        <w:tc>
          <w:tcPr>
            <w:tcW w:w="18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12,530</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-159385</wp:posOffset>
            </wp:positionV>
            <wp:extent cx="5143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-159385</wp:posOffset>
            </wp:positionV>
            <wp:extent cx="4318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99"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From time to time, the Company enters into satellite construction agreements as well as various other satellite-related purchase commitments, including with respect to the provision of launch services, operation of its satellites and satellite insurance. See Note 12 – Commitments to the consolidated financial statements included in the Company’s Annual Report on Form 10-K for the year ended March 31, 2022 for information regarding the Company’s future minimum payments under its satellite construction contracts and other satellite-related purchase commitments.</w:t>
      </w:r>
    </w:p>
    <w:p>
      <w:pPr>
        <w:spacing w:after="0" w:line="189"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Periodically,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49"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 by the DCAA has not been concluded for fiscal year 2021. As of June 30, 2022, the DCAA had completed its incurred cost audit for fiscal years 2004, 2016, 2019 and 2020 and approved the Company’s incurred costs for those fiscal years, as well as approved the Company’s incurred costs for fiscal years 2005 through 2015, 2017 and 2018 without further audit based on the determination of low risk. Although the Company has recorded contract revenues subsequent to fiscal year 2020 based upon an estimate of costs that the Company believes will be approved upon final audit or review, the Company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does not know the outcome of any ongoing or future audits or reviews and adjustments, and if future adjustments exceed the Company’s estimates, its profitability would be adversely affected. As of both June 30, 2022 and March 31, 2022, the Company had $12.1 million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99"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Ordinarily, under GAAP, the Company calculates its provision for income taxes at the end of each interim reporting period on the basis of an estimated annual effective tax rate adjusted for tax items that are discrete to each period. However, when a reliable estimate cannot be made, the Company computes its provision for income taxes using the actual effective tax rate (discrete method) for the year-to-date period. The Company’s effective tax rate is highly influenced by the amount of its R&amp;D tax credits. A small change in estimated annual pretax income (loss) can produce a significant variance in the annual effective tax rate given the Company’s expected amount of R&amp;D tax credits. This variability provides an unreliable estimate of the annual effective tax rate. As a result, and in accordance with the authoritative guidance for accounting for income taxes in interim periods, the Company has computed its (provision for) benefit from income taxes for the three months ended June 30, 2022 and 2021 by applying the actual effective tax rate to the pretax income (loss) for the three-month periods.</w:t>
      </w:r>
    </w:p>
    <w:p>
      <w:pPr>
        <w:spacing w:after="0" w:line="140" w:lineRule="exact"/>
        <w:rPr>
          <w:sz w:val="20"/>
          <w:szCs w:val="20"/>
          <w:color w:val="auto"/>
        </w:rPr>
      </w:pPr>
    </w:p>
    <w:p>
      <w:pPr>
        <w:jc w:val="both"/>
        <w:ind w:right="40" w:firstLine="509"/>
        <w:spacing w:after="0"/>
        <w:rPr>
          <w:sz w:val="20"/>
          <w:szCs w:val="20"/>
          <w:color w:val="auto"/>
        </w:rPr>
      </w:pPr>
      <w:r>
        <w:rPr>
          <w:rFonts w:ascii="Arial" w:cs="Arial" w:eastAsia="Arial" w:hAnsi="Arial"/>
          <w:sz w:val="18"/>
          <w:szCs w:val="18"/>
          <w:color w:val="auto"/>
        </w:rPr>
        <w:t>For the three months ended June 30, 2022, the Company recorded an income tax benefit of $10.8 million, resulting in an effective tax rate of 34%. The effective tax rate for the period differed from the U.S. statutory rate primarily due to the benefit of federal and state R&amp;D tax credits.</w:t>
      </w:r>
    </w:p>
    <w:p>
      <w:pPr>
        <w:spacing w:after="0" w:line="149"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For the three months ended June 30, 2021, the Company recorded an income tax benefit of $4.1 million, resulting in an effective tax rate of negative 29%. The effective tax rate for the period differed from the U.S. statutory rate primarily due to the benefit of federal and state R&amp;D tax credits and the reversal of a deferred tax liability recorded for EBI's outside basis difference upon assertion to indefinitely reinvest future earnings.</w:t>
      </w:r>
    </w:p>
    <w:p>
      <w:pPr>
        <w:spacing w:after="0" w:line="15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Future realization of existing deferred tax assets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w:t>
      </w:r>
    </w:p>
    <w:p>
      <w:pPr>
        <w:spacing w:after="0" w:line="151" w:lineRule="exact"/>
        <w:rPr>
          <w:sz w:val="20"/>
          <w:szCs w:val="20"/>
          <w:color w:val="auto"/>
        </w:rPr>
      </w:pPr>
    </w:p>
    <w:p>
      <w:pPr>
        <w:jc w:val="both"/>
        <w:ind w:right="500" w:firstLine="509"/>
        <w:spacing w:after="0"/>
        <w:rPr>
          <w:sz w:val="20"/>
          <w:szCs w:val="20"/>
          <w:color w:val="auto"/>
        </w:rPr>
      </w:pPr>
      <w:r>
        <w:rPr>
          <w:rFonts w:ascii="Arial" w:cs="Arial" w:eastAsia="Arial" w:hAnsi="Arial"/>
          <w:sz w:val="18"/>
          <w:szCs w:val="18"/>
          <w:color w:val="auto"/>
        </w:rPr>
        <w:t>For the three months ended June 30, 2022, the Company’s gross unrecognized tax benefits increased by $2.7 million, including interest and penalties of an insignificant amount, which were included as a component of the provision for income taxes. In the next 12 months it is reasonably possible that the amount of unrecognized tax benefits will not change significantly.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Segment Information</w:t>
      </w:r>
    </w:p>
    <w:p>
      <w:pPr>
        <w:spacing w:after="0" w:line="9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satellite-based broadband and related services to residential customers, Prepaid Internet hotspot users, enterprises, commercial airlines and other mobile broadband customers. The Company’s commercial networks segment develops and offers advanced satellite and wireless broadband platforms, ground networking equipment, radio frequency and advanced microwave solutions, Application-Specific Integrated Circuit chip design, satellite payload development and space-to-earth connectivity systems, some of which are ultimately used by the Company’s satellite services segment. The Company’s government systems segment provides global mobile broadband services to military and government users and develops and offers network-centric, internet protocol-based fixed and mobile secure communications products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Segment revenues and operating profits (losses) for the three months ended June 30, 2022 and 2021 were as follows:</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6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80" w:type="dxa"/>
            <w:vAlign w:val="bottom"/>
            <w:gridSpan w:val="5"/>
          </w:tcPr>
          <w:p>
            <w:pPr>
              <w:jc w:val="right"/>
              <w:ind w:right="13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9"/>
        </w:trPr>
        <w:tc>
          <w:tcPr>
            <w:tcW w:w="61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12"/>
              <w:spacing w:after="0"/>
              <w:rPr>
                <w:sz w:val="20"/>
                <w:szCs w:val="20"/>
                <w:color w:val="auto"/>
              </w:rPr>
            </w:pPr>
            <w:r>
              <w:rPr>
                <w:rFonts w:ascii="Arial" w:cs="Arial" w:eastAsia="Arial" w:hAnsi="Arial"/>
                <w:sz w:val="14"/>
                <w:szCs w:val="14"/>
                <w:b w:val="1"/>
                <w:bCs w:val="1"/>
                <w:color w:val="auto"/>
              </w:rPr>
              <w:t>(In</w:t>
            </w:r>
          </w:p>
        </w:tc>
        <w:tc>
          <w:tcPr>
            <w:tcW w:w="2140" w:type="dxa"/>
            <w:vAlign w:val="bottom"/>
            <w:gridSpan w:val="3"/>
          </w:tcPr>
          <w:p>
            <w:pPr>
              <w:jc w:val="right"/>
              <w:ind w:right="1331"/>
              <w:spacing w:after="0"/>
              <w:rPr>
                <w:sz w:val="20"/>
                <w:szCs w:val="20"/>
                <w:color w:val="auto"/>
              </w:rPr>
            </w:pPr>
            <w:r>
              <w:rPr>
                <w:rFonts w:ascii="Arial" w:cs="Arial" w:eastAsia="Arial" w:hAnsi="Arial"/>
                <w:sz w:val="14"/>
                <w:szCs w:val="14"/>
                <w:b w:val="1"/>
                <w:bCs w:val="1"/>
                <w:color w:val="auto"/>
                <w:w w:val="92"/>
              </w:rPr>
              <w:t>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Revenues:</w:t>
            </w: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ind w:left="260"/>
              <w:spacing w:after="0" w:line="202" w:lineRule="exact"/>
              <w:rPr>
                <w:sz w:val="20"/>
                <w:szCs w:val="20"/>
                <w:color w:val="auto"/>
              </w:rPr>
            </w:pPr>
            <w:r>
              <w:rPr>
                <w:rFonts w:ascii="Arial" w:cs="Arial" w:eastAsia="Arial" w:hAnsi="Arial"/>
                <w:sz w:val="18"/>
                <w:szCs w:val="18"/>
                <w:color w:val="auto"/>
              </w:rPr>
              <w:t>Satellite services</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Product</w:t>
            </w: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FF0FC"/>
          </w:tcPr>
          <w:p>
            <w:pPr>
              <w:jc w:val="right"/>
              <w:ind w:right="119"/>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80" w:type="dxa"/>
            <w:vAlign w:val="bottom"/>
          </w:tcPr>
          <w:p>
            <w:pPr>
              <w:ind w:left="520"/>
              <w:spacing w:after="0" w:line="202" w:lineRule="exact"/>
              <w:rPr>
                <w:sz w:val="20"/>
                <w:szCs w:val="20"/>
                <w:color w:val="auto"/>
              </w:rPr>
            </w:pPr>
            <w:r>
              <w:rPr>
                <w:rFonts w:ascii="Arial" w:cs="Arial" w:eastAsia="Arial" w:hAnsi="Arial"/>
                <w:sz w:val="18"/>
                <w:szCs w:val="18"/>
                <w:color w:val="auto"/>
              </w:rPr>
              <w:t>Service</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312,100</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274,117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80" w:type="dxa"/>
            <w:vAlign w:val="bottom"/>
            <w:shd w:val="clear" w:color="auto" w:fill="CFF0FC"/>
          </w:tcPr>
          <w:p>
            <w:pPr>
              <w:ind w:left="760"/>
              <w:spacing w:after="0" w:line="196" w:lineRule="exact"/>
              <w:rPr>
                <w:sz w:val="20"/>
                <w:szCs w:val="20"/>
                <w:color w:val="auto"/>
              </w:rPr>
            </w:pPr>
            <w:r>
              <w:rPr>
                <w:rFonts w:ascii="Arial" w:cs="Arial" w:eastAsia="Arial" w:hAnsi="Arial"/>
                <w:sz w:val="18"/>
                <w:szCs w:val="18"/>
                <w:color w:val="auto"/>
              </w:rPr>
              <w:t>Total</w:t>
            </w: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312,100</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274,117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ind w:left="260"/>
              <w:spacing w:after="0" w:line="202" w:lineRule="exact"/>
              <w:rPr>
                <w:sz w:val="20"/>
                <w:szCs w:val="20"/>
                <w:color w:val="auto"/>
              </w:rPr>
            </w:pPr>
            <w:r>
              <w:rPr>
                <w:rFonts w:ascii="Arial" w:cs="Arial" w:eastAsia="Arial" w:hAnsi="Arial"/>
                <w:sz w:val="18"/>
                <w:szCs w:val="18"/>
                <w:color w:val="auto"/>
              </w:rPr>
              <w:t>Commercial networks</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Product</w:t>
            </w: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93,575</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101,531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ind w:left="520"/>
              <w:spacing w:after="0" w:line="202" w:lineRule="exact"/>
              <w:rPr>
                <w:sz w:val="20"/>
                <w:szCs w:val="20"/>
                <w:color w:val="auto"/>
              </w:rPr>
            </w:pPr>
            <w:r>
              <w:rPr>
                <w:rFonts w:ascii="Arial" w:cs="Arial" w:eastAsia="Arial" w:hAnsi="Arial"/>
                <w:sz w:val="18"/>
                <w:szCs w:val="18"/>
                <w:color w:val="auto"/>
              </w:rPr>
              <w:t>Service</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19,209</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17,065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80" w:type="dxa"/>
            <w:vAlign w:val="bottom"/>
            <w:shd w:val="clear" w:color="auto" w:fill="CFF0FC"/>
          </w:tcPr>
          <w:p>
            <w:pPr>
              <w:ind w:left="760"/>
              <w:spacing w:after="0" w:line="196" w:lineRule="exact"/>
              <w:rPr>
                <w:sz w:val="20"/>
                <w:szCs w:val="20"/>
                <w:color w:val="auto"/>
              </w:rPr>
            </w:pPr>
            <w:r>
              <w:rPr>
                <w:rFonts w:ascii="Arial" w:cs="Arial" w:eastAsia="Arial" w:hAnsi="Arial"/>
                <w:sz w:val="18"/>
                <w:szCs w:val="18"/>
                <w:color w:val="auto"/>
              </w:rPr>
              <w:t>Total</w:t>
            </w: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112,784</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118,596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ind w:left="260"/>
              <w:spacing w:after="0" w:line="202" w:lineRule="exact"/>
              <w:rPr>
                <w:sz w:val="20"/>
                <w:szCs w:val="20"/>
                <w:color w:val="auto"/>
              </w:rPr>
            </w:pPr>
            <w:r>
              <w:rPr>
                <w:rFonts w:ascii="Arial" w:cs="Arial" w:eastAsia="Arial" w:hAnsi="Arial"/>
                <w:sz w:val="18"/>
                <w:szCs w:val="18"/>
                <w:color w:val="auto"/>
              </w:rPr>
              <w:t>Government systems</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Product</w:t>
            </w: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175,225</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191,733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ind w:left="520"/>
              <w:spacing w:after="0" w:line="202" w:lineRule="exact"/>
              <w:rPr>
                <w:sz w:val="20"/>
                <w:szCs w:val="20"/>
                <w:color w:val="auto"/>
              </w:rPr>
            </w:pPr>
            <w:r>
              <w:rPr>
                <w:rFonts w:ascii="Arial" w:cs="Arial" w:eastAsia="Arial" w:hAnsi="Arial"/>
                <w:sz w:val="18"/>
                <w:szCs w:val="18"/>
                <w:color w:val="auto"/>
              </w:rPr>
              <w:t>Service</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78,114</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80,414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80" w:type="dxa"/>
            <w:vAlign w:val="bottom"/>
            <w:shd w:val="clear" w:color="auto" w:fill="CFF0FC"/>
          </w:tcPr>
          <w:p>
            <w:pPr>
              <w:ind w:left="760"/>
              <w:spacing w:after="0" w:line="196" w:lineRule="exact"/>
              <w:rPr>
                <w:sz w:val="20"/>
                <w:szCs w:val="20"/>
                <w:color w:val="auto"/>
              </w:rPr>
            </w:pPr>
            <w:r>
              <w:rPr>
                <w:rFonts w:ascii="Arial" w:cs="Arial" w:eastAsia="Arial" w:hAnsi="Arial"/>
                <w:sz w:val="18"/>
                <w:szCs w:val="18"/>
                <w:color w:val="auto"/>
              </w:rPr>
              <w:t>Total</w:t>
            </w: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253,339</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272,147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ind w:left="260"/>
              <w:spacing w:after="0" w:line="202" w:lineRule="exact"/>
              <w:rPr>
                <w:sz w:val="20"/>
                <w:szCs w:val="20"/>
                <w:color w:val="auto"/>
              </w:rPr>
            </w:pPr>
            <w:r>
              <w:rPr>
                <w:rFonts w:ascii="Arial" w:cs="Arial" w:eastAsia="Arial" w:hAnsi="Arial"/>
                <w:sz w:val="18"/>
                <w:szCs w:val="18"/>
                <w:color w:val="auto"/>
              </w:rPr>
              <w:t>Elimination of intersegment revenues</w:t>
            </w:r>
          </w:p>
        </w:tc>
        <w:tc>
          <w:tcPr>
            <w:tcW w:w="240" w:type="dxa"/>
            <w:vAlign w:val="bottom"/>
          </w:tcPr>
          <w:p>
            <w:pPr>
              <w:spacing w:after="0"/>
              <w:rPr>
                <w:sz w:val="17"/>
                <w:szCs w:val="17"/>
                <w:color w:val="auto"/>
              </w:rPr>
            </w:pPr>
          </w:p>
        </w:tc>
        <w:tc>
          <w:tcPr>
            <w:tcW w:w="1640" w:type="dxa"/>
            <w:vAlign w:val="bottom"/>
            <w:gridSpan w:val="2"/>
          </w:tcPr>
          <w:p>
            <w:pPr>
              <w:jc w:val="right"/>
              <w:ind w:right="119"/>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1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678,223</w:t>
            </w:r>
          </w:p>
        </w:tc>
        <w:tc>
          <w:tcPr>
            <w:tcW w:w="2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664,860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profits (losses):</w:t>
            </w: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ind w:left="260"/>
              <w:spacing w:after="0" w:line="202" w:lineRule="exact"/>
              <w:rPr>
                <w:sz w:val="20"/>
                <w:szCs w:val="20"/>
                <w:color w:val="auto"/>
              </w:rPr>
            </w:pPr>
            <w:r>
              <w:rPr>
                <w:rFonts w:ascii="Arial" w:cs="Arial" w:eastAsia="Arial" w:hAnsi="Arial"/>
                <w:sz w:val="18"/>
                <w:szCs w:val="18"/>
                <w:color w:val="auto"/>
              </w:rPr>
              <w:t>Satellite services</w:t>
            </w: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3,500</w:t>
            </w:r>
          </w:p>
        </w:tc>
        <w:tc>
          <w:tcPr>
            <w:tcW w:w="200" w:type="dxa"/>
            <w:vAlign w:val="bottom"/>
          </w:tcPr>
          <w:p>
            <w:pPr>
              <w:spacing w:after="0"/>
              <w:rPr>
                <w:sz w:val="17"/>
                <w:szCs w:val="17"/>
                <w:color w:val="auto"/>
              </w:rPr>
            </w:pP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12,513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Commercial networks</w:t>
            </w:r>
          </w:p>
        </w:tc>
        <w:tc>
          <w:tcPr>
            <w:tcW w:w="24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rPr>
              <w:t>(42,397 )</w:t>
            </w:r>
          </w:p>
        </w:tc>
        <w:tc>
          <w:tcPr>
            <w:tcW w:w="32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(37,708 )</w:t>
            </w:r>
          </w:p>
        </w:tc>
        <w:tc>
          <w:tcPr>
            <w:tcW w:w="0" w:type="dxa"/>
            <w:vAlign w:val="bottom"/>
          </w:tcPr>
          <w:p>
            <w:pPr>
              <w:spacing w:after="0"/>
              <w:rPr>
                <w:sz w:val="1"/>
                <w:szCs w:val="1"/>
                <w:color w:val="auto"/>
              </w:rPr>
            </w:pPr>
          </w:p>
        </w:tc>
      </w:tr>
      <w:tr>
        <w:trPr>
          <w:trHeight w:val="203"/>
        </w:trPr>
        <w:tc>
          <w:tcPr>
            <w:tcW w:w="6180" w:type="dxa"/>
            <w:vAlign w:val="bottom"/>
          </w:tcPr>
          <w:p>
            <w:pPr>
              <w:ind w:left="260"/>
              <w:spacing w:after="0" w:line="202" w:lineRule="exact"/>
              <w:rPr>
                <w:sz w:val="20"/>
                <w:szCs w:val="20"/>
                <w:color w:val="auto"/>
              </w:rPr>
            </w:pPr>
            <w:r>
              <w:rPr>
                <w:rFonts w:ascii="Arial" w:cs="Arial" w:eastAsia="Arial" w:hAnsi="Arial"/>
                <w:sz w:val="18"/>
                <w:szCs w:val="18"/>
                <w:color w:val="auto"/>
              </w:rPr>
              <w:t>Government systems</w:t>
            </w:r>
          </w:p>
        </w:tc>
        <w:tc>
          <w:tcPr>
            <w:tcW w:w="2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19,358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47,416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180" w:type="dxa"/>
            <w:vAlign w:val="bottom"/>
            <w:shd w:val="clear" w:color="auto" w:fill="CFF0FC"/>
          </w:tcPr>
          <w:p>
            <w:pPr>
              <w:ind w:left="260"/>
              <w:spacing w:after="0" w:line="175" w:lineRule="exact"/>
              <w:rPr>
                <w:sz w:val="20"/>
                <w:szCs w:val="20"/>
                <w:color w:val="auto"/>
              </w:rPr>
            </w:pPr>
            <w:r>
              <w:rPr>
                <w:rFonts w:ascii="Arial" w:cs="Arial" w:eastAsia="Arial" w:hAnsi="Arial"/>
                <w:sz w:val="18"/>
                <w:szCs w:val="18"/>
                <w:color w:val="auto"/>
              </w:rPr>
              <w:t>Elimination of intersegment operating</w:t>
            </w:r>
          </w:p>
        </w:tc>
        <w:tc>
          <w:tcPr>
            <w:tcW w:w="240" w:type="dxa"/>
            <w:vAlign w:val="bottom"/>
            <w:shd w:val="clear" w:color="auto" w:fill="CFF0FC"/>
          </w:tcPr>
          <w:p>
            <w:pPr>
              <w:spacing w:after="0"/>
              <w:rPr>
                <w:sz w:val="15"/>
                <w:szCs w:val="15"/>
                <w:color w:val="auto"/>
              </w:rPr>
            </w:pPr>
          </w:p>
        </w:tc>
        <w:tc>
          <w:tcPr>
            <w:tcW w:w="1640" w:type="dxa"/>
            <w:vAlign w:val="bottom"/>
            <w:gridSpan w:val="2"/>
            <w:vMerge w:val="restart"/>
            <w:shd w:val="clear" w:color="auto" w:fill="CFF0FC"/>
          </w:tcPr>
          <w:p>
            <w:pPr>
              <w:jc w:val="right"/>
              <w:ind w:right="119"/>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5"/>
                <w:szCs w:val="15"/>
                <w:color w:val="auto"/>
              </w:rPr>
            </w:pPr>
          </w:p>
        </w:tc>
        <w:tc>
          <w:tcPr>
            <w:tcW w:w="17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0"/>
        </w:trPr>
        <w:tc>
          <w:tcPr>
            <w:tcW w:w="6180" w:type="dxa"/>
            <w:vAlign w:val="bottom"/>
            <w:shd w:val="clear" w:color="auto" w:fill="CFF0FC"/>
          </w:tcPr>
          <w:p>
            <w:pPr>
              <w:ind w:left="420"/>
              <w:spacing w:after="0" w:line="190" w:lineRule="exact"/>
              <w:rPr>
                <w:sz w:val="20"/>
                <w:szCs w:val="20"/>
                <w:color w:val="auto"/>
              </w:rPr>
            </w:pPr>
            <w:r>
              <w:rPr>
                <w:rFonts w:ascii="Arial" w:cs="Arial" w:eastAsia="Arial" w:hAnsi="Arial"/>
                <w:sz w:val="18"/>
                <w:szCs w:val="18"/>
                <w:color w:val="auto"/>
              </w:rPr>
              <w:t>profits</w:t>
            </w:r>
          </w:p>
        </w:tc>
        <w:tc>
          <w:tcPr>
            <w:tcW w:w="240" w:type="dxa"/>
            <w:vAlign w:val="bottom"/>
            <w:shd w:val="clear" w:color="auto" w:fill="CFF0FC"/>
          </w:tcPr>
          <w:p>
            <w:pPr>
              <w:spacing w:after="0"/>
              <w:rPr>
                <w:sz w:val="16"/>
                <w:szCs w:val="16"/>
                <w:color w:val="auto"/>
              </w:rPr>
            </w:pPr>
          </w:p>
        </w:tc>
        <w:tc>
          <w:tcPr>
            <w:tcW w:w="1640" w:type="dxa"/>
            <w:vAlign w:val="bottom"/>
            <w:gridSpan w:val="2"/>
            <w:vMerge w:val="continue"/>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7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6180" w:type="dxa"/>
            <w:vAlign w:val="bottom"/>
            <w:tcBorders>
              <w:top w:val="single" w:sz="8" w:color="CFF0FC"/>
            </w:tcBorders>
          </w:tcPr>
          <w:p>
            <w:pPr>
              <w:spacing w:after="0" w:line="168" w:lineRule="exact"/>
              <w:rPr>
                <w:sz w:val="20"/>
                <w:szCs w:val="20"/>
                <w:color w:val="auto"/>
              </w:rPr>
            </w:pPr>
            <w:r>
              <w:rPr>
                <w:rFonts w:ascii="Arial" w:cs="Arial" w:eastAsia="Arial" w:hAnsi="Arial"/>
                <w:sz w:val="18"/>
                <w:szCs w:val="18"/>
                <w:color w:val="auto"/>
              </w:rPr>
              <w:t>Segment operating profit (loss) before corporate</w:t>
            </w:r>
          </w:p>
        </w:tc>
        <w:tc>
          <w:tcPr>
            <w:tcW w:w="2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180" w:type="dxa"/>
            <w:vAlign w:val="bottom"/>
          </w:tcPr>
          <w:p>
            <w:pPr>
              <w:ind w:left="160"/>
              <w:spacing w:after="0" w:line="176" w:lineRule="exact"/>
              <w:rPr>
                <w:sz w:val="20"/>
                <w:szCs w:val="20"/>
                <w:color w:val="auto"/>
              </w:rPr>
            </w:pPr>
            <w:r>
              <w:rPr>
                <w:rFonts w:ascii="Arial" w:cs="Arial" w:eastAsia="Arial" w:hAnsi="Arial"/>
                <w:sz w:val="18"/>
                <w:szCs w:val="18"/>
                <w:color w:val="auto"/>
              </w:rPr>
              <w:t>and amortization of acquired intangible</w:t>
            </w: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80" w:type="dxa"/>
            <w:vAlign w:val="bottom"/>
          </w:tcPr>
          <w:p>
            <w:pPr>
              <w:ind w:left="160"/>
              <w:spacing w:after="0" w:line="203" w:lineRule="exact"/>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7"/>
                <w:szCs w:val="17"/>
                <w:color w:val="auto"/>
              </w:rPr>
            </w:pPr>
          </w:p>
        </w:tc>
        <w:tc>
          <w:tcPr>
            <w:tcW w:w="1640" w:type="dxa"/>
            <w:vAlign w:val="bottom"/>
            <w:gridSpan w:val="2"/>
          </w:tcPr>
          <w:p>
            <w:pPr>
              <w:jc w:val="right"/>
              <w:ind w:right="39"/>
              <w:spacing w:after="0" w:line="203" w:lineRule="exact"/>
              <w:rPr>
                <w:sz w:val="20"/>
                <w:szCs w:val="20"/>
                <w:color w:val="auto"/>
              </w:rPr>
            </w:pPr>
            <w:r>
              <w:rPr>
                <w:rFonts w:ascii="Arial" w:cs="Arial" w:eastAsia="Arial" w:hAnsi="Arial"/>
                <w:sz w:val="18"/>
                <w:szCs w:val="18"/>
                <w:color w:val="auto"/>
              </w:rPr>
              <w:t>(19,539 )</w:t>
            </w:r>
          </w:p>
        </w:tc>
        <w:tc>
          <w:tcPr>
            <w:tcW w:w="320" w:type="dxa"/>
            <w:vAlign w:val="bottom"/>
          </w:tcPr>
          <w:p>
            <w:pPr>
              <w:spacing w:after="0"/>
              <w:rPr>
                <w:sz w:val="17"/>
                <w:szCs w:val="17"/>
                <w:color w:val="auto"/>
              </w:rPr>
            </w:pPr>
          </w:p>
        </w:tc>
        <w:tc>
          <w:tcPr>
            <w:tcW w:w="1620" w:type="dxa"/>
            <w:vAlign w:val="bottom"/>
          </w:tcPr>
          <w:p>
            <w:pPr>
              <w:jc w:val="right"/>
              <w:spacing w:after="0" w:line="203" w:lineRule="exact"/>
              <w:rPr>
                <w:sz w:val="20"/>
                <w:szCs w:val="20"/>
                <w:color w:val="auto"/>
              </w:rPr>
            </w:pPr>
            <w:r>
              <w:rPr>
                <w:rFonts w:ascii="Arial" w:cs="Arial" w:eastAsia="Arial" w:hAnsi="Arial"/>
                <w:sz w:val="18"/>
                <w:szCs w:val="18"/>
                <w:color w:val="auto"/>
              </w:rPr>
              <w:t>22,221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Corporate</w:t>
            </w:r>
          </w:p>
        </w:tc>
        <w:tc>
          <w:tcPr>
            <w:tcW w:w="24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19"/>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180" w:type="dxa"/>
            <w:vAlign w:val="bottom"/>
          </w:tcPr>
          <w:p>
            <w:pPr>
              <w:ind w:left="260"/>
              <w:spacing w:after="0" w:line="175" w:lineRule="exact"/>
              <w:rPr>
                <w:sz w:val="20"/>
                <w:szCs w:val="20"/>
                <w:color w:val="auto"/>
              </w:rPr>
            </w:pPr>
            <w:r>
              <w:rPr>
                <w:rFonts w:ascii="Arial" w:cs="Arial" w:eastAsia="Arial" w:hAnsi="Arial"/>
                <w:sz w:val="18"/>
                <w:szCs w:val="18"/>
                <w:color w:val="auto"/>
              </w:rPr>
              <w:t>Amortization of acquired intangible</w:t>
            </w:r>
          </w:p>
        </w:tc>
        <w:tc>
          <w:tcPr>
            <w:tcW w:w="240" w:type="dxa"/>
            <w:vAlign w:val="bottom"/>
          </w:tcPr>
          <w:p>
            <w:pPr>
              <w:spacing w:after="0"/>
              <w:rPr>
                <w:sz w:val="15"/>
                <w:szCs w:val="15"/>
                <w:color w:val="auto"/>
              </w:rPr>
            </w:pPr>
          </w:p>
        </w:tc>
        <w:tc>
          <w:tcPr>
            <w:tcW w:w="1640" w:type="dxa"/>
            <w:vAlign w:val="bottom"/>
            <w:gridSpan w:val="2"/>
            <w:vMerge w:val="restart"/>
          </w:tcPr>
          <w:p>
            <w:pPr>
              <w:jc w:val="right"/>
              <w:ind w:right="39"/>
              <w:spacing w:after="0"/>
              <w:rPr>
                <w:sz w:val="20"/>
                <w:szCs w:val="20"/>
                <w:color w:val="auto"/>
              </w:rPr>
            </w:pPr>
            <w:r>
              <w:rPr>
                <w:rFonts w:ascii="Arial" w:cs="Arial" w:eastAsia="Arial" w:hAnsi="Arial"/>
                <w:sz w:val="18"/>
                <w:szCs w:val="18"/>
                <w:color w:val="auto"/>
              </w:rPr>
              <w:t>(7,523 )</w:t>
            </w:r>
          </w:p>
        </w:tc>
        <w:tc>
          <w:tcPr>
            <w:tcW w:w="320" w:type="dxa"/>
            <w:vAlign w:val="bottom"/>
          </w:tcPr>
          <w:p>
            <w:pPr>
              <w:spacing w:after="0"/>
              <w:rPr>
                <w:sz w:val="15"/>
                <w:szCs w:val="15"/>
                <w:color w:val="auto"/>
              </w:rPr>
            </w:pPr>
          </w:p>
        </w:tc>
        <w:tc>
          <w:tcPr>
            <w:tcW w:w="1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(5,929 )</w:t>
            </w:r>
          </w:p>
        </w:tc>
        <w:tc>
          <w:tcPr>
            <w:tcW w:w="0" w:type="dxa"/>
            <w:vAlign w:val="bottom"/>
          </w:tcPr>
          <w:p>
            <w:pPr>
              <w:spacing w:after="0"/>
              <w:rPr>
                <w:sz w:val="1"/>
                <w:szCs w:val="1"/>
                <w:color w:val="auto"/>
              </w:rPr>
            </w:pPr>
          </w:p>
        </w:tc>
      </w:tr>
      <w:tr>
        <w:trPr>
          <w:trHeight w:val="190"/>
        </w:trPr>
        <w:tc>
          <w:tcPr>
            <w:tcW w:w="6180" w:type="dxa"/>
            <w:vAlign w:val="bottom"/>
          </w:tcPr>
          <w:p>
            <w:pPr>
              <w:ind w:left="420"/>
              <w:spacing w:after="0" w:line="190" w:lineRule="exact"/>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1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Income (loss) from operations</w:t>
            </w:r>
          </w:p>
        </w:tc>
        <w:tc>
          <w:tcPr>
            <w:tcW w:w="24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(27,062</w:t>
            </w:r>
          </w:p>
        </w:tc>
        <w:tc>
          <w:tcPr>
            <w:tcW w:w="200" w:type="dxa"/>
            <w:vAlign w:val="bottom"/>
            <w:tcBorders>
              <w:bottom w:val="single" w:sz="8" w:color="CFF0FC"/>
            </w:tcBorders>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16,292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-1782445</wp:posOffset>
            </wp:positionV>
            <wp:extent cx="596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-1765300</wp:posOffset>
            </wp:positionV>
            <wp:extent cx="596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-1782445</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-1765300</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-879475</wp:posOffset>
            </wp:positionV>
            <wp:extent cx="5969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-879475</wp:posOffset>
            </wp:positionV>
            <wp:extent cx="6032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596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596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right="220" w:firstLine="509"/>
        <w:spacing w:after="0" w:line="238" w:lineRule="auto"/>
        <w:rPr>
          <w:sz w:val="20"/>
          <w:szCs w:val="20"/>
          <w:color w:val="auto"/>
        </w:rPr>
      </w:pPr>
      <w:r>
        <w:rPr>
          <w:rFonts w:ascii="Arial" w:cs="Arial" w:eastAsia="Arial" w:hAnsi="Arial"/>
          <w:sz w:val="18"/>
          <w:szCs w:val="18"/>
          <w:color w:val="auto"/>
        </w:rPr>
        <w:t>Assets identifiable to segments include: accounts receivable, unbilled accounts receivable, inventory, acquired intangible assets and goodwill. The Company’s property and equipment, including its satellites, earth stations and other networking equipment, are assigned to corporate assets as they are available for use by the various segments throughout their estimated useful lives. Segment assets as of June 30, 2022 and March 31, 2022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ind w:right="596"/>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jc w:val="right"/>
              <w:ind w:right="715"/>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9"/>
        </w:trPr>
        <w:tc>
          <w:tcPr>
            <w:tcW w:w="5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ind w:right="16"/>
              <w:spacing w:after="0"/>
              <w:rPr>
                <w:sz w:val="20"/>
                <w:szCs w:val="20"/>
                <w:color w:val="auto"/>
              </w:rPr>
            </w:pPr>
            <w:r>
              <w:rPr>
                <w:rFonts w:ascii="Arial" w:cs="Arial" w:eastAsia="Arial" w:hAnsi="Arial"/>
                <w:sz w:val="14"/>
                <w:szCs w:val="14"/>
                <w:b w:val="1"/>
                <w:bCs w:val="1"/>
                <w:color w:val="auto"/>
              </w:rPr>
              <w:t>(In</w:t>
            </w:r>
          </w:p>
        </w:tc>
        <w:tc>
          <w:tcPr>
            <w:tcW w:w="2140" w:type="dxa"/>
            <w:vAlign w:val="bottom"/>
            <w:gridSpan w:val="3"/>
          </w:tcPr>
          <w:p>
            <w:pPr>
              <w:jc w:val="right"/>
              <w:ind w:right="1335"/>
              <w:spacing w:after="0"/>
              <w:rPr>
                <w:sz w:val="20"/>
                <w:szCs w:val="20"/>
                <w:color w:val="auto"/>
              </w:rPr>
            </w:pPr>
            <w:r>
              <w:rPr>
                <w:rFonts w:ascii="Arial" w:cs="Arial" w:eastAsia="Arial" w:hAnsi="Arial"/>
                <w:sz w:val="14"/>
                <w:szCs w:val="14"/>
                <w:b w:val="1"/>
                <w:bCs w:val="1"/>
                <w:color w:val="auto"/>
                <w:w w:val="92"/>
              </w:rPr>
              <w:t>thousands)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03"/>
        </w:trPr>
        <w:tc>
          <w:tcPr>
            <w:tcW w:w="580" w:type="dxa"/>
            <w:vAlign w:val="bottom"/>
          </w:tcPr>
          <w:p>
            <w:pPr>
              <w:spacing w:after="0"/>
              <w:rPr>
                <w:sz w:val="17"/>
                <w:szCs w:val="17"/>
                <w:color w:val="auto"/>
              </w:rPr>
            </w:pPr>
          </w:p>
        </w:tc>
        <w:tc>
          <w:tcPr>
            <w:tcW w:w="3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Segment assets:</w:t>
            </w:r>
          </w:p>
        </w:tc>
        <w:tc>
          <w:tcPr>
            <w:tcW w:w="2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460" w:type="dxa"/>
            <w:vAlign w:val="bottom"/>
          </w:tcPr>
          <w:p>
            <w:pPr>
              <w:ind w:left="260"/>
              <w:spacing w:after="0" w:line="202" w:lineRule="exact"/>
              <w:rPr>
                <w:sz w:val="20"/>
                <w:szCs w:val="20"/>
                <w:color w:val="auto"/>
              </w:rPr>
            </w:pPr>
            <w:r>
              <w:rPr>
                <w:rFonts w:ascii="Arial" w:cs="Arial" w:eastAsia="Arial" w:hAnsi="Arial"/>
                <w:sz w:val="18"/>
                <w:szCs w:val="18"/>
                <w:color w:val="auto"/>
              </w:rPr>
              <w:t>Satellite services</w:t>
            </w:r>
          </w:p>
        </w:tc>
        <w:tc>
          <w:tcPr>
            <w:tcW w:w="29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429,644</w:t>
            </w:r>
          </w:p>
        </w:tc>
        <w:tc>
          <w:tcPr>
            <w:tcW w:w="5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444,976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46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Commercial networks</w:t>
            </w:r>
          </w:p>
        </w:tc>
        <w:tc>
          <w:tcPr>
            <w:tcW w:w="2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234,642</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202,941</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460" w:type="dxa"/>
            <w:vAlign w:val="bottom"/>
          </w:tcPr>
          <w:p>
            <w:pPr>
              <w:ind w:left="260"/>
              <w:spacing w:after="0" w:line="202" w:lineRule="exact"/>
              <w:rPr>
                <w:sz w:val="20"/>
                <w:szCs w:val="20"/>
                <w:color w:val="auto"/>
              </w:rPr>
            </w:pPr>
            <w:r>
              <w:rPr>
                <w:rFonts w:ascii="Arial" w:cs="Arial" w:eastAsia="Arial" w:hAnsi="Arial"/>
                <w:sz w:val="18"/>
                <w:szCs w:val="18"/>
                <w:color w:val="auto"/>
              </w:rPr>
              <w:t>Government systems</w:t>
            </w:r>
          </w:p>
        </w:tc>
        <w:tc>
          <w:tcPr>
            <w:tcW w:w="2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479,305</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479,166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3460" w:type="dxa"/>
            <w:vAlign w:val="bottom"/>
            <w:shd w:val="clear" w:color="auto" w:fill="CFF0FC"/>
          </w:tcPr>
          <w:p>
            <w:pPr>
              <w:ind w:left="260"/>
              <w:spacing w:after="0" w:line="196" w:lineRule="exact"/>
              <w:rPr>
                <w:sz w:val="20"/>
                <w:szCs w:val="20"/>
                <w:color w:val="auto"/>
              </w:rPr>
            </w:pPr>
            <w:r>
              <w:rPr>
                <w:rFonts w:ascii="Arial" w:cs="Arial" w:eastAsia="Arial" w:hAnsi="Arial"/>
                <w:sz w:val="18"/>
                <w:szCs w:val="18"/>
                <w:color w:val="auto"/>
              </w:rPr>
              <w:t>Total segment assets</w:t>
            </w:r>
          </w:p>
        </w:tc>
        <w:tc>
          <w:tcPr>
            <w:tcW w:w="2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1,143,591</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1,127,083</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3460" w:type="dxa"/>
            <w:vAlign w:val="bottom"/>
          </w:tcPr>
          <w:p>
            <w:pPr>
              <w:ind w:left="260"/>
              <w:spacing w:after="0" w:line="202" w:lineRule="exact"/>
              <w:rPr>
                <w:sz w:val="20"/>
                <w:szCs w:val="20"/>
                <w:color w:val="auto"/>
              </w:rPr>
            </w:pPr>
            <w:r>
              <w:rPr>
                <w:rFonts w:ascii="Arial" w:cs="Arial" w:eastAsia="Arial" w:hAnsi="Arial"/>
                <w:sz w:val="18"/>
                <w:szCs w:val="18"/>
                <w:color w:val="auto"/>
              </w:rPr>
              <w:t>Corporate assets</w:t>
            </w:r>
          </w:p>
        </w:tc>
        <w:tc>
          <w:tcPr>
            <w:tcW w:w="2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5,339,764</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5,262,263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34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assets</w:t>
            </w:r>
          </w:p>
        </w:tc>
        <w:tc>
          <w:tcPr>
            <w:tcW w:w="27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6,483,355</w:t>
            </w:r>
          </w:p>
        </w:tc>
        <w:tc>
          <w:tcPr>
            <w:tcW w:w="2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6,389,346</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615"/>
        </w:trPr>
        <w:tc>
          <w:tcPr>
            <w:tcW w:w="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700" w:type="dxa"/>
            <w:vAlign w:val="bottom"/>
          </w:tcPr>
          <w:p>
            <w:pPr>
              <w:jc w:val="right"/>
              <w:ind w:right="93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460" w:type="dxa"/>
            <w:vAlign w:val="bottom"/>
            <w:tcBorders>
              <w:bottom w:val="single" w:sz="8" w:color="9A9A9A"/>
            </w:tcBorders>
          </w:tcPr>
          <w:p>
            <w:pPr>
              <w:spacing w:after="0"/>
              <w:rPr>
                <w:sz w:val="8"/>
                <w:szCs w:val="8"/>
                <w:color w:val="auto"/>
              </w:rPr>
            </w:pPr>
          </w:p>
        </w:tc>
        <w:tc>
          <w:tcPr>
            <w:tcW w:w="27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-504825</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-487680</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-504825</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-487680</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right="560" w:firstLine="509"/>
        <w:spacing w:after="0" w:line="246" w:lineRule="auto"/>
        <w:rPr>
          <w:sz w:val="20"/>
          <w:szCs w:val="20"/>
          <w:color w:val="auto"/>
        </w:rPr>
      </w:pPr>
      <w:r>
        <w:rPr>
          <w:rFonts w:ascii="Arial" w:cs="Arial" w:eastAsia="Arial" w:hAnsi="Arial"/>
          <w:sz w:val="18"/>
          <w:szCs w:val="18"/>
          <w:color w:val="auto"/>
        </w:rPr>
        <w:t>Other acquired intangible assets, net and goodwill included in segment assets as of June 30, 2022 and March 31, 2022 were as follows: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gridSpan w:val="4"/>
          </w:tcPr>
          <w:p>
            <w:pPr>
              <w:jc w:val="right"/>
              <w:ind w:right="578"/>
              <w:spacing w:after="0"/>
              <w:rPr>
                <w:sz w:val="20"/>
                <w:szCs w:val="20"/>
                <w:color w:val="auto"/>
              </w:rPr>
            </w:pPr>
            <w:r>
              <w:rPr>
                <w:rFonts w:ascii="Arial" w:cs="Arial" w:eastAsia="Arial" w:hAnsi="Arial"/>
                <w:sz w:val="14"/>
                <w:szCs w:val="14"/>
                <w:b w:val="1"/>
                <w:bCs w:val="1"/>
                <w:color w:val="auto"/>
              </w:rPr>
              <w:t>Other Acquired Intangible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rPr>
              <w:t>Goodwill</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1058"/>
              <w:spacing w:after="0"/>
              <w:rPr>
                <w:sz w:val="20"/>
                <w:szCs w:val="20"/>
                <w:color w:val="auto"/>
              </w:rPr>
            </w:pPr>
            <w:r>
              <w:rPr>
                <w:rFonts w:ascii="Arial" w:cs="Arial" w:eastAsia="Arial" w:hAnsi="Arial"/>
                <w:sz w:val="14"/>
                <w:szCs w:val="14"/>
                <w:b w:val="1"/>
                <w:bCs w:val="1"/>
                <w:color w:val="auto"/>
              </w:rPr>
              <w:t>Assets, Net</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vMerge w:val="continue"/>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right"/>
              <w:ind w:right="479"/>
              <w:spacing w:after="0" w:line="129" w:lineRule="exact"/>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right"/>
              <w:ind w:right="438"/>
              <w:spacing w:after="0" w:line="129" w:lineRule="exact"/>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jc w:val="right"/>
              <w:ind w:right="498"/>
              <w:spacing w:after="0" w:line="129" w:lineRule="exact"/>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right"/>
              <w:ind w:right="436"/>
              <w:spacing w:after="0" w:line="129" w:lineRule="exact"/>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March 31, 2022</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138"/>
              <w:spacing w:after="0"/>
              <w:rPr>
                <w:sz w:val="20"/>
                <w:szCs w:val="20"/>
                <w:color w:val="auto"/>
              </w:rPr>
            </w:pPr>
            <w:r>
              <w:rPr>
                <w:rFonts w:ascii="Arial" w:cs="Arial" w:eastAsia="Arial" w:hAnsi="Arial"/>
                <w:sz w:val="14"/>
                <w:szCs w:val="14"/>
                <w:b w:val="1"/>
                <w:bCs w:val="1"/>
                <w:color w:val="auto"/>
              </w:rPr>
              <w:t>(In</w:t>
            </w:r>
          </w:p>
        </w:tc>
        <w:tc>
          <w:tcPr>
            <w:tcW w:w="1700" w:type="dxa"/>
            <w:vAlign w:val="bottom"/>
            <w:gridSpan w:val="3"/>
          </w:tcPr>
          <w:p>
            <w:pPr>
              <w:jc w:val="right"/>
              <w:ind w:right="1018"/>
              <w:spacing w:after="0"/>
              <w:rPr>
                <w:sz w:val="20"/>
                <w:szCs w:val="20"/>
                <w:color w:val="auto"/>
              </w:rPr>
            </w:pPr>
            <w:r>
              <w:rPr>
                <w:rFonts w:ascii="Arial" w:cs="Arial" w:eastAsia="Arial" w:hAnsi="Arial"/>
                <w:sz w:val="14"/>
                <w:szCs w:val="14"/>
                <w:b w:val="1"/>
                <w:bCs w:val="1"/>
                <w:color w:val="auto"/>
                <w:w w:val="76"/>
              </w:rPr>
              <w:t>thousands)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Satellite services</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220,199</w:t>
            </w:r>
          </w:p>
        </w:tc>
        <w:tc>
          <w:tcPr>
            <w:tcW w:w="3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233,740</w:t>
            </w:r>
          </w:p>
        </w:tc>
        <w:tc>
          <w:tcPr>
            <w:tcW w:w="4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79,739</w:t>
            </w:r>
          </w:p>
        </w:tc>
        <w:tc>
          <w:tcPr>
            <w:tcW w:w="3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81,972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Commercial networks</w:t>
            </w:r>
          </w:p>
        </w:tc>
        <w:tc>
          <w:tcPr>
            <w:tcW w:w="2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44,002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44,050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Government systems</w:t>
            </w:r>
          </w:p>
        </w:tc>
        <w:tc>
          <w:tcPr>
            <w:tcW w:w="2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1,988</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2,303</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63,618</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64,091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2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222,187</w:t>
            </w:r>
          </w:p>
        </w:tc>
        <w:tc>
          <w:tcPr>
            <w:tcW w:w="3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236,043</w:t>
            </w:r>
          </w:p>
        </w:tc>
        <w:tc>
          <w:tcPr>
            <w:tcW w:w="4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187,359</w:t>
            </w:r>
          </w:p>
        </w:tc>
        <w:tc>
          <w:tcPr>
            <w:tcW w:w="3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190,113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-159385</wp:posOffset>
            </wp:positionV>
            <wp:extent cx="6858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-159385</wp:posOffset>
            </wp:positionV>
            <wp:extent cx="6032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-159385</wp:posOffset>
            </wp:positionV>
            <wp:extent cx="6032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of acquired intangible assets by segment for the three months ended June 30, 2022 and 2021 was as follows:</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4"/>
          </w:tcPr>
          <w:p>
            <w:pPr>
              <w:jc w:val="right"/>
              <w:ind w:right="11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ind w:right="38"/>
              <w:spacing w:after="0"/>
              <w:rPr>
                <w:sz w:val="20"/>
                <w:szCs w:val="20"/>
                <w:color w:val="auto"/>
              </w:rPr>
            </w:pPr>
            <w:r>
              <w:rPr>
                <w:rFonts w:ascii="Arial" w:cs="Arial" w:eastAsia="Arial" w:hAnsi="Arial"/>
                <w:sz w:val="14"/>
                <w:szCs w:val="14"/>
                <w:b w:val="1"/>
                <w:bCs w:val="1"/>
                <w:color w:val="auto"/>
              </w:rPr>
              <w:t>(In</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thousands)</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Satellite services</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7,228</w:t>
            </w:r>
          </w:p>
        </w:tc>
        <w:tc>
          <w:tcPr>
            <w:tcW w:w="720" w:type="dxa"/>
            <w:vAlign w:val="bottom"/>
            <w:gridSpan w:val="2"/>
            <w:shd w:val="clear" w:color="auto" w:fill="CFF0FC"/>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Commercial networks</w:t>
            </w:r>
          </w:p>
        </w:tc>
        <w:tc>
          <w:tcPr>
            <w:tcW w:w="2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Government systems</w:t>
            </w:r>
          </w:p>
        </w:tc>
        <w:tc>
          <w:tcPr>
            <w:tcW w:w="26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295</w:t>
            </w:r>
          </w:p>
        </w:tc>
        <w:tc>
          <w:tcPr>
            <w:tcW w:w="20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607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060" w:type="dxa"/>
            <w:vAlign w:val="bottom"/>
          </w:tcPr>
          <w:p>
            <w:pPr>
              <w:spacing w:after="0" w:line="168" w:lineRule="exact"/>
              <w:rPr>
                <w:sz w:val="20"/>
                <w:szCs w:val="20"/>
                <w:color w:val="auto"/>
              </w:rPr>
            </w:pPr>
            <w:r>
              <w:rPr>
                <w:rFonts w:ascii="Arial" w:cs="Arial" w:eastAsia="Arial" w:hAnsi="Arial"/>
                <w:sz w:val="18"/>
                <w:szCs w:val="18"/>
                <w:color w:val="auto"/>
              </w:rPr>
              <w:t>Total amortization of acquired</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7,523</w:t>
            </w:r>
          </w:p>
        </w:tc>
        <w:tc>
          <w:tcPr>
            <w:tcW w:w="72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5,929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60" w:type="dxa"/>
            <w:vAlign w:val="bottom"/>
          </w:tcPr>
          <w:p>
            <w:pPr>
              <w:ind w:left="160"/>
              <w:spacing w:after="0" w:line="143" w:lineRule="exact"/>
              <w:rPr>
                <w:sz w:val="20"/>
                <w:szCs w:val="20"/>
                <w:color w:val="auto"/>
              </w:rPr>
            </w:pPr>
            <w:r>
              <w:rPr>
                <w:rFonts w:ascii="Arial" w:cs="Arial" w:eastAsia="Arial" w:hAnsi="Arial"/>
                <w:sz w:val="16"/>
                <w:szCs w:val="16"/>
                <w:color w:val="auto"/>
              </w:rPr>
              <w:t>intangible assets</w:t>
            </w:r>
          </w:p>
        </w:tc>
        <w:tc>
          <w:tcPr>
            <w:tcW w:w="26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-245110</wp:posOffset>
            </wp:positionV>
            <wp:extent cx="6032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-245110</wp:posOffset>
            </wp:positionV>
            <wp:extent cx="6032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by geographic area for the three months ended June 30, 2022 and 2021 were as follows:</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4"/>
          </w:tcPr>
          <w:p>
            <w:pPr>
              <w:jc w:val="right"/>
              <w:ind w:right="117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r>
      <w:tr>
        <w:trPr>
          <w:trHeight w:val="169"/>
        </w:trPr>
        <w:tc>
          <w:tcPr>
            <w:tcW w:w="6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4"/>
                <w:szCs w:val="14"/>
                <w:color w:val="auto"/>
              </w:rPr>
            </w:pPr>
          </w:p>
        </w:tc>
      </w:tr>
      <w:tr>
        <w:trPr>
          <w:trHeight w:val="169"/>
        </w:trPr>
        <w:tc>
          <w:tcPr>
            <w:tcW w:w="6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ind w:right="39"/>
              <w:spacing w:after="0"/>
              <w:rPr>
                <w:sz w:val="20"/>
                <w:szCs w:val="20"/>
                <w:color w:val="auto"/>
              </w:rPr>
            </w:pPr>
            <w:r>
              <w:rPr>
                <w:rFonts w:ascii="Arial" w:cs="Arial" w:eastAsia="Arial" w:hAnsi="Arial"/>
                <w:sz w:val="14"/>
                <w:szCs w:val="14"/>
                <w:b w:val="1"/>
                <w:bCs w:val="1"/>
                <w:color w:val="auto"/>
              </w:rPr>
              <w:t>(In</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thousands)</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6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U.S. customers</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579,117</w:t>
            </w:r>
          </w:p>
        </w:tc>
        <w:tc>
          <w:tcPr>
            <w:tcW w:w="720" w:type="dxa"/>
            <w:vAlign w:val="bottom"/>
            <w:gridSpan w:val="2"/>
            <w:shd w:val="clear" w:color="auto" w:fill="CFF0FC"/>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567,486</w:t>
            </w:r>
          </w:p>
        </w:tc>
        <w:tc>
          <w:tcPr>
            <w:tcW w:w="100" w:type="dxa"/>
            <w:vAlign w:val="bottom"/>
            <w:shd w:val="clear" w:color="auto" w:fill="CFF0FC"/>
          </w:tcPr>
          <w:p>
            <w:pPr>
              <w:spacing w:after="0"/>
              <w:rPr>
                <w:sz w:val="17"/>
                <w:szCs w:val="17"/>
                <w:color w:val="auto"/>
              </w:rPr>
            </w:pP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Non-U.S. customers (each country individually insignificant)</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99,106</w:t>
            </w:r>
          </w:p>
        </w:tc>
        <w:tc>
          <w:tcPr>
            <w:tcW w:w="2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97,374</w:t>
            </w:r>
          </w:p>
        </w:tc>
        <w:tc>
          <w:tcPr>
            <w:tcW w:w="100" w:type="dxa"/>
            <w:vAlign w:val="bottom"/>
          </w:tcPr>
          <w:p>
            <w:pPr>
              <w:spacing w:after="0"/>
              <w:rPr>
                <w:sz w:val="17"/>
                <w:szCs w:val="17"/>
                <w:color w:val="auto"/>
              </w:rPr>
            </w:pPr>
          </w:p>
        </w:tc>
      </w:tr>
      <w:tr>
        <w:trPr>
          <w:trHeight w:val="236"/>
        </w:trPr>
        <w:tc>
          <w:tcPr>
            <w:tcW w:w="60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678,223</w:t>
            </w:r>
          </w:p>
        </w:tc>
        <w:tc>
          <w:tcPr>
            <w:tcW w:w="20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664,860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-24765</wp:posOffset>
            </wp:positionV>
            <wp:extent cx="603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Acquisitions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Inmarsat Transaction</w:t>
      </w:r>
    </w:p>
    <w:p>
      <w:pPr>
        <w:spacing w:after="0" w:line="8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On November 8, 2021, the Company entered into a Share Purchase Agreement with the Sellers to combine Viasat with Inmarsat. Pursuant to the Share Purchase Agreement, the Company will purchase all of the issued and outstanding shares of Inmarsat from the Sellers upon the terms and subject to the conditions set forth therein. The total consideration payable by the Company under the Share Purchase Agreement consists of $850.0 million in cash, subject to adjustments (including a reduction of $299.3 million as a result of the dividend paid by Inmarsat in April 2022), and approximately 46.36 million unregistered shares of the Company’s common stock.</w:t>
      </w:r>
    </w:p>
    <w:p>
      <w:pPr>
        <w:spacing w:after="0" w:line="148" w:lineRule="exact"/>
        <w:rPr>
          <w:sz w:val="20"/>
          <w:szCs w:val="20"/>
          <w:color w:val="auto"/>
        </w:rPr>
      </w:pPr>
    </w:p>
    <w:p>
      <w:pPr>
        <w:ind w:right="280" w:firstLine="509"/>
        <w:spacing w:after="0" w:line="246" w:lineRule="auto"/>
        <w:rPr>
          <w:sz w:val="20"/>
          <w:szCs w:val="20"/>
          <w:color w:val="auto"/>
        </w:rPr>
      </w:pPr>
      <w:r>
        <w:rPr>
          <w:rFonts w:ascii="Arial" w:cs="Arial" w:eastAsia="Arial" w:hAnsi="Arial"/>
          <w:sz w:val="18"/>
          <w:szCs w:val="18"/>
          <w:color w:val="auto"/>
        </w:rPr>
        <w:t>The Company's stockholders approved the issuance of shares in the transaction and an amendment to the Company’s certificate of incorporation to increase the number of shares of common stock authorized for issuance at a special meeting held on June 21, 2022.</w:t>
      </w:r>
    </w:p>
    <w:p>
      <w:pPr>
        <w:spacing w:after="0" w:line="143" w:lineRule="exact"/>
        <w:rPr>
          <w:sz w:val="20"/>
          <w:szCs w:val="20"/>
          <w:color w:val="auto"/>
        </w:rPr>
      </w:pPr>
    </w:p>
    <w:p>
      <w:pPr>
        <w:ind w:right="200" w:firstLine="509"/>
        <w:spacing w:after="0" w:line="238" w:lineRule="auto"/>
        <w:rPr>
          <w:sz w:val="20"/>
          <w:szCs w:val="20"/>
          <w:color w:val="auto"/>
        </w:rPr>
      </w:pPr>
      <w:r>
        <w:rPr>
          <w:rFonts w:ascii="Arial" w:cs="Arial" w:eastAsia="Arial" w:hAnsi="Arial"/>
          <w:sz w:val="18"/>
          <w:szCs w:val="18"/>
          <w:color w:val="auto"/>
        </w:rPr>
        <w:t>The closing of the Inmarsat Transaction is subject to customary closing conditions, including receipt of regulatory approvals and clearances. The Share Purchase Agreement contains certain termination rights for both the Company and certain of the Sellers and further provides that, upon termination of the Share Purchase Agreement under certain circumstances, the Company may be obligated to pay a termination fee of up to $200.0 million or to reimburse certain out-of-pocket expenses of certain Sellers up to $40.0 million.</w:t>
      </w:r>
    </w:p>
    <w:p>
      <w:pPr>
        <w:spacing w:after="0" w:line="151" w:lineRule="exact"/>
        <w:rPr>
          <w:sz w:val="20"/>
          <w:szCs w:val="20"/>
          <w:color w:val="auto"/>
        </w:rPr>
      </w:pPr>
    </w:p>
    <w:p>
      <w:pPr>
        <w:ind w:right="180" w:firstLine="509"/>
        <w:spacing w:after="0" w:line="246" w:lineRule="auto"/>
        <w:rPr>
          <w:sz w:val="20"/>
          <w:szCs w:val="20"/>
          <w:color w:val="auto"/>
        </w:rPr>
      </w:pPr>
      <w:r>
        <w:rPr>
          <w:rFonts w:ascii="Arial" w:cs="Arial" w:eastAsia="Arial" w:hAnsi="Arial"/>
          <w:sz w:val="18"/>
          <w:szCs w:val="18"/>
          <w:color w:val="auto"/>
        </w:rPr>
        <w:t>The Company has obtained financing commitments for an additional $ 1.6 billion of new debt facilities in connection with the Inmarsat Transaction (which may be secured and/or unsecured). In light of the $299.3 million reduction in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cash purchase price payable in the Inmarsat Transaction, the Company currently expects to incur $1.3 billion of additional indebtedness under these commitments. However, the total amount of indebtedness incurred under these commitments may change, including in the event that available cash from other sources is higher than expected. The Company also plans to assume $2.1 billion in principal amount of Inmarsat senior secured bonds and the outstanding indebtedness under Inmarsat’s $2.4 billion senior secured credit facilities. The Company had also obtained commitments of $3.2 billion to backstop certain amendments required under the Revolving Credit Facility and Ex-Im Credit Facility and Inmarsat’s $2.4 billion senior secured credit facilities, all of which amendments had been obtained as of the date of this report.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 Broadband Infrastructure Sàrl</w:t>
      </w:r>
    </w:p>
    <w:p>
      <w:pPr>
        <w:spacing w:after="0" w:line="85"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On April 30, 2021, the Company acquired the remaining 51% interest in EBI, a broadband services provider, from Eutelsat. By completing the acquisition, the Company gained 100% ownership and control of EBI and the KA-SAT satellite over EMEA and related ground infrastructure, which is expected to facilitate the diversification of the Company’s business portfolio in Europe, while establishing operations, distribution and sales of satellite-based broadband services, ahead of the anticipated ViaSat-3 (EMEA) satellite launch. The benefits and additional opportunities of the acquisition were among the factors that contributed to a purchase price resulting in the recognition of goodwill, which was recorded within the Company’s satellite services segment. The goodwill recognized is not deductible for U.S. and foreign income tax purposes.</w:t>
      </w:r>
    </w:p>
    <w:p>
      <w:pPr>
        <w:spacing w:after="0" w:line="149"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Prior to the acquisition date, the Company owned a 49% interest in EBI and accounted for the investment using the equity method of accounting. The acquisition of the remaining equity interest in EBI was accounted for as a step acquisition in accordance with the authoritative guidance for business combinations (ASC 805). Accordingly, the Company allocated the purchase price of the acquired company to the net tangible assets and intangible assets acquired based upon their estimated fair values. The Company remeasured the previously held equity method investment to its fair value based upon a valuation of the acquired business, as of the date of acquisition. The Company considered multiple factors in determining the fair value of the previously held equity method investment, including, (i) the price negotiated with the selling shareholder for the remaining 51% interest in EBI and (ii) an income valuation model (discounted cash flow). As a result of the equity method investment remeasurement, recognition of previously unrecognized foreign currency gain and settlement of insignificant preexisting relationships, the Company recognized an insignificant total net gain included in other income, net, in the condensed consolidated statements of operations and comprehensive income (loss) in the first quarter of fiscal year 2022.</w:t>
      </w:r>
    </w:p>
    <w:p>
      <w:pPr>
        <w:spacing w:after="0" w:line="152"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The purchase price of $327.4 million was primarily comprised of $167.0 million of cash, net of what is currently estimated to be an immaterial amount of estimated purchase price consideration to be settled among the parties over the 24 months (up to plus or minus €20.0 million, or approximately $21.1 million, see Note 3 — Fair Value Measurements for more information) from the closing date (which after consideration of approximately $121.7 million of EBI’s cash on hand, resulted in a net cash outlay of approximately $51.0 million) and the fair value of previously held equity method investment of approximately $160.4 million.</w:t>
      </w:r>
    </w:p>
    <w:p>
      <w:pPr>
        <w:spacing w:after="0" w:line="148" w:lineRule="exact"/>
        <w:rPr>
          <w:sz w:val="20"/>
          <w:szCs w:val="20"/>
          <w:color w:val="auto"/>
        </w:rPr>
      </w:pPr>
    </w:p>
    <w:p>
      <w:pPr>
        <w:ind w:right="260" w:firstLine="509"/>
        <w:spacing w:after="0"/>
        <w:rPr>
          <w:sz w:val="20"/>
          <w:szCs w:val="20"/>
          <w:color w:val="auto"/>
        </w:rPr>
      </w:pPr>
      <w:r>
        <w:rPr>
          <w:rFonts w:ascii="Arial" w:cs="Arial" w:eastAsia="Arial" w:hAnsi="Arial"/>
          <w:sz w:val="18"/>
          <w:szCs w:val="18"/>
          <w:color w:val="auto"/>
        </w:rPr>
        <w:t>The purchase price allocation of the acquired assets and assumed liabilities based on the estimated fair values as of April 30, 2021, slightly adjusted since the close of the acquisition, primarily between goodwill, identifiable intangible assets and property, equipment and satellites,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Current assets</w:t>
            </w:r>
          </w:p>
        </w:tc>
        <w:tc>
          <w:tcPr>
            <w:tcW w:w="3540" w:type="dxa"/>
            <w:vAlign w:val="bottom"/>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2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154,207</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820" w:type="dxa"/>
            <w:vAlign w:val="bottom"/>
          </w:tcPr>
          <w:p>
            <w:pPr>
              <w:spacing w:after="0" w:line="202" w:lineRule="exact"/>
              <w:rPr>
                <w:sz w:val="20"/>
                <w:szCs w:val="20"/>
                <w:color w:val="auto"/>
              </w:rPr>
            </w:pPr>
            <w:r>
              <w:rPr>
                <w:rFonts w:ascii="Arial" w:cs="Arial" w:eastAsia="Arial" w:hAnsi="Arial"/>
                <w:sz w:val="18"/>
                <w:szCs w:val="18"/>
                <w:color w:val="auto"/>
              </w:rPr>
              <w:t>Property, equipment and satellites</w:t>
            </w:r>
          </w:p>
        </w:tc>
        <w:tc>
          <w:tcPr>
            <w:tcW w:w="3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60" w:type="dxa"/>
            <w:vAlign w:val="bottom"/>
          </w:tcPr>
          <w:p>
            <w:pPr>
              <w:jc w:val="right"/>
              <w:spacing w:after="0" w:line="202" w:lineRule="exact"/>
              <w:rPr>
                <w:sz w:val="20"/>
                <w:szCs w:val="20"/>
                <w:color w:val="auto"/>
              </w:rPr>
            </w:pPr>
            <w:r>
              <w:rPr>
                <w:rFonts w:ascii="Arial" w:cs="Arial" w:eastAsia="Arial" w:hAnsi="Arial"/>
                <w:sz w:val="18"/>
                <w:szCs w:val="18"/>
                <w:color w:val="auto"/>
              </w:rPr>
              <w:t>109,028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Identifiable intangible assets</w:t>
            </w:r>
          </w:p>
        </w:tc>
        <w:tc>
          <w:tcPr>
            <w:tcW w:w="35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26,574</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82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35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820" w:type="dxa"/>
            <w:vAlign w:val="bottom"/>
            <w:tcBorders>
              <w:bottom w:val="single" w:sz="8" w:color="CFF0FC"/>
            </w:tcBorders>
            <w:shd w:val="clear" w:color="auto" w:fill="CFF0FC"/>
          </w:tcPr>
          <w:p>
            <w:pPr>
              <w:ind w:left="260"/>
              <w:spacing w:after="0" w:line="196" w:lineRule="exact"/>
              <w:rPr>
                <w:sz w:val="20"/>
                <w:szCs w:val="20"/>
                <w:color w:val="auto"/>
              </w:rPr>
            </w:pPr>
            <w:r>
              <w:rPr>
                <w:rFonts w:ascii="Arial" w:cs="Arial" w:eastAsia="Arial" w:hAnsi="Arial"/>
                <w:sz w:val="18"/>
                <w:szCs w:val="18"/>
                <w:color w:val="auto"/>
              </w:rPr>
              <w:t>Total assets acquired</w:t>
            </w:r>
          </w:p>
        </w:tc>
        <w:tc>
          <w:tcPr>
            <w:tcW w:w="354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290,604</w:t>
            </w: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820" w:type="dxa"/>
            <w:vAlign w:val="bottom"/>
          </w:tcPr>
          <w:p>
            <w:pPr>
              <w:ind w:left="260"/>
              <w:spacing w:after="0" w:line="196" w:lineRule="exact"/>
              <w:rPr>
                <w:sz w:val="20"/>
                <w:szCs w:val="20"/>
                <w:color w:val="auto"/>
              </w:rPr>
            </w:pPr>
            <w:r>
              <w:rPr>
                <w:rFonts w:ascii="Arial" w:cs="Arial" w:eastAsia="Arial" w:hAnsi="Arial"/>
                <w:sz w:val="18"/>
                <w:szCs w:val="18"/>
                <w:color w:val="auto"/>
              </w:rPr>
              <w:t>Total liabilities assumed</w:t>
            </w:r>
          </w:p>
        </w:tc>
        <w:tc>
          <w:tcPr>
            <w:tcW w:w="4020" w:type="dxa"/>
            <w:vAlign w:val="bottom"/>
            <w:gridSpan w:val="2"/>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(5,914 )</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8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Goodwill</w:t>
            </w:r>
          </w:p>
        </w:tc>
        <w:tc>
          <w:tcPr>
            <w:tcW w:w="354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top w:val="single" w:sz="8" w:color="auto"/>
              <w:bottom w:val="single" w:sz="8" w:color="auto"/>
            </w:tcBorders>
            <w:shd w:val="clear" w:color="auto" w:fill="CFF0FC"/>
          </w:tcPr>
          <w:p>
            <w:pPr>
              <w:spacing w:after="0"/>
              <w:rPr>
                <w:sz w:val="17"/>
                <w:szCs w:val="17"/>
                <w:color w:val="auto"/>
              </w:rPr>
            </w:pPr>
          </w:p>
        </w:tc>
        <w:tc>
          <w:tcPr>
            <w:tcW w:w="2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42,662</w:t>
            </w: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820" w:type="dxa"/>
            <w:vAlign w:val="bottom"/>
          </w:tcPr>
          <w:p>
            <w:pPr>
              <w:spacing w:after="0" w:line="182" w:lineRule="exact"/>
              <w:rPr>
                <w:sz w:val="20"/>
                <w:szCs w:val="20"/>
                <w:color w:val="auto"/>
              </w:rPr>
            </w:pPr>
            <w:r>
              <w:rPr>
                <w:rFonts w:ascii="Arial" w:cs="Arial" w:eastAsia="Arial" w:hAnsi="Arial"/>
                <w:sz w:val="18"/>
                <w:szCs w:val="18"/>
                <w:color w:val="auto"/>
              </w:rPr>
              <w:t>Total consideration transferred</w:t>
            </w:r>
          </w:p>
        </w:tc>
        <w:tc>
          <w:tcPr>
            <w:tcW w:w="4020" w:type="dxa"/>
            <w:vAlign w:val="bottom"/>
            <w:gridSpan w:val="2"/>
          </w:tcPr>
          <w:p>
            <w:pPr>
              <w:jc w:val="right"/>
              <w:ind w:right="270"/>
              <w:spacing w:after="0" w:line="182" w:lineRule="exact"/>
              <w:rPr>
                <w:sz w:val="20"/>
                <w:szCs w:val="20"/>
                <w:color w:val="auto"/>
              </w:rPr>
            </w:pPr>
            <w:r>
              <w:rPr>
                <w:rFonts w:ascii="Arial" w:cs="Arial" w:eastAsia="Arial" w:hAnsi="Arial"/>
                <w:sz w:val="18"/>
                <w:szCs w:val="18"/>
                <w:color w:val="auto"/>
              </w:rPr>
              <w:t>$</w:t>
            </w: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327,352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540" w:type="dxa"/>
            <w:vAlign w:val="bottom"/>
            <w:vMerge w:val="restart"/>
          </w:tcPr>
          <w:p>
            <w:pPr>
              <w:jc w:val="right"/>
              <w:ind w:right="2130"/>
              <w:spacing w:after="0"/>
              <w:rPr>
                <w:sz w:val="20"/>
                <w:szCs w:val="20"/>
                <w:color w:val="auto"/>
              </w:rPr>
            </w:pPr>
            <w:r>
              <w:rPr>
                <w:rFonts w:ascii="Arial" w:cs="Arial" w:eastAsia="Arial" w:hAnsi="Arial"/>
                <w:sz w:val="18"/>
                <w:szCs w:val="18"/>
                <w:color w:val="auto"/>
              </w:rPr>
              <w:t>30</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35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-913765</wp:posOffset>
            </wp:positionV>
            <wp:extent cx="60325"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-639445</wp:posOffset>
            </wp:positionV>
            <wp:extent cx="6032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right="560" w:firstLine="509"/>
        <w:spacing w:after="0" w:line="246" w:lineRule="auto"/>
        <w:rPr>
          <w:sz w:val="20"/>
          <w:szCs w:val="20"/>
          <w:color w:val="auto"/>
        </w:rPr>
      </w:pPr>
      <w:r>
        <w:rPr>
          <w:rFonts w:ascii="Arial" w:cs="Arial" w:eastAsia="Arial" w:hAnsi="Arial"/>
          <w:sz w:val="18"/>
          <w:szCs w:val="18"/>
          <w:color w:val="auto"/>
        </w:rPr>
        <w:t>Amounts assigned to identifiable intangible assets are being amortized on a straight-line basis over their determined useful lives (which approximates the economic pattern of benefit) and are as follows as of April 30, 2021:</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6"/>
                <w:szCs w:val="16"/>
                <w:color w:val="auto"/>
              </w:rPr>
            </w:pPr>
          </w:p>
        </w:tc>
      </w:tr>
      <w:tr>
        <w:trPr>
          <w:trHeight w:val="201"/>
        </w:trPr>
        <w:tc>
          <w:tcPr>
            <w:tcW w:w="5020" w:type="dxa"/>
            <w:vAlign w:val="bottom"/>
          </w:tcPr>
          <w:p>
            <w:pPr>
              <w:spacing w:after="0"/>
              <w:rPr>
                <w:sz w:val="17"/>
                <w:szCs w:val="17"/>
                <w:color w:val="auto"/>
              </w:rPr>
            </w:pPr>
          </w:p>
        </w:tc>
        <w:tc>
          <w:tcPr>
            <w:tcW w:w="1680" w:type="dxa"/>
            <w:vAlign w:val="bottom"/>
          </w:tcPr>
          <w:p>
            <w:pPr>
              <w:jc w:val="right"/>
              <w:ind w:right="119"/>
              <w:spacing w:after="0"/>
              <w:rPr>
                <w:sz w:val="20"/>
                <w:szCs w:val="20"/>
                <w:color w:val="auto"/>
              </w:rPr>
            </w:pPr>
            <w:r>
              <w:rPr>
                <w:rFonts w:ascii="Arial" w:cs="Arial" w:eastAsia="Arial" w:hAnsi="Arial"/>
                <w:sz w:val="14"/>
                <w:szCs w:val="14"/>
                <w:b w:val="1"/>
                <w:bCs w:val="1"/>
                <w:color w:val="auto"/>
              </w:rPr>
              <w:t>Fair Value</w:t>
            </w: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rPr>
              <w:t>Average Useful Life</w:t>
            </w:r>
          </w:p>
        </w:tc>
        <w:tc>
          <w:tcPr>
            <w:tcW w:w="100" w:type="dxa"/>
            <w:vAlign w:val="bottom"/>
          </w:tcPr>
          <w:p>
            <w:pPr>
              <w:spacing w:after="0"/>
              <w:rPr>
                <w:sz w:val="17"/>
                <w:szCs w:val="17"/>
                <w:color w:val="auto"/>
              </w:rPr>
            </w:pPr>
          </w:p>
        </w:tc>
      </w:tr>
      <w:tr>
        <w:trPr>
          <w:trHeight w:val="189"/>
        </w:trPr>
        <w:tc>
          <w:tcPr>
            <w:tcW w:w="5020" w:type="dxa"/>
            <w:vAlign w:val="bottom"/>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100" w:type="dxa"/>
            <w:vAlign w:val="bottom"/>
          </w:tcPr>
          <w:p>
            <w:pPr>
              <w:spacing w:after="0"/>
              <w:rPr>
                <w:sz w:val="16"/>
                <w:szCs w:val="16"/>
                <w:color w:val="auto"/>
              </w:rPr>
            </w:pPr>
          </w:p>
        </w:tc>
      </w:tr>
      <w:tr>
        <w:trPr>
          <w:trHeight w:val="196"/>
        </w:trPr>
        <w:tc>
          <w:tcPr>
            <w:tcW w:w="5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Customer relationships</w:t>
            </w:r>
          </w:p>
        </w:tc>
        <w:tc>
          <w:tcPr>
            <w:tcW w:w="1680" w:type="dxa"/>
            <w:vAlign w:val="bottom"/>
            <w:shd w:val="clear" w:color="auto" w:fill="CFF0FC"/>
          </w:tcPr>
          <w:p>
            <w:pPr>
              <w:jc w:val="right"/>
              <w:ind w:right="1479"/>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17,877</w:t>
            </w:r>
          </w:p>
        </w:tc>
        <w:tc>
          <w:tcPr>
            <w:tcW w:w="240" w:type="dxa"/>
            <w:vAlign w:val="bottom"/>
            <w:shd w:val="clear" w:color="auto" w:fill="CFF0FC"/>
          </w:tcPr>
          <w:p>
            <w:pPr>
              <w:spacing w:after="0"/>
              <w:rPr>
                <w:sz w:val="17"/>
                <w:szCs w:val="17"/>
                <w:color w:val="auto"/>
              </w:rPr>
            </w:pPr>
          </w:p>
        </w:tc>
        <w:tc>
          <w:tcPr>
            <w:tcW w:w="2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7"/>
                <w:szCs w:val="17"/>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6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7,851</w:t>
            </w:r>
          </w:p>
        </w:tc>
        <w:tc>
          <w:tcPr>
            <w:tcW w:w="2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r>
      <w:tr>
        <w:trPr>
          <w:trHeight w:val="203"/>
        </w:trPr>
        <w:tc>
          <w:tcPr>
            <w:tcW w:w="50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Trade name</w:t>
            </w:r>
          </w:p>
        </w:tc>
        <w:tc>
          <w:tcPr>
            <w:tcW w:w="16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846</w:t>
            </w:r>
          </w:p>
        </w:tc>
        <w:tc>
          <w:tcPr>
            <w:tcW w:w="268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020" w:type="dxa"/>
            <w:vAlign w:val="bottom"/>
          </w:tcPr>
          <w:p>
            <w:pPr>
              <w:spacing w:after="0" w:line="182" w:lineRule="exact"/>
              <w:rPr>
                <w:sz w:val="20"/>
                <w:szCs w:val="20"/>
                <w:color w:val="auto"/>
              </w:rPr>
            </w:pPr>
            <w:r>
              <w:rPr>
                <w:rFonts w:ascii="Arial" w:cs="Arial" w:eastAsia="Arial" w:hAnsi="Arial"/>
                <w:sz w:val="18"/>
                <w:szCs w:val="18"/>
                <w:color w:val="auto"/>
              </w:rPr>
              <w:t>Total identifiable intangible assets</w:t>
            </w:r>
          </w:p>
        </w:tc>
        <w:tc>
          <w:tcPr>
            <w:tcW w:w="1680" w:type="dxa"/>
            <w:vAlign w:val="bottom"/>
            <w:tcBorders>
              <w:bottom w:val="single" w:sz="8" w:color="auto"/>
            </w:tcBorders>
          </w:tcPr>
          <w:p>
            <w:pPr>
              <w:jc w:val="right"/>
              <w:ind w:right="1479"/>
              <w:spacing w:after="0" w:line="182"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26,574</w:t>
            </w:r>
          </w:p>
        </w:tc>
        <w:tc>
          <w:tcPr>
            <w:tcW w:w="26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r>
      <w:tr>
        <w:trPr>
          <w:trHeight w:val="20"/>
        </w:trPr>
        <w:tc>
          <w:tcPr>
            <w:tcW w:w="50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-159385</wp:posOffset>
            </wp:positionV>
            <wp:extent cx="6858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2"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At the closing of the acquisition, EBI became a wholly owned subsidiary of the Company and EBI’s operations have been included in the Company’s condensed consolidated financial statements in the Company’s satellite services segment (with an insignificant amount included in the Company's commercial networks segment) commencing on the acquisition date.</w:t>
      </w:r>
    </w:p>
    <w:p>
      <w:pPr>
        <w:spacing w:after="0" w:line="149"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As EBI’s results of operations are not material to the Company’s consolidated results of operations, pro forma results of operations for this acquisition have not been presented.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RigNet, Inc.</w:t>
      </w:r>
    </w:p>
    <w:p>
      <w:pPr>
        <w:spacing w:after="0" w:line="85"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On April 30, 2021, the Company completed the acquisition of all outstanding shares of RigNet, a publicly held leading provider of ultra-secure, intelligent networking solutions and specialized applications. The acquisition of RigNet is beneficial to the Company as it enables the Company to expand into new and adjacent industries, including renewable energy, transportation, maritime, mining and other enterprise markets. These benefits and additional opportunities were among the factors that contributed to a purchase price resulting in the recognition of goodwill, which was recorded within the Company’s satellite services segment. The goodwill recognized is not deductible for U.S. and foreign income tax purposes.</w:t>
      </w:r>
    </w:p>
    <w:p>
      <w:pPr>
        <w:spacing w:after="0" w:line="151" w:lineRule="exact"/>
        <w:rPr>
          <w:sz w:val="20"/>
          <w:szCs w:val="20"/>
          <w:color w:val="auto"/>
        </w:rPr>
      </w:pPr>
    </w:p>
    <w:p>
      <w:pPr>
        <w:ind w:right="240" w:firstLine="509"/>
        <w:spacing w:after="0" w:line="237" w:lineRule="auto"/>
        <w:rPr>
          <w:sz w:val="20"/>
          <w:szCs w:val="20"/>
          <w:color w:val="auto"/>
        </w:rPr>
      </w:pPr>
      <w:r>
        <w:rPr>
          <w:rFonts w:ascii="Arial" w:cs="Arial" w:eastAsia="Arial" w:hAnsi="Arial"/>
          <w:sz w:val="18"/>
          <w:szCs w:val="18"/>
          <w:color w:val="auto"/>
        </w:rPr>
        <w:t>The consideration transferred of approximately $317.9 million was primarily comprised of $207.2 million of the fair value of approximately 4.0 million shares of the Company’s common stock issued at the closing date, $107.3 million related to the pay down of outstanding borrowings of RigNet’s revolving credit facility, a de minimis amount in cash consideration in respect of fractional shares to the former shareholders of RigNet and an insignificant amount of other consideration. In connection with the RigNet acquisition, the Company recorded no and approximately $6.8 million of merger-related transaction costs during the three months ended June 30, 2022 and 2021, respectively, included in selling, general and administrative expenses.</w:t>
      </w:r>
    </w:p>
    <w:p>
      <w:pPr>
        <w:spacing w:after="0" w:line="151" w:lineRule="exact"/>
        <w:rPr>
          <w:sz w:val="20"/>
          <w:szCs w:val="20"/>
          <w:color w:val="auto"/>
        </w:rPr>
      </w:pPr>
    </w:p>
    <w:p>
      <w:pPr>
        <w:ind w:right="140" w:firstLine="509"/>
        <w:spacing w:after="0" w:line="246" w:lineRule="auto"/>
        <w:rPr>
          <w:sz w:val="20"/>
          <w:szCs w:val="20"/>
          <w:color w:val="auto"/>
        </w:rPr>
      </w:pPr>
      <w:r>
        <w:rPr>
          <w:rFonts w:ascii="Arial" w:cs="Arial" w:eastAsia="Arial" w:hAnsi="Arial"/>
          <w:sz w:val="18"/>
          <w:szCs w:val="18"/>
          <w:color w:val="auto"/>
        </w:rPr>
        <w:t>The purchase price allocation of the acquired assets and assumed liabilities based on the estimated fair values as of April 30, 2021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2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Current assets</w:t>
            </w:r>
          </w:p>
        </w:tc>
        <w:tc>
          <w:tcPr>
            <w:tcW w:w="3080" w:type="dxa"/>
            <w:vAlign w:val="bottom"/>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2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88,166</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820" w:type="dxa"/>
            <w:vAlign w:val="bottom"/>
          </w:tcPr>
          <w:p>
            <w:pPr>
              <w:spacing w:after="0" w:line="202" w:lineRule="exact"/>
              <w:rPr>
                <w:sz w:val="20"/>
                <w:szCs w:val="20"/>
                <w:color w:val="auto"/>
              </w:rPr>
            </w:pPr>
            <w:r>
              <w:rPr>
                <w:rFonts w:ascii="Arial" w:cs="Arial" w:eastAsia="Arial" w:hAnsi="Arial"/>
                <w:sz w:val="18"/>
                <w:szCs w:val="18"/>
                <w:color w:val="auto"/>
              </w:rPr>
              <w:t>Property, equipment and satellites</w:t>
            </w:r>
          </w:p>
        </w:tc>
        <w:tc>
          <w:tcPr>
            <w:tcW w:w="3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520" w:type="dxa"/>
            <w:vAlign w:val="bottom"/>
          </w:tcPr>
          <w:p>
            <w:pPr>
              <w:jc w:val="right"/>
              <w:spacing w:after="0" w:line="202" w:lineRule="exact"/>
              <w:rPr>
                <w:sz w:val="20"/>
                <w:szCs w:val="20"/>
                <w:color w:val="auto"/>
              </w:rPr>
            </w:pPr>
            <w:r>
              <w:rPr>
                <w:rFonts w:ascii="Arial" w:cs="Arial" w:eastAsia="Arial" w:hAnsi="Arial"/>
                <w:sz w:val="18"/>
                <w:szCs w:val="18"/>
                <w:color w:val="auto"/>
              </w:rPr>
              <w:t>63,191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Identifiable intangible assets</w:t>
            </w:r>
          </w:p>
        </w:tc>
        <w:tc>
          <w:tcPr>
            <w:tcW w:w="30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221,540</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82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30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13,350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820" w:type="dxa"/>
            <w:vAlign w:val="bottom"/>
            <w:shd w:val="clear" w:color="auto" w:fill="CFF0FC"/>
          </w:tcPr>
          <w:p>
            <w:pPr>
              <w:ind w:left="260"/>
              <w:spacing w:after="0" w:line="196" w:lineRule="exact"/>
              <w:rPr>
                <w:sz w:val="20"/>
                <w:szCs w:val="20"/>
                <w:color w:val="auto"/>
              </w:rPr>
            </w:pPr>
            <w:r>
              <w:rPr>
                <w:rFonts w:ascii="Arial" w:cs="Arial" w:eastAsia="Arial" w:hAnsi="Arial"/>
                <w:sz w:val="18"/>
                <w:szCs w:val="18"/>
                <w:color w:val="auto"/>
              </w:rPr>
              <w:t>Total assets acquired</w:t>
            </w:r>
          </w:p>
        </w:tc>
        <w:tc>
          <w:tcPr>
            <w:tcW w:w="308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2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386,247</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82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3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(66,006 )</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long-term liabilities</w:t>
            </w:r>
          </w:p>
        </w:tc>
        <w:tc>
          <w:tcPr>
            <w:tcW w:w="30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(31,433 )</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20" w:type="dxa"/>
            <w:vAlign w:val="bottom"/>
            <w:shd w:val="clear" w:color="auto" w:fill="CFF0FC"/>
          </w:tcPr>
          <w:p>
            <w:pPr>
              <w:spacing w:after="0" w:line="20" w:lineRule="exact"/>
              <w:rPr>
                <w:sz w:val="1"/>
                <w:szCs w:val="1"/>
                <w:color w:val="auto"/>
              </w:rPr>
            </w:pPr>
          </w:p>
        </w:tc>
        <w:tc>
          <w:tcPr>
            <w:tcW w:w="30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3820" w:type="dxa"/>
            <w:vAlign w:val="bottom"/>
          </w:tcPr>
          <w:p>
            <w:pPr>
              <w:ind w:left="260"/>
              <w:spacing w:after="0" w:line="196" w:lineRule="exact"/>
              <w:rPr>
                <w:sz w:val="20"/>
                <w:szCs w:val="20"/>
                <w:color w:val="auto"/>
              </w:rPr>
            </w:pPr>
            <w:r>
              <w:rPr>
                <w:rFonts w:ascii="Arial" w:cs="Arial" w:eastAsia="Arial" w:hAnsi="Arial"/>
                <w:sz w:val="18"/>
                <w:szCs w:val="18"/>
                <w:color w:val="auto"/>
              </w:rPr>
              <w:t>Total liabilities assumed</w:t>
            </w:r>
          </w:p>
        </w:tc>
        <w:tc>
          <w:tcPr>
            <w:tcW w:w="3080" w:type="dxa"/>
            <w:vAlign w:val="bottom"/>
          </w:tcPr>
          <w:p>
            <w:pPr>
              <w:spacing w:after="0"/>
              <w:rPr>
                <w:sz w:val="17"/>
                <w:szCs w:val="17"/>
                <w:color w:val="auto"/>
              </w:rPr>
            </w:pPr>
          </w:p>
        </w:tc>
        <w:tc>
          <w:tcPr>
            <w:tcW w:w="580" w:type="dxa"/>
            <w:vAlign w:val="bottom"/>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2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(97,439 )</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8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Goodwill</w:t>
            </w:r>
          </w:p>
        </w:tc>
        <w:tc>
          <w:tcPr>
            <w:tcW w:w="30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2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29,132</w:t>
            </w: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820" w:type="dxa"/>
            <w:vAlign w:val="bottom"/>
          </w:tcPr>
          <w:p>
            <w:pPr>
              <w:spacing w:after="0" w:line="182" w:lineRule="exact"/>
              <w:rPr>
                <w:sz w:val="20"/>
                <w:szCs w:val="20"/>
                <w:color w:val="auto"/>
              </w:rPr>
            </w:pPr>
            <w:r>
              <w:rPr>
                <w:rFonts w:ascii="Arial" w:cs="Arial" w:eastAsia="Arial" w:hAnsi="Arial"/>
                <w:sz w:val="18"/>
                <w:szCs w:val="18"/>
                <w:color w:val="auto"/>
              </w:rPr>
              <w:t>Total consideration transferred</w:t>
            </w:r>
          </w:p>
        </w:tc>
        <w:tc>
          <w:tcPr>
            <w:tcW w:w="3660" w:type="dxa"/>
            <w:vAlign w:val="bottom"/>
            <w:gridSpan w:val="2"/>
          </w:tcPr>
          <w:p>
            <w:pPr>
              <w:jc w:val="right"/>
              <w:ind w:right="390"/>
              <w:spacing w:after="0" w:line="182" w:lineRule="exact"/>
              <w:rPr>
                <w:sz w:val="20"/>
                <w:szCs w:val="20"/>
                <w:color w:val="auto"/>
              </w:rPr>
            </w:pPr>
            <w:r>
              <w:rPr>
                <w:rFonts w:ascii="Arial" w:cs="Arial" w:eastAsia="Arial" w:hAnsi="Arial"/>
                <w:sz w:val="18"/>
                <w:szCs w:val="18"/>
                <w:color w:val="auto"/>
              </w:rPr>
              <w:t>$</w:t>
            </w:r>
          </w:p>
        </w:tc>
        <w:tc>
          <w:tcPr>
            <w:tcW w:w="2520" w:type="dxa"/>
            <w:vAlign w:val="bottom"/>
          </w:tcPr>
          <w:p>
            <w:pPr>
              <w:jc w:val="right"/>
              <w:spacing w:after="0" w:line="182" w:lineRule="exact"/>
              <w:rPr>
                <w:sz w:val="20"/>
                <w:szCs w:val="20"/>
                <w:color w:val="auto"/>
              </w:rPr>
            </w:pPr>
            <w:r>
              <w:rPr>
                <w:rFonts w:ascii="Arial" w:cs="Arial" w:eastAsia="Arial" w:hAnsi="Arial"/>
                <w:sz w:val="18"/>
                <w:szCs w:val="18"/>
                <w:color w:val="auto"/>
              </w:rPr>
              <w:t>317,940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080" w:type="dxa"/>
            <w:vAlign w:val="bottom"/>
            <w:vMerge w:val="restart"/>
          </w:tcPr>
          <w:p>
            <w:pPr>
              <w:jc w:val="right"/>
              <w:ind w:right="1670"/>
              <w:spacing w:after="0"/>
              <w:rPr>
                <w:sz w:val="20"/>
                <w:szCs w:val="20"/>
                <w:color w:val="auto"/>
              </w:rPr>
            </w:pPr>
            <w:r>
              <w:rPr>
                <w:rFonts w:ascii="Arial" w:cs="Arial" w:eastAsia="Arial" w:hAnsi="Arial"/>
                <w:sz w:val="18"/>
                <w:szCs w:val="18"/>
                <w:color w:val="auto"/>
              </w:rPr>
              <w:t>31</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30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5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-904875</wp:posOffset>
            </wp:positionV>
            <wp:extent cx="6032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-639445</wp:posOffset>
            </wp:positionV>
            <wp:extent cx="6032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right="560" w:firstLine="509"/>
        <w:spacing w:after="0" w:line="246" w:lineRule="auto"/>
        <w:rPr>
          <w:sz w:val="20"/>
          <w:szCs w:val="20"/>
          <w:color w:val="auto"/>
        </w:rPr>
      </w:pPr>
      <w:r>
        <w:rPr>
          <w:rFonts w:ascii="Arial" w:cs="Arial" w:eastAsia="Arial" w:hAnsi="Arial"/>
          <w:sz w:val="18"/>
          <w:szCs w:val="18"/>
          <w:color w:val="auto"/>
        </w:rPr>
        <w:t>Amounts assigned to identifiable intangible assets are being amortized on a straight-line basis over their determined useful lives (which approximates the economic pattern of benefit) and are as follows as of April 30, 2021:</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6"/>
                <w:szCs w:val="16"/>
                <w:color w:val="auto"/>
              </w:rPr>
            </w:pPr>
          </w:p>
        </w:tc>
      </w:tr>
      <w:tr>
        <w:trPr>
          <w:trHeight w:val="201"/>
        </w:trPr>
        <w:tc>
          <w:tcPr>
            <w:tcW w:w="5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Pr>
          <w:p>
            <w:pPr>
              <w:jc w:val="right"/>
              <w:ind w:right="715"/>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7"/>
                <w:szCs w:val="17"/>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Average Useful Life</w:t>
            </w:r>
          </w:p>
        </w:tc>
        <w:tc>
          <w:tcPr>
            <w:tcW w:w="100" w:type="dxa"/>
            <w:vAlign w:val="bottom"/>
          </w:tcPr>
          <w:p>
            <w:pPr>
              <w:spacing w:after="0"/>
              <w:rPr>
                <w:sz w:val="17"/>
                <w:szCs w:val="17"/>
                <w:color w:val="auto"/>
              </w:rPr>
            </w:pPr>
          </w:p>
        </w:tc>
      </w:tr>
      <w:tr>
        <w:trPr>
          <w:trHeight w:val="189"/>
        </w:trPr>
        <w:tc>
          <w:tcPr>
            <w:tcW w:w="50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100" w:type="dxa"/>
            <w:vAlign w:val="bottom"/>
          </w:tcPr>
          <w:p>
            <w:pPr>
              <w:spacing w:after="0"/>
              <w:rPr>
                <w:sz w:val="16"/>
                <w:szCs w:val="16"/>
                <w:color w:val="auto"/>
              </w:rPr>
            </w:pPr>
          </w:p>
        </w:tc>
      </w:tr>
      <w:tr>
        <w:trPr>
          <w:trHeight w:val="196"/>
        </w:trPr>
        <w:tc>
          <w:tcPr>
            <w:tcW w:w="5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Technology</w:t>
            </w:r>
          </w:p>
        </w:tc>
        <w:tc>
          <w:tcPr>
            <w:tcW w:w="38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85,440</w:t>
            </w:r>
          </w:p>
        </w:tc>
        <w:tc>
          <w:tcPr>
            <w:tcW w:w="240" w:type="dxa"/>
            <w:vAlign w:val="bottom"/>
            <w:shd w:val="clear" w:color="auto" w:fill="CFF0FC"/>
          </w:tcPr>
          <w:p>
            <w:pPr>
              <w:spacing w:after="0"/>
              <w:rPr>
                <w:sz w:val="17"/>
                <w:szCs w:val="17"/>
                <w:color w:val="auto"/>
              </w:rPr>
            </w:pPr>
          </w:p>
        </w:tc>
        <w:tc>
          <w:tcPr>
            <w:tcW w:w="2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7"/>
                <w:szCs w:val="17"/>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380" w:type="dxa"/>
            <w:vAlign w:val="bottom"/>
          </w:tcPr>
          <w:p>
            <w:pPr>
              <w:spacing w:after="0"/>
              <w:rPr>
                <w:sz w:val="17"/>
                <w:szCs w:val="17"/>
                <w:color w:val="auto"/>
              </w:rPr>
            </w:pPr>
          </w:p>
        </w:tc>
        <w:tc>
          <w:tcPr>
            <w:tcW w:w="1920" w:type="dxa"/>
            <w:vAlign w:val="bottom"/>
          </w:tcPr>
          <w:p>
            <w:pPr>
              <w:jc w:val="right"/>
              <w:spacing w:after="0" w:line="202" w:lineRule="exact"/>
              <w:rPr>
                <w:sz w:val="20"/>
                <w:szCs w:val="20"/>
                <w:color w:val="auto"/>
              </w:rPr>
            </w:pPr>
            <w:r>
              <w:rPr>
                <w:rFonts w:ascii="Arial" w:cs="Arial" w:eastAsia="Arial" w:hAnsi="Arial"/>
                <w:sz w:val="18"/>
                <w:szCs w:val="18"/>
                <w:color w:val="auto"/>
              </w:rPr>
              <w:t>101,920</w:t>
            </w:r>
          </w:p>
        </w:tc>
        <w:tc>
          <w:tcPr>
            <w:tcW w:w="2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r>
      <w:tr>
        <w:trPr>
          <w:trHeight w:val="203"/>
        </w:trPr>
        <w:tc>
          <w:tcPr>
            <w:tcW w:w="5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Trade name</w:t>
            </w:r>
          </w:p>
        </w:tc>
        <w:tc>
          <w:tcPr>
            <w:tcW w:w="380" w:type="dxa"/>
            <w:vAlign w:val="bottom"/>
            <w:shd w:val="clear" w:color="auto" w:fill="CFF0FC"/>
          </w:tcPr>
          <w:p>
            <w:pPr>
              <w:spacing w:after="0"/>
              <w:rPr>
                <w:sz w:val="17"/>
                <w:szCs w:val="17"/>
                <w:color w:val="auto"/>
              </w:rPr>
            </w:pPr>
          </w:p>
        </w:tc>
        <w:tc>
          <w:tcPr>
            <w:tcW w:w="1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25,540</w:t>
            </w:r>
          </w:p>
        </w:tc>
        <w:tc>
          <w:tcPr>
            <w:tcW w:w="26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7"/>
                <w:szCs w:val="17"/>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8,640</w:t>
            </w:r>
          </w:p>
        </w:tc>
        <w:tc>
          <w:tcPr>
            <w:tcW w:w="2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r>
      <w:tr>
        <w:trPr>
          <w:trHeight w:val="236"/>
        </w:trPr>
        <w:tc>
          <w:tcPr>
            <w:tcW w:w="50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identifiable intangible assets</w:t>
            </w:r>
          </w:p>
        </w:tc>
        <w:tc>
          <w:tcPr>
            <w:tcW w:w="38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221,540</w:t>
            </w:r>
          </w:p>
        </w:tc>
        <w:tc>
          <w:tcPr>
            <w:tcW w:w="262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10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-25400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right="140" w:firstLine="509"/>
        <w:spacing w:after="0" w:line="237" w:lineRule="auto"/>
        <w:rPr>
          <w:sz w:val="20"/>
          <w:szCs w:val="20"/>
          <w:color w:val="auto"/>
        </w:rPr>
      </w:pPr>
      <w:r>
        <w:rPr>
          <w:rFonts w:ascii="Arial" w:cs="Arial" w:eastAsia="Arial" w:hAnsi="Arial"/>
          <w:sz w:val="18"/>
          <w:szCs w:val="18"/>
          <w:color w:val="auto"/>
        </w:rPr>
        <w:t>Management determined the fair value of acquired customer relationships intangible asset by applying the multi-period excess earnings method, which involved the use of significant estimates and assumptions related to forecasted revenue growth rate, gross margin, contributory asset charges, customer attrition rate and discount rate. In connection with the acquisition, the Company assumed a contingent liability associated with a RigNet predecessor subsidiary of approximately $13.8 million, which represented the maximum amount payable under the terms of the agreement. As of June 30, 2022, no amount remains payable as the maximum amount payable was paid during the first and second quarters of fiscal year 2022.</w:t>
      </w:r>
    </w:p>
    <w:p>
      <w:pPr>
        <w:spacing w:after="0" w:line="151"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The condensed consolidated financial statements include the operating results of RigNet from the date of acquisition. Since the acquisition date, the Company recorded approximately $34.0 million in revenue for the three months ended June 30, 2021, and $6.3 million of net losses for the three months ended June 30, 2021, with respect to the RigNet business primarily in the Company’s satellite services segment (with a portion included in its commercial networks segment) in the condensed consolidated statements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8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unaudited financial information in the table below summarizes the combined results of operations for the Company and RigNet on a pro forma basis, as though the companies had been combined as of the beginning of fiscal year 2021, April 1, 2020. The pro forma information is presented for informational purposes only and may not be indicative of the results of operations that would have been achieved if the acquisition had taken place at the beginning of the related fiscal period. The pro forma financial information for the three-month period ended June 30, 2021 include the business combination accounting effects primarily related to the amortization and depreciation changes from acquired intangible and tangible assets, acquisition-related transaction costs and related tax effects.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tcPr>
          <w:p>
            <w:pPr>
              <w:jc w:val="center"/>
              <w:ind w:right="44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r>
      <w:tr>
        <w:trPr>
          <w:trHeight w:val="183"/>
        </w:trPr>
        <w:tc>
          <w:tcPr>
            <w:tcW w:w="67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tcPr>
          <w:p>
            <w:pPr>
              <w:jc w:val="center"/>
              <w:ind w:right="441"/>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5"/>
                <w:szCs w:val="15"/>
                <w:color w:val="auto"/>
              </w:rPr>
            </w:pPr>
          </w:p>
        </w:tc>
      </w:tr>
      <w:tr>
        <w:trPr>
          <w:trHeight w:val="196"/>
        </w:trPr>
        <w:tc>
          <w:tcPr>
            <w:tcW w:w="6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780" w:type="dxa"/>
            <w:vAlign w:val="bottom"/>
          </w:tcPr>
          <w:p>
            <w:pPr>
              <w:jc w:val="center"/>
              <w:ind w:right="461"/>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r>
      <w:tr>
        <w:trPr>
          <w:trHeight w:val="203"/>
        </w:trPr>
        <w:tc>
          <w:tcPr>
            <w:tcW w:w="6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Total revenues</w:t>
            </w:r>
          </w:p>
        </w:tc>
        <w:tc>
          <w:tcPr>
            <w:tcW w:w="520" w:type="dxa"/>
            <w:vAlign w:val="bottom"/>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2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676,477</w:t>
            </w:r>
          </w:p>
        </w:tc>
        <w:tc>
          <w:tcPr>
            <w:tcW w:w="100" w:type="dxa"/>
            <w:vAlign w:val="bottom"/>
            <w:shd w:val="clear" w:color="auto" w:fill="CFF0FC"/>
          </w:tcPr>
          <w:p>
            <w:pPr>
              <w:spacing w:after="0"/>
              <w:rPr>
                <w:sz w:val="17"/>
                <w:szCs w:val="17"/>
                <w:color w:val="auto"/>
              </w:rPr>
            </w:pPr>
          </w:p>
        </w:tc>
      </w:tr>
      <w:tr>
        <w:trPr>
          <w:trHeight w:val="175"/>
        </w:trPr>
        <w:tc>
          <w:tcPr>
            <w:tcW w:w="6700" w:type="dxa"/>
            <w:vAlign w:val="bottom"/>
          </w:tcPr>
          <w:p>
            <w:pPr>
              <w:spacing w:after="0" w:line="175" w:lineRule="exact"/>
              <w:rPr>
                <w:sz w:val="20"/>
                <w:szCs w:val="20"/>
                <w:color w:val="auto"/>
              </w:rPr>
            </w:pPr>
            <w:r>
              <w:rPr>
                <w:rFonts w:ascii="Arial" w:cs="Arial" w:eastAsia="Arial" w:hAnsi="Arial"/>
                <w:sz w:val="18"/>
                <w:szCs w:val="18"/>
                <w:color w:val="auto"/>
              </w:rPr>
              <w:t>Net income (loss) attributable</w:t>
            </w:r>
          </w:p>
        </w:tc>
        <w:tc>
          <w:tcPr>
            <w:tcW w:w="5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7"/>
        </w:trPr>
        <w:tc>
          <w:tcPr>
            <w:tcW w:w="6700" w:type="dxa"/>
            <w:vAlign w:val="bottom"/>
          </w:tcPr>
          <w:p>
            <w:pPr>
              <w:ind w:left="160"/>
              <w:spacing w:after="0"/>
              <w:rPr>
                <w:sz w:val="20"/>
                <w:szCs w:val="20"/>
                <w:color w:val="auto"/>
              </w:rPr>
            </w:pPr>
            <w:r>
              <w:rPr>
                <w:rFonts w:ascii="Arial" w:cs="Arial" w:eastAsia="Arial" w:hAnsi="Arial"/>
                <w:sz w:val="18"/>
                <w:szCs w:val="18"/>
                <w:color w:val="auto"/>
              </w:rPr>
              <w:t>to Viasat, Inc.</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2780" w:type="dxa"/>
            <w:vAlign w:val="bottom"/>
          </w:tcPr>
          <w:p>
            <w:pPr>
              <w:jc w:val="right"/>
              <w:spacing w:after="0"/>
              <w:rPr>
                <w:sz w:val="20"/>
                <w:szCs w:val="20"/>
                <w:color w:val="auto"/>
              </w:rPr>
            </w:pPr>
            <w:r>
              <w:rPr>
                <w:rFonts w:ascii="Arial" w:cs="Arial" w:eastAsia="Arial" w:hAnsi="Arial"/>
                <w:sz w:val="18"/>
                <w:szCs w:val="18"/>
                <w:color w:val="auto"/>
              </w:rPr>
              <w:t>12,544</w:t>
            </w:r>
          </w:p>
        </w:tc>
        <w:tc>
          <w:tcPr>
            <w:tcW w:w="100" w:type="dxa"/>
            <w:vAlign w:val="bottom"/>
          </w:tcPr>
          <w:p>
            <w:pPr>
              <w:spacing w:after="0"/>
              <w:rPr>
                <w:sz w:val="18"/>
                <w:szCs w:val="18"/>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Subsequent Event</w:t>
      </w:r>
    </w:p>
    <w:p>
      <w:pPr>
        <w:spacing w:after="0" w:line="99" w:lineRule="exact"/>
        <w:rPr>
          <w:sz w:val="20"/>
          <w:szCs w:val="20"/>
          <w:color w:val="auto"/>
        </w:rPr>
      </w:pPr>
    </w:p>
    <w:p>
      <w:pPr>
        <w:ind w:right="320" w:firstLine="509"/>
        <w:spacing w:after="0"/>
        <w:rPr>
          <w:sz w:val="20"/>
          <w:szCs w:val="20"/>
          <w:color w:val="auto"/>
        </w:rPr>
      </w:pPr>
      <w:r>
        <w:rPr>
          <w:rFonts w:ascii="Arial" w:cs="Arial" w:eastAsia="Arial" w:hAnsi="Arial"/>
          <w:sz w:val="18"/>
          <w:szCs w:val="18"/>
          <w:color w:val="auto"/>
        </w:rPr>
        <w:t>Subsequent to quarter end, Cisco Systems, Inc. (Cisco), which previously acquired Acacia Communications, Inc. (Acacia), paid the Company approximately $62.2 million. The payment fully satisfied the July 2019 judgment previously entered against Acacia related to Acacia’s breach of contract and misuse of the Company’s soft decision forward error correction technology.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ind w:right="2980"/>
        <w:spacing w:after="0" w:line="34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the proposed Inmarsat Transaction (as defined below) and any statements regarding the expected timing, benefits, synergies, growth opportunities and other financial and operating benefits thereof, the closing of the Inmarsat Transaction and timing or satisfaction of regulatory and other closing conditions, or the anticipated operations, financial position, liquidity, performance, prospects or growth and scale opportunities of the combined company; the impact of the novel coronavirus (COVID-19) pandemic on our business; our expectations regarding an end to the pandemic and a lessening of its effects on our business, including expectations for increased airline passenger traffic and in-flight connectivity (IFC) growth; projections of earnings, revenue, costs or other financial items; anticipated growth and trends in our business or key markets; future economic conditions and performance; the anticipated benefits of our acquisitions of RigNet, Inc. (RigNet) and Euro Broadband Infrastructure Sàrl (EBI); the development, customer acceptance and anticipated performance of technologies, products or services; satellite construction and launch activities; the performance and anticipated benefits of our ViaSat-3 class satellites and any future satellite we may construct or acquire; the expected completion, capacity, service, coverage, service speeds and other features of our satellites, and the timing, cost, economics and other benefits associated therewith; anticipated subscriber growth; plans, objectives and strategies for future operations; international growth opportunities; the number of additional aircraft under existing contracts with commercial airlines anticipated to be put into service with our IFC systems;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risks and uncertainties related to the Inmarsat Transaction, including the failure to obtain, or delays in obtaining, required regulatory approvals or clearances; the risk that any such approval may result in the imposition of conditions that could adversely affect Viasat, the combined company or the expected benefits of the Inmarsat Transaction; the failure to satisfy any of the closing conditions to the Inmarsat Transaction on a timely basis or at all; any adverse impact on the business of Viasat or Inmarsat as a result of uncertainty surrounding the Inmarsat Transaction; the nature, cost and outcome of any legal proceedings related to the Inmarsat Transaction; the occurrence of any event, change or other circumstances that could give rise to the termination of the definitive agreement for the Inmarsat Transaction, including in circumstances requiring Viasat to pay a termination fee; the risk that Viasat’s stock price may decline significantly if the Inmarsat Transaction is not consummated; the failure to obtain the necessary debt financing arrangements set forth in the commitment letters received in connection with the Inmarsat Transaction; risks that the Inmarsat Transaction disrupts current plans and operations or diverts management’s attention from its ongoing business; the effect of the announcement of the Inmarsat Transaction on the ability of Viasat to retain and hire key personnel and maintain relationships with its customers, suppliers and others with whom it does business; the ability of Viasat to successfully integrate Inmarsat operations, technologies and employees; the ability to realize anticipated benefits and synergies of the Inmarsat Transaction, including the expectation of enhancements to Viasat’s products and services, greater revenue or growth opportunities, operating efficiencies and cost savings; the ability to ensure continued performance and market growth of the combined company’s business; our ability to realize the anticipated benefits of the ViaSat-3 class satellites and any future satellite we may construct or acquire; unexpected expenses related to our satellite projects; our ability to successfully implement our business plan for our broadband services on our anticipated timeline or at all; capacity constraints in our business in the lead-up to the launch of services on our ViaSat-3 satellites; risks associated with the construction, launch and operation of satellites, including the effect of any anomaly, operational failure or degradation in satellite performance; the impact of the COVID-19 pandemic on our business, suppliers, consumers, customers, and employees or the overall economy; our ability to realize the anticipated benefits of our acquisitions or strategic partnering arrangements, including the RigNet and EBI acquisitions;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introduction of new technologies and other factors affecting the communications and defense industries generally; the effect of adverse regulatory changes (including changes affecting spectrum availability or permitted uses) on our ability to sell or deploy our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3" w:name="page34"/>
    <w:bookmarkEnd w:id="33"/>
    <w:p>
      <w:pPr>
        <w:ind w:right="160"/>
        <w:spacing w:after="0" w:line="236" w:lineRule="auto"/>
        <w:rPr>
          <w:sz w:val="20"/>
          <w:szCs w:val="20"/>
          <w:color w:val="auto"/>
        </w:rPr>
      </w:pPr>
      <w:r>
        <w:rPr>
          <w:rFonts w:ascii="Arial" w:cs="Arial" w:eastAsia="Arial" w:hAnsi="Arial"/>
          <w:sz w:val="18"/>
          <w:szCs w:val="18"/>
          <w:color w:val="auto"/>
        </w:rPr>
        <w:t>products and services; changes in the way others use spectrum; our inability to access additional spectrum, use spectrum for additional purposes, and/or operate satellites at additional orbital locations; competing uses of the same spectrum or orbital locations that we utilize or seek to utilize; the effect of recent changes to U.S. tax laws;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our Annual Report on Form 10-K for the fiscal year ended March 31, 2022, under the heading “Risk Factors” in Part II,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99"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We are an innovator in communications technologies and services, focused on making connectivity accessible, available and secure for all. Our end-to-end platform of high-capacity Ka-band satellites, ground infrastructure and user terminals enables us to provide cost-effective, high-speed, high-quality broadband solutions to enterprises, consumers, military and government users around the globe, whether on the ground, in the air or at sea. In addition, our government business includes a market-leading portfolio of military tactical data link systems, satellite communication products and services, and cybersecurity and information assurance products and services. We believe that our diversification strategy—anchored in a broad portfolio of products and services—our vertical integration approach and our ability to effectively cross-deploy technologies between government and commercial applications and segments as well as across different geographic markets, provide us with a strong foundation to sustain and enhance our leadership in advanced communications and networking technologies. Viasat, Inc. was incorporated in California in 1986, and reincorporated as a Delaware corporation in 1996.</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Inmarsat Acquisition</w:t>
      </w:r>
    </w:p>
    <w:p>
      <w:pPr>
        <w:spacing w:after="0" w:line="9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On November 8, 2021, we entered into a Share Purchase Agreement (the Purchase Agreement) to combine with Connect Topco Limited, a private company limited by shares and incorporated in Guernsey (Inmarsat), with the shareholders of Inmarsat and certain management and employees who hold options and shares of a subsidiary of Inmarsat whose options and shares will be exchanged for shares of Inmarsat prior to closing (collectively, the Sellers). Pursuant to the Purchase Agreement, we will purchase all of the issued and outstanding shares of Inmarsat from the Sellers upon the terms and subject to the conditions set forth therein (the Inmarsat Transaction). The total consideration payable by us under the Purchase Agreement consists of $850.0 million in cash, subject to adjustments (such as the dividend paid by Inmarsat in April 2022, see below), and approximately 46.36 million unregistered shares of our common stock. On April 6, 2022, Inmarsat paid a dividend of $299.3 million to the Sellers, resulting in a $299.3 million reduction in the cash consideration payable by us at the closing of the Inmarsat Transaction. Our board of directors has unanimously approved the Purchase Agreement and the proposed Inmarsat Transaction. Our stockholders approved the issuance of shares in the transaction and an amendment to the Company's certificate of incorporation to increase the number of shares of common stock authorized for issuance at a special meeting held on June 21, 2022.</w:t>
      </w:r>
    </w:p>
    <w:p>
      <w:pPr>
        <w:spacing w:after="0" w:line="151"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The closing of the Inmarsat Transaction is subject to customary closing conditions, including receipt of regulatory approvals and clearances. The Purchase Agreement contains certain termination rights for both us and certain of the Sellers and further provides that, upon termination of the Purchase Agreement under certain circumstances, we may be obligated to pay a termination fee of up to $200.0 million or to reimburse certain out-of-pocket expenses of certain Sellers up to $40.0 million.</w:t>
      </w:r>
    </w:p>
    <w:p>
      <w:pPr>
        <w:spacing w:after="0" w:line="151" w:lineRule="exact"/>
        <w:rPr>
          <w:sz w:val="20"/>
          <w:szCs w:val="20"/>
          <w:color w:val="auto"/>
        </w:rPr>
      </w:pPr>
    </w:p>
    <w:p>
      <w:pPr>
        <w:ind w:right="260" w:firstLine="509"/>
        <w:spacing w:after="0" w:line="236" w:lineRule="auto"/>
        <w:rPr>
          <w:sz w:val="20"/>
          <w:szCs w:val="20"/>
          <w:color w:val="auto"/>
        </w:rPr>
      </w:pPr>
      <w:r>
        <w:rPr>
          <w:rFonts w:ascii="Arial" w:cs="Arial" w:eastAsia="Arial" w:hAnsi="Arial"/>
          <w:sz w:val="18"/>
          <w:szCs w:val="18"/>
          <w:color w:val="auto"/>
        </w:rPr>
        <w:t>We have obtained financing commitments for an additional $1.6 billion of new debt facilities in connection with the Inmarsat Transaction (which may be secured and/or unsecured). In light of the $299.3 million reduction in the cash purchase price payable in the Inmarsat Transaction, we currently expect to incur $1.3 billion of additional indebtedness under these commitments. However, the total amount of indebtedness incurred under these commitments may change, including in the event that available cash from other sources is higher than expected. We also plan to assume $2.1 billion in principal amount of Inmarsat senior secured bonds and the outstanding indebtedness under Inmarsat’s $2.4 billion senior secured credit facilities. In addition, we obtained commitments of $3.2 billion to backstop certain amendments required under our revolving credit facility (the Revolving Credit Facility) and our direct loan facility with the Export-Import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34" w:name="page35"/>
    <w:bookmarkEnd w:id="34"/>
    <w:p>
      <w:pPr>
        <w:ind w:right="140"/>
        <w:spacing w:after="0" w:line="246" w:lineRule="auto"/>
        <w:rPr>
          <w:sz w:val="20"/>
          <w:szCs w:val="20"/>
          <w:color w:val="auto"/>
        </w:rPr>
      </w:pPr>
      <w:r>
        <w:rPr>
          <w:rFonts w:ascii="Arial" w:cs="Arial" w:eastAsia="Arial" w:hAnsi="Arial"/>
          <w:sz w:val="18"/>
          <w:szCs w:val="18"/>
          <w:color w:val="auto"/>
        </w:rPr>
        <w:t>Bank of the United States (the Ex-Im Credit Facility) and Inmarsat’s $2.4 billion senior secured credit facilities, all of which amendments had been obtained as of the date of this report.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w:t>
      </w:r>
    </w:p>
    <w:p>
      <w:pPr>
        <w:spacing w:after="0" w:line="9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On April 30, 2021, we completed our acquisition of the remaining 51% interest in EBI, a satellite broadband internet service provider in Europe, Middle East and Africa (EMEA), from Eutelsat. We paid approximately $167.0 million in cash, net of what is currently estimated to be an immaterial amount of estimated purchase price consideration (net of approximately $121.7 million of EBI's cash on hand, resulting in a cash outlay of approximately $51.0 million).</w:t>
      </w:r>
    </w:p>
    <w:p>
      <w:pPr>
        <w:spacing w:after="0" w:line="151" w:lineRule="exact"/>
        <w:rPr>
          <w:sz w:val="20"/>
          <w:szCs w:val="20"/>
          <w:color w:val="auto"/>
        </w:rPr>
      </w:pPr>
    </w:p>
    <w:p>
      <w:pPr>
        <w:ind w:right="440" w:firstLine="509"/>
        <w:spacing w:after="0" w:line="238" w:lineRule="auto"/>
        <w:rPr>
          <w:sz w:val="20"/>
          <w:szCs w:val="20"/>
          <w:color w:val="auto"/>
        </w:rPr>
      </w:pPr>
      <w:r>
        <w:rPr>
          <w:rFonts w:ascii="Arial" w:cs="Arial" w:eastAsia="Arial" w:hAnsi="Arial"/>
          <w:sz w:val="18"/>
          <w:szCs w:val="18"/>
          <w:color w:val="auto"/>
        </w:rPr>
        <w:t>On April 30, 2021, we completed our acquisition of RigNet, a leading provider of ultra-secure, intelligent networking solutions and specialized applications. In connection with the acquisition, we issued approximately 4.0 million shares of our common stock to RigNet former shareholders, paid down $107.3 million of outstanding borrowings of RigNet’s revolving credit facility, and retained approximately $20.6 million of RigNet’s cash on hand.</w:t>
      </w:r>
    </w:p>
    <w:p>
      <w:pPr>
        <w:spacing w:after="0" w:line="151" w:lineRule="exact"/>
        <w:rPr>
          <w:sz w:val="20"/>
          <w:szCs w:val="20"/>
          <w:color w:val="auto"/>
        </w:rPr>
      </w:pPr>
    </w:p>
    <w:p>
      <w:pPr>
        <w:ind w:right="560" w:firstLine="509"/>
        <w:spacing w:after="0" w:line="246" w:lineRule="auto"/>
        <w:rPr>
          <w:sz w:val="20"/>
          <w:szCs w:val="20"/>
          <w:color w:val="auto"/>
        </w:rPr>
      </w:pPr>
      <w:r>
        <w:rPr>
          <w:rFonts w:ascii="Arial" w:cs="Arial" w:eastAsia="Arial" w:hAnsi="Arial"/>
          <w:sz w:val="18"/>
          <w:szCs w:val="18"/>
          <w:color w:val="auto"/>
        </w:rPr>
        <w:t>The assets and results of operations of EBI and RigNet are primarily included in our satellite services segment, with insignificant amounts included in our commercial networks segment.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9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In March 2020, the global outbreak of COVID-19 was declared a pandemic by the World Health Organization and a national emergency by the U.S. Government. The COVID-19 pandemic and attempts to contain it, such as mandatory closures, “shelter-in-place” orders and travel restrictions, have caused significant disruptions and adverse effects on U.S. and global economies, including impacts to supply chains, customer demand and financial markets. We have taken measures to protect the health and safety of our employees and to work with our customers, employees, suppliers, subcontractors, distributors, resellers and communities to address the disruptions from the pandemic. Although our financial results for the three months ended June 30, 2022 were impacted by the pandemic, the impact was not material to our financial position, results of operations or cash flows in the period. We continue to expect our diversified businesses to provide resiliency in fiscal year 2023.</w:t>
      </w:r>
    </w:p>
    <w:p>
      <w:pPr>
        <w:spacing w:after="0" w:line="154"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The extent of the impact of the COVID-19 pandemic on our business in the remainder of fiscal year 2023 and beyond will depend on many factors, including the duration and scope of the public health emergency, the extent, duration and effectiveness of containment actions taken, the extent of disruption to important global, regional and local supply chains and economic markets, and the impact of the pandemic on overall supply and demand, global air travel, consumer confidence, discretionary spending levels and levels of economic activity.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Services</w:t>
      </w:r>
    </w:p>
    <w:p>
      <w:pPr>
        <w:spacing w:after="0" w:line="99" w:lineRule="exact"/>
        <w:rPr>
          <w:sz w:val="20"/>
          <w:szCs w:val="20"/>
          <w:color w:val="auto"/>
        </w:rPr>
      </w:pPr>
    </w:p>
    <w:p>
      <w:pPr>
        <w:ind w:right="440" w:firstLine="509"/>
        <w:spacing w:after="0"/>
        <w:rPr>
          <w:sz w:val="20"/>
          <w:szCs w:val="20"/>
          <w:color w:val="auto"/>
        </w:rPr>
      </w:pPr>
      <w:r>
        <w:rPr>
          <w:rFonts w:ascii="Arial" w:cs="Arial" w:eastAsia="Arial" w:hAnsi="Arial"/>
          <w:sz w:val="18"/>
          <w:szCs w:val="18"/>
          <w:color w:val="auto"/>
        </w:rPr>
        <w:t>Our satellite services segment uses our proprietary technology platform to provide satellite-based high -speed broadband services around the globe for use in commercial applications. Our proprietary Ka-band satellites are at the core of our technology platform. The primary services offered by our satellite services segment are comprised of:</w:t>
      </w:r>
    </w:p>
    <w:p>
      <w:pPr>
        <w:spacing w:after="0" w:line="95" w:lineRule="exact"/>
        <w:rPr>
          <w:sz w:val="20"/>
          <w:szCs w:val="20"/>
          <w:color w:val="auto"/>
        </w:rPr>
      </w:pPr>
    </w:p>
    <w:p>
      <w:pPr>
        <w:ind w:left="1020" w:right="2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Fixed broadband services, which provide consumers and businesses with high-speed, high-quality broadband internet access and Voice over Internet Protocol services, primarily in the United States as well as in various countries in Europe and Latin America.</w:t>
      </w:r>
    </w:p>
    <w:p>
      <w:pPr>
        <w:spacing w:after="0" w:line="94" w:lineRule="exact"/>
        <w:rPr>
          <w:rFonts w:ascii="Arial" w:cs="Arial" w:eastAsia="Arial" w:hAnsi="Arial"/>
          <w:sz w:val="18"/>
          <w:szCs w:val="18"/>
          <w:color w:val="auto"/>
        </w:rPr>
      </w:pPr>
    </w:p>
    <w:p>
      <w:pPr>
        <w:ind w:left="1020" w:right="80" w:hanging="503"/>
        <w:spacing w:after="0" w:line="23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In-flight services, which provide industry-leading IFC, wireless in-flight entertainment and aviation software services. As of June 30, 2022, we had our IFC systems installed and in service on approximately 1,930 commercial aircraft, of which, due to impacts of the COVID-19 pandemic approximately 30 were inactive at quarter end. We anticipate that approximately 1,210 additional commercial aircraft under existing customer agreements with commercial airlines will be put into service with our IFC systems. However, the timing of installation and entry into service for additional aircraft under existing customer agreements may be delayed due to COVID-19 impacts. Additionally, due to the nature of commercial airline contracts, there can be no assurance that anticipated IFC services will be activated on all such additional commercial aircraft.</w:t>
      </w:r>
    </w:p>
    <w:p>
      <w:pPr>
        <w:spacing w:after="0" w:line="121" w:lineRule="exact"/>
        <w:rPr>
          <w:rFonts w:ascii="Arial" w:cs="Arial" w:eastAsia="Arial" w:hAnsi="Arial"/>
          <w:sz w:val="18"/>
          <w:szCs w:val="18"/>
          <w:color w:val="auto"/>
        </w:rPr>
      </w:pPr>
    </w:p>
    <w:p>
      <w:pPr>
        <w:ind w:left="1020" w:right="120" w:hanging="503"/>
        <w:spacing w:after="0" w:line="24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Prepaid Internet services, which offer innovative, affordable, satellite-based connectivity in communities that have little or no access to the internet. The services help foster digital inclusion by enabling millions of people to connect to affordable high-quality internet services via a centralized community hotspot connected to the internet via satellite. We provide Prepaid Internet services in multiple regions in Mexico and Brazil and are trialing services in advance of full service launch in various other countries in South America and Central America.</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5" w:name="page36"/>
    <w:bookmarkEnd w:id="35"/>
    <w:p>
      <w:pPr>
        <w:ind w:left="1020" w:right="200" w:hanging="503"/>
        <w:spacing w:after="0" w:line="238"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mobile broadband services, which include high-speed, satellite-based internet services to seagoing vessels (such as energy offshore vessels, cruise ships, consumer ferries and yachts), as well as L-band managed services enabling real-time machine-to-machine (M2M) position tracking, management of remote assets and operations, and visibility into critical areas of the supply chain.</w:t>
      </w:r>
    </w:p>
    <w:p>
      <w:pPr>
        <w:spacing w:after="0" w:line="96" w:lineRule="exact"/>
        <w:rPr>
          <w:rFonts w:ascii="Arial" w:cs="Arial" w:eastAsia="Arial" w:hAnsi="Arial"/>
          <w:sz w:val="18"/>
          <w:szCs w:val="18"/>
          <w:color w:val="auto"/>
        </w:rPr>
      </w:pPr>
    </w:p>
    <w:p>
      <w:pPr>
        <w:ind w:left="1020" w:right="700" w:hanging="503"/>
        <w:spacing w:after="0" w:line="246"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Energy services, which include ultra-secure solutions spanning global IP connectivity, bandwidth-optimized over-the-top applications, industrial Internet-of-Things big data enablement and industry-leading machine learning analytics.</w:t>
      </w:r>
    </w:p>
    <w:p>
      <w:pPr>
        <w:spacing w:after="0" w:line="143"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The assets and results of operations of our recent acquisitions, EBI and RigNet, are primarily included in our satellite services segment (with insignificant amounts included in our commercial networks segment).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Networks</w:t>
      </w:r>
    </w:p>
    <w:p>
      <w:pPr>
        <w:spacing w:after="0" w:line="99"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Our commercial networks segment develops and sells a wide array of advanced satellite and wireless products, antenna systems and terminal solutions that support or enable the provision of high-speed fixed and mobile broadband services. We design, develop and produce space system solutions for multiple orbital regimes, including geostationary, medium earth orbit, and low earth orbit. The primary products, systems, solutions and services offered by our commercial networks segment are comprised of:</w:t>
      </w:r>
    </w:p>
    <w:p>
      <w:pPr>
        <w:spacing w:after="0" w:line="97"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Mobile broadband satellite communication systems, designed for use in aircraft, and seagoing vessels.</w:t>
      </w:r>
    </w:p>
    <w:p>
      <w:pPr>
        <w:spacing w:after="0" w:line="103" w:lineRule="exact"/>
        <w:rPr>
          <w:rFonts w:ascii="Arial" w:cs="Arial" w:eastAsia="Arial" w:hAnsi="Arial"/>
          <w:sz w:val="18"/>
          <w:szCs w:val="18"/>
          <w:color w:val="auto"/>
        </w:rPr>
      </w:pPr>
    </w:p>
    <w:p>
      <w:pPr>
        <w:ind w:left="1020" w:right="700" w:hanging="503"/>
        <w:spacing w:after="0" w:line="246"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Fixed broadband satellite communication systems, including next-generation satellite network infrastructure and ground terminals.</w:t>
      </w:r>
    </w:p>
    <w:p>
      <w:pPr>
        <w:spacing w:after="0" w:line="88" w:lineRule="exact"/>
        <w:rPr>
          <w:rFonts w:ascii="Arial" w:cs="Arial" w:eastAsia="Arial" w:hAnsi="Arial"/>
          <w:sz w:val="18"/>
          <w:szCs w:val="18"/>
          <w:color w:val="auto"/>
        </w:rPr>
      </w:pPr>
    </w:p>
    <w:p>
      <w:pPr>
        <w:ind w:left="1020" w:right="260" w:hanging="503"/>
        <w:spacing w:after="0" w:line="246"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Antenna systems, including state-of-the-art ground and airborne terminals, antennas and gateways for terrestrial and satellite customer applications, mobile satellite communication, Ka-band earth stations and other multi-band antennas.</w:t>
      </w:r>
    </w:p>
    <w:p>
      <w:pPr>
        <w:spacing w:after="0" w:line="88" w:lineRule="exact"/>
        <w:rPr>
          <w:rFonts w:ascii="Arial" w:cs="Arial" w:eastAsia="Arial" w:hAnsi="Arial"/>
          <w:sz w:val="18"/>
          <w:szCs w:val="18"/>
          <w:color w:val="auto"/>
        </w:rPr>
      </w:pPr>
    </w:p>
    <w:p>
      <w:pPr>
        <w:ind w:left="1020" w:right="760" w:hanging="503"/>
        <w:spacing w:after="0" w:line="246"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Satellite networking development, including specialized design and technology services covering all aspects of satellite communication system architecture and technology.</w:t>
      </w:r>
    </w:p>
    <w:p>
      <w:pPr>
        <w:spacing w:after="0" w:line="88" w:lineRule="exact"/>
        <w:rPr>
          <w:rFonts w:ascii="Arial" w:cs="Arial" w:eastAsia="Arial" w:hAnsi="Arial"/>
          <w:sz w:val="18"/>
          <w:szCs w:val="18"/>
          <w:color w:val="auto"/>
        </w:rPr>
      </w:pPr>
    </w:p>
    <w:p>
      <w:pPr>
        <w:ind w:left="1020" w:right="60" w:hanging="503"/>
        <w:spacing w:after="0" w:line="246"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Space systems, including the design and development of high-capacity Ka-band satellites and associated payload technologies for our own satellite fleet as well as for third parties.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w:t>
      </w:r>
    </w:p>
    <w:p>
      <w:pPr>
        <w:spacing w:after="0" w:line="99" w:lineRule="exact"/>
        <w:rPr>
          <w:sz w:val="20"/>
          <w:szCs w:val="20"/>
          <w:color w:val="auto"/>
        </w:rPr>
      </w:pPr>
    </w:p>
    <w:p>
      <w:pPr>
        <w:jc w:val="both"/>
        <w:ind w:right="20" w:firstLine="509"/>
        <w:spacing w:after="0"/>
        <w:rPr>
          <w:sz w:val="20"/>
          <w:szCs w:val="20"/>
          <w:color w:val="auto"/>
        </w:rPr>
      </w:pPr>
      <w:r>
        <w:rPr>
          <w:rFonts w:ascii="Arial" w:cs="Arial" w:eastAsia="Arial" w:hAnsi="Arial"/>
          <w:sz w:val="18"/>
          <w:szCs w:val="18"/>
          <w:color w:val="auto"/>
        </w:rPr>
        <w:t>Our government systems segment offers a broad array of products and services designed to enable the collection and transmission of secure real-time digital information and communications between fixed and mobile command centers, intelligence and defense platforms and individuals in the field. The primary products and services of our government systems segment include:</w:t>
      </w:r>
    </w:p>
    <w:p>
      <w:pPr>
        <w:spacing w:after="0" w:line="95" w:lineRule="exact"/>
        <w:rPr>
          <w:sz w:val="20"/>
          <w:szCs w:val="20"/>
          <w:color w:val="auto"/>
        </w:rPr>
      </w:pPr>
    </w:p>
    <w:p>
      <w:pPr>
        <w:jc w:val="both"/>
        <w:ind w:left="1020" w:right="10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Government mobile broadband products and services, which provide military and government users with high-speed, real-time, broadband and multimedia connectivity in key regions of the world, as well as line-of-sight and beyond-line-of-sight Intelligence Surveillance and Reconnaissance missions.</w:t>
      </w:r>
    </w:p>
    <w:p>
      <w:pPr>
        <w:spacing w:after="0" w:line="94" w:lineRule="exact"/>
        <w:rPr>
          <w:rFonts w:ascii="Arial" w:cs="Arial" w:eastAsia="Arial" w:hAnsi="Arial"/>
          <w:sz w:val="18"/>
          <w:szCs w:val="18"/>
          <w:color w:val="auto"/>
        </w:rPr>
      </w:pPr>
    </w:p>
    <w:p>
      <w:pPr>
        <w:ind w:left="1020" w:right="6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Government satellite communication systems, which offer an array of portable, mobile and fixed broadband modems, terminals, network access control systems and antenna systems, and include products designed for manpacks, aircraft, unmanned aerial vehicles, seagoing vessels, ground-mobile vehicles and fixed applications.</w:t>
      </w:r>
    </w:p>
    <w:p>
      <w:pPr>
        <w:spacing w:after="0" w:line="94" w:lineRule="exact"/>
        <w:rPr>
          <w:rFonts w:ascii="Arial" w:cs="Arial" w:eastAsia="Arial" w:hAnsi="Arial"/>
          <w:sz w:val="18"/>
          <w:szCs w:val="18"/>
          <w:color w:val="auto"/>
        </w:rPr>
      </w:pPr>
    </w:p>
    <w:p>
      <w:pPr>
        <w:ind w:left="1020" w:right="220" w:hanging="503"/>
        <w:spacing w:after="0" w:line="22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Secure networking, cybersecurity and information assurance products and services, which provide advanced, high-speed IP-based “Type 1” and High Assurance Internet Protocol Encryption (HAIPE</w:t>
      </w:r>
      <w:r>
        <w:rPr>
          <w:rFonts w:ascii="Arial" w:cs="Arial" w:eastAsia="Arial" w:hAnsi="Arial"/>
          <w:sz w:val="24"/>
          <w:szCs w:val="24"/>
          <w:color w:val="auto"/>
          <w:vertAlign w:val="superscript"/>
        </w:rPr>
        <w:t>®</w:t>
      </w:r>
      <w:r>
        <w:rPr>
          <w:rFonts w:ascii="Arial" w:cs="Arial" w:eastAsia="Arial" w:hAnsi="Arial"/>
          <w:sz w:val="18"/>
          <w:szCs w:val="18"/>
          <w:color w:val="auto"/>
        </w:rPr>
        <w:t>)-compliant encryption solutions that enable military and government users to communicate information securely over networks, and that protect the integrity of data stored on computers and storage devices.</w:t>
      </w:r>
    </w:p>
    <w:p>
      <w:pPr>
        <w:spacing w:after="0" w:line="96" w:lineRule="exact"/>
        <w:rPr>
          <w:rFonts w:ascii="Arial" w:cs="Arial" w:eastAsia="Arial" w:hAnsi="Arial"/>
          <w:sz w:val="18"/>
          <w:szCs w:val="18"/>
          <w:color w:val="auto"/>
        </w:rPr>
      </w:pPr>
    </w:p>
    <w:p>
      <w:pPr>
        <w:ind w:left="1020" w:right="4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Tactical data links, including our Battlefield Awareness and Targeting System — Dismounted handheld Link 16 radios, our Small Tactical Terminal 2-channel radios for manned and unmanned applications, “disposable” defense data links, and our Multifunctional Information Distribution System (MIDS) and MIDS Joint Tactical Radio Systems terminals for military fighter jets.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99" w:lineRule="exact"/>
        <w:rPr>
          <w:sz w:val="20"/>
          <w:szCs w:val="20"/>
          <w:color w:val="auto"/>
        </w:rPr>
      </w:pPr>
    </w:p>
    <w:p>
      <w:pPr>
        <w:ind w:right="160" w:firstLine="509"/>
        <w:spacing w:after="0" w:line="246" w:lineRule="auto"/>
        <w:rPr>
          <w:sz w:val="20"/>
          <w:szCs w:val="20"/>
          <w:color w:val="auto"/>
        </w:rPr>
      </w:pPr>
      <w:r>
        <w:rPr>
          <w:rFonts w:ascii="Arial" w:cs="Arial" w:eastAsia="Arial" w:hAnsi="Arial"/>
          <w:sz w:val="18"/>
          <w:szCs w:val="18"/>
          <w:color w:val="auto"/>
        </w:rPr>
        <w:t>For a summary of factors and trends affecting our results of operations, see Part II, Item 7, "Factors and Trends Affecting our Results of Operations" in our Annual Report on Form 10-K for the year ended March 31, 2022.</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Sources of Revenues</w:t>
      </w:r>
    </w:p>
    <w:p>
      <w:pPr>
        <w:spacing w:after="0" w:line="99"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Our satellite services segment revenues are primarily derived from our fixed broadband services, in-flight services and energy services (acquired through the RigNet acquisition).</w:t>
      </w:r>
    </w:p>
    <w:p>
      <w:pPr>
        <w:spacing w:after="0" w:line="143" w:lineRule="exact"/>
        <w:rPr>
          <w:sz w:val="20"/>
          <w:szCs w:val="20"/>
          <w:color w:val="auto"/>
        </w:rPr>
      </w:pPr>
    </w:p>
    <w:p>
      <w:pPr>
        <w:ind w:right="80" w:firstLine="509"/>
        <w:spacing w:after="0" w:line="236" w:lineRule="auto"/>
        <w:rPr>
          <w:sz w:val="20"/>
          <w:szCs w:val="20"/>
          <w:color w:val="auto"/>
        </w:rPr>
      </w:pPr>
      <w:r>
        <w:rPr>
          <w:rFonts w:ascii="Arial" w:cs="Arial" w:eastAsia="Arial" w:hAnsi="Arial"/>
          <w:sz w:val="18"/>
          <w:szCs w:val="18"/>
          <w:color w:val="auto"/>
        </w:rPr>
        <w:t>Revenues in our commercial networks and government systems segments are primarily derived from three types of contracts: fixed-price, cost-reimbursement and time-and-materials contracts. Fixed-price contracts (which require us to provide products and services under a contract at a specified price) comprised approximately 86% and 89% of our total revenues for these segments for the three months ended June 30, 2022 and 2021, respectively. The remainder of our revenues in these segments for such periods was derived primarily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154"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Our ability to grow and maintain our revenues in our commercial networks and government systems segments has to date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151" w:lineRule="exact"/>
        <w:rPr>
          <w:sz w:val="20"/>
          <w:szCs w:val="20"/>
          <w:color w:val="auto"/>
        </w:rPr>
      </w:pPr>
    </w:p>
    <w:p>
      <w:pPr>
        <w:ind w:right="240" w:firstLine="509"/>
        <w:spacing w:after="0" w:line="238" w:lineRule="auto"/>
        <w:rPr>
          <w:sz w:val="20"/>
          <w:szCs w:val="20"/>
          <w:color w:val="auto"/>
        </w:rPr>
      </w:pPr>
      <w:r>
        <w:rPr>
          <w:rFonts w:ascii="Arial" w:cs="Arial" w:eastAsia="Arial" w:hAnsi="Arial"/>
          <w:sz w:val="18"/>
          <w:szCs w:val="18"/>
          <w:color w:val="auto"/>
        </w:rPr>
        <w:t>Historically, a significant portion of our revenues in our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development from our customer contracts were approximately 23% and 23% of our total revenues for the three months ended June 30, 2022 and 2021,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9"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9" w:lineRule="exact"/>
        <w:rPr>
          <w:sz w:val="20"/>
          <w:szCs w:val="20"/>
          <w:color w:val="auto"/>
        </w:rPr>
      </w:pPr>
    </w:p>
    <w:p>
      <w:pPr>
        <w:ind w:right="140" w:firstLine="509"/>
        <w:spacing w:after="0" w:line="237" w:lineRule="auto"/>
        <w:rPr>
          <w:sz w:val="20"/>
          <w:szCs w:val="20"/>
          <w:color w:val="auto"/>
        </w:rPr>
      </w:pPr>
      <w:r>
        <w:rPr>
          <w:rFonts w:ascii="Arial" w:cs="Arial" w:eastAsia="Arial" w:hAnsi="Arial"/>
          <w:sz w:val="18"/>
          <w:szCs w:val="18"/>
          <w:color w:val="auto"/>
        </w:rPr>
        <w:t>We apply the five-step revenue recognition model under Accounting Standards Update (ASU) 2014-09, Revenue from Contracts with Customers (commonly referred to as Accounting Standards Codification (ASC) 606) to our contracts with our customers. Under this model, we (1) identify the contract with the customer, (2) identify our performance obligations in the contract, (3) determine the transaction price for the contract, (4) allocate the transaction price to our performance obligations and (5) recognize revenue when or as we satisfy our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spacing w:after="0" w:line="189" w:lineRule="exact"/>
        <w:rPr>
          <w:sz w:val="20"/>
          <w:szCs w:val="20"/>
          <w:color w:val="auto"/>
        </w:rPr>
      </w:pPr>
    </w:p>
    <w:p>
      <w:pPr>
        <w:ind w:right="160" w:firstLine="509"/>
        <w:spacing w:after="0" w:line="236" w:lineRule="auto"/>
        <w:rPr>
          <w:sz w:val="20"/>
          <w:szCs w:val="20"/>
          <w:color w:val="auto"/>
        </w:rPr>
      </w:pPr>
      <w:r>
        <w:rPr>
          <w:rFonts w:ascii="Arial" w:cs="Arial" w:eastAsia="Arial" w:hAnsi="Arial"/>
          <w:sz w:val="18"/>
          <w:szCs w:val="18"/>
          <w:color w:val="auto"/>
        </w:rPr>
        <w:t>The timing of satisfaction of performance obligations may require judgment. We derive a substantial portion of our revenues from contracts with customers for services, primarily consisting of connectivity services. These contracts typically require advance or recurring monthly payments by the customer. Our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We evaluate whether broadband equipment provided to our customer as part of the delivery of connectivity services represents a lease in accordance with ASC 842. As discussed in Note 1 – Basis of Presentation – Leases to our condensed consolidated financial statements, for broadband equipment leased to fixed broadband customers in conjunction with the delivery of connectivity services, we account for the lease and non-lease components of connectivity services arrangement as a single performance obligation as the connectivity services represent the predominant component.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37" w:name="page38"/>
    <w:bookmarkEnd w:id="37"/>
    <w:p>
      <w:pPr>
        <w:ind w:right="40" w:firstLine="509"/>
        <w:spacing w:after="0" w:line="237" w:lineRule="auto"/>
        <w:rPr>
          <w:sz w:val="20"/>
          <w:szCs w:val="20"/>
          <w:color w:val="auto"/>
        </w:rPr>
      </w:pPr>
      <w:r>
        <w:rPr>
          <w:rFonts w:ascii="Arial" w:cs="Arial" w:eastAsia="Arial" w:hAnsi="Arial"/>
          <w:sz w:val="18"/>
          <w:szCs w:val="18"/>
          <w:color w:val="auto"/>
        </w:rPr>
        <w:t>We also derive a portion of our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we consider indicators that include, but are not limited to, whether (1) we have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89" w:lineRule="exact"/>
        <w:rPr>
          <w:sz w:val="20"/>
          <w:szCs w:val="20"/>
          <w:color w:val="auto"/>
        </w:rPr>
      </w:pPr>
    </w:p>
    <w:p>
      <w:pPr>
        <w:ind w:right="40" w:firstLine="509"/>
        <w:spacing w:after="0" w:line="235" w:lineRule="auto"/>
        <w:rPr>
          <w:sz w:val="20"/>
          <w:szCs w:val="20"/>
          <w:color w:val="auto"/>
        </w:rPr>
      </w:pPr>
      <w:r>
        <w:rPr>
          <w:rFonts w:ascii="Arial" w:cs="Arial" w:eastAsia="Arial" w:hAnsi="Arial"/>
          <w:sz w:val="18"/>
          <w:szCs w:val="18"/>
          <w:color w:val="auto"/>
        </w:rPr>
        <w:t>The vast majority of our revenues from long-term contracts to develop and deliver complex equipment built to customer specifications are derived from contracts with the U.S. Government (including foreign military sales contracted through the U.S. Government). Our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our U.S. Government fixed-price contracts, the customer pays us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our U.S. Government fixed-price contracts generally result in revenue recognized in excess of billings which we present as unbilled accounts receivable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our U.S. Government cost-type contracts, the customer generally pays us for our actual costs incurred within a short period of time. For non-U.S. Government contracts, we typically receive interim payments as work progresses, although for some contracts, we may be entitled to receive an advance payment. We recognize a liability for these advance payments in excess of revenue recognized and present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spacing w:after="0" w:line="199"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us and we have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that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 A one percent variance in our future cost estimates on open fixed-price contracts as of June 30, 2022 would change our income (loss) before income taxes by an insignificant amount.</w:t>
      </w:r>
    </w:p>
    <w:p>
      <w:pPr>
        <w:spacing w:after="0" w:line="18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our performance obligations, the estimation of total revenue, and where applicable the cost at completion, is complex, subject to many variables and requires significant judgment. Our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We estimate variable consideration at the amount to which we expect to be entitled.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In the event an agreement includes embedded financing components, we recognize interest expense or interest income on the embedded financing components using the effective interest method. This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38" w:name="page39"/>
    <w:bookmarkEnd w:id="38"/>
    <w:p>
      <w:pPr>
        <w:ind w:right="40"/>
        <w:spacing w:after="0" w:line="238" w:lineRule="auto"/>
        <w:rPr>
          <w:sz w:val="20"/>
          <w:szCs w:val="20"/>
          <w:color w:val="auto"/>
        </w:rPr>
      </w:pPr>
      <w:r>
        <w:rPr>
          <w:rFonts w:ascii="Arial" w:cs="Arial" w:eastAsia="Arial" w:hAnsi="Arial"/>
          <w:sz w:val="18"/>
          <w:szCs w:val="18"/>
          <w:color w:val="auto"/>
        </w:rPr>
        <w:t>methodology uses an implied interest rate which reflects the incremental borrowing rate which would be expected to be obtained in a separate financing transaction. We have elected the practical expedient not to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spacing w:after="0" w:line="191"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we utilize the observable price of a good or service when we sell that good or service separately in similar circumstances and to similar customers. If a standalone selling price is not directly observable, we estimate the standalone selling price by considering all information (including market conditions, specific factors, and information about the customer or class of customer) that is reasonably available.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99"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condensed consolidated financial statements.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9" w:lineRule="exact"/>
        <w:rPr>
          <w:sz w:val="20"/>
          <w:szCs w:val="20"/>
          <w:color w:val="auto"/>
        </w:rPr>
      </w:pPr>
    </w:p>
    <w:p>
      <w:pPr>
        <w:ind w:right="280" w:firstLine="509"/>
        <w:spacing w:after="0"/>
        <w:rPr>
          <w:sz w:val="20"/>
          <w:szCs w:val="20"/>
          <w:color w:val="auto"/>
        </w:rPr>
      </w:pPr>
      <w:r>
        <w:rPr>
          <w:rFonts w:ascii="Arial" w:cs="Arial" w:eastAsia="Arial" w:hAnsi="Arial"/>
          <w:sz w:val="18"/>
          <w:szCs w:val="18"/>
          <w:color w:val="auto"/>
        </w:rPr>
        <w:t>Property, equipment and satellites, net includes our owned and leased satellites and the associated earth stations and networking equipment, as well as the customer premise equipment units which are leased to subscribers under a retail leasing program as part of our satellite services segment.</w:t>
      </w:r>
    </w:p>
    <w:p>
      <w:pPr>
        <w:spacing w:after="0" w:line="14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 payments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 We periodically review the remaining estimated useful life of our satellites to determine if revisions to the estimated useful lives are necessary.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99"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In accordance with the authoritative guidance for leases (ASC 842), we assess at contract inception whether the contract is, or contains, a lease. Generally, we determine that a lease exists when (1) the contract involves the use of a distinct identified asset, (2) we obtain the right to substantially all economic benefits from use of the asset, and (3) we have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p>
    <w:p>
      <w:pPr>
        <w:spacing w:after="0" w:line="154"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At the lease commencement date, we recognize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ind w:right="240"/>
        <w:spacing w:after="0"/>
        <w:rPr>
          <w:sz w:val="20"/>
          <w:szCs w:val="20"/>
          <w:color w:val="auto"/>
        </w:rPr>
      </w:pPr>
      <w:r>
        <w:rPr>
          <w:rFonts w:ascii="Arial" w:cs="Arial" w:eastAsia="Arial" w:hAnsi="Arial"/>
          <w:sz w:val="18"/>
          <w:szCs w:val="18"/>
          <w:color w:val="auto"/>
        </w:rPr>
        <w:t>incentives received. All right-of-use assets are periodically reviewed for impairment in accordance with standards that apply to long-lived assets. The lease liability is initially measured at the present value of the lease payments, discounted using an estimate of our incremental borrowing rate for a collateralized loan with the same term as the underlying leases.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payments included in the measurement of lease liabilities consist of (1) fixed lease payments for the noncancelable lease term,</w:t>
      </w:r>
    </w:p>
    <w:p>
      <w:pPr>
        <w:ind w:left="280" w:hanging="272"/>
        <w:spacing w:after="0" w:line="234" w:lineRule="auto"/>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fixed lease payments for optional renewal periods where it is reasonably certain the renewal option will be exercised, and (3) variable</w:t>
      </w:r>
    </w:p>
    <w:p>
      <w:pPr>
        <w:ind w:right="100"/>
        <w:spacing w:after="0"/>
        <w:rPr>
          <w:rFonts w:ascii="Arial" w:cs="Arial" w:eastAsia="Arial" w:hAnsi="Arial"/>
          <w:sz w:val="18"/>
          <w:szCs w:val="18"/>
          <w:color w:val="auto"/>
        </w:rPr>
      </w:pPr>
      <w:r>
        <w:rPr>
          <w:rFonts w:ascii="Arial" w:cs="Arial" w:eastAsia="Arial" w:hAnsi="Arial"/>
          <w:sz w:val="18"/>
          <w:szCs w:val="18"/>
          <w:color w:val="auto"/>
        </w:rPr>
        <w:t>lease payments that depend on an underlying index or rate, based on the index or rate in effect at lease commencement. Certain of our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149" w:lineRule="exact"/>
        <w:rPr>
          <w:sz w:val="20"/>
          <w:szCs w:val="20"/>
          <w:color w:val="auto"/>
        </w:rPr>
      </w:pPr>
    </w:p>
    <w:p>
      <w:pPr>
        <w:jc w:val="both"/>
        <w:ind w:right="100" w:firstLine="509"/>
        <w:spacing w:after="0" w:line="238"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spacing w:after="0" w:line="151"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For broadband equipment leased to fixed broadband customers in conjunction with the delivery of connectivity services, we have made an accounting policy election not to separate the broadband equipment from the related connectivity services. The connectivity services are the predominant component of these arrangements. The connectivity services are accounted for in accordance ASC 606. We are also a lessor for certain insignificant communications equipment. These leases meet the criteria for operating lease classification. Lease income associated with these leases is not material.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9"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The purchase price for business combinations is allocated to the estimated fair values of acquired tangible and intangible assets, and assumed liabilities, where applicable. Additionally, we recognize technology, contracts and customer relationships, satellite co-location rights, trade names and other as identifiable intangible assets, which are recorded at fair value as of the transaction date. Goodwill is recorded when consideration transferred exceeds the fair value of identifiable assets and liabilities. Measurement-period adjustments to assets acquired and liabilities assumed with a corresponding offset to goodwill are recorded in the period they occur, which may include up to one year from the acquisition date. Contingent consideration is recorded at fair value at the acquisition date.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99"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the three months ended June 30, 2022 and 2021.</w:t>
      </w:r>
    </w:p>
    <w:p>
      <w:pPr>
        <w:spacing w:after="0" w:line="14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account for our goodwill under the authoritative guidance for goodwill and other intangible assets (ASC 350) and the provisions of ASU 2017-04, Simplifying the Test for Goodwill Impairment, which we early adopted in fiscal year 2020. Current authoritative guidance allows us to first assess qualitative factors to determine whether it is necessary to perform the quantitative goodwill impairment test. If, after completing the qualitative assessment, we determine that it is more likely than not that the estimated fair value is greater than the carrying value, we conclude that no impairment exists. Alternatively, if we determine in the qualitative assessment that it is more likely than not that the fair value is less than its carrying value, then we perform a quantitative goodwill impairment test to identify both the existence of an impairment and the amount of impairment loss, by comparing the fair value of the reporting unit with its carrying amount, including goodwill. If the estimated fair value of the reporting unit is less than the carrying value, then a goodwill impairment charge will be recognized in the amount by which the carrying amount exceeds the fair value, limited to the total amount of goodwill allocated to that reporting unit. We test goodwill for impairment during the fourth quarter every fiscal year and when an event occurs or circumstances change such that it is reasonably possible that an impairment may exist.</w:t>
      </w:r>
    </w:p>
    <w:p>
      <w:pPr>
        <w:spacing w:after="0" w:line="151"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In accordance with ASC 350, we assess qualitative factors to determine whether goodwill is impaired. The qualitative analysis includes assessing the impact of changes in certain factors including: (1) changes in forecasted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40" w:name="page41"/>
    <w:bookmarkEnd w:id="40"/>
    <w:p>
      <w:pPr>
        <w:ind w:right="20"/>
        <w:spacing w:after="0" w:line="238" w:lineRule="auto"/>
        <w:rPr>
          <w:sz w:val="20"/>
          <w:szCs w:val="20"/>
          <w:color w:val="auto"/>
        </w:rPr>
      </w:pPr>
      <w:r>
        <w:rPr>
          <w:rFonts w:ascii="Arial" w:cs="Arial" w:eastAsia="Arial" w:hAnsi="Arial"/>
          <w:sz w:val="18"/>
          <w:szCs w:val="18"/>
          <w:color w:val="auto"/>
        </w:rPr>
        <w:t>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51"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Based on our qualitative assessment performed during the fourth quarter of fiscal year 2022, we concluded that it was more likely than not that the estimated fair value of our reporting units exceeded their carrying value as of March 31, 2022, and therefore, determined it was not necessary to perform a quantitative goodwill impairment test.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9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 Our valuation allowance against deferred tax assets decreased from $78.1 million at March 31, 2022 to $77.1 million at June 30, 2022. The valuation allowance relates to state and foreign net operating loss carryforwards, state R&amp;D tax credit carryforwards and foreign tax credit carryforwards.</w:t>
      </w:r>
    </w:p>
    <w:p>
      <w:pPr>
        <w:spacing w:after="0" w:line="154"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analysis of the need for a valuation allowance on deferred tax assets considered historical as well as forecasted future operating results. In addition, our evaluation considered other factors, including our contractual backlog, our history of positive earnings, current earnings trends assuming our satellite services segment continues to grow, taxable income adjusted for certain items, and forecasted income by jurisdiction. We also considered the period over which these net deferred tax assets can be realized and our history of not having federal tax loss carryforwards expire unused.</w:t>
      </w:r>
    </w:p>
    <w:p>
      <w:pPr>
        <w:spacing w:after="0" w:line="148"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spacing w:after="0" w:line="149"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Results of Operations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186"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Three Months Ended</w:t>
      </w:r>
    </w:p>
    <w:p>
      <w:pPr>
        <w:spacing w:after="0" w:line="28" w:lineRule="exact"/>
        <w:rPr>
          <w:sz w:val="20"/>
          <w:szCs w:val="20"/>
          <w:color w:val="auto"/>
        </w:rPr>
      </w:pPr>
    </w:p>
    <w:tbl>
      <w:tblPr>
        <w:tblLayout w:type="fixed"/>
        <w:tblInd w:w="580" w:type="dxa"/>
        <w:tblCellMar>
          <w:top w:w="0" w:type="dxa"/>
          <w:left w:w="0" w:type="dxa"/>
          <w:bottom w:w="0" w:type="dxa"/>
          <w:right w:w="0" w:type="dxa"/>
        </w:tblCellMar>
      </w:tblPr>
      <w:tr>
        <w:trPr>
          <w:trHeight w:val="129"/>
        </w:trPr>
        <w:tc>
          <w:tcPr>
            <w:tcW w:w="6820" w:type="dxa"/>
            <w:vAlign w:val="bottom"/>
          </w:tcPr>
          <w:p>
            <w:pPr>
              <w:spacing w:after="0"/>
              <w:rPr>
                <w:sz w:val="11"/>
                <w:szCs w:val="11"/>
                <w:color w:val="auto"/>
              </w:rPr>
            </w:pPr>
          </w:p>
        </w:tc>
        <w:tc>
          <w:tcPr>
            <w:tcW w:w="1080" w:type="dxa"/>
            <w:vAlign w:val="bottom"/>
            <w:tcBorders>
              <w:top w:val="single" w:sz="8" w:color="auto"/>
            </w:tcBorders>
          </w:tcPr>
          <w:p>
            <w:pPr>
              <w:ind w:left="440"/>
              <w:spacing w:after="0" w:line="129" w:lineRule="exact"/>
              <w:rPr>
                <w:sz w:val="20"/>
                <w:szCs w:val="20"/>
                <w:color w:val="auto"/>
              </w:rPr>
            </w:pPr>
            <w:r>
              <w:rPr>
                <w:rFonts w:ascii="Arial" w:cs="Arial" w:eastAsia="Arial" w:hAnsi="Arial"/>
                <w:sz w:val="14"/>
                <w:szCs w:val="14"/>
                <w:b w:val="1"/>
                <w:bCs w:val="1"/>
                <w:color w:val="auto"/>
              </w:rPr>
              <w:t>June 30,</w:t>
            </w:r>
          </w:p>
        </w:tc>
        <w:tc>
          <w:tcPr>
            <w:tcW w:w="3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right"/>
              <w:ind w:right="352"/>
              <w:spacing w:after="0" w:line="129" w:lineRule="exact"/>
              <w:rPr>
                <w:sz w:val="20"/>
                <w:szCs w:val="20"/>
                <w:color w:val="auto"/>
              </w:rPr>
            </w:pPr>
            <w:r>
              <w:rPr>
                <w:rFonts w:ascii="Arial" w:cs="Arial" w:eastAsia="Arial" w:hAnsi="Arial"/>
                <w:sz w:val="14"/>
                <w:szCs w:val="14"/>
                <w:b w:val="1"/>
                <w:bCs w:val="1"/>
                <w:color w:val="auto"/>
              </w:rPr>
              <w:t>June 30,</w:t>
            </w:r>
          </w:p>
        </w:tc>
        <w:tc>
          <w:tcPr>
            <w:tcW w:w="180" w:type="dxa"/>
            <w:vAlign w:val="bottom"/>
            <w:gridSpan w:val="2"/>
          </w:tcPr>
          <w:p>
            <w:pPr>
              <w:spacing w:after="0"/>
              <w:rPr>
                <w:sz w:val="11"/>
                <w:szCs w:val="11"/>
                <w:color w:val="auto"/>
              </w:rPr>
            </w:pPr>
          </w:p>
        </w:tc>
      </w:tr>
      <w:tr>
        <w:trPr>
          <w:trHeight w:val="189"/>
        </w:trPr>
        <w:tc>
          <w:tcPr>
            <w:tcW w:w="7900" w:type="dxa"/>
            <w:vAlign w:val="bottom"/>
            <w:gridSpan w:val="2"/>
          </w:tcPr>
          <w:p>
            <w:pPr>
              <w:ind w:left="7380"/>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6820" w:type="dxa"/>
            <w:vAlign w:val="bottom"/>
          </w:tcPr>
          <w:p>
            <w:pPr>
              <w:spacing w:after="0" w:line="195" w:lineRule="exact"/>
              <w:rPr>
                <w:sz w:val="20"/>
                <w:szCs w:val="20"/>
                <w:color w:val="auto"/>
              </w:rPr>
            </w:pPr>
            <w:r>
              <w:rPr>
                <w:rFonts w:ascii="Arial" w:cs="Arial" w:eastAsia="Arial" w:hAnsi="Arial"/>
                <w:sz w:val="18"/>
                <w:szCs w:val="18"/>
                <w:color w:val="auto"/>
              </w:rPr>
              <w:t>Revenues:</w:t>
            </w:r>
          </w:p>
        </w:tc>
        <w:tc>
          <w:tcPr>
            <w:tcW w:w="10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100</w:t>
            </w: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w w:val="87"/>
              </w:rPr>
              <w:t>%</w:t>
            </w: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100</w:t>
            </w:r>
          </w:p>
        </w:tc>
        <w:tc>
          <w:tcPr>
            <w:tcW w:w="18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99"/>
              </w:rPr>
              <w:t>%</w:t>
            </w:r>
          </w:p>
        </w:tc>
      </w:tr>
      <w:tr>
        <w:trPr>
          <w:trHeight w:val="203"/>
        </w:trPr>
        <w:tc>
          <w:tcPr>
            <w:tcW w:w="7900" w:type="dxa"/>
            <w:vAlign w:val="bottom"/>
            <w:gridSpan w:val="2"/>
          </w:tcPr>
          <w:p>
            <w:pPr>
              <w:ind w:left="260"/>
              <w:spacing w:after="0" w:line="203" w:lineRule="exact"/>
              <w:rPr>
                <w:sz w:val="20"/>
                <w:szCs w:val="20"/>
                <w:color w:val="auto"/>
              </w:rPr>
            </w:pPr>
            <w:r>
              <w:rPr>
                <w:rFonts w:ascii="Arial" w:cs="Arial" w:eastAsia="Arial" w:hAnsi="Arial"/>
                <w:sz w:val="18"/>
                <w:szCs w:val="18"/>
                <w:color w:val="auto"/>
              </w:rPr>
              <w:t>Product revenues</w:t>
            </w:r>
          </w:p>
        </w:tc>
        <w:tc>
          <w:tcPr>
            <w:tcW w:w="380" w:type="dxa"/>
            <w:vAlign w:val="bottom"/>
          </w:tcPr>
          <w:p>
            <w:pPr>
              <w:jc w:val="right"/>
              <w:spacing w:after="0" w:line="203" w:lineRule="exact"/>
              <w:rPr>
                <w:sz w:val="20"/>
                <w:szCs w:val="20"/>
                <w:color w:val="auto"/>
              </w:rPr>
            </w:pPr>
            <w:r>
              <w:rPr>
                <w:rFonts w:ascii="Arial" w:cs="Arial" w:eastAsia="Arial" w:hAnsi="Arial"/>
                <w:sz w:val="18"/>
                <w:szCs w:val="18"/>
                <w:color w:val="auto"/>
              </w:rPr>
              <w:t>40</w:t>
            </w:r>
          </w:p>
        </w:tc>
        <w:tc>
          <w:tcPr>
            <w:tcW w:w="24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Arial" w:cs="Arial" w:eastAsia="Arial" w:hAnsi="Arial"/>
                <w:sz w:val="18"/>
                <w:szCs w:val="18"/>
                <w:color w:val="auto"/>
              </w:rPr>
              <w:t>44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900" w:type="dxa"/>
            <w:vAlign w:val="bottom"/>
            <w:gridSpan w:val="2"/>
            <w:shd w:val="clear" w:color="auto" w:fill="CFF0FC"/>
          </w:tcPr>
          <w:p>
            <w:pPr>
              <w:ind w:left="260"/>
              <w:spacing w:after="0" w:line="202" w:lineRule="exact"/>
              <w:rPr>
                <w:sz w:val="20"/>
                <w:szCs w:val="20"/>
                <w:color w:val="auto"/>
              </w:rPr>
            </w:pPr>
            <w:r>
              <w:rPr>
                <w:rFonts w:ascii="Arial" w:cs="Arial" w:eastAsia="Arial" w:hAnsi="Arial"/>
                <w:sz w:val="18"/>
                <w:szCs w:val="18"/>
                <w:color w:val="auto"/>
              </w:rPr>
              <w:t>Service revenues</w:t>
            </w: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900" w:type="dxa"/>
            <w:vAlign w:val="bottom"/>
            <w:gridSpan w:val="2"/>
          </w:tcPr>
          <w:p>
            <w:pPr>
              <w:spacing w:after="0" w:line="202" w:lineRule="exact"/>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900" w:type="dxa"/>
            <w:vAlign w:val="bottom"/>
            <w:gridSpan w:val="2"/>
            <w:shd w:val="clear" w:color="auto" w:fill="CFF0FC"/>
          </w:tcPr>
          <w:p>
            <w:pPr>
              <w:ind w:left="260"/>
              <w:spacing w:after="0" w:line="202" w:lineRule="exact"/>
              <w:rPr>
                <w:sz w:val="20"/>
                <w:szCs w:val="20"/>
                <w:color w:val="auto"/>
              </w:rPr>
            </w:pPr>
            <w:r>
              <w:rPr>
                <w:rFonts w:ascii="Arial" w:cs="Arial" w:eastAsia="Arial" w:hAnsi="Arial"/>
                <w:sz w:val="18"/>
                <w:szCs w:val="18"/>
                <w:color w:val="auto"/>
              </w:rPr>
              <w:t>Cost of product revenues</w:t>
            </w: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9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Cost of service revenues</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24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900" w:type="dxa"/>
            <w:vAlign w:val="bottom"/>
            <w:gridSpan w:val="2"/>
            <w:shd w:val="clear" w:color="auto" w:fill="CFF0FC"/>
          </w:tcPr>
          <w:p>
            <w:pPr>
              <w:ind w:left="260"/>
              <w:spacing w:after="0" w:line="202" w:lineRule="exact"/>
              <w:rPr>
                <w:sz w:val="20"/>
                <w:szCs w:val="20"/>
                <w:color w:val="auto"/>
              </w:rPr>
            </w:pPr>
            <w:r>
              <w:rPr>
                <w:rFonts w:ascii="Arial" w:cs="Arial" w:eastAsia="Arial" w:hAnsi="Arial"/>
                <w:sz w:val="18"/>
                <w:szCs w:val="18"/>
                <w:color w:val="auto"/>
              </w:rPr>
              <w:t>Selling, general and administrative</w:t>
            </w: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9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Independent research and development</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4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820" w:type="dxa"/>
            <w:vAlign w:val="bottom"/>
            <w:tcBorders>
              <w:bottom w:val="single" w:sz="8" w:color="CFF0FC"/>
            </w:tcBorders>
            <w:shd w:val="clear" w:color="auto" w:fill="CFF0FC"/>
          </w:tcPr>
          <w:p>
            <w:pPr>
              <w:ind w:left="260"/>
              <w:spacing w:after="0" w:line="202" w:lineRule="exact"/>
              <w:rPr>
                <w:sz w:val="20"/>
                <w:szCs w:val="20"/>
                <w:color w:val="auto"/>
              </w:rPr>
            </w:pPr>
            <w:r>
              <w:rPr>
                <w:rFonts w:ascii="Arial" w:cs="Arial" w:eastAsia="Arial" w:hAnsi="Arial"/>
                <w:sz w:val="18"/>
                <w:szCs w:val="18"/>
                <w:color w:val="auto"/>
              </w:rPr>
              <w:t>Amortization of acquired intangible assets</w:t>
            </w:r>
          </w:p>
        </w:tc>
        <w:tc>
          <w:tcPr>
            <w:tcW w:w="108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7900" w:type="dxa"/>
            <w:vAlign w:val="bottom"/>
            <w:gridSpan w:val="2"/>
          </w:tcPr>
          <w:p>
            <w:pPr>
              <w:spacing w:after="0" w:line="196" w:lineRule="exact"/>
              <w:rPr>
                <w:sz w:val="20"/>
                <w:szCs w:val="20"/>
                <w:color w:val="auto"/>
              </w:rPr>
            </w:pPr>
            <w:r>
              <w:rPr>
                <w:rFonts w:ascii="Arial" w:cs="Arial" w:eastAsia="Arial" w:hAnsi="Arial"/>
                <w:sz w:val="18"/>
                <w:szCs w:val="18"/>
                <w:color w:val="auto"/>
              </w:rPr>
              <w:t>Income (loss) from operations</w:t>
            </w:r>
          </w:p>
        </w:tc>
        <w:tc>
          <w:tcPr>
            <w:tcW w:w="62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(4 )</w:t>
            </w: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82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Interest expense, net</w:t>
            </w:r>
          </w:p>
        </w:tc>
        <w:tc>
          <w:tcPr>
            <w:tcW w:w="108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(1 )</w:t>
            </w:r>
          </w:p>
        </w:tc>
        <w:tc>
          <w:tcPr>
            <w:tcW w:w="1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c>
          <w:tcPr>
            <w:tcW w:w="80" w:type="dxa"/>
            <w:vAlign w:val="bottom"/>
          </w:tcPr>
          <w:p>
            <w:pPr>
              <w:spacing w:after="0"/>
              <w:rPr>
                <w:sz w:val="17"/>
                <w:szCs w:val="17"/>
                <w:color w:val="auto"/>
              </w:rPr>
            </w:pPr>
          </w:p>
        </w:tc>
      </w:tr>
      <w:tr>
        <w:trPr>
          <w:trHeight w:val="20"/>
        </w:trPr>
        <w:tc>
          <w:tcPr>
            <w:tcW w:w="68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820" w:type="dxa"/>
            <w:vAlign w:val="bottom"/>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1080" w:type="dxa"/>
            <w:vAlign w:val="bottom"/>
          </w:tcPr>
          <w:p>
            <w:pPr>
              <w:spacing w:after="0"/>
              <w:rPr>
                <w:sz w:val="17"/>
                <w:szCs w:val="17"/>
                <w:color w:val="auto"/>
              </w:rPr>
            </w:pPr>
          </w:p>
        </w:tc>
        <w:tc>
          <w:tcPr>
            <w:tcW w:w="62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(5 )</w:t>
            </w: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90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(Provision for) benefit from income taxes</w:t>
            </w: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90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w:t>
            </w:r>
          </w:p>
        </w:tc>
        <w:tc>
          <w:tcPr>
            <w:tcW w:w="6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(3 )</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90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Net income (loss) attributable to Viasat, Inc.</w:t>
            </w:r>
          </w:p>
        </w:tc>
        <w:tc>
          <w:tcPr>
            <w:tcW w:w="6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(3 )</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-1945005</wp:posOffset>
            </wp:positionV>
            <wp:extent cx="6412230" cy="1289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-784860</wp:posOffset>
            </wp:positionV>
            <wp:extent cx="5969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-784860</wp:posOffset>
            </wp:positionV>
            <wp:extent cx="60325"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-519430</wp:posOffset>
            </wp:positionV>
            <wp:extent cx="5969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-519430</wp:posOffset>
            </wp:positionV>
            <wp:extent cx="6032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241" w:lineRule="exact"/>
        <w:rPr>
          <w:sz w:val="20"/>
          <w:szCs w:val="20"/>
          <w:color w:val="auto"/>
        </w:rPr>
      </w:pPr>
    </w:p>
    <w:p>
      <w:pPr>
        <w:ind w:right="4860"/>
        <w:spacing w:after="0" w:line="365" w:lineRule="auto"/>
        <w:rPr>
          <w:sz w:val="20"/>
          <w:szCs w:val="20"/>
          <w:color w:val="auto"/>
        </w:rPr>
      </w:pPr>
      <w:r>
        <w:rPr>
          <w:rFonts w:ascii="Arial" w:cs="Arial" w:eastAsia="Arial" w:hAnsi="Arial"/>
          <w:sz w:val="18"/>
          <w:szCs w:val="18"/>
          <w:b w:val="1"/>
          <w:bCs w:val="1"/>
          <w:color w:val="auto"/>
        </w:rPr>
        <w:t xml:space="preserve">Three Months Ended June 30, 2022 vs. Three Months Ended June 30, 2021 </w:t>
      </w:r>
      <w:r>
        <w:rPr>
          <w:rFonts w:ascii="Arial" w:cs="Arial" w:eastAsia="Arial" w:hAnsi="Arial"/>
          <w:sz w:val="18"/>
          <w:szCs w:val="18"/>
          <w:i w:val="1"/>
          <w:iCs w:val="1"/>
          <w:color w:val="auto"/>
        </w:rPr>
        <w:t>Revenues</w:t>
      </w:r>
    </w:p>
    <w:p>
      <w:pPr>
        <w:spacing w:after="0" w:line="69"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81"/>
              <w:spacing w:after="0"/>
              <w:rPr>
                <w:sz w:val="20"/>
                <w:szCs w:val="20"/>
                <w:color w:val="auto"/>
              </w:rPr>
            </w:pPr>
            <w:r>
              <w:rPr>
                <w:rFonts w:ascii="Arial" w:cs="Arial" w:eastAsia="Arial" w:hAnsi="Arial"/>
                <w:sz w:val="14"/>
                <w:szCs w:val="14"/>
                <w:b w:val="1"/>
                <w:bCs w:val="1"/>
                <w:color w:val="auto"/>
              </w:rPr>
              <w:t>Dollar</w:t>
            </w:r>
          </w:p>
        </w:tc>
        <w:tc>
          <w:tcPr>
            <w:tcW w:w="16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60" w:type="dxa"/>
            <w:vAlign w:val="bottom"/>
          </w:tcPr>
          <w:p>
            <w:pPr>
              <w:spacing w:after="0"/>
              <w:rPr>
                <w:sz w:val="11"/>
                <w:szCs w:val="11"/>
                <w:color w:val="auto"/>
              </w:rPr>
            </w:pPr>
          </w:p>
        </w:tc>
        <w:tc>
          <w:tcPr>
            <w:tcW w:w="880" w:type="dxa"/>
            <w:vAlign w:val="bottom"/>
          </w:tcPr>
          <w:p>
            <w:pPr>
              <w:jc w:val="right"/>
              <w:ind w:right="159"/>
              <w:spacing w:after="0" w:line="129"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ind w:right="217"/>
              <w:spacing w:after="0" w:line="129"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61"/>
              <w:spacing w:after="0" w:line="129" w:lineRule="exact"/>
              <w:rPr>
                <w:sz w:val="20"/>
                <w:szCs w:val="20"/>
                <w:color w:val="auto"/>
              </w:rPr>
            </w:pPr>
            <w:r>
              <w:rPr>
                <w:rFonts w:ascii="Arial" w:cs="Arial" w:eastAsia="Arial" w:hAnsi="Arial"/>
                <w:sz w:val="14"/>
                <w:szCs w:val="14"/>
                <w:b w:val="1"/>
                <w:bCs w:val="1"/>
                <w:color w:val="auto"/>
              </w:rPr>
              <w:t>Increase</w:t>
            </w:r>
          </w:p>
        </w:tc>
        <w:tc>
          <w:tcPr>
            <w:tcW w:w="1680" w:type="dxa"/>
            <w:vAlign w:val="bottom"/>
            <w:gridSpan w:val="2"/>
          </w:tcPr>
          <w:p>
            <w:pPr>
              <w:jc w:val="center"/>
              <w:ind w:right="17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4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61"/>
              <w:spacing w:after="0"/>
              <w:rPr>
                <w:sz w:val="20"/>
                <w:szCs w:val="20"/>
                <w:color w:val="auto"/>
              </w:rPr>
            </w:pPr>
            <w:r>
              <w:rPr>
                <w:rFonts w:ascii="Arial" w:cs="Arial" w:eastAsia="Arial" w:hAnsi="Arial"/>
                <w:sz w:val="14"/>
                <w:szCs w:val="14"/>
                <w:b w:val="1"/>
                <w:bCs w:val="1"/>
                <w:color w:val="auto"/>
              </w:rPr>
              <w:t>(Decrease)</w:t>
            </w:r>
          </w:p>
        </w:tc>
        <w:tc>
          <w:tcPr>
            <w:tcW w:w="16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4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Product revenues</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268.8</w:t>
            </w:r>
          </w:p>
        </w:tc>
        <w:tc>
          <w:tcPr>
            <w:tcW w:w="220" w:type="dxa"/>
            <w:vAlign w:val="bottom"/>
          </w:tcPr>
          <w:p>
            <w:pPr>
              <w:spacing w:after="0"/>
              <w:rPr>
                <w:sz w:val="16"/>
                <w:szCs w:val="16"/>
                <w:color w:val="auto"/>
              </w:rPr>
            </w:pPr>
          </w:p>
        </w:tc>
        <w:tc>
          <w:tcPr>
            <w:tcW w:w="2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293.3</w:t>
            </w:r>
          </w:p>
        </w:tc>
        <w:tc>
          <w:tcPr>
            <w:tcW w:w="20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(24.5</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w:t>
            </w: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620" w:type="dxa"/>
            <w:vAlign w:val="bottom"/>
            <w:gridSpan w:val="2"/>
          </w:tcPr>
          <w:p>
            <w:pPr>
              <w:spacing w:after="0" w:line="203" w:lineRule="exact"/>
              <w:rPr>
                <w:sz w:val="20"/>
                <w:szCs w:val="20"/>
                <w:color w:val="auto"/>
              </w:rPr>
            </w:pPr>
            <w:r>
              <w:rPr>
                <w:rFonts w:ascii="Arial" w:cs="Arial" w:eastAsia="Arial" w:hAnsi="Arial"/>
                <w:sz w:val="18"/>
                <w:szCs w:val="18"/>
                <w:color w:val="auto"/>
              </w:rPr>
              <w:t>Service revenues</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409.4</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371.6</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37.8</w:t>
            </w:r>
          </w:p>
        </w:tc>
        <w:tc>
          <w:tcPr>
            <w:tcW w:w="200" w:type="dxa"/>
            <w:vAlign w:val="bottom"/>
          </w:tcPr>
          <w:p>
            <w:pPr>
              <w:spacing w:after="0"/>
              <w:rPr>
                <w:sz w:val="17"/>
                <w:szCs w:val="17"/>
                <w:color w:val="auto"/>
              </w:rPr>
            </w:pPr>
          </w:p>
        </w:tc>
        <w:tc>
          <w:tcPr>
            <w:tcW w:w="16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196"/>
        </w:trPr>
        <w:tc>
          <w:tcPr>
            <w:tcW w:w="4620" w:type="dxa"/>
            <w:vAlign w:val="bottom"/>
            <w:gridSpan w:val="2"/>
          </w:tcPr>
          <w:p>
            <w:pPr>
              <w:spacing w:after="0" w:line="196" w:lineRule="exact"/>
              <w:rPr>
                <w:sz w:val="20"/>
                <w:szCs w:val="20"/>
                <w:color w:val="auto"/>
              </w:rPr>
            </w:pPr>
            <w:r>
              <w:rPr>
                <w:rFonts w:ascii="Arial" w:cs="Arial" w:eastAsia="Arial" w:hAnsi="Arial"/>
                <w:sz w:val="18"/>
                <w:szCs w:val="18"/>
                <w:color w:val="auto"/>
              </w:rPr>
              <w:t>Total revenues</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678.2</w:t>
            </w:r>
          </w:p>
        </w:tc>
        <w:tc>
          <w:tcPr>
            <w:tcW w:w="220" w:type="dxa"/>
            <w:vAlign w:val="bottom"/>
          </w:tcPr>
          <w:p>
            <w:pPr>
              <w:spacing w:after="0"/>
              <w:rPr>
                <w:sz w:val="17"/>
                <w:szCs w:val="17"/>
                <w:color w:val="auto"/>
              </w:rPr>
            </w:pP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664.9</w:t>
            </w:r>
          </w:p>
        </w:tc>
        <w:tc>
          <w:tcPr>
            <w:tcW w:w="20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c>
          <w:tcPr>
            <w:tcW w:w="200" w:type="dxa"/>
            <w:vAlign w:val="bottom"/>
          </w:tcPr>
          <w:p>
            <w:pPr>
              <w:spacing w:after="0"/>
              <w:rPr>
                <w:sz w:val="17"/>
                <w:szCs w:val="17"/>
                <w:color w:val="auto"/>
              </w:rPr>
            </w:pPr>
          </w:p>
        </w:tc>
        <w:tc>
          <w:tcPr>
            <w:tcW w:w="16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-393700</wp:posOffset>
            </wp:positionV>
            <wp:extent cx="6412230"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-128270</wp:posOffset>
            </wp:positionV>
            <wp:extent cx="6412230" cy="1289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182"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Our total revenues increased by $13.4 million as a result of a $37.8 million increase in service revenues, partially offset by a $24.5 million decrease in product revenues. The service revenue increase was primarily driven by an increase of $38.0 million in our satellite services segment. The product revenue decrease was driven by a $16.5 million decrease in our government systems segment and an $8.0 million decrease in our commercial networks segment.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477"/>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rPr>
              <w:t>Dollar</w:t>
            </w:r>
          </w:p>
        </w:tc>
        <w:tc>
          <w:tcPr>
            <w:tcW w:w="158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Pr>
          <w:p>
            <w:pPr>
              <w:spacing w:after="0"/>
              <w:rPr>
                <w:sz w:val="11"/>
                <w:szCs w:val="11"/>
                <w:color w:val="auto"/>
              </w:rPr>
            </w:pPr>
          </w:p>
        </w:tc>
        <w:tc>
          <w:tcPr>
            <w:tcW w:w="800" w:type="dxa"/>
            <w:vAlign w:val="bottom"/>
          </w:tcPr>
          <w:p>
            <w:pPr>
              <w:jc w:val="right"/>
              <w:ind w:right="99"/>
              <w:spacing w:after="0" w:line="129"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jc w:val="right"/>
              <w:ind w:right="317"/>
              <w:spacing w:after="0" w:line="129"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70"/>
              <w:spacing w:after="0" w:line="129" w:lineRule="exact"/>
              <w:rPr>
                <w:sz w:val="20"/>
                <w:szCs w:val="20"/>
                <w:color w:val="auto"/>
              </w:rPr>
            </w:pPr>
            <w:r>
              <w:rPr>
                <w:rFonts w:ascii="Arial" w:cs="Arial" w:eastAsia="Arial" w:hAnsi="Arial"/>
                <w:sz w:val="14"/>
                <w:szCs w:val="14"/>
                <w:b w:val="1"/>
                <w:bCs w:val="1"/>
                <w:color w:val="auto"/>
              </w:rPr>
              <w:t>Increase</w:t>
            </w:r>
          </w:p>
        </w:tc>
        <w:tc>
          <w:tcPr>
            <w:tcW w:w="1580" w:type="dxa"/>
            <w:vAlign w:val="bottom"/>
            <w:gridSpan w:val="2"/>
          </w:tcPr>
          <w:p>
            <w:pPr>
              <w:jc w:val="center"/>
              <w:ind w:right="15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4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rPr>
              <w:t>(Decrease)</w:t>
            </w:r>
          </w:p>
        </w:tc>
        <w:tc>
          <w:tcPr>
            <w:tcW w:w="158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4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Cost of product revenues</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210.7</w:t>
            </w:r>
          </w:p>
        </w:tc>
        <w:tc>
          <w:tcPr>
            <w:tcW w:w="220" w:type="dxa"/>
            <w:vAlign w:val="bottom"/>
          </w:tcPr>
          <w:p>
            <w:pPr>
              <w:spacing w:after="0"/>
              <w:rPr>
                <w:sz w:val="16"/>
                <w:szCs w:val="16"/>
                <w:color w:val="auto"/>
              </w:rPr>
            </w:pPr>
          </w:p>
        </w:tc>
        <w:tc>
          <w:tcPr>
            <w:tcW w:w="26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219.3</w:t>
            </w:r>
          </w:p>
        </w:tc>
        <w:tc>
          <w:tcPr>
            <w:tcW w:w="20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(8.7</w:t>
            </w:r>
          </w:p>
        </w:tc>
        <w:tc>
          <w:tcPr>
            <w:tcW w:w="200" w:type="dxa"/>
            <w:vAlign w:val="bottom"/>
          </w:tcPr>
          <w:p>
            <w:pPr>
              <w:jc w:val="right"/>
              <w:ind w:right="30"/>
              <w:spacing w:after="0" w:line="195" w:lineRule="exact"/>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w:t>
            </w: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620" w:type="dxa"/>
            <w:vAlign w:val="bottom"/>
            <w:gridSpan w:val="2"/>
          </w:tcPr>
          <w:p>
            <w:pPr>
              <w:spacing w:after="0" w:line="203" w:lineRule="exact"/>
              <w:rPr>
                <w:sz w:val="20"/>
                <w:szCs w:val="20"/>
                <w:color w:val="auto"/>
              </w:rPr>
            </w:pPr>
            <w:r>
              <w:rPr>
                <w:rFonts w:ascii="Arial" w:cs="Arial" w:eastAsia="Arial" w:hAnsi="Arial"/>
                <w:sz w:val="18"/>
                <w:szCs w:val="18"/>
                <w:color w:val="auto"/>
              </w:rPr>
              <w:t>Cost of service revenues</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271.7</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234.6</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37.1</w:t>
            </w:r>
          </w:p>
        </w:tc>
        <w:tc>
          <w:tcPr>
            <w:tcW w:w="20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196"/>
        </w:trPr>
        <w:tc>
          <w:tcPr>
            <w:tcW w:w="4620" w:type="dxa"/>
            <w:vAlign w:val="bottom"/>
            <w:gridSpan w:val="2"/>
          </w:tcPr>
          <w:p>
            <w:pPr>
              <w:spacing w:after="0" w:line="196" w:lineRule="exact"/>
              <w:rPr>
                <w:sz w:val="20"/>
                <w:szCs w:val="20"/>
                <w:color w:val="auto"/>
              </w:rPr>
            </w:pPr>
            <w:r>
              <w:rPr>
                <w:rFonts w:ascii="Arial" w:cs="Arial" w:eastAsia="Arial" w:hAnsi="Arial"/>
                <w:sz w:val="18"/>
                <w:szCs w:val="18"/>
                <w:color w:val="auto"/>
              </w:rPr>
              <w:t>Total cost of revenues</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482.4</w:t>
            </w:r>
          </w:p>
        </w:tc>
        <w:tc>
          <w:tcPr>
            <w:tcW w:w="220" w:type="dxa"/>
            <w:vAlign w:val="bottom"/>
          </w:tcPr>
          <w:p>
            <w:pPr>
              <w:spacing w:after="0"/>
              <w:rPr>
                <w:sz w:val="17"/>
                <w:szCs w:val="17"/>
                <w:color w:val="auto"/>
              </w:rPr>
            </w:pPr>
          </w:p>
        </w:tc>
        <w:tc>
          <w:tcPr>
            <w:tcW w:w="26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454.0</w:t>
            </w:r>
          </w:p>
        </w:tc>
        <w:tc>
          <w:tcPr>
            <w:tcW w:w="20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28.4</w:t>
            </w:r>
          </w:p>
        </w:tc>
        <w:tc>
          <w:tcPr>
            <w:tcW w:w="200" w:type="dxa"/>
            <w:vAlign w:val="bottom"/>
          </w:tcPr>
          <w:p>
            <w:pPr>
              <w:spacing w:after="0"/>
              <w:rPr>
                <w:sz w:val="17"/>
                <w:szCs w:val="17"/>
                <w:color w:val="auto"/>
              </w:rPr>
            </w:pPr>
          </w:p>
        </w:tc>
        <w:tc>
          <w:tcPr>
            <w:tcW w:w="1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-393700</wp:posOffset>
            </wp:positionV>
            <wp:extent cx="6412230"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-128270</wp:posOffset>
            </wp:positionV>
            <wp:extent cx="6412230"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18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Cost of revenues increased $28.4 million due to an increase of $37.1 million in cost of service revenues, partially offset by an $8.7 million decrease in cost of product revenues. The cost of service revenue increase was primarily due to increased service revenues, mainly from our satellite services segment, causing a $23.9 million increase in cost of service revenues on a constant margin basis. The increase in cost of service revenues was also driven by lower margins, primarily driven by our satellite services and commercial networks segments. The decrease in cost of product revenues was mostly driven by decreased product revenues, causing an $18.3 million decrease in cost of product revenues on a constant margin basis, from our government systems and commercial networks segments. The decrease in cost of product revenues was partially offset by lower margins, also from our government systems and commercial networks segments.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422"/>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64"/>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6"/>
                <w:szCs w:val="16"/>
                <w:color w:val="auto"/>
              </w:rPr>
            </w:pPr>
          </w:p>
        </w:tc>
        <w:tc>
          <w:tcPr>
            <w:tcW w:w="134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200" w:type="dxa"/>
            <w:vAlign w:val="bottom"/>
          </w:tcPr>
          <w:p>
            <w:pPr>
              <w:spacing w:after="0"/>
              <w:rPr>
                <w:sz w:val="11"/>
                <w:szCs w:val="11"/>
                <w:color w:val="auto"/>
              </w:rPr>
            </w:pPr>
          </w:p>
        </w:tc>
        <w:tc>
          <w:tcPr>
            <w:tcW w:w="920" w:type="dxa"/>
            <w:vAlign w:val="bottom"/>
          </w:tcPr>
          <w:p>
            <w:pPr>
              <w:jc w:val="center"/>
              <w:ind w:right="104"/>
              <w:spacing w:after="0" w:line="129"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center"/>
              <w:ind w:right="102"/>
              <w:spacing w:after="0" w:line="129" w:lineRule="exact"/>
              <w:rPr>
                <w:sz w:val="20"/>
                <w:szCs w:val="20"/>
                <w:color w:val="auto"/>
              </w:rPr>
            </w:pPr>
            <w:r>
              <w:rPr>
                <w:rFonts w:ascii="Arial" w:cs="Arial" w:eastAsia="Arial" w:hAnsi="Arial"/>
                <w:sz w:val="14"/>
                <w:szCs w:val="14"/>
                <w:b w:val="1"/>
                <w:bCs w:val="1"/>
                <w:color w:val="auto"/>
                <w:w w:val="99"/>
              </w:rPr>
              <w:t>June 30,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64"/>
              <w:spacing w:after="0" w:line="129" w:lineRule="exact"/>
              <w:rPr>
                <w:sz w:val="20"/>
                <w:szCs w:val="20"/>
                <w:color w:val="auto"/>
              </w:rPr>
            </w:pPr>
            <w:r>
              <w:rPr>
                <w:rFonts w:ascii="Arial" w:cs="Arial" w:eastAsia="Arial" w:hAnsi="Arial"/>
                <w:sz w:val="14"/>
                <w:szCs w:val="14"/>
                <w:b w:val="1"/>
                <w:bCs w:val="1"/>
                <w:color w:val="auto"/>
              </w:rPr>
              <w:t>Increase</w:t>
            </w:r>
          </w:p>
        </w:tc>
        <w:tc>
          <w:tcPr>
            <w:tcW w:w="200" w:type="dxa"/>
            <w:vAlign w:val="bottom"/>
          </w:tcPr>
          <w:p>
            <w:pPr>
              <w:spacing w:after="0"/>
              <w:rPr>
                <w:sz w:val="11"/>
                <w:szCs w:val="11"/>
                <w:color w:val="auto"/>
              </w:rPr>
            </w:pPr>
          </w:p>
        </w:tc>
        <w:tc>
          <w:tcPr>
            <w:tcW w:w="1340" w:type="dxa"/>
            <w:vAlign w:val="bottom"/>
            <w:gridSpan w:val="2"/>
          </w:tcPr>
          <w:p>
            <w:pPr>
              <w:jc w:val="center"/>
              <w:ind w:right="9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4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2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30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6"/>
                <w:szCs w:val="16"/>
                <w:color w:val="auto"/>
              </w:rPr>
            </w:pPr>
          </w:p>
        </w:tc>
        <w:tc>
          <w:tcPr>
            <w:tcW w:w="134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480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179.6</w:t>
            </w:r>
          </w:p>
        </w:tc>
        <w:tc>
          <w:tcPr>
            <w:tcW w:w="240" w:type="dxa"/>
            <w:vAlign w:val="bottom"/>
          </w:tcPr>
          <w:p>
            <w:pPr>
              <w:spacing w:after="0"/>
              <w:rPr>
                <w:sz w:val="17"/>
                <w:szCs w:val="17"/>
                <w:color w:val="auto"/>
              </w:rPr>
            </w:pPr>
          </w:p>
        </w:tc>
        <w:tc>
          <w:tcPr>
            <w:tcW w:w="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154.2</w:t>
            </w:r>
          </w:p>
        </w:tc>
        <w:tc>
          <w:tcPr>
            <w:tcW w:w="20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25.4</w:t>
            </w:r>
          </w:p>
        </w:tc>
        <w:tc>
          <w:tcPr>
            <w:tcW w:w="200" w:type="dxa"/>
            <w:vAlign w:val="bottom"/>
          </w:tcPr>
          <w:p>
            <w:pPr>
              <w:spacing w:after="0"/>
              <w:rPr>
                <w:sz w:val="17"/>
                <w:szCs w:val="17"/>
                <w:color w:val="auto"/>
              </w:rPr>
            </w:pP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16</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-128270</wp:posOffset>
            </wp:positionV>
            <wp:extent cx="6412230" cy="128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182" w:lineRule="exact"/>
        <w:rPr>
          <w:sz w:val="20"/>
          <w:szCs w:val="20"/>
          <w:color w:val="auto"/>
        </w:rPr>
      </w:pPr>
    </w:p>
    <w:p>
      <w:pPr>
        <w:ind w:right="380" w:firstLine="509"/>
        <w:spacing w:after="0" w:line="238" w:lineRule="auto"/>
        <w:rPr>
          <w:sz w:val="20"/>
          <w:szCs w:val="20"/>
          <w:color w:val="auto"/>
        </w:rPr>
      </w:pPr>
      <w:r>
        <w:rPr>
          <w:rFonts w:ascii="Arial" w:cs="Arial" w:eastAsia="Arial" w:hAnsi="Arial"/>
          <w:sz w:val="18"/>
          <w:szCs w:val="18"/>
          <w:color w:val="auto"/>
        </w:rPr>
        <w:t>The $25.4 million increase in selling, general and administrative (SG&amp;A) expenses reflected an increase in support costs of $18.4 million, driven primarily by acquisition-related expenses of approximately $13.1 million mainly related to the Inmarsat Transaction. The increase in SG&amp;A expenses was also driven by $ 5.2 million of higher selling costs, reflected primarily in our satellite services segment. SG&amp;A expenses consisted primarily of personnel costs and expenses for business development, marketing and sales, bid and proposal, facilities, finance, contract administration and general management.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84"/>
              <w:spacing w:after="0"/>
              <w:rPr>
                <w:sz w:val="20"/>
                <w:szCs w:val="20"/>
                <w:color w:val="auto"/>
              </w:rPr>
            </w:pPr>
            <w:r>
              <w:rPr>
                <w:rFonts w:ascii="Arial" w:cs="Arial" w:eastAsia="Arial" w:hAnsi="Arial"/>
                <w:sz w:val="14"/>
                <w:szCs w:val="14"/>
                <w:b w:val="1"/>
                <w:bCs w:val="1"/>
                <w:color w:val="auto"/>
              </w:rPr>
              <w:t>Dollar</w:t>
            </w:r>
          </w:p>
        </w:tc>
        <w:tc>
          <w:tcPr>
            <w:tcW w:w="180" w:type="dxa"/>
            <w:vAlign w:val="bottom"/>
          </w:tcPr>
          <w:p>
            <w:pPr>
              <w:spacing w:after="0"/>
              <w:rPr>
                <w:sz w:val="16"/>
                <w:szCs w:val="16"/>
                <w:color w:val="auto"/>
              </w:rPr>
            </w:pPr>
          </w:p>
        </w:tc>
        <w:tc>
          <w:tcPr>
            <w:tcW w:w="150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4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80" w:type="dxa"/>
            <w:vAlign w:val="bottom"/>
          </w:tcPr>
          <w:p>
            <w:pPr>
              <w:spacing w:after="0"/>
              <w:rPr>
                <w:sz w:val="11"/>
                <w:szCs w:val="11"/>
                <w:color w:val="auto"/>
              </w:rPr>
            </w:pPr>
          </w:p>
        </w:tc>
        <w:tc>
          <w:tcPr>
            <w:tcW w:w="840" w:type="dxa"/>
            <w:vAlign w:val="bottom"/>
          </w:tcPr>
          <w:p>
            <w:pPr>
              <w:jc w:val="center"/>
              <w:ind w:right="104"/>
              <w:spacing w:after="0" w:line="129"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ind w:right="102"/>
              <w:spacing w:after="0" w:line="129"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84"/>
              <w:spacing w:after="0" w:line="129" w:lineRule="exact"/>
              <w:rPr>
                <w:sz w:val="20"/>
                <w:szCs w:val="20"/>
                <w:color w:val="auto"/>
              </w:rPr>
            </w:pPr>
            <w:r>
              <w:rPr>
                <w:rFonts w:ascii="Arial" w:cs="Arial" w:eastAsia="Arial" w:hAnsi="Arial"/>
                <w:sz w:val="14"/>
                <w:szCs w:val="14"/>
                <w:b w:val="1"/>
                <w:bCs w:val="1"/>
                <w:color w:val="auto"/>
              </w:rPr>
              <w:t>Increase</w:t>
            </w:r>
          </w:p>
        </w:tc>
        <w:tc>
          <w:tcPr>
            <w:tcW w:w="180" w:type="dxa"/>
            <w:vAlign w:val="bottom"/>
          </w:tcPr>
          <w:p>
            <w:pPr>
              <w:spacing w:after="0"/>
              <w:rPr>
                <w:sz w:val="11"/>
                <w:szCs w:val="11"/>
                <w:color w:val="auto"/>
              </w:rPr>
            </w:pPr>
          </w:p>
        </w:tc>
        <w:tc>
          <w:tcPr>
            <w:tcW w:w="1500" w:type="dxa"/>
            <w:vAlign w:val="bottom"/>
            <w:gridSpan w:val="2"/>
          </w:tcPr>
          <w:p>
            <w:pPr>
              <w:jc w:val="center"/>
              <w:ind w:right="7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4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26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302"/>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50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474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Independent research and development</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35.8</w:t>
            </w:r>
          </w:p>
        </w:tc>
        <w:tc>
          <w:tcPr>
            <w:tcW w:w="220" w:type="dxa"/>
            <w:vAlign w:val="bottom"/>
          </w:tcPr>
          <w:p>
            <w:pPr>
              <w:spacing w:after="0"/>
              <w:rPr>
                <w:sz w:val="17"/>
                <w:szCs w:val="17"/>
                <w:color w:val="auto"/>
              </w:rPr>
            </w:pPr>
          </w:p>
        </w:tc>
        <w:tc>
          <w:tcPr>
            <w:tcW w:w="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34.5</w:t>
            </w:r>
          </w:p>
        </w:tc>
        <w:tc>
          <w:tcPr>
            <w:tcW w:w="180" w:type="dxa"/>
            <w:vAlign w:val="bottom"/>
          </w:tcPr>
          <w:p>
            <w:pPr>
              <w:spacing w:after="0"/>
              <w:rPr>
                <w:sz w:val="17"/>
                <w:szCs w:val="17"/>
                <w:color w:val="auto"/>
              </w:rPr>
            </w:pPr>
          </w:p>
        </w:tc>
        <w:tc>
          <w:tcPr>
            <w:tcW w:w="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w:t>
            </w:r>
          </w:p>
        </w:tc>
        <w:tc>
          <w:tcPr>
            <w:tcW w:w="180" w:type="dxa"/>
            <w:vAlign w:val="bottom"/>
          </w:tcPr>
          <w:p>
            <w:pPr>
              <w:spacing w:after="0"/>
              <w:rPr>
                <w:sz w:val="17"/>
                <w:szCs w:val="17"/>
                <w:color w:val="auto"/>
              </w:rPr>
            </w:pPr>
          </w:p>
        </w:tc>
        <w:tc>
          <w:tcPr>
            <w:tcW w:w="13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-128270</wp:posOffset>
            </wp:positionV>
            <wp:extent cx="6412230" cy="1289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182"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The $1.3 million increase in independent research and development (IR&amp;D) expenses was primarily due to an increase in IR&amp;D efforts in our government systems segment (primarily related to the development of next-generation dual band mobility solutions).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9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20 years. The $1.6 million increase in amortization of acquired intangible assets in the first quarter of fiscal year 2023 compared to the prior year period was primarily related to the amortization of new intangibles acquired as a result of the acquisition of RigNet in April 2021. The current and expected amortization expense for acquired intangible assets for each of the following periods is as follows:</w:t>
      </w:r>
    </w:p>
    <w:p>
      <w:pPr>
        <w:sectPr>
          <w:pgSz w:w="11900" w:h="16838" w:orient="portrait"/>
          <w:cols w:equalWidth="0" w:num="1">
            <w:col w:w="11220"/>
          </w:cols>
          <w:pgMar w:left="320" w:top="566" w:right="35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the three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6412230" cy="1289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Expected for the remainder of fiscal year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-123190</wp:posOffset>
            </wp:positionV>
            <wp:extent cx="6412230" cy="1289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Expected for fiscal year 2024</w:t>
      </w:r>
    </w:p>
    <w:p>
      <w:pPr>
        <w:ind w:left="580"/>
        <w:spacing w:after="0" w:line="234" w:lineRule="auto"/>
        <w:rPr>
          <w:sz w:val="20"/>
          <w:szCs w:val="20"/>
          <w:color w:val="auto"/>
        </w:rPr>
      </w:pPr>
      <w:r>
        <w:rPr>
          <w:rFonts w:ascii="Arial" w:cs="Arial" w:eastAsia="Arial" w:hAnsi="Arial"/>
          <w:sz w:val="18"/>
          <w:szCs w:val="18"/>
          <w:color w:val="auto"/>
        </w:rPr>
        <w:t>Expected for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-127000</wp:posOffset>
            </wp:positionV>
            <wp:extent cx="6412230" cy="128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580"/>
        <w:spacing w:after="0" w:line="235" w:lineRule="auto"/>
        <w:rPr>
          <w:sz w:val="20"/>
          <w:szCs w:val="20"/>
          <w:color w:val="auto"/>
        </w:rPr>
      </w:pPr>
      <w:r>
        <w:rPr>
          <w:rFonts w:ascii="Arial" w:cs="Arial" w:eastAsia="Arial" w:hAnsi="Arial"/>
          <w:sz w:val="18"/>
          <w:szCs w:val="18"/>
          <w:color w:val="auto"/>
        </w:rPr>
        <w:t>Expected for fiscal year 2026</w:t>
      </w:r>
    </w:p>
    <w:p>
      <w:pPr>
        <w:ind w:left="580"/>
        <w:spacing w:after="0" w:line="235" w:lineRule="auto"/>
        <w:rPr>
          <w:sz w:val="20"/>
          <w:szCs w:val="20"/>
          <w:color w:val="auto"/>
        </w:rPr>
      </w:pPr>
      <w:r>
        <w:rPr>
          <w:rFonts w:ascii="Arial" w:cs="Arial" w:eastAsia="Arial" w:hAnsi="Arial"/>
          <w:sz w:val="18"/>
          <w:szCs w:val="18"/>
          <w:color w:val="auto"/>
        </w:rPr>
        <w:t>Expected for fiscal year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-127000</wp:posOffset>
            </wp:positionV>
            <wp:extent cx="6412230" cy="1289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6350</wp:posOffset>
            </wp:positionV>
            <wp:extent cx="6412230"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center"/>
        <w:ind w:right="657"/>
        <w:spacing w:after="0"/>
        <w:rPr>
          <w:sz w:val="20"/>
          <w:szCs w:val="20"/>
          <w:color w:val="auto"/>
        </w:rPr>
      </w:pPr>
      <w:r>
        <w:rPr>
          <w:rFonts w:ascii="Arial" w:cs="Arial" w:eastAsia="Arial" w:hAnsi="Arial"/>
          <w:sz w:val="14"/>
          <w:szCs w:val="14"/>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wp:posOffset>
            </wp:positionV>
            <wp:extent cx="11144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9" w:lineRule="exact"/>
        <w:rPr>
          <w:sz w:val="20"/>
          <w:szCs w:val="20"/>
          <w:color w:val="auto"/>
        </w:rPr>
      </w:pPr>
    </w:p>
    <w:p>
      <w:pPr>
        <w:jc w:val="center"/>
        <w:ind w:right="657"/>
        <w:spacing w:after="0"/>
        <w:rPr>
          <w:sz w:val="20"/>
          <w:szCs w:val="20"/>
          <w:color w:val="auto"/>
        </w:rPr>
      </w:pPr>
      <w:r>
        <w:rPr>
          <w:rFonts w:ascii="Arial" w:cs="Arial" w:eastAsia="Arial" w:hAnsi="Arial"/>
          <w:sz w:val="14"/>
          <w:szCs w:val="14"/>
          <w:b w:val="1"/>
          <w:bCs w:val="1"/>
          <w:color w:val="auto"/>
        </w:rPr>
        <w:t>(In thousands)</w:t>
      </w:r>
    </w:p>
    <w:p>
      <w:pPr>
        <w:spacing w:after="0" w:line="26" w:lineRule="exact"/>
        <w:rPr>
          <w:sz w:val="20"/>
          <w:szCs w:val="20"/>
          <w:color w:val="auto"/>
        </w:rPr>
      </w:pPr>
    </w:p>
    <w:p>
      <w:pPr>
        <w:ind w:left="1283" w:hanging="1283"/>
        <w:spacing w:after="0"/>
        <w:tabs>
          <w:tab w:leader="none" w:pos="1283" w:val="left"/>
        </w:tabs>
        <w:numPr>
          <w:ilvl w:val="0"/>
          <w:numId w:val="14"/>
        </w:numPr>
        <w:rPr>
          <w:rFonts w:ascii="Arial" w:cs="Arial" w:eastAsia="Arial" w:hAnsi="Arial"/>
          <w:sz w:val="17"/>
          <w:szCs w:val="17"/>
          <w:color w:val="auto"/>
        </w:rPr>
      </w:pPr>
      <w:r>
        <w:rPr>
          <w:rFonts w:ascii="Arial" w:cs="Arial" w:eastAsia="Arial" w:hAnsi="Arial"/>
          <w:sz w:val="17"/>
          <w:szCs w:val="17"/>
          <w:color w:val="auto"/>
        </w:rPr>
        <w:t>7,523</w:t>
      </w:r>
    </w:p>
    <w:p>
      <w:pPr>
        <w:spacing w:after="0" w:line="210" w:lineRule="exact"/>
        <w:rPr>
          <w:sz w:val="20"/>
          <w:szCs w:val="20"/>
          <w:color w:val="auto"/>
        </w:rPr>
      </w:pPr>
    </w:p>
    <w:p>
      <w:pPr>
        <w:ind w:left="1183" w:hanging="1183"/>
        <w:spacing w:after="0"/>
        <w:tabs>
          <w:tab w:leader="none" w:pos="1183" w:val="left"/>
        </w:tabs>
        <w:numPr>
          <w:ilvl w:val="0"/>
          <w:numId w:val="15"/>
        </w:numPr>
        <w:rPr>
          <w:rFonts w:ascii="Arial" w:cs="Arial" w:eastAsia="Arial" w:hAnsi="Arial"/>
          <w:sz w:val="17"/>
          <w:szCs w:val="17"/>
          <w:color w:val="auto"/>
        </w:rPr>
      </w:pPr>
      <w:r>
        <w:rPr>
          <w:rFonts w:ascii="Arial" w:cs="Arial" w:eastAsia="Arial" w:hAnsi="Arial"/>
          <w:sz w:val="17"/>
          <w:szCs w:val="17"/>
          <w:color w:val="auto"/>
        </w:rPr>
        <w:t>22,557</w:t>
      </w:r>
    </w:p>
    <w:p>
      <w:pPr>
        <w:spacing w:after="0" w:line="7" w:lineRule="exact"/>
        <w:rPr>
          <w:rFonts w:ascii="Arial" w:cs="Arial" w:eastAsia="Arial" w:hAnsi="Arial"/>
          <w:sz w:val="17"/>
          <w:szCs w:val="17"/>
          <w:color w:val="auto"/>
        </w:rPr>
      </w:pPr>
    </w:p>
    <w:p>
      <w:pPr>
        <w:ind w:left="1183"/>
        <w:spacing w:after="0"/>
        <w:rPr>
          <w:rFonts w:ascii="Arial" w:cs="Arial" w:eastAsia="Arial" w:hAnsi="Arial"/>
          <w:sz w:val="17"/>
          <w:szCs w:val="17"/>
          <w:color w:val="auto"/>
        </w:rPr>
      </w:pPr>
      <w:r>
        <w:rPr>
          <w:rFonts w:ascii="Arial" w:cs="Arial" w:eastAsia="Arial" w:hAnsi="Arial"/>
          <w:sz w:val="17"/>
          <w:szCs w:val="17"/>
          <w:color w:val="auto"/>
        </w:rPr>
        <w:t>28,733</w:t>
      </w:r>
    </w:p>
    <w:p>
      <w:pPr>
        <w:spacing w:after="0" w:line="7" w:lineRule="exact"/>
        <w:rPr>
          <w:rFonts w:ascii="Arial" w:cs="Arial" w:eastAsia="Arial" w:hAnsi="Arial"/>
          <w:sz w:val="17"/>
          <w:szCs w:val="17"/>
          <w:color w:val="auto"/>
        </w:rPr>
      </w:pPr>
    </w:p>
    <w:p>
      <w:pPr>
        <w:ind w:left="1183"/>
        <w:spacing w:after="0"/>
        <w:rPr>
          <w:rFonts w:ascii="Arial" w:cs="Arial" w:eastAsia="Arial" w:hAnsi="Arial"/>
          <w:sz w:val="17"/>
          <w:szCs w:val="17"/>
          <w:color w:val="auto"/>
        </w:rPr>
      </w:pPr>
      <w:r>
        <w:rPr>
          <w:rFonts w:ascii="Arial" w:cs="Arial" w:eastAsia="Arial" w:hAnsi="Arial"/>
          <w:sz w:val="17"/>
          <w:szCs w:val="17"/>
          <w:color w:val="auto"/>
        </w:rPr>
        <w:t>26,701</w:t>
      </w:r>
    </w:p>
    <w:p>
      <w:pPr>
        <w:spacing w:after="0" w:line="7" w:lineRule="exact"/>
        <w:rPr>
          <w:rFonts w:ascii="Arial" w:cs="Arial" w:eastAsia="Arial" w:hAnsi="Arial"/>
          <w:sz w:val="17"/>
          <w:szCs w:val="17"/>
          <w:color w:val="auto"/>
        </w:rPr>
      </w:pPr>
    </w:p>
    <w:p>
      <w:pPr>
        <w:ind w:left="1183"/>
        <w:spacing w:after="0"/>
        <w:rPr>
          <w:rFonts w:ascii="Arial" w:cs="Arial" w:eastAsia="Arial" w:hAnsi="Arial"/>
          <w:sz w:val="17"/>
          <w:szCs w:val="17"/>
          <w:color w:val="auto"/>
        </w:rPr>
      </w:pPr>
      <w:r>
        <w:rPr>
          <w:rFonts w:ascii="Arial" w:cs="Arial" w:eastAsia="Arial" w:hAnsi="Arial"/>
          <w:sz w:val="17"/>
          <w:szCs w:val="17"/>
          <w:color w:val="auto"/>
        </w:rPr>
        <w:t>26,549</w:t>
      </w:r>
    </w:p>
    <w:p>
      <w:pPr>
        <w:spacing w:after="0" w:line="7" w:lineRule="exact"/>
        <w:rPr>
          <w:rFonts w:ascii="Arial" w:cs="Arial" w:eastAsia="Arial" w:hAnsi="Arial"/>
          <w:sz w:val="17"/>
          <w:szCs w:val="17"/>
          <w:color w:val="auto"/>
        </w:rPr>
      </w:pPr>
    </w:p>
    <w:p>
      <w:pPr>
        <w:ind w:left="1183"/>
        <w:spacing w:after="0"/>
        <w:rPr>
          <w:rFonts w:ascii="Arial" w:cs="Arial" w:eastAsia="Arial" w:hAnsi="Arial"/>
          <w:sz w:val="17"/>
          <w:szCs w:val="17"/>
          <w:color w:val="auto"/>
        </w:rPr>
      </w:pPr>
      <w:r>
        <w:rPr>
          <w:rFonts w:ascii="Arial" w:cs="Arial" w:eastAsia="Arial" w:hAnsi="Arial"/>
          <w:sz w:val="17"/>
          <w:szCs w:val="17"/>
          <w:color w:val="auto"/>
        </w:rPr>
        <w:t>26,549</w:t>
      </w:r>
    </w:p>
    <w:p>
      <w:pPr>
        <w:spacing w:after="0" w:line="7" w:lineRule="exact"/>
        <w:rPr>
          <w:rFonts w:ascii="Arial" w:cs="Arial" w:eastAsia="Arial" w:hAnsi="Arial"/>
          <w:sz w:val="17"/>
          <w:szCs w:val="17"/>
          <w:color w:val="auto"/>
        </w:rPr>
      </w:pPr>
    </w:p>
    <w:p>
      <w:pPr>
        <w:ind w:left="1183"/>
        <w:spacing w:after="0"/>
        <w:rPr>
          <w:rFonts w:ascii="Arial" w:cs="Arial" w:eastAsia="Arial" w:hAnsi="Arial"/>
          <w:sz w:val="17"/>
          <w:szCs w:val="17"/>
          <w:color w:val="auto"/>
        </w:rPr>
      </w:pPr>
      <w:r>
        <w:rPr>
          <w:rFonts w:ascii="Arial" w:cs="Arial" w:eastAsia="Arial" w:hAnsi="Arial"/>
          <w:sz w:val="17"/>
          <w:szCs w:val="17"/>
          <w:color w:val="auto"/>
        </w:rPr>
        <w:t>91,098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wp:posOffset>
            </wp:positionV>
            <wp:extent cx="11144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1" w:lineRule="exact"/>
        <w:rPr>
          <w:sz w:val="20"/>
          <w:szCs w:val="20"/>
          <w:color w:val="auto"/>
        </w:rPr>
      </w:pPr>
    </w:p>
    <w:p>
      <w:pPr>
        <w:ind w:left="1083" w:hanging="1083"/>
        <w:spacing w:after="0"/>
        <w:tabs>
          <w:tab w:leader="none" w:pos="1083" w:val="left"/>
        </w:tabs>
        <w:numPr>
          <w:ilvl w:val="0"/>
          <w:numId w:val="16"/>
        </w:numPr>
        <w:rPr>
          <w:rFonts w:ascii="Arial" w:cs="Arial" w:eastAsia="Arial" w:hAnsi="Arial"/>
          <w:sz w:val="17"/>
          <w:szCs w:val="17"/>
          <w:color w:val="auto"/>
        </w:rPr>
      </w:pPr>
      <w:r>
        <w:rPr>
          <w:rFonts w:ascii="Arial" w:cs="Arial" w:eastAsia="Arial" w:hAnsi="Arial"/>
          <w:sz w:val="17"/>
          <w:szCs w:val="17"/>
          <w:color w:val="auto"/>
        </w:rPr>
        <w:t>222,187</w:t>
      </w:r>
    </w:p>
    <w:p>
      <w:pPr>
        <w:spacing w:after="0" w:line="615" w:lineRule="exact"/>
        <w:rPr>
          <w:sz w:val="20"/>
          <w:szCs w:val="20"/>
          <w:color w:val="auto"/>
        </w:rPr>
      </w:pPr>
    </w:p>
    <w:p>
      <w:pPr>
        <w:sectPr>
          <w:pgSz w:w="11900" w:h="16838" w:orient="portrait"/>
          <w:cols w:equalWidth="0" w:num="2">
            <w:col w:w="8117" w:space="720"/>
            <w:col w:w="2383"/>
          </w:cols>
          <w:pgMar w:left="320" w:top="566" w:right="359" w:bottom="1440" w:gutter="0" w:footer="0" w:header="0"/>
          <w:type w:val="continuous"/>
        </w:sectPr>
      </w:pPr>
    </w:p>
    <w:p>
      <w:pPr>
        <w:ind w:left="520"/>
        <w:spacing w:after="0"/>
        <w:rPr>
          <w:sz w:val="20"/>
          <w:szCs w:val="20"/>
          <w:color w:val="auto"/>
        </w:rPr>
      </w:pPr>
      <w:r>
        <w:rPr>
          <w:rFonts w:ascii="Arial" w:cs="Arial" w:eastAsia="Arial" w:hAnsi="Arial"/>
          <w:sz w:val="18"/>
          <w:szCs w:val="18"/>
          <w:color w:val="auto"/>
        </w:rPr>
        <w:t>Interest income for the three months ended June 30, 2022 was relatively flat compared to the prior year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5"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The slight decrease in interest expense for the three months ended June 30, 2022 compared to the prior year period was primarily the result of an increase in the amount of interest capitalized during the first quarter of fiscal year 2023 compared to the prior year period, partially offset by an increase in interest expense related to our $700.0 million senior secured term loan facility (the Term Loan Facility) which was entered into during the fourth quarter of fiscal year 2022.</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6" w:right="35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Income taxes</w:t>
      </w:r>
    </w:p>
    <w:p>
      <w:pPr>
        <w:spacing w:after="0" w:line="95" w:lineRule="exact"/>
        <w:rPr>
          <w:sz w:val="20"/>
          <w:szCs w:val="20"/>
          <w:color w:val="auto"/>
        </w:rPr>
      </w:pPr>
    </w:p>
    <w:p>
      <w:pPr>
        <w:ind w:right="320" w:firstLine="509"/>
        <w:spacing w:after="0" w:line="238" w:lineRule="auto"/>
        <w:rPr>
          <w:sz w:val="20"/>
          <w:szCs w:val="20"/>
          <w:color w:val="auto"/>
        </w:rPr>
      </w:pPr>
      <w:r>
        <w:rPr>
          <w:rFonts w:ascii="Arial" w:cs="Arial" w:eastAsia="Arial" w:hAnsi="Arial"/>
          <w:sz w:val="18"/>
          <w:szCs w:val="18"/>
          <w:color w:val="auto"/>
        </w:rPr>
        <w:t>For the three months ended June 30, 2022, we recorded an income tax benefit of $10.8 million, resulting in an effective tax rate of 34%. For the three months ended June 30, 2021, we recorded an income tax benefit of $4.1 million, resulting in an effective tax rate of negative 29%. The effective tax rates for such periods differed from the U.S. statutory rate primarily due to the benefit of federal and state R&amp;D tax credits.</w:t>
      </w:r>
    </w:p>
    <w:p>
      <w:pPr>
        <w:spacing w:after="0" w:line="151"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Ordinarily, the effective tax rate at the end of an interim period is calculated using an estimate of the annual effective tax rate expected to be applicable for the full fiscal year. However, when a reliable estimate cannot be made, we compute our provision for income taxes using the actual effective tax rate (discrete method) for the year-to-date period. Our effective tax rate is highly influenced by the amount of our R&amp;D tax credits. A small change in estimated annual pretax income (loss) can produce a significant variance in the annual effective tax rate given our expected amount of R&amp;D tax credits. This variability provides an unreliable estimate of the annual effective tax rate. As a result, and in accordance with the authoritative guidance for accounting for income taxes in interim periods, we have computed our (provision for) benefit from income taxes for the three months ended June 30, 2022 and 2021 by applying the actual effective tax rate to the pretax income (loss) for the three-month periods.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June 30, 2022 vs. Three Months Ended June 30, 2021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297"/>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39"/>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6"/>
                <w:szCs w:val="16"/>
                <w:color w:val="auto"/>
              </w:rPr>
            </w:pPr>
          </w:p>
        </w:tc>
        <w:tc>
          <w:tcPr>
            <w:tcW w:w="152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80" w:type="dxa"/>
            <w:vAlign w:val="bottom"/>
          </w:tcPr>
          <w:p>
            <w:pPr>
              <w:spacing w:after="0"/>
              <w:rPr>
                <w:sz w:val="11"/>
                <w:szCs w:val="11"/>
                <w:color w:val="auto"/>
              </w:rPr>
            </w:pPr>
          </w:p>
        </w:tc>
        <w:tc>
          <w:tcPr>
            <w:tcW w:w="860" w:type="dxa"/>
            <w:vAlign w:val="bottom"/>
          </w:tcPr>
          <w:p>
            <w:pPr>
              <w:jc w:val="right"/>
              <w:ind w:right="139"/>
              <w:spacing w:after="0" w:line="129"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39"/>
              <w:spacing w:after="0" w:line="129" w:lineRule="exact"/>
              <w:rPr>
                <w:sz w:val="20"/>
                <w:szCs w:val="20"/>
                <w:color w:val="auto"/>
              </w:rPr>
            </w:pPr>
            <w:r>
              <w:rPr>
                <w:rFonts w:ascii="Arial" w:cs="Arial" w:eastAsia="Arial" w:hAnsi="Arial"/>
                <w:sz w:val="14"/>
                <w:szCs w:val="14"/>
                <w:b w:val="1"/>
                <w:bCs w:val="1"/>
                <w:color w:val="auto"/>
              </w:rPr>
              <w:t>Increase</w:t>
            </w:r>
          </w:p>
        </w:tc>
        <w:tc>
          <w:tcPr>
            <w:tcW w:w="200" w:type="dxa"/>
            <w:vAlign w:val="bottom"/>
          </w:tcPr>
          <w:p>
            <w:pPr>
              <w:spacing w:after="0"/>
              <w:rPr>
                <w:sz w:val="11"/>
                <w:szCs w:val="11"/>
                <w:color w:val="auto"/>
              </w:rPr>
            </w:pPr>
          </w:p>
        </w:tc>
        <w:tc>
          <w:tcPr>
            <w:tcW w:w="1520" w:type="dxa"/>
            <w:vAlign w:val="bottom"/>
            <w:gridSpan w:val="2"/>
          </w:tcPr>
          <w:p>
            <w:pPr>
              <w:jc w:val="center"/>
              <w:ind w:right="9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5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6"/>
                <w:szCs w:val="16"/>
                <w:color w:val="auto"/>
              </w:rPr>
            </w:pPr>
          </w:p>
        </w:tc>
        <w:tc>
          <w:tcPr>
            <w:tcW w:w="152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4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Segment product revenues</w:t>
            </w: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5080" w:type="dxa"/>
            <w:vAlign w:val="bottom"/>
            <w:gridSpan w:val="2"/>
          </w:tcPr>
          <w:p>
            <w:pPr>
              <w:spacing w:after="0" w:line="203" w:lineRule="exact"/>
              <w:rPr>
                <w:sz w:val="20"/>
                <w:szCs w:val="20"/>
                <w:color w:val="auto"/>
              </w:rPr>
            </w:pPr>
            <w:r>
              <w:rPr>
                <w:rFonts w:ascii="Arial" w:cs="Arial" w:eastAsia="Arial" w:hAnsi="Arial"/>
                <w:sz w:val="18"/>
                <w:szCs w:val="18"/>
                <w:color w:val="auto"/>
              </w:rPr>
              <w:t>Segment service revenues</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312.1</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274.1</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38.0</w:t>
            </w:r>
          </w:p>
        </w:tc>
        <w:tc>
          <w:tcPr>
            <w:tcW w:w="172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196"/>
        </w:trPr>
        <w:tc>
          <w:tcPr>
            <w:tcW w:w="5080" w:type="dxa"/>
            <w:vAlign w:val="bottom"/>
            <w:gridSpan w:val="2"/>
          </w:tcPr>
          <w:p>
            <w:pPr>
              <w:spacing w:after="0" w:line="196" w:lineRule="exact"/>
              <w:rPr>
                <w:sz w:val="20"/>
                <w:szCs w:val="20"/>
                <w:color w:val="auto"/>
              </w:rPr>
            </w:pPr>
            <w:r>
              <w:rPr>
                <w:rFonts w:ascii="Arial" w:cs="Arial" w:eastAsia="Arial" w:hAnsi="Arial"/>
                <w:sz w:val="18"/>
                <w:szCs w:val="18"/>
                <w:color w:val="auto"/>
              </w:rPr>
              <w:t>Total segment revenues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312.1</w:t>
            </w:r>
          </w:p>
        </w:tc>
        <w:tc>
          <w:tcPr>
            <w:tcW w:w="24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274.1</w:t>
            </w:r>
          </w:p>
        </w:tc>
        <w:tc>
          <w:tcPr>
            <w:tcW w:w="2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38.0</w:t>
            </w:r>
          </w:p>
        </w:tc>
        <w:tc>
          <w:tcPr>
            <w:tcW w:w="17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-393700</wp:posOffset>
            </wp:positionV>
            <wp:extent cx="6412230"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-128270</wp:posOffset>
            </wp:positionV>
            <wp:extent cx="6412230" cy="1289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182" w:lineRule="exact"/>
        <w:rPr>
          <w:sz w:val="20"/>
          <w:szCs w:val="20"/>
          <w:color w:val="auto"/>
        </w:rPr>
      </w:pPr>
    </w:p>
    <w:p>
      <w:pPr>
        <w:ind w:right="240" w:firstLine="509"/>
        <w:spacing w:after="0" w:line="237" w:lineRule="auto"/>
        <w:rPr>
          <w:sz w:val="20"/>
          <w:szCs w:val="20"/>
          <w:color w:val="auto"/>
        </w:rPr>
      </w:pPr>
      <w:r>
        <w:rPr>
          <w:rFonts w:ascii="Arial" w:cs="Arial" w:eastAsia="Arial" w:hAnsi="Arial"/>
          <w:sz w:val="18"/>
          <w:szCs w:val="18"/>
          <w:color w:val="auto"/>
        </w:rPr>
        <w:t>Our satellite services segment revenues increased by $38.0 million for the three months ended June 30, 2022 compared to the prior year period due to an increase in service revenues. The increase in service revenues was primarily attributable to an increase in our commercial in-flight services business. The increase in in-flight service revenue of $37.6 million was driven primarily by an increase in the number of commercial aircraft receiving our in-flight services through our IFC systems, as the number of aircraft in service increased, passenger air traffic continued to increase and aircraft that were previously inactive as a result of the COVID-19 pandemic continued to return to service.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98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rPr>
              <w:t>Dollar</w:t>
            </w:r>
          </w:p>
        </w:tc>
        <w:tc>
          <w:tcPr>
            <w:tcW w:w="154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rPr>
              <w:t>June 30,</w:t>
            </w: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59"/>
              <w:spacing w:after="0" w:line="129"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50"/>
              <w:spacing w:after="0" w:line="129" w:lineRule="exact"/>
              <w:rPr>
                <w:sz w:val="20"/>
                <w:szCs w:val="20"/>
                <w:color w:val="auto"/>
              </w:rPr>
            </w:pPr>
            <w:r>
              <w:rPr>
                <w:rFonts w:ascii="Arial" w:cs="Arial" w:eastAsia="Arial" w:hAnsi="Arial"/>
                <w:sz w:val="14"/>
                <w:szCs w:val="14"/>
                <w:b w:val="1"/>
                <w:bCs w:val="1"/>
                <w:color w:val="auto"/>
              </w:rPr>
              <w:t>Increase</w:t>
            </w:r>
          </w:p>
        </w:tc>
        <w:tc>
          <w:tcPr>
            <w:tcW w:w="1540" w:type="dxa"/>
            <w:vAlign w:val="bottom"/>
            <w:gridSpan w:val="2"/>
          </w:tcPr>
          <w:p>
            <w:pPr>
              <w:jc w:val="center"/>
              <w:ind w:right="15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5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301"/>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120" w:type="dxa"/>
            <w:vAlign w:val="bottom"/>
            <w:gridSpan w:val="3"/>
          </w:tcPr>
          <w:p>
            <w:pPr>
              <w:jc w:val="center"/>
              <w:ind w:right="110"/>
              <w:spacing w:after="0"/>
              <w:rPr>
                <w:sz w:val="20"/>
                <w:szCs w:val="20"/>
                <w:color w:val="auto"/>
              </w:rPr>
            </w:pPr>
            <w:r>
              <w:rPr>
                <w:rFonts w:ascii="Arial" w:cs="Arial" w:eastAsia="Arial" w:hAnsi="Arial"/>
                <w:sz w:val="14"/>
                <w:szCs w:val="14"/>
                <w:b w:val="1"/>
                <w:bCs w:val="1"/>
                <w:color w:val="auto"/>
              </w:rPr>
              <w:t>(Decrease)</w:t>
            </w:r>
          </w:p>
        </w:tc>
        <w:tc>
          <w:tcPr>
            <w:tcW w:w="154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4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Segment operating profit (loss)</w:t>
            </w: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3.5</w:t>
            </w:r>
          </w:p>
        </w:tc>
        <w:tc>
          <w:tcPr>
            <w:tcW w:w="22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12.5</w:t>
            </w:r>
          </w:p>
        </w:tc>
        <w:tc>
          <w:tcPr>
            <w:tcW w:w="20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(9.0</w:t>
            </w:r>
          </w:p>
        </w:tc>
        <w:tc>
          <w:tcPr>
            <w:tcW w:w="200" w:type="dxa"/>
            <w:vAlign w:val="bottom"/>
          </w:tcPr>
          <w:p>
            <w:pPr>
              <w:jc w:val="right"/>
              <w:ind w:right="30"/>
              <w:spacing w:after="0" w:line="195"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(72</w:t>
            </w: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50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1 %</w:t>
            </w: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5 %</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-264795</wp:posOffset>
            </wp:positionV>
            <wp:extent cx="6412230" cy="128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168"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The $9.0 million decrease in satellite services segment operating profit was driven primarily by higher SG&amp;A costs of $12.5 million (mainly attributable to acquisition-related expenses related to the Inmarsat Transaction) as well as growing expenses associated with activating more of the ViaSat-3 ground network and international activities. The decrease in our satellite services segment operating profit was partially offset by higher earnings contributions of $3.8 million, primarily due to an increase in revenues and improved margins from our in-flight services as the business continued to scale.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rPr>
              <w:t>Dollar</w:t>
            </w:r>
          </w:p>
        </w:tc>
        <w:tc>
          <w:tcPr>
            <w:tcW w:w="1940" w:type="dxa"/>
            <w:vAlign w:val="bottom"/>
            <w:gridSpan w:val="2"/>
          </w:tcPr>
          <w:p>
            <w:pPr>
              <w:jc w:val="center"/>
              <w:ind w:right="55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260" w:type="dxa"/>
            <w:vAlign w:val="bottom"/>
          </w:tcPr>
          <w:p>
            <w:pPr>
              <w:spacing w:after="0"/>
              <w:rPr>
                <w:sz w:val="11"/>
                <w:szCs w:val="11"/>
                <w:color w:val="auto"/>
              </w:rPr>
            </w:pPr>
          </w:p>
        </w:tc>
        <w:tc>
          <w:tcPr>
            <w:tcW w:w="900" w:type="dxa"/>
            <w:vAlign w:val="bottom"/>
          </w:tcPr>
          <w:p>
            <w:pPr>
              <w:jc w:val="right"/>
              <w:ind w:right="199"/>
              <w:spacing w:after="0" w:line="129"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97"/>
              <w:spacing w:after="0" w:line="129"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50"/>
              <w:spacing w:after="0" w:line="129" w:lineRule="exact"/>
              <w:rPr>
                <w:sz w:val="20"/>
                <w:szCs w:val="20"/>
                <w:color w:val="auto"/>
              </w:rPr>
            </w:pPr>
            <w:r>
              <w:rPr>
                <w:rFonts w:ascii="Arial" w:cs="Arial" w:eastAsia="Arial" w:hAnsi="Arial"/>
                <w:sz w:val="14"/>
                <w:szCs w:val="14"/>
                <w:b w:val="1"/>
                <w:bCs w:val="1"/>
                <w:color w:val="auto"/>
              </w:rPr>
              <w:t>Increase</w:t>
            </w:r>
          </w:p>
        </w:tc>
        <w:tc>
          <w:tcPr>
            <w:tcW w:w="1940" w:type="dxa"/>
            <w:vAlign w:val="bottom"/>
            <w:gridSpan w:val="2"/>
          </w:tcPr>
          <w:p>
            <w:pPr>
              <w:jc w:val="center"/>
              <w:ind w:right="55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9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rPr>
              <w:t>(Decrease)</w:t>
            </w:r>
          </w:p>
        </w:tc>
        <w:tc>
          <w:tcPr>
            <w:tcW w:w="1940" w:type="dxa"/>
            <w:vAlign w:val="bottom"/>
            <w:gridSpan w:val="2"/>
          </w:tcPr>
          <w:p>
            <w:pPr>
              <w:jc w:val="center"/>
              <w:ind w:right="55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8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Segment product revenues</w:t>
            </w:r>
          </w:p>
        </w:tc>
        <w:tc>
          <w:tcPr>
            <w:tcW w:w="120" w:type="dxa"/>
            <w:vAlign w:val="bottom"/>
          </w:tcPr>
          <w:p>
            <w:pPr>
              <w:spacing w:after="0"/>
              <w:rPr>
                <w:sz w:val="16"/>
                <w:szCs w:val="16"/>
                <w:color w:val="auto"/>
              </w:rPr>
            </w:pPr>
          </w:p>
        </w:tc>
        <w:tc>
          <w:tcPr>
            <w:tcW w:w="26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93.6</w:t>
            </w:r>
          </w:p>
        </w:tc>
        <w:tc>
          <w:tcPr>
            <w:tcW w:w="22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101.5</w:t>
            </w:r>
          </w:p>
        </w:tc>
        <w:tc>
          <w:tcPr>
            <w:tcW w:w="20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(8.0</w:t>
            </w:r>
          </w:p>
        </w:tc>
        <w:tc>
          <w:tcPr>
            <w:tcW w:w="200" w:type="dxa"/>
            <w:vAlign w:val="bottom"/>
          </w:tcPr>
          <w:p>
            <w:pPr>
              <w:jc w:val="right"/>
              <w:ind w:right="30"/>
              <w:spacing w:after="0" w:line="195" w:lineRule="exact"/>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w:t>
            </w:r>
          </w:p>
        </w:tc>
        <w:tc>
          <w:tcPr>
            <w:tcW w:w="660" w:type="dxa"/>
            <w:vAlign w:val="bottom"/>
          </w:tcPr>
          <w:p>
            <w:pPr>
              <w:jc w:val="right"/>
              <w:ind w:right="330"/>
              <w:spacing w:after="0" w:line="195"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900" w:type="dxa"/>
            <w:vAlign w:val="bottom"/>
            <w:gridSpan w:val="2"/>
          </w:tcPr>
          <w:p>
            <w:pPr>
              <w:spacing w:after="0" w:line="203" w:lineRule="exact"/>
              <w:rPr>
                <w:sz w:val="20"/>
                <w:szCs w:val="20"/>
                <w:color w:val="auto"/>
              </w:rPr>
            </w:pPr>
            <w:r>
              <w:rPr>
                <w:rFonts w:ascii="Arial" w:cs="Arial" w:eastAsia="Arial" w:hAnsi="Arial"/>
                <w:sz w:val="18"/>
                <w:szCs w:val="18"/>
                <w:color w:val="auto"/>
              </w:rPr>
              <w:t>Segment service revenues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19.2</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w:t>
            </w:r>
          </w:p>
        </w:tc>
        <w:tc>
          <w:tcPr>
            <w:tcW w:w="200" w:type="dxa"/>
            <w:vAlign w:val="bottom"/>
          </w:tcPr>
          <w:p>
            <w:pPr>
              <w:spacing w:after="0"/>
              <w:rPr>
                <w:sz w:val="17"/>
                <w:szCs w:val="17"/>
                <w:color w:val="auto"/>
              </w:rPr>
            </w:pPr>
          </w:p>
        </w:tc>
        <w:tc>
          <w:tcPr>
            <w:tcW w:w="1940" w:type="dxa"/>
            <w:vAlign w:val="bottom"/>
            <w:gridSpan w:val="2"/>
          </w:tcPr>
          <w:p>
            <w:pPr>
              <w:jc w:val="right"/>
              <w:ind w:right="390"/>
              <w:spacing w:after="0" w:line="203" w:lineRule="exact"/>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900" w:type="dxa"/>
            <w:vAlign w:val="bottom"/>
            <w:gridSpan w:val="2"/>
          </w:tcPr>
          <w:p>
            <w:pPr>
              <w:spacing w:after="0" w:line="196" w:lineRule="exact"/>
              <w:rPr>
                <w:sz w:val="20"/>
                <w:szCs w:val="20"/>
                <w:color w:val="auto"/>
              </w:rPr>
            </w:pPr>
            <w:r>
              <w:rPr>
                <w:rFonts w:ascii="Arial" w:cs="Arial" w:eastAsia="Arial" w:hAnsi="Arial"/>
                <w:sz w:val="18"/>
                <w:szCs w:val="18"/>
                <w:color w:val="auto"/>
              </w:rPr>
              <w:t>Total segment revenues</w:t>
            </w:r>
          </w:p>
        </w:tc>
        <w:tc>
          <w:tcPr>
            <w:tcW w:w="26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112.8</w:t>
            </w:r>
          </w:p>
        </w:tc>
        <w:tc>
          <w:tcPr>
            <w:tcW w:w="22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118.6</w:t>
            </w:r>
          </w:p>
        </w:tc>
        <w:tc>
          <w:tcPr>
            <w:tcW w:w="20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20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940" w:type="dxa"/>
            <w:vAlign w:val="bottom"/>
            <w:gridSpan w:val="2"/>
          </w:tcPr>
          <w:p>
            <w:pPr>
              <w:jc w:val="right"/>
              <w:ind w:right="330"/>
              <w:spacing w:after="0" w:line="196"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634"/>
        </w:trPr>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w w:val="99"/>
              </w:rPr>
              <w:t>44</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47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-873760</wp:posOffset>
            </wp:positionV>
            <wp:extent cx="6412230" cy="1289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-608330</wp:posOffset>
            </wp:positionV>
            <wp:extent cx="6412230"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44" w:name="page45"/>
    <w:bookmarkEnd w:id="44"/>
    <w:p>
      <w:pPr>
        <w:ind w:right="40" w:firstLine="509"/>
        <w:spacing w:after="0" w:line="237" w:lineRule="auto"/>
        <w:rPr>
          <w:sz w:val="20"/>
          <w:szCs w:val="20"/>
          <w:color w:val="auto"/>
        </w:rPr>
      </w:pPr>
      <w:r>
        <w:rPr>
          <w:rFonts w:ascii="Arial" w:cs="Arial" w:eastAsia="Arial" w:hAnsi="Arial"/>
          <w:sz w:val="18"/>
          <w:szCs w:val="18"/>
          <w:color w:val="auto"/>
        </w:rPr>
        <w:t>Our commercial networks segment revenues decreased by $ 5.8 million, due to an $8.0 million decrease in product revenues, partially offset by a $2.1 million increase in service revenues. The decrease in product revenues was primarily due to decreases of $10.1 million in mobile broadband satellite communication systems products, related to IFC terminal deliveries. There were also decreases of $ 3.2 million in satellite networking development programs and $2.5 million in fixed satellite networks products, partially offset by a $4.3 million increase in antenna systems and $4.1 million increase in RigNet products. The increase in service revenues was primarily driven by increases in mobile broadband satellite communication and fixed satellite network services.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5"/>
          </w:tcPr>
          <w:p>
            <w:pPr>
              <w:jc w:val="right"/>
              <w:ind w:right="67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880" w:type="dxa"/>
            <w:vAlign w:val="bottom"/>
            <w:gridSpan w:val="2"/>
          </w:tcPr>
          <w:p>
            <w:pPr>
              <w:jc w:val="center"/>
              <w:ind w:right="281"/>
              <w:spacing w:after="0"/>
              <w:rPr>
                <w:sz w:val="20"/>
                <w:szCs w:val="20"/>
                <w:color w:val="auto"/>
              </w:rPr>
            </w:pPr>
            <w:r>
              <w:rPr>
                <w:rFonts w:ascii="Arial" w:cs="Arial" w:eastAsia="Arial" w:hAnsi="Arial"/>
                <w:sz w:val="14"/>
                <w:szCs w:val="14"/>
                <w:b w:val="1"/>
                <w:bCs w:val="1"/>
                <w:color w:val="auto"/>
              </w:rPr>
              <w:t>Dollar</w:t>
            </w:r>
          </w:p>
        </w:tc>
        <w:tc>
          <w:tcPr>
            <w:tcW w:w="152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22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right"/>
              <w:ind w:right="630"/>
              <w:spacing w:after="0" w:line="129" w:lineRule="exact"/>
              <w:rPr>
                <w:sz w:val="20"/>
                <w:szCs w:val="20"/>
                <w:color w:val="auto"/>
              </w:rPr>
            </w:pPr>
            <w:r>
              <w:rPr>
                <w:rFonts w:ascii="Arial" w:cs="Arial" w:eastAsia="Arial" w:hAnsi="Arial"/>
                <w:sz w:val="14"/>
                <w:szCs w:val="14"/>
                <w:b w:val="1"/>
                <w:bCs w:val="1"/>
                <w:color w:val="auto"/>
              </w:rPr>
              <w:t>June 30,</w:t>
            </w:r>
          </w:p>
        </w:tc>
        <w:tc>
          <w:tcPr>
            <w:tcW w:w="860" w:type="dxa"/>
            <w:vAlign w:val="bottom"/>
            <w:tcBorders>
              <w:top w:val="single" w:sz="8" w:color="auto"/>
            </w:tcBorders>
          </w:tcPr>
          <w:p>
            <w:pPr>
              <w:jc w:val="right"/>
              <w:ind w:right="139"/>
              <w:spacing w:after="0" w:line="129"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1"/>
                <w:szCs w:val="11"/>
                <w:color w:val="auto"/>
              </w:rPr>
            </w:pPr>
          </w:p>
        </w:tc>
        <w:tc>
          <w:tcPr>
            <w:tcW w:w="1040" w:type="dxa"/>
            <w:vAlign w:val="bottom"/>
            <w:gridSpan w:val="3"/>
          </w:tcPr>
          <w:p>
            <w:pPr>
              <w:jc w:val="center"/>
              <w:ind w:right="121"/>
              <w:spacing w:after="0" w:line="129" w:lineRule="exact"/>
              <w:rPr>
                <w:sz w:val="20"/>
                <w:szCs w:val="20"/>
                <w:color w:val="auto"/>
              </w:rPr>
            </w:pPr>
            <w:r>
              <w:rPr>
                <w:rFonts w:ascii="Arial" w:cs="Arial" w:eastAsia="Arial" w:hAnsi="Arial"/>
                <w:sz w:val="14"/>
                <w:szCs w:val="14"/>
                <w:b w:val="1"/>
                <w:bCs w:val="1"/>
                <w:color w:val="auto"/>
              </w:rPr>
              <w:t>(Increase)</w:t>
            </w:r>
          </w:p>
        </w:tc>
        <w:tc>
          <w:tcPr>
            <w:tcW w:w="1520" w:type="dxa"/>
            <w:vAlign w:val="bottom"/>
            <w:gridSpan w:val="2"/>
          </w:tcPr>
          <w:p>
            <w:pPr>
              <w:jc w:val="center"/>
              <w:ind w:right="15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4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040" w:type="dxa"/>
            <w:vAlign w:val="bottom"/>
            <w:gridSpan w:val="3"/>
          </w:tcPr>
          <w:p>
            <w:pPr>
              <w:jc w:val="center"/>
              <w:ind w:right="121"/>
              <w:spacing w:after="0"/>
              <w:rPr>
                <w:sz w:val="20"/>
                <w:szCs w:val="20"/>
                <w:color w:val="auto"/>
              </w:rPr>
            </w:pPr>
            <w:r>
              <w:rPr>
                <w:rFonts w:ascii="Arial" w:cs="Arial" w:eastAsia="Arial" w:hAnsi="Arial"/>
                <w:sz w:val="14"/>
                <w:szCs w:val="14"/>
                <w:b w:val="1"/>
                <w:bCs w:val="1"/>
                <w:color w:val="auto"/>
              </w:rPr>
              <w:t>Decrease</w:t>
            </w:r>
          </w:p>
        </w:tc>
        <w:tc>
          <w:tcPr>
            <w:tcW w:w="152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4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Segment operating profit (loss)</w:t>
            </w:r>
          </w:p>
        </w:tc>
        <w:tc>
          <w:tcPr>
            <w:tcW w:w="120" w:type="dxa"/>
            <w:vAlign w:val="bottom"/>
          </w:tcPr>
          <w:p>
            <w:pPr>
              <w:spacing w:after="0"/>
              <w:rPr>
                <w:sz w:val="16"/>
                <w:szCs w:val="16"/>
                <w:color w:val="auto"/>
              </w:rPr>
            </w:pPr>
          </w:p>
        </w:tc>
        <w:tc>
          <w:tcPr>
            <w:tcW w:w="22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(42.4</w:t>
            </w:r>
          </w:p>
        </w:tc>
        <w:tc>
          <w:tcPr>
            <w:tcW w:w="240" w:type="dxa"/>
            <w:vAlign w:val="bottom"/>
          </w:tcPr>
          <w:p>
            <w:pPr>
              <w:jc w:val="right"/>
              <w:ind w:right="70"/>
              <w:spacing w:after="0" w:line="195"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(37.7</w:t>
            </w:r>
          </w:p>
        </w:tc>
        <w:tc>
          <w:tcPr>
            <w:tcW w:w="22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(4.7</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w:t>
            </w: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496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220" w:type="dxa"/>
            <w:vAlign w:val="bottom"/>
          </w:tcPr>
          <w:p>
            <w:pPr>
              <w:spacing w:after="0"/>
              <w:rPr>
                <w:sz w:val="18"/>
                <w:szCs w:val="18"/>
                <w:color w:val="auto"/>
              </w:rPr>
            </w:pPr>
          </w:p>
        </w:tc>
        <w:tc>
          <w:tcPr>
            <w:tcW w:w="1420" w:type="dxa"/>
            <w:vAlign w:val="bottom"/>
            <w:gridSpan w:val="3"/>
          </w:tcPr>
          <w:p>
            <w:pPr>
              <w:jc w:val="right"/>
              <w:ind w:right="70"/>
              <w:spacing w:after="0"/>
              <w:rPr>
                <w:sz w:val="20"/>
                <w:szCs w:val="20"/>
                <w:color w:val="auto"/>
              </w:rPr>
            </w:pPr>
            <w:r>
              <w:rPr>
                <w:rFonts w:ascii="Arial" w:cs="Arial" w:eastAsia="Arial" w:hAnsi="Arial"/>
                <w:sz w:val="18"/>
                <w:szCs w:val="18"/>
                <w:color w:val="auto"/>
              </w:rPr>
              <w:t>(38 )%</w:t>
            </w:r>
          </w:p>
        </w:tc>
        <w:tc>
          <w:tcPr>
            <w:tcW w:w="1240" w:type="dxa"/>
            <w:vAlign w:val="bottom"/>
            <w:gridSpan w:val="3"/>
          </w:tcPr>
          <w:p>
            <w:pPr>
              <w:jc w:val="right"/>
              <w:ind w:right="62"/>
              <w:spacing w:after="0"/>
              <w:rPr>
                <w:sz w:val="20"/>
                <w:szCs w:val="20"/>
                <w:color w:val="auto"/>
              </w:rPr>
            </w:pPr>
            <w:r>
              <w:rPr>
                <w:rFonts w:ascii="Arial" w:cs="Arial" w:eastAsia="Arial" w:hAnsi="Arial"/>
                <w:sz w:val="18"/>
                <w:szCs w:val="18"/>
                <w:color w:val="auto"/>
              </w:rPr>
              <w:t>(32 )%</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-264795</wp:posOffset>
            </wp:positionV>
            <wp:extent cx="6412230"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168" w:lineRule="exact"/>
        <w:rPr>
          <w:sz w:val="20"/>
          <w:szCs w:val="20"/>
          <w:color w:val="auto"/>
        </w:rPr>
      </w:pPr>
    </w:p>
    <w:p>
      <w:pPr>
        <w:ind w:right="480" w:firstLine="509"/>
        <w:spacing w:after="0" w:line="246" w:lineRule="auto"/>
        <w:rPr>
          <w:sz w:val="20"/>
          <w:szCs w:val="20"/>
          <w:color w:val="auto"/>
        </w:rPr>
      </w:pPr>
      <w:r>
        <w:rPr>
          <w:rFonts w:ascii="Arial" w:cs="Arial" w:eastAsia="Arial" w:hAnsi="Arial"/>
          <w:sz w:val="18"/>
          <w:szCs w:val="18"/>
          <w:color w:val="auto"/>
        </w:rPr>
        <w:t>The $4.7 million increase in our commercial networks segment operating loss was driven by lower earnings contributions of $3.4 million, primarily due to lower revenues and margins and a $1.6 million increase in SG&amp;A costs.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rPr>
              <w:t>Dollar</w:t>
            </w:r>
          </w:p>
        </w:tc>
        <w:tc>
          <w:tcPr>
            <w:tcW w:w="15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200" w:type="dxa"/>
            <w:vAlign w:val="bottom"/>
          </w:tcPr>
          <w:p>
            <w:pPr>
              <w:spacing w:after="0"/>
              <w:rPr>
                <w:sz w:val="11"/>
                <w:szCs w:val="11"/>
                <w:color w:val="auto"/>
              </w:rPr>
            </w:pPr>
          </w:p>
        </w:tc>
        <w:tc>
          <w:tcPr>
            <w:tcW w:w="900" w:type="dxa"/>
            <w:vAlign w:val="bottom"/>
          </w:tcPr>
          <w:p>
            <w:pPr>
              <w:jc w:val="right"/>
              <w:ind w:right="179"/>
              <w:spacing w:after="0" w:line="129"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ind w:right="177"/>
              <w:spacing w:after="0" w:line="129"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50"/>
              <w:spacing w:after="0" w:line="129" w:lineRule="exact"/>
              <w:rPr>
                <w:sz w:val="20"/>
                <w:szCs w:val="20"/>
                <w:color w:val="auto"/>
              </w:rPr>
            </w:pPr>
            <w:r>
              <w:rPr>
                <w:rFonts w:ascii="Arial" w:cs="Arial" w:eastAsia="Arial" w:hAnsi="Arial"/>
                <w:sz w:val="14"/>
                <w:szCs w:val="14"/>
                <w:b w:val="1"/>
                <w:bCs w:val="1"/>
                <w:color w:val="auto"/>
              </w:rPr>
              <w:t>Increase</w:t>
            </w:r>
          </w:p>
        </w:tc>
        <w:tc>
          <w:tcPr>
            <w:tcW w:w="1560" w:type="dxa"/>
            <w:vAlign w:val="bottom"/>
            <w:gridSpan w:val="2"/>
          </w:tcPr>
          <w:p>
            <w:pPr>
              <w:jc w:val="center"/>
              <w:ind w:right="13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4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rPr>
              <w:t>(Decrease)</w:t>
            </w:r>
          </w:p>
        </w:tc>
        <w:tc>
          <w:tcPr>
            <w:tcW w:w="15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4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Segment product revenues</w:t>
            </w:r>
          </w:p>
        </w:tc>
        <w:tc>
          <w:tcPr>
            <w:tcW w:w="120" w:type="dxa"/>
            <w:vAlign w:val="bottom"/>
          </w:tcPr>
          <w:p>
            <w:pPr>
              <w:spacing w:after="0"/>
              <w:rPr>
                <w:sz w:val="16"/>
                <w:szCs w:val="16"/>
                <w:color w:val="auto"/>
              </w:rPr>
            </w:pPr>
          </w:p>
        </w:tc>
        <w:tc>
          <w:tcPr>
            <w:tcW w:w="2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175.2</w:t>
            </w:r>
          </w:p>
        </w:tc>
        <w:tc>
          <w:tcPr>
            <w:tcW w:w="24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191.7</w:t>
            </w:r>
          </w:p>
        </w:tc>
        <w:tc>
          <w:tcPr>
            <w:tcW w:w="20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(16.5</w:t>
            </w:r>
          </w:p>
        </w:tc>
        <w:tc>
          <w:tcPr>
            <w:tcW w:w="200" w:type="dxa"/>
            <w:vAlign w:val="bottom"/>
          </w:tcPr>
          <w:p>
            <w:pPr>
              <w:jc w:val="right"/>
              <w:ind w:right="30"/>
              <w:spacing w:after="0" w:line="195" w:lineRule="exact"/>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w:t>
            </w: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780" w:type="dxa"/>
            <w:vAlign w:val="bottom"/>
            <w:gridSpan w:val="2"/>
          </w:tcPr>
          <w:p>
            <w:pPr>
              <w:spacing w:after="0" w:line="203" w:lineRule="exact"/>
              <w:rPr>
                <w:sz w:val="20"/>
                <w:szCs w:val="20"/>
                <w:color w:val="auto"/>
              </w:rPr>
            </w:pPr>
            <w:r>
              <w:rPr>
                <w:rFonts w:ascii="Arial" w:cs="Arial" w:eastAsia="Arial" w:hAnsi="Arial"/>
                <w:sz w:val="18"/>
                <w:szCs w:val="18"/>
                <w:color w:val="auto"/>
              </w:rPr>
              <w:t>Segment service revenues</w:t>
            </w: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78.1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80.4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(2.3 )</w:t>
            </w:r>
          </w:p>
        </w:tc>
        <w:tc>
          <w:tcPr>
            <w:tcW w:w="15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196"/>
        </w:trPr>
        <w:tc>
          <w:tcPr>
            <w:tcW w:w="4780" w:type="dxa"/>
            <w:vAlign w:val="bottom"/>
            <w:gridSpan w:val="2"/>
          </w:tcPr>
          <w:p>
            <w:pPr>
              <w:spacing w:after="0" w:line="196" w:lineRule="exact"/>
              <w:rPr>
                <w:sz w:val="20"/>
                <w:szCs w:val="20"/>
                <w:color w:val="auto"/>
              </w:rPr>
            </w:pPr>
            <w:r>
              <w:rPr>
                <w:rFonts w:ascii="Arial" w:cs="Arial" w:eastAsia="Arial" w:hAnsi="Arial"/>
                <w:sz w:val="18"/>
                <w:szCs w:val="18"/>
                <w:color w:val="auto"/>
              </w:rPr>
              <w:t>Total segment revenues</w:t>
            </w:r>
          </w:p>
        </w:tc>
        <w:tc>
          <w:tcPr>
            <w:tcW w:w="2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253.3</w:t>
            </w:r>
          </w:p>
        </w:tc>
        <w:tc>
          <w:tcPr>
            <w:tcW w:w="240" w:type="dxa"/>
            <w:vAlign w:val="bottom"/>
          </w:tcPr>
          <w:p>
            <w:pPr>
              <w:spacing w:after="0"/>
              <w:rPr>
                <w:sz w:val="17"/>
                <w:szCs w:val="17"/>
                <w:color w:val="auto"/>
              </w:rPr>
            </w:pPr>
          </w:p>
        </w:tc>
        <w:tc>
          <w:tcPr>
            <w:tcW w:w="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272.1</w:t>
            </w:r>
          </w:p>
        </w:tc>
        <w:tc>
          <w:tcPr>
            <w:tcW w:w="20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(18.8</w:t>
            </w:r>
          </w:p>
        </w:tc>
        <w:tc>
          <w:tcPr>
            <w:tcW w:w="20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-393700</wp:posOffset>
            </wp:positionV>
            <wp:extent cx="6412230"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-128270</wp:posOffset>
            </wp:positionV>
            <wp:extent cx="6412230" cy="1289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182"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Our government systems segment revenues decreased by $18.8 million due to a $16.5 million decrease in product revenues and $2.3 million decrease in service revenues. The product revenue decrease was primarily due to a $9.0 million decrease in government satellite communication systems, an $8.2 million decrease in government mobile broadband products, and a $3.9 million decrease in cybersecurity and information assurance products, partially offset by a $5.6 million increase in tactical data link products. Our government systems segment continued to show some impacts from the COVID-19 pandemic, due to complications in product manufacturing and shipments, but new government systems segment awards remained strong through the end of the first quarter of fiscal year 2023. The service revenue decrease was primarily due to a $5.5 million decrease in government mobile broadband services, partially offset by a $2.6 million increase in satellite communication systems services.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080" w:type="dxa"/>
            <w:vAlign w:val="bottom"/>
            <w:gridSpan w:val="2"/>
          </w:tcPr>
          <w:p>
            <w:pPr>
              <w:jc w:val="center"/>
              <w:ind w:right="241"/>
              <w:spacing w:after="0"/>
              <w:rPr>
                <w:sz w:val="20"/>
                <w:szCs w:val="20"/>
                <w:color w:val="auto"/>
              </w:rPr>
            </w:pPr>
            <w:r>
              <w:rPr>
                <w:rFonts w:ascii="Arial" w:cs="Arial" w:eastAsia="Arial" w:hAnsi="Arial"/>
                <w:sz w:val="14"/>
                <w:szCs w:val="14"/>
                <w:b w:val="1"/>
                <w:bCs w:val="1"/>
                <w:color w:val="auto"/>
              </w:rPr>
              <w:t>Dollar</w:t>
            </w:r>
          </w:p>
        </w:tc>
        <w:tc>
          <w:tcPr>
            <w:tcW w:w="14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2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rPr>
              <w:t>June 30,</w:t>
            </w: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59"/>
              <w:spacing w:after="0" w:line="129"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61"/>
              <w:spacing w:after="0" w:line="129" w:lineRule="exact"/>
              <w:rPr>
                <w:sz w:val="20"/>
                <w:szCs w:val="20"/>
                <w:color w:val="auto"/>
              </w:rPr>
            </w:pPr>
            <w:r>
              <w:rPr>
                <w:rFonts w:ascii="Arial" w:cs="Arial" w:eastAsia="Arial" w:hAnsi="Arial"/>
                <w:sz w:val="14"/>
                <w:szCs w:val="14"/>
                <w:b w:val="1"/>
                <w:bCs w:val="1"/>
                <w:color w:val="auto"/>
              </w:rPr>
              <w:t>Increase</w:t>
            </w:r>
          </w:p>
        </w:tc>
        <w:tc>
          <w:tcPr>
            <w:tcW w:w="1480" w:type="dxa"/>
            <w:vAlign w:val="bottom"/>
            <w:gridSpan w:val="2"/>
          </w:tcPr>
          <w:p>
            <w:pPr>
              <w:jc w:val="center"/>
              <w:ind w:right="17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48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61"/>
              <w:spacing w:after="0"/>
              <w:rPr>
                <w:sz w:val="20"/>
                <w:szCs w:val="20"/>
                <w:color w:val="auto"/>
              </w:rPr>
            </w:pPr>
            <w:r>
              <w:rPr>
                <w:rFonts w:ascii="Arial" w:cs="Arial" w:eastAsia="Arial" w:hAnsi="Arial"/>
                <w:sz w:val="14"/>
                <w:szCs w:val="14"/>
                <w:b w:val="1"/>
                <w:bCs w:val="1"/>
                <w:color w:val="auto"/>
              </w:rPr>
              <w:t>(Decrease)</w:t>
            </w:r>
          </w:p>
        </w:tc>
        <w:tc>
          <w:tcPr>
            <w:tcW w:w="14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Segment operating profit (loss)</w:t>
            </w:r>
          </w:p>
        </w:tc>
        <w:tc>
          <w:tcPr>
            <w:tcW w:w="120" w:type="dxa"/>
            <w:vAlign w:val="bottom"/>
          </w:tcPr>
          <w:p>
            <w:pPr>
              <w:spacing w:after="0"/>
              <w:rPr>
                <w:sz w:val="16"/>
                <w:szCs w:val="16"/>
                <w:color w:val="auto"/>
              </w:rPr>
            </w:pPr>
          </w:p>
        </w:tc>
        <w:tc>
          <w:tcPr>
            <w:tcW w:w="22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19.4</w:t>
            </w:r>
          </w:p>
        </w:tc>
        <w:tc>
          <w:tcPr>
            <w:tcW w:w="22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47.4</w:t>
            </w:r>
          </w:p>
        </w:tc>
        <w:tc>
          <w:tcPr>
            <w:tcW w:w="22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(28.1</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(59</w:t>
            </w: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48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8 %</w:t>
            </w:r>
          </w:p>
        </w:tc>
        <w:tc>
          <w:tcPr>
            <w:tcW w:w="1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17 %</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-265430</wp:posOffset>
            </wp:positionV>
            <wp:extent cx="6412230"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168"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The $28.1 million decrease in our government systems segment operating profit was primarily driven by lower earnings contributions of $15.4 million, primarily due to lower revenues, lower margin product sales mix and an $11.4 million increase in SG&amp;A costs (primarily related to acquisition-related expenses related to the Inmarsat Transaction).</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Backlog</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reflected in the table below, our overall firm and funded backlog increased during the first three months of fiscal year 2023.</w:t>
      </w:r>
    </w:p>
    <w:p>
      <w:pPr>
        <w:spacing w:after="0" w:line="157" w:lineRule="exact"/>
        <w:rPr>
          <w:sz w:val="20"/>
          <w:szCs w:val="20"/>
          <w:color w:val="auto"/>
        </w:rPr>
      </w:pPr>
    </w:p>
    <w:tbl>
      <w:tblPr>
        <w:tblLayout w:type="fixed"/>
        <w:tblInd w:w="2260" w:type="dxa"/>
        <w:tblCellMar>
          <w:top w:w="0" w:type="dxa"/>
          <w:left w:w="0" w:type="dxa"/>
          <w:bottom w:w="0" w:type="dxa"/>
          <w:right w:w="0" w:type="dxa"/>
        </w:tblCellMar>
      </w:tblPr>
      <w:tr>
        <w:trPr>
          <w:trHeight w:val="149"/>
        </w:trPr>
        <w:tc>
          <w:tcPr>
            <w:tcW w:w="3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564"/>
              <w:spacing w:after="0"/>
              <w:rPr>
                <w:sz w:val="20"/>
                <w:szCs w:val="20"/>
                <w:color w:val="auto"/>
              </w:rPr>
            </w:pPr>
            <w:r>
              <w:rPr>
                <w:rFonts w:ascii="Arial" w:cs="Arial" w:eastAsia="Arial" w:hAnsi="Arial"/>
                <w:sz w:val="13"/>
                <w:szCs w:val="13"/>
                <w:b w:val="1"/>
                <w:bCs w:val="1"/>
                <w:color w:val="auto"/>
              </w:rPr>
              <w:t>As of</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ind w:right="483"/>
              <w:spacing w:after="0"/>
              <w:rPr>
                <w:sz w:val="20"/>
                <w:szCs w:val="20"/>
                <w:color w:val="auto"/>
              </w:rPr>
            </w:pPr>
            <w:r>
              <w:rPr>
                <w:rFonts w:ascii="Arial" w:cs="Arial" w:eastAsia="Arial" w:hAnsi="Arial"/>
                <w:sz w:val="13"/>
                <w:szCs w:val="13"/>
                <w:b w:val="1"/>
                <w:bCs w:val="1"/>
                <w:color w:val="auto"/>
              </w:rPr>
              <w:t>As of</w:t>
            </w:r>
          </w:p>
        </w:tc>
        <w:tc>
          <w:tcPr>
            <w:tcW w:w="60" w:type="dxa"/>
            <w:vAlign w:val="bottom"/>
          </w:tcPr>
          <w:p>
            <w:pPr>
              <w:spacing w:after="0"/>
              <w:rPr>
                <w:sz w:val="13"/>
                <w:szCs w:val="13"/>
                <w:color w:val="auto"/>
              </w:rPr>
            </w:pPr>
          </w:p>
        </w:tc>
      </w:tr>
      <w:tr>
        <w:trPr>
          <w:trHeight w:val="162"/>
        </w:trPr>
        <w:tc>
          <w:tcPr>
            <w:tcW w:w="35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84"/>
              <w:spacing w:after="0"/>
              <w:rPr>
                <w:sz w:val="20"/>
                <w:szCs w:val="20"/>
                <w:color w:val="auto"/>
              </w:rPr>
            </w:pPr>
            <w:r>
              <w:rPr>
                <w:rFonts w:ascii="Arial" w:cs="Arial" w:eastAsia="Arial" w:hAnsi="Arial"/>
                <w:sz w:val="13"/>
                <w:szCs w:val="13"/>
                <w:b w:val="1"/>
                <w:bCs w:val="1"/>
                <w:color w:val="auto"/>
              </w:rPr>
              <w:t>June 30, 2022</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83"/>
              <w:spacing w:after="0"/>
              <w:rPr>
                <w:sz w:val="20"/>
                <w:szCs w:val="20"/>
                <w:color w:val="auto"/>
              </w:rPr>
            </w:pPr>
            <w:r>
              <w:rPr>
                <w:rFonts w:ascii="Arial" w:cs="Arial" w:eastAsia="Arial" w:hAnsi="Arial"/>
                <w:sz w:val="13"/>
                <w:szCs w:val="13"/>
                <w:b w:val="1"/>
                <w:bCs w:val="1"/>
                <w:color w:val="auto"/>
                <w:w w:val="99"/>
              </w:rPr>
              <w:t>March 31, 2022</w:t>
            </w:r>
          </w:p>
        </w:tc>
        <w:tc>
          <w:tcPr>
            <w:tcW w:w="60" w:type="dxa"/>
            <w:vAlign w:val="bottom"/>
          </w:tcPr>
          <w:p>
            <w:pPr>
              <w:spacing w:after="0"/>
              <w:rPr>
                <w:sz w:val="14"/>
                <w:szCs w:val="14"/>
                <w:color w:val="auto"/>
              </w:rPr>
            </w:pPr>
          </w:p>
        </w:tc>
      </w:tr>
      <w:tr>
        <w:trPr>
          <w:trHeight w:val="142"/>
        </w:trPr>
        <w:tc>
          <w:tcPr>
            <w:tcW w:w="3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3"/>
          </w:tcPr>
          <w:p>
            <w:pPr>
              <w:jc w:val="right"/>
              <w:ind w:right="20"/>
              <w:spacing w:after="0" w:line="142" w:lineRule="exact"/>
              <w:rPr>
                <w:sz w:val="20"/>
                <w:szCs w:val="20"/>
                <w:color w:val="auto"/>
              </w:rPr>
            </w:pPr>
            <w:r>
              <w:rPr>
                <w:rFonts w:ascii="Arial" w:cs="Arial" w:eastAsia="Arial" w:hAnsi="Arial"/>
                <w:sz w:val="13"/>
                <w:szCs w:val="13"/>
                <w:b w:val="1"/>
                <w:bCs w:val="1"/>
                <w:color w:val="auto"/>
              </w:rPr>
              <w:t>(In millions)</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9"/>
        </w:trPr>
        <w:tc>
          <w:tcPr>
            <w:tcW w:w="3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Firm backlog</w:t>
            </w: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r>
      <w:tr>
        <w:trPr>
          <w:trHeight w:val="189"/>
        </w:trPr>
        <w:tc>
          <w:tcPr>
            <w:tcW w:w="3520" w:type="dxa"/>
            <w:vAlign w:val="bottom"/>
          </w:tcPr>
          <w:p>
            <w:pPr>
              <w:spacing w:after="0"/>
              <w:rPr>
                <w:sz w:val="20"/>
                <w:szCs w:val="20"/>
                <w:color w:val="auto"/>
              </w:rPr>
            </w:pPr>
            <w:r>
              <w:rPr>
                <w:rFonts w:ascii="Arial" w:cs="Arial" w:eastAsia="Arial" w:hAnsi="Arial"/>
                <w:sz w:val="16"/>
                <w:szCs w:val="16"/>
                <w:color w:val="auto"/>
              </w:rPr>
              <w:t>Satellite services segment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510.0</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554.5</w:t>
            </w:r>
          </w:p>
        </w:tc>
        <w:tc>
          <w:tcPr>
            <w:tcW w:w="60" w:type="dxa"/>
            <w:vAlign w:val="bottom"/>
          </w:tcPr>
          <w:p>
            <w:pPr>
              <w:spacing w:after="0"/>
              <w:rPr>
                <w:sz w:val="16"/>
                <w:szCs w:val="16"/>
                <w:color w:val="auto"/>
              </w:rPr>
            </w:pPr>
          </w:p>
        </w:tc>
      </w:tr>
      <w:tr>
        <w:trPr>
          <w:trHeight w:val="189"/>
        </w:trPr>
        <w:tc>
          <w:tcPr>
            <w:tcW w:w="3520" w:type="dxa"/>
            <w:vAlign w:val="bottom"/>
            <w:shd w:val="clear" w:color="auto" w:fill="CFF0FC"/>
          </w:tcPr>
          <w:p>
            <w:pPr>
              <w:spacing w:after="0"/>
              <w:rPr>
                <w:sz w:val="20"/>
                <w:szCs w:val="20"/>
                <w:color w:val="auto"/>
              </w:rPr>
            </w:pPr>
            <w:r>
              <w:rPr>
                <w:rFonts w:ascii="Arial" w:cs="Arial" w:eastAsia="Arial" w:hAnsi="Arial"/>
                <w:sz w:val="16"/>
                <w:szCs w:val="16"/>
                <w:color w:val="auto"/>
              </w:rPr>
              <w:t>Commercial networks segment</w:t>
            </w: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660.0</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632.2</w:t>
            </w:r>
          </w:p>
        </w:tc>
        <w:tc>
          <w:tcPr>
            <w:tcW w:w="60" w:type="dxa"/>
            <w:vAlign w:val="bottom"/>
            <w:shd w:val="clear" w:color="auto" w:fill="CFF0FC"/>
          </w:tcPr>
          <w:p>
            <w:pPr>
              <w:spacing w:after="0"/>
              <w:rPr>
                <w:sz w:val="16"/>
                <w:szCs w:val="16"/>
                <w:color w:val="auto"/>
              </w:rPr>
            </w:pPr>
          </w:p>
        </w:tc>
      </w:tr>
      <w:tr>
        <w:trPr>
          <w:trHeight w:val="189"/>
        </w:trPr>
        <w:tc>
          <w:tcPr>
            <w:tcW w:w="3520" w:type="dxa"/>
            <w:vAlign w:val="bottom"/>
          </w:tcPr>
          <w:p>
            <w:pPr>
              <w:spacing w:after="0"/>
              <w:rPr>
                <w:sz w:val="20"/>
                <w:szCs w:val="20"/>
                <w:color w:val="auto"/>
              </w:rPr>
            </w:pPr>
            <w:r>
              <w:rPr>
                <w:rFonts w:ascii="Arial" w:cs="Arial" w:eastAsia="Arial" w:hAnsi="Arial"/>
                <w:sz w:val="16"/>
                <w:szCs w:val="16"/>
                <w:color w:val="auto"/>
              </w:rPr>
              <w:t>Government systems segment</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895.2</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846.0</w:t>
            </w:r>
          </w:p>
        </w:tc>
        <w:tc>
          <w:tcPr>
            <w:tcW w:w="60" w:type="dxa"/>
            <w:vAlign w:val="bottom"/>
          </w:tcPr>
          <w:p>
            <w:pPr>
              <w:spacing w:after="0"/>
              <w:rPr>
                <w:sz w:val="16"/>
                <w:szCs w:val="16"/>
                <w:color w:val="auto"/>
              </w:rPr>
            </w:pPr>
          </w:p>
        </w:tc>
      </w:tr>
      <w:tr>
        <w:trPr>
          <w:trHeight w:val="223"/>
        </w:trPr>
        <w:tc>
          <w:tcPr>
            <w:tcW w:w="35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Total</w:t>
            </w:r>
          </w:p>
        </w:tc>
        <w:tc>
          <w:tcPr>
            <w:tcW w:w="24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2,065.2</w:t>
            </w:r>
          </w:p>
        </w:tc>
        <w:tc>
          <w:tcPr>
            <w:tcW w:w="38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2,032.7</w:t>
            </w:r>
          </w:p>
        </w:tc>
        <w:tc>
          <w:tcPr>
            <w:tcW w:w="60" w:type="dxa"/>
            <w:vAlign w:val="bottom"/>
            <w:shd w:val="clear" w:color="auto" w:fill="CFF0FC"/>
          </w:tcPr>
          <w:p>
            <w:pPr>
              <w:spacing w:after="0"/>
              <w:rPr>
                <w:sz w:val="19"/>
                <w:szCs w:val="19"/>
                <w:color w:val="auto"/>
              </w:rPr>
            </w:pPr>
          </w:p>
        </w:tc>
      </w:tr>
      <w:tr>
        <w:trPr>
          <w:trHeight w:val="169"/>
        </w:trPr>
        <w:tc>
          <w:tcPr>
            <w:tcW w:w="352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b w:val="1"/>
                <w:bCs w:val="1"/>
                <w:color w:val="auto"/>
              </w:rPr>
              <w:t>Funded backlog</w:t>
            </w:r>
          </w:p>
        </w:tc>
        <w:tc>
          <w:tcPr>
            <w:tcW w:w="2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60" w:type="dxa"/>
            <w:vAlign w:val="bottom"/>
            <w:tcBorders>
              <w:top w:val="single" w:sz="8" w:color="CFF0FC"/>
            </w:tcBorders>
          </w:tcPr>
          <w:p>
            <w:pPr>
              <w:spacing w:after="0"/>
              <w:rPr>
                <w:sz w:val="14"/>
                <w:szCs w:val="14"/>
                <w:color w:val="auto"/>
              </w:rPr>
            </w:pPr>
          </w:p>
        </w:tc>
      </w:tr>
      <w:tr>
        <w:trPr>
          <w:trHeight w:val="189"/>
        </w:trPr>
        <w:tc>
          <w:tcPr>
            <w:tcW w:w="3520" w:type="dxa"/>
            <w:vAlign w:val="bottom"/>
            <w:shd w:val="clear" w:color="auto" w:fill="CFF0FC"/>
          </w:tcPr>
          <w:p>
            <w:pPr>
              <w:spacing w:after="0"/>
              <w:rPr>
                <w:sz w:val="20"/>
                <w:szCs w:val="20"/>
                <w:color w:val="auto"/>
              </w:rPr>
            </w:pPr>
            <w:r>
              <w:rPr>
                <w:rFonts w:ascii="Arial" w:cs="Arial" w:eastAsia="Arial" w:hAnsi="Arial"/>
                <w:sz w:val="16"/>
                <w:szCs w:val="16"/>
                <w:color w:val="auto"/>
              </w:rPr>
              <w:t>Satellite services segment</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510.0</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554.5</w:t>
            </w:r>
          </w:p>
        </w:tc>
        <w:tc>
          <w:tcPr>
            <w:tcW w:w="60" w:type="dxa"/>
            <w:vAlign w:val="bottom"/>
            <w:shd w:val="clear" w:color="auto" w:fill="CFF0FC"/>
          </w:tcPr>
          <w:p>
            <w:pPr>
              <w:spacing w:after="0"/>
              <w:rPr>
                <w:sz w:val="16"/>
                <w:szCs w:val="16"/>
                <w:color w:val="auto"/>
              </w:rPr>
            </w:pPr>
          </w:p>
        </w:tc>
      </w:tr>
      <w:tr>
        <w:trPr>
          <w:trHeight w:val="189"/>
        </w:trPr>
        <w:tc>
          <w:tcPr>
            <w:tcW w:w="3520" w:type="dxa"/>
            <w:vAlign w:val="bottom"/>
          </w:tcPr>
          <w:p>
            <w:pPr>
              <w:spacing w:after="0"/>
              <w:rPr>
                <w:sz w:val="20"/>
                <w:szCs w:val="20"/>
                <w:color w:val="auto"/>
              </w:rPr>
            </w:pPr>
            <w:r>
              <w:rPr>
                <w:rFonts w:ascii="Arial" w:cs="Arial" w:eastAsia="Arial" w:hAnsi="Arial"/>
                <w:sz w:val="16"/>
                <w:szCs w:val="16"/>
                <w:color w:val="auto"/>
              </w:rPr>
              <w:t>Commercial networks segment</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625.7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583.1</w:t>
            </w:r>
          </w:p>
        </w:tc>
        <w:tc>
          <w:tcPr>
            <w:tcW w:w="60" w:type="dxa"/>
            <w:vAlign w:val="bottom"/>
          </w:tcPr>
          <w:p>
            <w:pPr>
              <w:spacing w:after="0"/>
              <w:rPr>
                <w:sz w:val="16"/>
                <w:szCs w:val="16"/>
                <w:color w:val="auto"/>
              </w:rPr>
            </w:pPr>
          </w:p>
        </w:tc>
      </w:tr>
      <w:tr>
        <w:trPr>
          <w:trHeight w:val="189"/>
        </w:trPr>
        <w:tc>
          <w:tcPr>
            <w:tcW w:w="3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Government systems segment</w:t>
            </w:r>
          </w:p>
        </w:tc>
        <w:tc>
          <w:tcPr>
            <w:tcW w:w="24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822.6</w:t>
            </w:r>
          </w:p>
        </w:tc>
        <w:tc>
          <w:tcPr>
            <w:tcW w:w="1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803.4</w:t>
            </w:r>
          </w:p>
        </w:tc>
        <w:tc>
          <w:tcPr>
            <w:tcW w:w="60" w:type="dxa"/>
            <w:vAlign w:val="bottom"/>
            <w:tcBorders>
              <w:bottom w:val="single" w:sz="8" w:color="CFF0FC"/>
            </w:tcBorders>
            <w:shd w:val="clear" w:color="auto" w:fill="CFF0FC"/>
          </w:tcPr>
          <w:p>
            <w:pPr>
              <w:spacing w:after="0"/>
              <w:rPr>
                <w:sz w:val="16"/>
                <w:szCs w:val="16"/>
                <w:color w:val="auto"/>
              </w:rPr>
            </w:pPr>
          </w:p>
        </w:tc>
      </w:tr>
      <w:tr>
        <w:trPr>
          <w:trHeight w:val="183"/>
        </w:trPr>
        <w:tc>
          <w:tcPr>
            <w:tcW w:w="3520" w:type="dxa"/>
            <w:vAlign w:val="bottom"/>
          </w:tcPr>
          <w:p>
            <w:pPr>
              <w:spacing w:after="0" w:line="183" w:lineRule="exact"/>
              <w:rPr>
                <w:sz w:val="20"/>
                <w:szCs w:val="20"/>
                <w:color w:val="auto"/>
              </w:rPr>
            </w:pPr>
            <w:r>
              <w:rPr>
                <w:rFonts w:ascii="Arial" w:cs="Arial" w:eastAsia="Arial" w:hAnsi="Arial"/>
                <w:sz w:val="16"/>
                <w:szCs w:val="16"/>
                <w:color w:val="auto"/>
              </w:rPr>
              <w:t>Total</w:t>
            </w:r>
          </w:p>
        </w:tc>
        <w:tc>
          <w:tcPr>
            <w:tcW w:w="240" w:type="dxa"/>
            <w:vAlign w:val="bottom"/>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line="183" w:lineRule="exact"/>
              <w:rPr>
                <w:sz w:val="20"/>
                <w:szCs w:val="20"/>
                <w:color w:val="auto"/>
              </w:rPr>
            </w:pPr>
            <w:r>
              <w:rPr>
                <w:rFonts w:ascii="Arial" w:cs="Arial" w:eastAsia="Arial" w:hAnsi="Arial"/>
                <w:sz w:val="16"/>
                <w:szCs w:val="16"/>
                <w:color w:val="auto"/>
              </w:rPr>
              <w:t>1,958.3</w:t>
            </w:r>
          </w:p>
        </w:tc>
        <w:tc>
          <w:tcPr>
            <w:tcW w:w="380" w:type="dxa"/>
            <w:vAlign w:val="bottom"/>
            <w:gridSpan w:val="2"/>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1,941.0</w:t>
            </w:r>
          </w:p>
        </w:tc>
        <w:tc>
          <w:tcPr>
            <w:tcW w:w="60" w:type="dxa"/>
            <w:vAlign w:val="bottom"/>
          </w:tcPr>
          <w:p>
            <w:pPr>
              <w:spacing w:after="0"/>
              <w:rPr>
                <w:sz w:val="15"/>
                <w:szCs w:val="15"/>
                <w:color w:val="auto"/>
              </w:rPr>
            </w:pPr>
          </w:p>
        </w:tc>
      </w:tr>
      <w:tr>
        <w:trPr>
          <w:trHeight w:val="20"/>
        </w:trPr>
        <w:tc>
          <w:tcPr>
            <w:tcW w:w="3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-659130</wp:posOffset>
            </wp:positionV>
            <wp:extent cx="431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-642620</wp:posOffset>
            </wp:positionV>
            <wp:extent cx="431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-659130</wp:posOffset>
            </wp:positionV>
            <wp:extent cx="342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-642620</wp:posOffset>
            </wp:positionV>
            <wp:extent cx="342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-150495</wp:posOffset>
            </wp:positionV>
            <wp:extent cx="4318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-150495</wp:posOffset>
            </wp:positionV>
            <wp:extent cx="3429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41" w:lineRule="exact"/>
        <w:rPr>
          <w:sz w:val="20"/>
          <w:szCs w:val="20"/>
          <w:color w:val="auto"/>
        </w:rPr>
      </w:pPr>
    </w:p>
    <w:p>
      <w:pPr>
        <w:ind w:right="20" w:firstLine="509"/>
        <w:spacing w:after="0" w:line="235" w:lineRule="auto"/>
        <w:rPr>
          <w:sz w:val="20"/>
          <w:szCs w:val="20"/>
          <w:color w:val="auto"/>
        </w:rPr>
      </w:pPr>
      <w:r>
        <w:rPr>
          <w:rFonts w:ascii="Arial" w:cs="Arial" w:eastAsia="Arial" w:hAnsi="Arial"/>
          <w:sz w:val="18"/>
          <w:szCs w:val="18"/>
          <w:color w:val="auto"/>
        </w:rPr>
        <w:t>The firm backlog does not include contract options. Of the $2.1 billion in firm backlog, a little over half is expected to be delivered during the next 12 months, with the balance delivered thereafter. We include in our backlog only those orders for which we have accepted purchase orders, and not anticipated purchase orders and requests. In our satellite services segment, our backlog includes fixed broadband service revenues under our subscriber agreements, but does not include future recurring IFC service revenues under our agreements with commercial airlines. As of June 30, 2022, our IFC systems were installed and in service on approximately 1,930 commercial aircraft, of which, due to impacts of the COVID-19 pandemic, approximately 30 were inactive at quarter end. While domestic airline traffic continued to increase during fiscal year 2023 (with increased planes in service and higher passenger volumes), global airline traffic has not yet recovered to pre-pandemic levels. We expect to continue to see some negative impacts on revenues and operating cash flows from our IFC businesses in fiscal year 2023 and potentially beyond, but for the effects to continue to lessen over time with increases in passenger air traffic and the return to service of additional currently inactive aircraft. We anticipate that approximately 1,210 additional commercial aircraft under existing customer agreements with commercial airlines will be put into service with our IFC systems. However, the timing of installation and entry into service of IFC systems on additional aircraft under existing customer agreements may be delayed as a result of the impact of the COVID-19 pandemic on the global airline industry. Accordingly, there can be no assurance that all anticipated purchase orders and requests will be placed or that anticipated IFC services will be activated.</w:t>
      </w:r>
    </w:p>
    <w:p>
      <w:pPr>
        <w:spacing w:after="0" w:line="160" w:lineRule="exact"/>
        <w:rPr>
          <w:sz w:val="20"/>
          <w:szCs w:val="20"/>
          <w:color w:val="auto"/>
        </w:rPr>
      </w:pPr>
    </w:p>
    <w:p>
      <w:pPr>
        <w:ind w:right="280" w:firstLine="509"/>
        <w:spacing w:after="0" w:line="246" w:lineRule="auto"/>
        <w:rPr>
          <w:sz w:val="20"/>
          <w:szCs w:val="20"/>
          <w:color w:val="auto"/>
        </w:rPr>
      </w:pPr>
      <w:r>
        <w:rPr>
          <w:rFonts w:ascii="Arial" w:cs="Arial" w:eastAsia="Arial" w:hAnsi="Arial"/>
          <w:sz w:val="18"/>
          <w:szCs w:val="18"/>
          <w:color w:val="auto"/>
        </w:rPr>
        <w:t>Our total new awards exclude future revenue under recurring consumer commitment arrangements and were approximately $782.6 million and $595.0 million for the three months ended June 30, 2022 and 2021, respectively.</w:t>
      </w:r>
    </w:p>
    <w:p>
      <w:pPr>
        <w:spacing w:after="0" w:line="143"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51"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have financed our operations to date primarily with cash flows from operations, bank line of credit financing, debt financing, export credit agency financing and equity financing. At June 30, 2022, we had $ 221.5 million in cash and cash equivalents, $402.2 million in working capital, and $150.0 million in principal amount of outstanding borrowings and borrowing availability of $486.7 million under our Revolving Credit Facility. At March 31, 2022, we had $310.5 million in cash and cash equivalents, $389.1 million in working capital, and no outstanding borrowings and borrowing availability of</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6" w:name="page47"/>
    <w:bookmarkEnd w:id="46"/>
    <w:p>
      <w:pPr>
        <w:ind w:right="100"/>
        <w:spacing w:after="0" w:line="246" w:lineRule="auto"/>
        <w:rPr>
          <w:sz w:val="20"/>
          <w:szCs w:val="20"/>
          <w:color w:val="auto"/>
        </w:rPr>
      </w:pPr>
      <w:r>
        <w:rPr>
          <w:rFonts w:ascii="Arial" w:cs="Arial" w:eastAsia="Arial" w:hAnsi="Arial"/>
          <w:sz w:val="18"/>
          <w:szCs w:val="18"/>
          <w:color w:val="auto"/>
        </w:rPr>
        <w:t>$637.0 million under our Revolving Credit Facility. We invest our cash in excess of current operating requirements in short-term, highly liquid bank money market accounts.</w:t>
      </w:r>
    </w:p>
    <w:p>
      <w:pPr>
        <w:spacing w:after="0" w:line="143"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We currently expect to incur $1.3 billion of additional indebtedness under the financing commitments we obtained in connection with the Inmarsat Transaction (see the discussion above under "Inmarsat Acquisition"). However, the total amount of indebtedness incurred under these commitments may change, including in the event that available cash from other sources is higher than expected. We also plan to assume $2.1 billion in principal amount of Inmarsat senior secured bonds and the outstanding indebtedness under Inmarsat’s $2.4 billion senior secured credit facilities. We had also obtained commitments of $3.2 billion to backstop certain amendments required under the Revolving Credit Facility and Ex-Im Credit Facility and Inmarsat’s $2.4 billion senior secured credit facilities, all of which amendments had been obtained as of the date of this report.</w:t>
      </w:r>
    </w:p>
    <w:p>
      <w:pPr>
        <w:spacing w:after="0" w:line="14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general cash needs of our satellite services, commercial networks and government systems segments can vary significantly and our future capital requirements will depend upon many factors, including the timing and amount of cash required to consummate the Inmarsat Transaction (including the cash portion of the purchase price, transaction-related costs and integration-related costs, see the discussion above under "Inmarsat Acquisition"), as well as cash required for our satellite projects and any future broadband satellite projects we may engage in, expansion of our IR&amp;D and marketing efforts, and the nature and timing of orders. In particular:</w:t>
      </w:r>
    </w:p>
    <w:p>
      <w:pPr>
        <w:spacing w:after="0" w:line="94" w:lineRule="exact"/>
        <w:rPr>
          <w:sz w:val="20"/>
          <w:szCs w:val="20"/>
          <w:color w:val="auto"/>
        </w:rPr>
      </w:pPr>
    </w:p>
    <w:p>
      <w:pPr>
        <w:ind w:left="1020" w:right="320" w:hanging="503"/>
        <w:spacing w:after="0" w:line="238"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cash needs of our satellite services segment tend to be driven by the timing and amount of capital expenditures (e.g., payments under satellite construction and launch contracts and investments in ground infrastructure roll-out), investments in joint ventures, strategic partnering arrangements and network expansion activities, as well as the quality of customer, type of contract and payment terms.</w:t>
      </w:r>
    </w:p>
    <w:p>
      <w:pPr>
        <w:spacing w:after="0" w:line="96" w:lineRule="exact"/>
        <w:rPr>
          <w:rFonts w:ascii="Arial" w:cs="Arial" w:eastAsia="Arial" w:hAnsi="Arial"/>
          <w:sz w:val="18"/>
          <w:szCs w:val="18"/>
          <w:color w:val="auto"/>
        </w:rPr>
      </w:pPr>
    </w:p>
    <w:p>
      <w:pPr>
        <w:ind w:left="1020" w:right="60" w:hanging="503"/>
        <w:spacing w:after="0" w:line="238"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our commercial networks segment, cash needs tend to be driven primarily by the type and mix of contracts in backlog, the nature and quality of customers, the timing and amount of investments in IR&amp;D activities (including with respect to next-generation satellite payload technologies) and the payment terms of customers (including whether advance payments are made or customer financing is required).</w:t>
      </w:r>
    </w:p>
    <w:p>
      <w:pPr>
        <w:spacing w:after="0" w:line="96" w:lineRule="exact"/>
        <w:rPr>
          <w:rFonts w:ascii="Arial" w:cs="Arial" w:eastAsia="Arial" w:hAnsi="Arial"/>
          <w:sz w:val="18"/>
          <w:szCs w:val="18"/>
          <w:color w:val="auto"/>
        </w:rPr>
      </w:pPr>
    </w:p>
    <w:p>
      <w:pPr>
        <w:ind w:left="1020" w:hanging="503"/>
        <w:spacing w:after="0" w:line="238"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48" w:lineRule="exact"/>
        <w:rPr>
          <w:sz w:val="20"/>
          <w:szCs w:val="20"/>
          <w:color w:val="auto"/>
        </w:rPr>
      </w:pPr>
    </w:p>
    <w:p>
      <w:pPr>
        <w:ind w:right="120" w:firstLine="509"/>
        <w:spacing w:after="0" w:line="237" w:lineRule="auto"/>
        <w:rPr>
          <w:sz w:val="20"/>
          <w:szCs w:val="20"/>
          <w:color w:val="auto"/>
        </w:rPr>
      </w:pPr>
      <w:r>
        <w:rPr>
          <w:rFonts w:ascii="Arial" w:cs="Arial" w:eastAsia="Arial" w:hAnsi="Arial"/>
          <w:sz w:val="18"/>
          <w:szCs w:val="18"/>
          <w:color w:val="auto"/>
        </w:rPr>
        <w:t>Additionally, we will continue to evaluate other possible acquisitions of, or investments in complementary businesses, products and technologies which may require the use of cash or additional financing. We believe we have adequate sources of funding for the ViaSat-3 constellation and consummation of the Inmarsat Transaction, which include, but are not limited to, our cash on hand, borrowing capacity, financing commitments obtained in connection with the Inmarsat Transaction and the cash we expect to generate from operations. Although a significant portion of transaction-related costs relating to the Inmarsat Transaction is contingent upon the closing of the Inmarsat Transaction occurring, some have been and will be incurred regardless of whether the Inmarsat Transaction is consummated.</w:t>
      </w:r>
    </w:p>
    <w:p>
      <w:pPr>
        <w:spacing w:after="0" w:line="151"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From time to time, we file universal shelf registration statements with the SEC for the future sale of an unlimited amount of common stock, preferred stock, debt securities, depositary shares, warrants and rights, which securities may be offered from time to time, separately or together, directly by us, by selling security holders, or through underwriters, dealers or agents at amounts, prices, interest rates and other terms to be determined at the time of the offering.</w:t>
      </w:r>
    </w:p>
    <w:p>
      <w:pPr>
        <w:spacing w:after="0" w:line="149"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Although we can give no assurances concerning our future liquidity, we believe that our current cash balances and net cash expected to be provided by operating activities along with availability under our Revolving Credit Facility will be sufficient to meet our anticipated operating requirements for at least the next 12 months.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9" w:lineRule="exact"/>
        <w:rPr>
          <w:sz w:val="20"/>
          <w:szCs w:val="20"/>
          <w:color w:val="auto"/>
        </w:rPr>
      </w:pPr>
    </w:p>
    <w:p>
      <w:pPr>
        <w:ind w:right="240" w:firstLine="509"/>
        <w:spacing w:after="0"/>
        <w:rPr>
          <w:sz w:val="20"/>
          <w:szCs w:val="20"/>
          <w:color w:val="auto"/>
        </w:rPr>
      </w:pPr>
      <w:r>
        <w:rPr>
          <w:rFonts w:ascii="Arial" w:cs="Arial" w:eastAsia="Arial" w:hAnsi="Arial"/>
          <w:sz w:val="18"/>
          <w:szCs w:val="18"/>
          <w:color w:val="auto"/>
        </w:rPr>
        <w:t>Cash provided by operating activities for the first three months of fiscal year 2023 was $39.6 million compared to $65.1 million in the prior year period. This $25.5 million decrease was primarily driven by our operating results (net income (loss) adjusted for depreciation, amortization and other non-cash charges) which resulted in $30.4 million of lower cash</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47" w:name="page48"/>
    <w:bookmarkEnd w:id="47"/>
    <w:p>
      <w:pPr>
        <w:ind w:right="140"/>
        <w:spacing w:after="0" w:line="237" w:lineRule="auto"/>
        <w:rPr>
          <w:sz w:val="20"/>
          <w:szCs w:val="20"/>
          <w:color w:val="auto"/>
        </w:rPr>
      </w:pPr>
      <w:r>
        <w:rPr>
          <w:rFonts w:ascii="Arial" w:cs="Arial" w:eastAsia="Arial" w:hAnsi="Arial"/>
          <w:sz w:val="18"/>
          <w:szCs w:val="18"/>
          <w:color w:val="auto"/>
        </w:rPr>
        <w:t>provided by operating activities year-over-year, partially offset by a $4.9 million year-over-year decrease in cash used to fund net operating assets. The decrease in cash used to fund net operating assets during the first three months of fiscal year 2023 when compared to the prior year period was primarily due to a lower increase in combined billed and unbilled accounts receivable, net, due to the timing of IFC terminal deliveries (which were more front loaded in fiscal year 2022) in our commercial networks segment, partially offset by a higher increase in cash used for IFC terminal inventory in our commercial networks segment in expectation of related revenue ramp up over the next several quarters in fiscal year 2023 for both existing and new commercial airline customers.</w:t>
      </w:r>
    </w:p>
    <w:p>
      <w:pPr>
        <w:spacing w:after="0" w:line="15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Cash used in investing activities for the first three months of fiscal year 2023 was $270.9 million compared to $399.6 million in the prior year period. This $128.7 million decrease in cash used in investing activities year-over-year reflects cash used for the RigNet and EBI acquisitions in the first quarter of fiscal year 2022.</w:t>
      </w:r>
    </w:p>
    <w:p>
      <w:pPr>
        <w:spacing w:after="0" w:line="14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Cash provided by financing activities for the first three months of fiscal year 2023 was $144.2 million compared to $315.2 million for the prior year period. This $171.0 million decrease in cash provided by financing activities year-over-year was mainly due to a decrease in proceeds from debt borrowings of $170.0 million year-over-year.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Satellite-related activities</w:t>
      </w:r>
    </w:p>
    <w:p>
      <w:pPr>
        <w:spacing w:after="0" w:line="85" w:lineRule="exact"/>
        <w:rPr>
          <w:sz w:val="20"/>
          <w:szCs w:val="20"/>
          <w:color w:val="auto"/>
        </w:rPr>
      </w:pPr>
    </w:p>
    <w:p>
      <w:pPr>
        <w:ind w:right="200" w:firstLine="509"/>
        <w:spacing w:after="0" w:line="238" w:lineRule="auto"/>
        <w:rPr>
          <w:sz w:val="20"/>
          <w:szCs w:val="20"/>
          <w:color w:val="auto"/>
        </w:rPr>
      </w:pPr>
      <w:r>
        <w:rPr>
          <w:rFonts w:ascii="Arial" w:cs="Arial" w:eastAsia="Arial" w:hAnsi="Arial"/>
          <w:sz w:val="18"/>
          <w:szCs w:val="18"/>
          <w:color w:val="auto"/>
        </w:rPr>
        <w:t>We expect to continue to invest in IR&amp;D as we continue our focus on leadership and innovation in satellite and space technologies, including for the development of any new generation satellite designs and next-generation satellite network solutions. The level of our investment in a given fiscal year will depend on a variety of factors, including the stage of development of our satellite projects, new market opportunities and our overall operating performance.</w:t>
      </w:r>
    </w:p>
    <w:p>
      <w:pPr>
        <w:spacing w:after="0" w:line="151" w:lineRule="exact"/>
        <w:rPr>
          <w:sz w:val="20"/>
          <w:szCs w:val="20"/>
          <w:color w:val="auto"/>
        </w:rPr>
      </w:pPr>
    </w:p>
    <w:p>
      <w:pPr>
        <w:ind w:right="80" w:firstLine="509"/>
        <w:spacing w:after="0" w:line="236" w:lineRule="auto"/>
        <w:rPr>
          <w:sz w:val="20"/>
          <w:szCs w:val="20"/>
          <w:color w:val="auto"/>
        </w:rPr>
      </w:pPr>
      <w:r>
        <w:rPr>
          <w:rFonts w:ascii="Arial" w:cs="Arial" w:eastAsia="Arial" w:hAnsi="Arial"/>
          <w:sz w:val="18"/>
          <w:szCs w:val="18"/>
          <w:color w:val="auto"/>
        </w:rPr>
        <w:t>As we continue to build and expand our global network and satellite fleet, from time to time we enter into satellite construction agreements for the construction and purchase of additional satellites and (depending on the satellite design) the integration of our payload and technologies into the satellites. See Note 12 — Commitments to our consolidated financial statements included in our Annual Report on Form 10-K for the year ended March 31, 2022 for information regarding our future minimum payments under our satellite construction contracts and other satellite-related purchase commitments (including satellite performance incentive obligations relating to the ViaSat-1 and ViaSat-2 satellites) for the next five fiscal years and thereafter. The total project cost to bring a new satellite into service will depend, among other things, on the scope and timing of the earth station infrastructure roll-out and the method used to procure fiber or other access to the earth station infrastructure. Our total cash funding of a satellite project may be reduced through third-party agreements, such as potential joint service offerings and other strategic partnering arrangements.</w:t>
      </w:r>
    </w:p>
    <w:p>
      <w:pPr>
        <w:spacing w:after="0" w:line="153" w:lineRule="exact"/>
        <w:rPr>
          <w:sz w:val="20"/>
          <w:szCs w:val="20"/>
          <w:color w:val="auto"/>
        </w:rPr>
      </w:pPr>
    </w:p>
    <w:p>
      <w:pPr>
        <w:ind w:right="20" w:firstLine="509"/>
        <w:spacing w:after="0" w:line="235" w:lineRule="auto"/>
        <w:rPr>
          <w:sz w:val="20"/>
          <w:szCs w:val="20"/>
          <w:color w:val="auto"/>
        </w:rPr>
      </w:pPr>
      <w:r>
        <w:rPr>
          <w:rFonts w:ascii="Arial" w:cs="Arial" w:eastAsia="Arial" w:hAnsi="Arial"/>
          <w:sz w:val="18"/>
          <w:szCs w:val="18"/>
          <w:color w:val="auto"/>
        </w:rPr>
        <w:t>In connection with the launch of any new satellite and the commencement of commercial service on the satellite, we expect to incur additional operating costs that negatively impact our financial results. For example, when ViaSat-2 was placed in service in the fourth quarter of fiscal year 2018, this resulted in additional operating costs in our satellite services segment during the ramp-up period prior to service launch and in the fiscal year following service launch. These increased operating costs included depreciation, amortization of capitalized software development, earth station connectivity, marketing and advertising costs, logistics, customer care and various support systems. In addition, interest expense increased during fiscal year 2019 as we no longer capitalized the interest expense relating to the debt incurred for the construction of ViaSat-2 and the related gateway and networking equipment once the satellite was in service. As services using the new satellite scaled, however, our revenue base for broadband services expanded and we gained operating cost efficiencies, which together yielded incremental segment earnings contributions. In addition, we may experience bandwidth supply constraints in the lead-up to the commencement of commercial service on new satellites. We anticipate that we will incur a similar cycle of increased operating costs and constrained bandwidth supply as we prepare for and launch commercial services on future satellites, including our ViaSat-3 constellation, followed by increases in revenue base and in scale. However, there can be no assurance that we will be successful in significantly increasing revenues or achieving or maintaining operating profit in our satellite services segment, and any such gains may also be offset by investments in our global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2022, the aggregate principal amount of our total outstanding indebtedness was $2.7 billion, which was comprised of</w:t>
      </w:r>
    </w:p>
    <w:p>
      <w:pPr>
        <w:spacing w:after="0" w:line="234" w:lineRule="auto"/>
        <w:rPr>
          <w:sz w:val="20"/>
          <w:szCs w:val="20"/>
          <w:color w:val="auto"/>
        </w:rPr>
      </w:pPr>
      <w:r>
        <w:rPr>
          <w:rFonts w:ascii="Arial" w:cs="Arial" w:eastAsia="Arial" w:hAnsi="Arial"/>
          <w:sz w:val="18"/>
          <w:szCs w:val="18"/>
          <w:color w:val="auto"/>
        </w:rPr>
        <w:t>$700.0 million in principal amount of 2025 Notes, $600.0 million in principal amount of 2027 Notes, $400.0 million in principal amount of 2028</w:t>
      </w:r>
    </w:p>
    <w:p>
      <w:pPr>
        <w:spacing w:after="0" w:line="235" w:lineRule="auto"/>
        <w:rPr>
          <w:sz w:val="20"/>
          <w:szCs w:val="20"/>
          <w:color w:val="auto"/>
        </w:rPr>
      </w:pPr>
      <w:r>
        <w:rPr>
          <w:rFonts w:ascii="Arial" w:cs="Arial" w:eastAsia="Arial" w:hAnsi="Arial"/>
          <w:sz w:val="18"/>
          <w:szCs w:val="18"/>
          <w:color w:val="auto"/>
        </w:rPr>
        <w:t>Notes (together with the 2025 Notes and 2027 Notes, the Notes), $700.0 million in principal amount of outstanding borrowings under our</w:t>
      </w:r>
    </w:p>
    <w:p>
      <w:pPr>
        <w:spacing w:after="0" w:line="235" w:lineRule="auto"/>
        <w:rPr>
          <w:sz w:val="20"/>
          <w:szCs w:val="20"/>
          <w:color w:val="auto"/>
        </w:rPr>
      </w:pPr>
      <w:r>
        <w:rPr>
          <w:rFonts w:ascii="Arial" w:cs="Arial" w:eastAsia="Arial" w:hAnsi="Arial"/>
          <w:sz w:val="18"/>
          <w:szCs w:val="18"/>
          <w:color w:val="auto"/>
        </w:rPr>
        <w:t>$700.0 million Term Loan Facility, $150.0 million in principal amount of outstanding borrowings under our $700.0 million Revolving Credit</w:t>
      </w:r>
    </w:p>
    <w:p>
      <w:pPr>
        <w:spacing w:after="0" w:line="235" w:lineRule="auto"/>
        <w:rPr>
          <w:sz w:val="20"/>
          <w:szCs w:val="20"/>
          <w:color w:val="auto"/>
        </w:rPr>
      </w:pPr>
      <w:r>
        <w:rPr>
          <w:rFonts w:ascii="Arial" w:cs="Arial" w:eastAsia="Arial" w:hAnsi="Arial"/>
          <w:sz w:val="18"/>
          <w:szCs w:val="18"/>
          <w:color w:val="auto"/>
        </w:rPr>
        <w:t>Facility, $68.8 million in principal amount of outstanding borrowings under our Ex-Im Credit Facility and $45.7 million of finance lease</w:t>
      </w:r>
    </w:p>
    <w:p>
      <w:pPr>
        <w:spacing w:after="0"/>
        <w:rPr>
          <w:sz w:val="20"/>
          <w:szCs w:val="20"/>
          <w:color w:val="auto"/>
        </w:rPr>
      </w:pPr>
      <w:r>
        <w:rPr>
          <w:rFonts w:ascii="Arial" w:cs="Arial" w:eastAsia="Arial" w:hAnsi="Arial"/>
          <w:sz w:val="18"/>
          <w:szCs w:val="18"/>
          <w:color w:val="auto"/>
        </w:rPr>
        <w:t>obligations. For information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48" w:name="page49"/>
    <w:bookmarkEnd w:id="48"/>
    <w:p>
      <w:pPr>
        <w:ind w:right="220"/>
        <w:spacing w:after="0" w:line="246" w:lineRule="auto"/>
        <w:rPr>
          <w:sz w:val="20"/>
          <w:szCs w:val="20"/>
          <w:color w:val="auto"/>
        </w:rPr>
      </w:pPr>
      <w:r>
        <w:rPr>
          <w:rFonts w:ascii="Arial" w:cs="Arial" w:eastAsia="Arial" w:hAnsi="Arial"/>
          <w:sz w:val="18"/>
          <w:szCs w:val="18"/>
          <w:color w:val="auto"/>
        </w:rPr>
        <w:t>regarding our Term Loan Facility, Revolving Credit Facility and Ex-Im Facility (collectively, the Credit Facilities) and Notes, refer to Note 6 – Senior Notes and Other Long-Term Debt to our condensed consolidated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 and IR&amp;D Investments</w:t>
      </w:r>
    </w:p>
    <w:p>
      <w:pPr>
        <w:spacing w:after="0" w:line="99" w:lineRule="exact"/>
        <w:rPr>
          <w:sz w:val="20"/>
          <w:szCs w:val="20"/>
          <w:color w:val="auto"/>
        </w:rPr>
      </w:pPr>
    </w:p>
    <w:p>
      <w:pPr>
        <w:ind w:right="440" w:firstLine="509"/>
        <w:spacing w:after="0" w:line="246" w:lineRule="auto"/>
        <w:rPr>
          <w:sz w:val="20"/>
          <w:szCs w:val="20"/>
          <w:color w:val="auto"/>
        </w:rPr>
      </w:pPr>
      <w:r>
        <w:rPr>
          <w:rFonts w:ascii="Arial" w:cs="Arial" w:eastAsia="Arial" w:hAnsi="Arial"/>
          <w:sz w:val="18"/>
          <w:szCs w:val="18"/>
          <w:color w:val="auto"/>
        </w:rPr>
        <w:t>For a discussion of our capital expenditures and IR&amp;D investments, see Part II, Item 7, “Liquidity and Capital Resources – Capital Expenditures and IR&amp;D Investments” in our Annual Report on Form 10-K for the year ended March 31, 2022.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certain material cash requirements for known contractual obligations and commitments at</w:t>
      </w:r>
    </w:p>
    <w:p>
      <w:pPr>
        <w:spacing w:after="0"/>
        <w:rPr>
          <w:sz w:val="20"/>
          <w:szCs w:val="20"/>
          <w:color w:val="auto"/>
        </w:rPr>
      </w:pPr>
      <w:r>
        <w:rPr>
          <w:rFonts w:ascii="Arial" w:cs="Arial" w:eastAsia="Arial" w:hAnsi="Arial"/>
          <w:sz w:val="18"/>
          <w:szCs w:val="18"/>
          <w:color w:val="auto"/>
        </w:rPr>
        <w:t>June 30, 2022: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Next 12 months</w:t>
            </w: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leases</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79,372</w:t>
            </w: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420,584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20" w:type="dxa"/>
            <w:vAlign w:val="bottom"/>
          </w:tcPr>
          <w:p>
            <w:pPr>
              <w:ind w:left="20"/>
              <w:spacing w:after="0"/>
              <w:rPr>
                <w:sz w:val="20"/>
                <w:szCs w:val="20"/>
                <w:color w:val="auto"/>
              </w:rPr>
            </w:pPr>
            <w:r>
              <w:rPr>
                <w:rFonts w:ascii="Arial" w:cs="Arial" w:eastAsia="Arial" w:hAnsi="Arial"/>
                <w:sz w:val="14"/>
                <w:szCs w:val="14"/>
                <w:color w:val="auto"/>
              </w:rPr>
              <w:t>Senior Notes and Other Long-Term Debt (1)</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185,956</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3,248,089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7420" w:type="dxa"/>
            <w:vAlign w:val="bottom"/>
            <w:shd w:val="clear" w:color="auto" w:fill="CFF0FC"/>
          </w:tcPr>
          <w:p>
            <w:pPr>
              <w:ind w:left="20"/>
              <w:spacing w:after="0" w:line="153" w:lineRule="exact"/>
              <w:rPr>
                <w:sz w:val="20"/>
                <w:szCs w:val="20"/>
                <w:color w:val="auto"/>
              </w:rPr>
            </w:pPr>
            <w:r>
              <w:rPr>
                <w:rFonts w:ascii="Arial" w:cs="Arial" w:eastAsia="Arial" w:hAnsi="Arial"/>
                <w:sz w:val="14"/>
                <w:szCs w:val="14"/>
                <w:color w:val="auto"/>
              </w:rPr>
              <w:t>Purchase commitments including satellite-related</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1,501,316</w:t>
            </w:r>
          </w:p>
        </w:tc>
        <w:tc>
          <w:tcPr>
            <w:tcW w:w="3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1,075,532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420" w:type="dxa"/>
            <w:vAlign w:val="bottom"/>
            <w:tcBorders>
              <w:bottom w:val="single" w:sz="8" w:color="CFF0FC"/>
            </w:tcBorders>
            <w:shd w:val="clear" w:color="auto" w:fill="CFF0FC"/>
          </w:tcPr>
          <w:p>
            <w:pPr>
              <w:ind w:left="140"/>
              <w:spacing w:after="0" w:line="157" w:lineRule="exact"/>
              <w:rPr>
                <w:sz w:val="20"/>
                <w:szCs w:val="20"/>
                <w:color w:val="auto"/>
              </w:rPr>
            </w:pPr>
            <w:r>
              <w:rPr>
                <w:rFonts w:ascii="Arial" w:cs="Arial" w:eastAsia="Arial" w:hAnsi="Arial"/>
                <w:sz w:val="14"/>
                <w:szCs w:val="14"/>
                <w:color w:val="auto"/>
              </w:rPr>
              <w:t>agreements</w:t>
            </w:r>
          </w:p>
        </w:tc>
        <w:tc>
          <w:tcPr>
            <w:tcW w:w="2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vMerge w:val="continue"/>
            <w:shd w:val="clear" w:color="auto" w:fill="CFF0FC"/>
          </w:tcPr>
          <w:p>
            <w:pPr>
              <w:spacing w:after="0"/>
              <w:rPr>
                <w:sz w:val="13"/>
                <w:szCs w:val="13"/>
                <w:color w:val="auto"/>
              </w:rPr>
            </w:pPr>
          </w:p>
        </w:tc>
        <w:tc>
          <w:tcPr>
            <w:tcW w:w="3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34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420" w:type="dxa"/>
            <w:vAlign w:val="bottom"/>
          </w:tcPr>
          <w:p>
            <w:pPr>
              <w:ind w:left="20"/>
              <w:spacing w:after="0"/>
              <w:rPr>
                <w:sz w:val="20"/>
                <w:szCs w:val="20"/>
                <w:color w:val="auto"/>
              </w:rPr>
            </w:pPr>
            <w:r>
              <w:rPr>
                <w:rFonts w:ascii="Arial" w:cs="Arial" w:eastAsia="Arial" w:hAnsi="Arial"/>
                <w:sz w:val="14"/>
                <w:szCs w:val="14"/>
                <w:color w:val="auto"/>
              </w:rPr>
              <w:t>Total</w:t>
            </w: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1,766,644</w:t>
            </w: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4,744,205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-142240</wp:posOffset>
            </wp:positionV>
            <wp:extent cx="6858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wp:posOffset>
            </wp:positionV>
            <wp:extent cx="6858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626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20" w:right="200" w:hanging="512"/>
        <w:spacing w:after="0" w:line="246"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the extent that the interest rate on any long-term debt is variable, amounts reflected represent estimated interest payments on the applicable current outstanding balance based on the interest rate at June 30, 2022 until the applicable maturity date.</w:t>
      </w:r>
    </w:p>
    <w:p>
      <w:pPr>
        <w:spacing w:after="0" w:line="183" w:lineRule="exact"/>
        <w:rPr>
          <w:sz w:val="20"/>
          <w:szCs w:val="20"/>
          <w:color w:val="auto"/>
        </w:rPr>
      </w:pPr>
    </w:p>
    <w:p>
      <w:pPr>
        <w:ind w:right="180" w:firstLine="509"/>
        <w:spacing w:after="0" w:line="237" w:lineRule="auto"/>
        <w:rPr>
          <w:sz w:val="20"/>
          <w:szCs w:val="20"/>
          <w:color w:val="auto"/>
        </w:rPr>
      </w:pPr>
      <w:r>
        <w:rPr>
          <w:rFonts w:ascii="Arial" w:cs="Arial" w:eastAsia="Arial" w:hAnsi="Arial"/>
          <w:sz w:val="18"/>
          <w:szCs w:val="18"/>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149"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Our condensed consolidated balance sheets included $ 149.2 million and $157.5 million of “other liabilities” as of June 30, 2022 and March 31, 2022, respectively, which primarily consisted of the long-term portion of deferred revenues, the long-term portion of our satellite performance incentive obligations relating to the ViaSat-1 and ViaSat-2 satellites, deferred income taxes and our long-term warranty obligations. With the exception of the long-term portion of our satellite performance incentive obligations relating to the ViaSat-1 and ViaSat-2 satellites (which is included under “Purchase commitments including satellite-related agreements”), these remaining liabilities have been excluded from the above table as the timing and/or the amount of any cash payment is uncertain. See Note 12 — Commitments to our consolidated financial statements included in our Annual Report on Form 10-K for the year ended March 31, 2022 for additional information regarding satellite performance incentive obligations relating to the ViaSat-1 and ViaSat-2 satellites. See Note 7 — Product Warranty to our condensed consolidated financial statements for a discussion of our product warranties. Also excluded from the above table are amounts payable to the Sellers under the Purchase Agreement in the Inmarsat Transaction.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9" w:lineRule="exact"/>
        <w:rPr>
          <w:sz w:val="20"/>
          <w:szCs w:val="20"/>
          <w:color w:val="auto"/>
        </w:rPr>
      </w:pPr>
    </w:p>
    <w:p>
      <w:pPr>
        <w:ind w:right="300" w:firstLine="509"/>
        <w:spacing w:after="0"/>
        <w:rPr>
          <w:sz w:val="20"/>
          <w:szCs w:val="20"/>
          <w:color w:val="auto"/>
        </w:rPr>
      </w:pPr>
      <w:r>
        <w:rPr>
          <w:rFonts w:ascii="Arial" w:cs="Arial" w:eastAsia="Arial" w:hAnsi="Arial"/>
          <w:sz w:val="18"/>
          <w:szCs w:val="18"/>
          <w:color w:val="auto"/>
        </w:rPr>
        <w:t>We had no material off-balance sheet arrangements at June 30, 2022 as defined in Regulation S-K Item 303(b) other than as discussed under “Contractual Obligations” above or disclosed in the notes to our condensed consolidated financial statements included in this report or in our Annual Report on Form 10-K for the year ended March 31, 2022.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99" w:lineRule="exact"/>
        <w:rPr>
          <w:sz w:val="20"/>
          <w:szCs w:val="20"/>
          <w:color w:val="auto"/>
        </w:rPr>
      </w:pPr>
    </w:p>
    <w:p>
      <w:pPr>
        <w:ind w:right="640" w:firstLine="509"/>
        <w:spacing w:after="0" w:line="246" w:lineRule="auto"/>
        <w:rPr>
          <w:sz w:val="20"/>
          <w:szCs w:val="20"/>
          <w:color w:val="auto"/>
        </w:rPr>
      </w:pPr>
      <w:r>
        <w:rPr>
          <w:rFonts w:ascii="Arial" w:cs="Arial" w:eastAsia="Arial" w:hAnsi="Arial"/>
          <w:sz w:val="18"/>
          <w:szCs w:val="18"/>
          <w:color w:val="auto"/>
        </w:rPr>
        <w:t>For information regarding recently adopted and issued accounting pronouncements, see Note 1 — Basis of Presentation to our condensed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49" w:name="page50"/>
    <w:bookmarkEnd w:id="49"/>
    <w:p>
      <w:pPr>
        <w:ind w:right="5540"/>
        <w:spacing w:after="0" w:line="341" w:lineRule="auto"/>
        <w:rPr>
          <w:sz w:val="20"/>
          <w:szCs w:val="20"/>
          <w:color w:val="auto"/>
        </w:rPr>
      </w:pPr>
      <w:r>
        <w:rPr>
          <w:rFonts w:ascii="Arial" w:cs="Arial" w:eastAsia="Arial" w:hAnsi="Arial"/>
          <w:sz w:val="18"/>
          <w:szCs w:val="18"/>
          <w:b w:val="1"/>
          <w:bCs w:val="1"/>
          <w:color w:val="auto"/>
        </w:rPr>
        <w:t>Item 3. Quantitative and Qualitative Disclosures About Market Risk Interest Rate Risk</w:t>
      </w:r>
    </w:p>
    <w:p>
      <w:pPr>
        <w:spacing w:after="0" w:line="1"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Our financial instruments consist of cash and cash equivalents, accounts receivable, accounts payable and short-term and long-term obligations (including the Credit Facilities and the Notes). We consider investments in highly liquid instruments purchased with a remaining maturity of three months or less at the date of purchase to be cash equivalents. As of June 30, 2022, we had $700.0 million in principal amount of outstanding borrowings under our Term Loan Facility, $150.0 million in principal amount of outstanding borrowings under our Revolving Credit Facility, $68.8 million in principal amount of outstanding borrowings under our Ex-Im Credit Facility, $700.0 million in aggregate principal amount outstanding of the 2025 Notes, $600.0 million in aggregate principal amount outstanding of the 2027 Notes and $400.0 million in aggregate principal amount outstanding of the 2028 Notes, and we held no short-term investments. The Notes and borrowings under our Ex-Im Credit Facility bear interest at a fixed rate and therefore our exposure to market risk for changes in interest rates relates primarily to borrowings under our Term Loan Facility and Revolving Credit Facility, cash equivalents, short-term investments and short-term obligations.</w:t>
      </w:r>
    </w:p>
    <w:p>
      <w:pPr>
        <w:spacing w:after="0" w:line="152"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The primary objective of our investment activities is to preserve principal while at the same time maximizing the income we receive from our investments without significantly increasing risk. To minimize this risk, we maintain a significant amount of our cash balance in money market accounts. In general, money market accounts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an insignificant amount for both the three months ended June 30, 2022 and 2021.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51"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Our primary interest rate under the Term Loan Facility is the SOFR rate plus 4.50%. As of June 30, 2022, the effective interest rate on our outstanding borrowings under the Term Loan Facility was 6.67%. Our primary interest rate under the Revolving Credit Facility is the Eurodollar rate plus an applicable margin that is based on our total leverage ratio. As of June 30, 2022, the weighted average effective interest rate on our outstanding borrowings under the Revolving Credit Facility was 2.92%. Accordingly, assuming both the outstanding balances under the Term Loan Facility and the Revolving Credit Facility remained constant over a year, a 50 basis point increase in the interest rates would increase interest incurred, prior to effects of capitalized interest, by approximately $4.3 million over a 12-month period.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99"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We generally conduct our business in U.S. dollars. However, as our international business is conducted in a variety of foreign currencies, we are exposed to fluctuations in foreign currency exchange rates. A five percent variance in foreign currencies in which our international business is conducted would change our income (loss) before income taxes by an insignificant amount for both the three months ended June 30, 2022 and 2021.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2022 and March 31, 2022, we had no foreign currency forward contracts outstanding.</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9"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49"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June 30, 2022, the end of the period covered by this report. Based upon the foregoing, our Chief Executive Officer and Chief Financial Officer concluded that our disclosure controls and procedures were effective at a reasonable assurance level as of June 30, 2022.</w:t>
      </w:r>
    </w:p>
    <w:p>
      <w:pPr>
        <w:spacing w:after="0" w:line="151" w:lineRule="exact"/>
        <w:rPr>
          <w:sz w:val="20"/>
          <w:szCs w:val="20"/>
          <w:color w:val="auto"/>
        </w:rPr>
      </w:pPr>
    </w:p>
    <w:p>
      <w:pPr>
        <w:ind w:right="360" w:firstLine="509"/>
        <w:spacing w:after="0" w:line="246"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have materially affected, or are reasonably likely to materially affect, our internal control over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From time to time,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in our Annual Report on Form 10-K for the fiscal year ended March 31, 2022.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9"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fiscal year ended March 31, 2022, which factors could materially affect our business, financial condition, liquidity or future results. The risks described in our reports on Forms 10-K and 10 -Q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62" w:right="39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5. Other Information</w:t>
      </w:r>
    </w:p>
    <w:p>
      <w:pPr>
        <w:spacing w:after="0" w:line="9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On August 3, 2022, Viasat, Inc. and Viasat Technologies Limited entered into the Sixth Amendment to Credit Agreement (the Ex-Im Amendment) with JP Morgan Chase Bank, National Association, and the Export-Import Bank of the United States, which amended our Ex-Im Credit Facility. See Note 6 — Senior Notes and Other Long-Term Debt — Ex-Im Credit Facility to our condensed consolidated financial statements for a description of the terms of the Ex-Im Credit Facility. The Ex-Im Amendment, among other matters, includes amendments providing for additional covenant flexibility. Certain of the amendments will become effective at and are conditional upon the closing of the Inmarsat Transaction.</w:t>
      </w:r>
    </w:p>
    <w:p>
      <w:pPr>
        <w:spacing w:after="0" w:line="15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JPMorgan Chase Bank, National Association and its affiliates have performed, and may in the future perform, for us and our affiliates various commercial banking, investment banking, financial advisory or other services (including in connection with the Term Loan Facility and Revolving Credit Facility), for which they have received and/or may in the future receive customary compensation and expense reimbursement.</w:t>
      </w:r>
    </w:p>
    <w:p>
      <w:pPr>
        <w:spacing w:after="0" w:line="151"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The description of the Ex-Im Amendment contained herein does not purport to be complete and is qualified in its entirety by reference to the complete text of the Ex-Im Amendment, which is attached as Exhibit 10.2 to this report and is incorporated herein by reference.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62" w:right="37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Incorporated by Reference</w:t>
            </w:r>
          </w:p>
        </w:tc>
        <w:tc>
          <w:tcPr>
            <w:tcW w:w="1240" w:type="dxa"/>
            <w:vAlign w:val="bottom"/>
            <w:tcBorders>
              <w:bottom w:val="single" w:sz="8" w:color="auto"/>
            </w:tcBorders>
          </w:tcPr>
          <w:p>
            <w:pPr>
              <w:spacing w:after="0"/>
              <w:rPr>
                <w:sz w:val="16"/>
                <w:szCs w:val="16"/>
                <w:color w:val="auto"/>
              </w:rPr>
            </w:pPr>
          </w:p>
        </w:tc>
      </w:tr>
      <w:tr>
        <w:trPr>
          <w:trHeight w:val="264"/>
        </w:trPr>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189"/>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14"/>
          </w:tcPr>
          <w:p>
            <w:pPr>
              <w:ind w:left="6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tcPr>
          <w:p>
            <w:pPr>
              <w:spacing w:after="0"/>
              <w:rPr>
                <w:sz w:val="16"/>
                <w:szCs w:val="16"/>
                <w:color w:val="auto"/>
              </w:rPr>
            </w:pP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Filing Date</w:t>
            </w:r>
          </w:p>
        </w:tc>
      </w:tr>
      <w:tr>
        <w:trPr>
          <w:trHeight w:val="276"/>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7"/>
          </w:tcPr>
          <w:p>
            <w:pPr>
              <w:spacing w:after="0"/>
              <w:rPr>
                <w:rFonts w:ascii="Arial" w:cs="Arial" w:eastAsia="Arial" w:hAnsi="Arial"/>
                <w:sz w:val="18"/>
                <w:szCs w:val="18"/>
                <w:color w:val="0000FF"/>
              </w:rPr>
            </w:pPr>
            <w:hyperlink r:id="rId256">
              <w:r>
                <w:rPr>
                  <w:rFonts w:ascii="Arial" w:cs="Arial" w:eastAsia="Arial" w:hAnsi="Arial"/>
                  <w:sz w:val="18"/>
                  <w:szCs w:val="18"/>
                  <w:color w:val="0000FF"/>
                </w:rPr>
                <w:t>Form of First Amendment to Change in Control</w:t>
              </w:r>
            </w:hyperlink>
          </w:p>
        </w:tc>
        <w:tc>
          <w:tcPr>
            <w:tcW w:w="1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10-K</w:t>
            </w:r>
          </w:p>
        </w:tc>
        <w:tc>
          <w:tcPr>
            <w:tcW w:w="1360" w:type="dxa"/>
            <w:vAlign w:val="bottom"/>
            <w:gridSpan w:val="2"/>
          </w:tcPr>
          <w:p>
            <w:pPr>
              <w:jc w:val="right"/>
              <w:ind w:right="108"/>
              <w:spacing w:after="0"/>
              <w:rPr>
                <w:sz w:val="20"/>
                <w:szCs w:val="20"/>
                <w:color w:val="auto"/>
              </w:rPr>
            </w:pPr>
            <w:r>
              <w:rPr>
                <w:rFonts w:ascii="Arial" w:cs="Arial" w:eastAsia="Arial" w:hAnsi="Arial"/>
                <w:sz w:val="18"/>
                <w:szCs w:val="18"/>
                <w:color w:val="auto"/>
              </w:rPr>
              <w:t>000-21767</w:t>
            </w:r>
          </w:p>
        </w:tc>
        <w:tc>
          <w:tcPr>
            <w:tcW w:w="980" w:type="dxa"/>
            <w:vAlign w:val="bottom"/>
            <w:gridSpan w:val="2"/>
          </w:tcPr>
          <w:p>
            <w:pPr>
              <w:jc w:val="right"/>
              <w:ind w:right="68"/>
              <w:spacing w:after="0"/>
              <w:rPr>
                <w:sz w:val="20"/>
                <w:szCs w:val="20"/>
                <w:color w:val="auto"/>
              </w:rPr>
            </w:pPr>
            <w:r>
              <w:rPr>
                <w:rFonts w:ascii="Arial" w:cs="Arial" w:eastAsia="Arial" w:hAnsi="Arial"/>
                <w:sz w:val="18"/>
                <w:szCs w:val="18"/>
                <w:color w:val="auto"/>
              </w:rPr>
              <w:t>10.12.1</w:t>
            </w:r>
          </w:p>
        </w:tc>
        <w:tc>
          <w:tcPr>
            <w:tcW w:w="120" w:type="dxa"/>
            <w:vAlign w:val="bottom"/>
          </w:tcPr>
          <w:p>
            <w:pPr>
              <w:spacing w:after="0"/>
              <w:rPr>
                <w:sz w:val="24"/>
                <w:szCs w:val="24"/>
                <w:color w:val="auto"/>
              </w:rPr>
            </w:pPr>
          </w:p>
        </w:tc>
        <w:tc>
          <w:tcPr>
            <w:tcW w:w="1240" w:type="dxa"/>
            <w:vAlign w:val="bottom"/>
          </w:tcPr>
          <w:p>
            <w:pPr>
              <w:jc w:val="right"/>
              <w:ind w:right="99"/>
              <w:spacing w:after="0"/>
              <w:rPr>
                <w:sz w:val="20"/>
                <w:szCs w:val="20"/>
                <w:color w:val="auto"/>
              </w:rPr>
            </w:pPr>
            <w:r>
              <w:rPr>
                <w:rFonts w:ascii="Arial" w:cs="Arial" w:eastAsia="Arial" w:hAnsi="Arial"/>
                <w:sz w:val="18"/>
                <w:szCs w:val="18"/>
                <w:color w:val="auto"/>
              </w:rPr>
              <w:t>05/31/2022</w:t>
            </w: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0000FF"/>
            </w:tcBorders>
            <w:gridSpan w:val="9"/>
          </w:tcPr>
          <w:p>
            <w:pPr>
              <w:spacing w:after="0" w:line="157" w:lineRule="exact"/>
              <w:rPr>
                <w:rFonts w:ascii="Arial" w:cs="Arial" w:eastAsia="Arial" w:hAnsi="Arial"/>
                <w:sz w:val="18"/>
                <w:szCs w:val="18"/>
                <w:color w:val="0000FF"/>
                <w:w w:val="98"/>
              </w:rPr>
            </w:pPr>
            <w:hyperlink r:id="rId256">
              <w:r>
                <w:rPr>
                  <w:rFonts w:ascii="Arial" w:cs="Arial" w:eastAsia="Arial" w:hAnsi="Arial"/>
                  <w:sz w:val="18"/>
                  <w:szCs w:val="18"/>
                  <w:color w:val="0000FF"/>
                  <w:w w:val="98"/>
                </w:rPr>
                <w:t>Severance Agreement between ViaSat, Inc. and</w:t>
              </w:r>
            </w:hyperlink>
          </w:p>
        </w:tc>
        <w:tc>
          <w:tcPr>
            <w:tcW w:w="540" w:type="dxa"/>
            <w:vAlign w:val="bottom"/>
            <w:gridSpan w:val="8"/>
          </w:tcPr>
          <w:p>
            <w:pPr>
              <w:ind w:left="100"/>
              <w:spacing w:after="0" w:line="157" w:lineRule="exact"/>
              <w:rPr>
                <w:rFonts w:ascii="Arial" w:cs="Arial" w:eastAsia="Arial" w:hAnsi="Arial"/>
                <w:sz w:val="18"/>
                <w:szCs w:val="18"/>
                <w:color w:val="0000FF"/>
              </w:rPr>
            </w:pPr>
            <w:hyperlink r:id="rId256">
              <w:r>
                <w:rPr>
                  <w:rFonts w:ascii="Arial" w:cs="Arial" w:eastAsia="Arial" w:hAnsi="Arial"/>
                  <w:sz w:val="18"/>
                  <w:szCs w:val="18"/>
                  <w:color w:val="0000FF"/>
                </w:rPr>
                <w:t>each</w:t>
              </w:r>
            </w:hyperlink>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8"/>
              </w:rPr>
            </w:pPr>
            <w:hyperlink r:id="rId256">
              <w:r>
                <w:rPr>
                  <w:rFonts w:ascii="Arial" w:cs="Arial" w:eastAsia="Arial" w:hAnsi="Arial"/>
                  <w:sz w:val="18"/>
                  <w:szCs w:val="18"/>
                  <w:color w:val="0000FF"/>
                  <w:w w:val="98"/>
                </w:rPr>
                <w:t>of its executive officers</w:t>
              </w:r>
            </w:hyperlink>
          </w:p>
        </w:tc>
        <w:tc>
          <w:tcPr>
            <w:tcW w:w="20" w:type="dxa"/>
            <w:vAlign w:val="bottom"/>
            <w:tcBorders>
              <w:top w:val="single" w:sz="8" w:color="0000FF"/>
              <w:bottom w:val="single" w:sz="8" w:color="0000EE"/>
            </w:tcBorders>
          </w:tcPr>
          <w:p>
            <w:pPr>
              <w:spacing w:after="0"/>
              <w:rPr>
                <w:sz w:val="13"/>
                <w:szCs w:val="13"/>
                <w:color w:val="auto"/>
              </w:rPr>
            </w:pPr>
          </w:p>
        </w:tc>
        <w:tc>
          <w:tcPr>
            <w:tcW w:w="248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90"/>
        </w:trPr>
        <w:tc>
          <w:tcPr>
            <w:tcW w:w="1080" w:type="dxa"/>
            <w:vAlign w:val="bottom"/>
          </w:tcPr>
          <w:p>
            <w:pPr>
              <w:jc w:val="center"/>
              <w:spacing w:after="0"/>
              <w:rPr>
                <w:sz w:val="20"/>
                <w:szCs w:val="20"/>
                <w:color w:val="auto"/>
              </w:rPr>
            </w:pPr>
            <w:r>
              <w:rPr>
                <w:rFonts w:ascii="Arial" w:cs="Arial" w:eastAsia="Arial" w:hAnsi="Arial"/>
                <w:sz w:val="18"/>
                <w:szCs w:val="18"/>
                <w:color w:val="auto"/>
                <w:w w:val="96"/>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7"/>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Sixth Amendment to Credit Agreement, dated as of</w:t>
              </w:r>
            </w:hyperlink>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7"/>
              </w:rPr>
            </w:pPr>
            <w:hyperlink w:anchor="page55">
              <w:r>
                <w:rPr>
                  <w:rFonts w:ascii="Arial" w:cs="Arial" w:eastAsia="Arial" w:hAnsi="Arial"/>
                  <w:sz w:val="18"/>
                  <w:szCs w:val="18"/>
                  <w:color w:val="0000FF"/>
                  <w:w w:val="97"/>
                </w:rPr>
                <w:t>August 3, 2022, among Viasat Technologies Limited,</w:t>
              </w:r>
            </w:hyperlink>
          </w:p>
        </w:tc>
        <w:tc>
          <w:tcPr>
            <w:tcW w:w="1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gridSpan w:val="14"/>
          </w:tcPr>
          <w:p>
            <w:pPr>
              <w:spacing w:after="0" w:line="154" w:lineRule="exact"/>
              <w:rPr>
                <w:rFonts w:ascii="Arial" w:cs="Arial" w:eastAsia="Arial" w:hAnsi="Arial"/>
                <w:sz w:val="17"/>
                <w:szCs w:val="17"/>
                <w:color w:val="0000FF"/>
              </w:rPr>
            </w:pPr>
            <w:hyperlink w:anchor="page55">
              <w:r>
                <w:rPr>
                  <w:rFonts w:ascii="Arial" w:cs="Arial" w:eastAsia="Arial" w:hAnsi="Arial"/>
                  <w:sz w:val="17"/>
                  <w:szCs w:val="17"/>
                  <w:color w:val="0000FF"/>
                </w:rPr>
                <w:t>Viasat, Inc., JP Morgan Chase Bank, National</w:t>
              </w:r>
            </w:hyperlink>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Borders>
              <w:top w:val="single" w:sz="8" w:color="0000FF"/>
            </w:tcBorders>
            <w:gridSpan w:val="6"/>
          </w:tcPr>
          <w:p>
            <w:pPr>
              <w:spacing w:after="0" w:line="157" w:lineRule="exact"/>
              <w:rPr>
                <w:rFonts w:ascii="Arial" w:cs="Arial" w:eastAsia="Arial" w:hAnsi="Arial"/>
                <w:sz w:val="18"/>
                <w:szCs w:val="18"/>
                <w:color w:val="0000FF"/>
                <w:w w:val="98"/>
              </w:rPr>
            </w:pPr>
            <w:hyperlink w:anchor="page55">
              <w:r>
                <w:rPr>
                  <w:rFonts w:ascii="Arial" w:cs="Arial" w:eastAsia="Arial" w:hAnsi="Arial"/>
                  <w:sz w:val="18"/>
                  <w:szCs w:val="18"/>
                  <w:color w:val="0000FF"/>
                  <w:w w:val="98"/>
                </w:rPr>
                <w:t>Association, and the Export-Import Bank of the</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9"/>
          </w:tcPr>
          <w:p>
            <w:pPr>
              <w:spacing w:after="0" w:line="157" w:lineRule="exact"/>
              <w:rPr>
                <w:rFonts w:ascii="Arial" w:cs="Arial" w:eastAsia="Arial" w:hAnsi="Arial"/>
                <w:sz w:val="18"/>
                <w:szCs w:val="18"/>
                <w:color w:val="0000FF"/>
              </w:rPr>
            </w:pPr>
            <w:hyperlink w:anchor="page55">
              <w:r>
                <w:rPr>
                  <w:rFonts w:ascii="Arial" w:cs="Arial" w:eastAsia="Arial" w:hAnsi="Arial"/>
                  <w:sz w:val="18"/>
                  <w:szCs w:val="18"/>
                  <w:color w:val="0000FF"/>
                </w:rPr>
                <w:t>United</w:t>
              </w:r>
            </w:hyperlink>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7"/>
              </w:rPr>
            </w:pPr>
            <w:hyperlink w:anchor="page55">
              <w:r>
                <w:rPr>
                  <w:rFonts w:ascii="Arial" w:cs="Arial" w:eastAsia="Arial" w:hAnsi="Arial"/>
                  <w:sz w:val="18"/>
                  <w:szCs w:val="18"/>
                  <w:color w:val="0000FF"/>
                  <w:w w:val="97"/>
                </w:rPr>
                <w:t>States</w:t>
              </w:r>
            </w:hyperlink>
          </w:p>
        </w:tc>
        <w:tc>
          <w:tcPr>
            <w:tcW w:w="20" w:type="dxa"/>
            <w:vAlign w:val="bottom"/>
            <w:tcBorders>
              <w:top w:val="single" w:sz="8" w:color="0000FF"/>
              <w:bottom w:val="single" w:sz="8" w:color="0000EE"/>
            </w:tcBorders>
          </w:tcPr>
          <w:p>
            <w:pPr>
              <w:spacing w:after="0"/>
              <w:rPr>
                <w:sz w:val="13"/>
                <w:szCs w:val="13"/>
                <w:color w:val="auto"/>
              </w:rPr>
            </w:pPr>
          </w:p>
        </w:tc>
        <w:tc>
          <w:tcPr>
            <w:tcW w:w="378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90"/>
        </w:trPr>
        <w:tc>
          <w:tcPr>
            <w:tcW w:w="1080" w:type="dxa"/>
            <w:vAlign w:val="bottom"/>
          </w:tcPr>
          <w:p>
            <w:pPr>
              <w:jc w:val="center"/>
              <w:spacing w:after="0"/>
              <w:rPr>
                <w:sz w:val="20"/>
                <w:szCs w:val="20"/>
                <w:color w:val="auto"/>
              </w:rPr>
            </w:pPr>
            <w:r>
              <w:rPr>
                <w:rFonts w:ascii="Arial" w:cs="Arial" w:eastAsia="Arial" w:hAnsi="Arial"/>
                <w:sz w:val="18"/>
                <w:szCs w:val="18"/>
                <w:color w:val="auto"/>
                <w:w w:val="96"/>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7"/>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Certification of Chief Executive Officer Pursuant to</w:t>
              </w:r>
            </w:hyperlink>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w:anchor="page62">
              <w:r>
                <w:rPr>
                  <w:rFonts w:ascii="Arial" w:cs="Arial" w:eastAsia="Arial" w:hAnsi="Arial"/>
                  <w:sz w:val="18"/>
                  <w:szCs w:val="18"/>
                  <w:color w:val="0000FF"/>
                  <w:w w:val="99"/>
                </w:rPr>
                <w:t>Section 302 of the Sarbanes-Oxley Act of 2002</w:t>
              </w:r>
            </w:hyperlink>
          </w:p>
        </w:tc>
        <w:tc>
          <w:tcPr>
            <w:tcW w:w="280" w:type="dxa"/>
            <w:vAlign w:val="bottom"/>
            <w:tcBorders>
              <w:top w:val="single" w:sz="8" w:color="0000FF"/>
            </w:tcBorders>
            <w:gridSpan w:val="5"/>
          </w:tcPr>
          <w:p>
            <w:pPr>
              <w:spacing w:after="0"/>
              <w:rPr>
                <w:sz w:val="13"/>
                <w:szCs w:val="13"/>
                <w:color w:val="auto"/>
              </w:rPr>
            </w:pPr>
          </w:p>
        </w:tc>
        <w:tc>
          <w:tcPr>
            <w:tcW w:w="24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90"/>
        </w:trPr>
        <w:tc>
          <w:tcPr>
            <w:tcW w:w="1080" w:type="dxa"/>
            <w:vAlign w:val="bottom"/>
          </w:tcPr>
          <w:p>
            <w:pPr>
              <w:jc w:val="center"/>
              <w:spacing w:after="0"/>
              <w:rPr>
                <w:sz w:val="20"/>
                <w:szCs w:val="20"/>
                <w:color w:val="auto"/>
              </w:rPr>
            </w:pPr>
            <w:r>
              <w:rPr>
                <w:rFonts w:ascii="Arial" w:cs="Arial" w:eastAsia="Arial" w:hAnsi="Arial"/>
                <w:sz w:val="18"/>
                <w:szCs w:val="18"/>
                <w:color w:val="auto"/>
                <w:w w:val="96"/>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7"/>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Certification of Chief Financial Officer Pursuant to</w:t>
              </w:r>
            </w:hyperlink>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w:anchor="page63">
              <w:r>
                <w:rPr>
                  <w:rFonts w:ascii="Arial" w:cs="Arial" w:eastAsia="Arial" w:hAnsi="Arial"/>
                  <w:sz w:val="18"/>
                  <w:szCs w:val="18"/>
                  <w:color w:val="0000FF"/>
                  <w:w w:val="99"/>
                </w:rPr>
                <w:t>Section 302 of the 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20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91"/>
        </w:trPr>
        <w:tc>
          <w:tcPr>
            <w:tcW w:w="1080" w:type="dxa"/>
            <w:vAlign w:val="bottom"/>
          </w:tcPr>
          <w:p>
            <w:pPr>
              <w:jc w:val="center"/>
              <w:spacing w:after="0"/>
              <w:rPr>
                <w:sz w:val="20"/>
                <w:szCs w:val="20"/>
                <w:color w:val="auto"/>
              </w:rPr>
            </w:pPr>
            <w:r>
              <w:rPr>
                <w:rFonts w:ascii="Arial" w:cs="Arial" w:eastAsia="Arial" w:hAnsi="Arial"/>
                <w:sz w:val="18"/>
                <w:szCs w:val="18"/>
                <w:color w:val="auto"/>
                <w:w w:val="96"/>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7"/>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Certifications Pursuant to 18 U.S.C. Section 1350, as</w:t>
              </w:r>
            </w:hyperlink>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64">
              <w:r>
                <w:rPr>
                  <w:rFonts w:ascii="Arial" w:cs="Arial" w:eastAsia="Arial" w:hAnsi="Arial"/>
                  <w:sz w:val="18"/>
                  <w:szCs w:val="18"/>
                  <w:color w:val="0000FF"/>
                </w:rPr>
                <w:t>Adopted Pursuant to Section 906 of the Sarbanes-</w:t>
              </w:r>
            </w:hyperlink>
          </w:p>
        </w:tc>
        <w:tc>
          <w:tcPr>
            <w:tcW w:w="6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64">
              <w:r>
                <w:rPr>
                  <w:rFonts w:ascii="Arial" w:cs="Arial" w:eastAsia="Arial" w:hAnsi="Arial"/>
                  <w:sz w:val="18"/>
                  <w:szCs w:val="18"/>
                  <w:color w:val="0000FF"/>
                </w:rPr>
                <w:t>Oxley Act of 2002</w:t>
              </w:r>
            </w:hyperlink>
          </w:p>
        </w:tc>
        <w:tc>
          <w:tcPr>
            <w:tcW w:w="320" w:type="dxa"/>
            <w:vAlign w:val="bottom"/>
            <w:gridSpan w:val="6"/>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right w:val="single" w:sz="8" w:color="0000EE"/>
            </w:tcBorders>
            <w:gridSpan w:val="3"/>
            <w:shd w:val="clear" w:color="auto" w:fill="0000FF"/>
          </w:tcPr>
          <w:p>
            <w:pPr>
              <w:spacing w:after="0" w:line="20" w:lineRule="exact"/>
              <w:rPr>
                <w:sz w:val="1"/>
                <w:szCs w:val="1"/>
                <w:color w:val="auto"/>
              </w:rPr>
            </w:pPr>
          </w:p>
        </w:tc>
        <w:tc>
          <w:tcPr>
            <w:tcW w:w="2900" w:type="dxa"/>
            <w:vAlign w:val="bottom"/>
            <w:gridSpan w:val="1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90"/>
        </w:trPr>
        <w:tc>
          <w:tcPr>
            <w:tcW w:w="1080" w:type="dxa"/>
            <w:vAlign w:val="bottom"/>
          </w:tcPr>
          <w:p>
            <w:pPr>
              <w:jc w:val="cente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7"/>
          </w:tcPr>
          <w:p>
            <w:pPr>
              <w:spacing w:after="0"/>
              <w:rPr>
                <w:sz w:val="20"/>
                <w:szCs w:val="20"/>
                <w:color w:val="auto"/>
              </w:rPr>
            </w:pPr>
            <w:r>
              <w:rPr>
                <w:rFonts w:ascii="Arial" w:cs="Arial" w:eastAsia="Arial" w:hAnsi="Arial"/>
                <w:sz w:val="18"/>
                <w:szCs w:val="18"/>
                <w:color w:val="auto"/>
              </w:rPr>
              <w:t>Inline XBRL Instance Document - the instance</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6"/>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40" w:type="dxa"/>
            <w:vAlign w:val="bottom"/>
            <w:gridSpan w:val="17"/>
          </w:tcPr>
          <w:p>
            <w:pPr>
              <w:spacing w:after="0" w:line="176" w:lineRule="exact"/>
              <w:rPr>
                <w:sz w:val="20"/>
                <w:szCs w:val="20"/>
                <w:color w:val="auto"/>
              </w:rPr>
            </w:pPr>
            <w:r>
              <w:rPr>
                <w:rFonts w:ascii="Arial" w:cs="Arial" w:eastAsia="Arial" w:hAnsi="Arial"/>
                <w:sz w:val="18"/>
                <w:szCs w:val="18"/>
                <w:color w:val="auto"/>
              </w:rPr>
              <w:t>document does not appear in the Interactive Data File</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40" w:type="dxa"/>
            <w:vAlign w:val="bottom"/>
            <w:gridSpan w:val="17"/>
          </w:tcPr>
          <w:p>
            <w:pPr>
              <w:spacing w:after="0" w:line="176" w:lineRule="exact"/>
              <w:rPr>
                <w:sz w:val="20"/>
                <w:szCs w:val="20"/>
                <w:color w:val="auto"/>
              </w:rPr>
            </w:pPr>
            <w:r>
              <w:rPr>
                <w:rFonts w:ascii="Arial" w:cs="Arial" w:eastAsia="Arial" w:hAnsi="Arial"/>
                <w:sz w:val="18"/>
                <w:szCs w:val="18"/>
                <w:color w:val="auto"/>
              </w:rPr>
              <w:t>because its XBRL tags are embedded within the inline</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17"/>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gridSpan w:val="17"/>
          </w:tcPr>
          <w:p>
            <w:pPr>
              <w:spacing w:after="0"/>
              <w:rPr>
                <w:sz w:val="20"/>
                <w:szCs w:val="20"/>
                <w:color w:val="auto"/>
              </w:rPr>
            </w:pPr>
            <w:r>
              <w:rPr>
                <w:rFonts w:ascii="Arial" w:cs="Arial" w:eastAsia="Arial" w:hAnsi="Arial"/>
                <w:sz w:val="18"/>
                <w:szCs w:val="18"/>
                <w:color w:val="auto"/>
              </w:rPr>
              <w:t>XBRL document.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10"/>
        </w:trPr>
        <w:tc>
          <w:tcPr>
            <w:tcW w:w="1080" w:type="dxa"/>
            <w:vAlign w:val="bottom"/>
          </w:tcPr>
          <w:p>
            <w:pPr>
              <w:jc w:val="cente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9"/>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101.CAL</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34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17"/>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gridSpan w:val="17"/>
          </w:tcPr>
          <w:p>
            <w:pPr>
              <w:spacing w:after="0"/>
              <w:rPr>
                <w:sz w:val="20"/>
                <w:szCs w:val="20"/>
                <w:color w:val="auto"/>
              </w:rPr>
            </w:pPr>
            <w:r>
              <w:rPr>
                <w:rFonts w:ascii="Arial" w:cs="Arial" w:eastAsia="Arial" w:hAnsi="Arial"/>
                <w:sz w:val="18"/>
                <w:szCs w:val="18"/>
                <w:color w:val="auto"/>
              </w:rPr>
              <w:t>Linkbase</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10"/>
        </w:trPr>
        <w:tc>
          <w:tcPr>
            <w:tcW w:w="1080" w:type="dxa"/>
            <w:vAlign w:val="bottom"/>
          </w:tcPr>
          <w:p>
            <w:pPr>
              <w:jc w:val="center"/>
              <w:spacing w:after="0"/>
              <w:rPr>
                <w:sz w:val="20"/>
                <w:szCs w:val="20"/>
                <w:color w:val="auto"/>
              </w:rPr>
            </w:pPr>
            <w:r>
              <w:rPr>
                <w:rFonts w:ascii="Arial" w:cs="Arial" w:eastAsia="Arial" w:hAnsi="Arial"/>
                <w:sz w:val="18"/>
                <w:szCs w:val="18"/>
                <w:color w:val="auto"/>
                <w:w w:val="98"/>
              </w:rPr>
              <w:t>101.DEF</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10"/>
        </w:trPr>
        <w:tc>
          <w:tcPr>
            <w:tcW w:w="1080" w:type="dxa"/>
            <w:vAlign w:val="bottom"/>
          </w:tcPr>
          <w:p>
            <w:pPr>
              <w:jc w:val="cente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Labels Linkbase</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9"/>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101.PRE</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34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17"/>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gridSpan w:val="17"/>
          </w:tcPr>
          <w:p>
            <w:pPr>
              <w:spacing w:after="0"/>
              <w:rPr>
                <w:sz w:val="20"/>
                <w:szCs w:val="20"/>
                <w:color w:val="auto"/>
              </w:rPr>
            </w:pPr>
            <w:r>
              <w:rPr>
                <w:rFonts w:ascii="Arial" w:cs="Arial" w:eastAsia="Arial" w:hAnsi="Arial"/>
                <w:sz w:val="18"/>
                <w:szCs w:val="18"/>
                <w:color w:val="auto"/>
              </w:rPr>
              <w:t>Linkbase</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bl>
    <w:p>
      <w:pPr>
        <w:spacing w:after="0" w:line="94" w:lineRule="exact"/>
        <w:rPr>
          <w:sz w:val="20"/>
          <w:szCs w:val="20"/>
          <w:color w:val="auto"/>
        </w:rPr>
      </w:pPr>
    </w:p>
    <w:p>
      <w:pPr>
        <w:ind w:left="1220" w:right="4740" w:hanging="822"/>
        <w:spacing w:after="0" w:line="227" w:lineRule="auto"/>
        <w:tabs>
          <w:tab w:leader="none" w:pos="12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8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 Indicates management contract, compensatory plan or arrangement.</w:t>
      </w:r>
    </w:p>
    <w:p>
      <w:pPr>
        <w:spacing w:after="0" w:line="2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jc w:val="center"/>
        <w:spacing w:after="0" w:line="243" w:lineRule="auto"/>
        <w:rPr>
          <w:sz w:val="20"/>
          <w:szCs w:val="20"/>
          <w:color w:val="auto"/>
        </w:rPr>
      </w:pPr>
      <w:r>
        <w:rPr>
          <w:rFonts w:ascii="Arial" w:cs="Arial" w:eastAsia="Arial" w:hAnsi="Arial"/>
          <w:sz w:val="14"/>
          <w:szCs w:val="14"/>
          <w:b w:val="1"/>
          <w:bCs w:val="1"/>
          <w:color w:val="auto"/>
        </w:rPr>
        <w:t>Filed or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-1270</wp:posOffset>
            </wp:positionV>
            <wp:extent cx="62611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626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10140" w:space="260"/>
            <w:col w:w="700"/>
          </w:cols>
          <w:pgMar w:left="320" w:top="319" w:right="479" w:bottom="1440" w:gutter="0" w:footer="0" w:header="0"/>
        </w:sectPr>
      </w:pPr>
    </w:p>
    <w:bookmarkStart w:id="53" w:name="page54"/>
    <w:bookmarkEnd w:id="53"/>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61"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VIASAT, INC.</w:t>
      </w:r>
    </w:p>
    <w:p>
      <w:pPr>
        <w:spacing w:after="0" w:line="185"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August 9, 2022</w:t>
      </w:r>
      <w:r>
        <w:rPr>
          <w:sz w:val="20"/>
          <w:szCs w:val="20"/>
          <w:color w:val="auto"/>
        </w:rPr>
        <w:tab/>
      </w:r>
      <w:r>
        <w:rPr>
          <w:rFonts w:ascii="Arial" w:cs="Arial" w:eastAsia="Arial" w:hAnsi="Arial"/>
          <w:sz w:val="17"/>
          <w:szCs w:val="17"/>
          <w:color w:val="auto"/>
        </w:rPr>
        <w:t>/s/ Mark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-1905</wp:posOffset>
            </wp:positionV>
            <wp:extent cx="34886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left="5760"/>
        <w:spacing w:after="0"/>
        <w:rPr>
          <w:sz w:val="20"/>
          <w:szCs w:val="20"/>
          <w:color w:val="auto"/>
        </w:rPr>
      </w:pPr>
      <w:r>
        <w:rPr>
          <w:rFonts w:ascii="Arial" w:cs="Arial" w:eastAsia="Arial" w:hAnsi="Arial"/>
          <w:sz w:val="18"/>
          <w:szCs w:val="18"/>
          <w:color w:val="auto"/>
        </w:rPr>
        <w:t>Mark Dankberg</w:t>
      </w:r>
    </w:p>
    <w:p>
      <w:pPr>
        <w:ind w:left="5760"/>
        <w:spacing w:after="0" w:line="234" w:lineRule="auto"/>
        <w:rPr>
          <w:sz w:val="20"/>
          <w:szCs w:val="20"/>
          <w:color w:val="auto"/>
        </w:rPr>
      </w:pPr>
      <w:r>
        <w:rPr>
          <w:rFonts w:ascii="Arial" w:cs="Arial" w:eastAsia="Arial" w:hAnsi="Arial"/>
          <w:sz w:val="18"/>
          <w:szCs w:val="18"/>
          <w:color w:val="auto"/>
        </w:rPr>
        <w:t>Chairman of the Board and Chief Executive Officer</w:t>
      </w:r>
    </w:p>
    <w:p>
      <w:pPr>
        <w:spacing w:after="0" w:line="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Executive Officer)</w:t>
      </w:r>
    </w:p>
    <w:p>
      <w:pPr>
        <w:spacing w:after="0" w:line="18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HAWN</w:t>
      </w:r>
      <w:r>
        <w:rPr>
          <w:rFonts w:ascii="Arial" w:cs="Arial" w:eastAsia="Arial" w:hAnsi="Arial"/>
          <w:sz w:val="18"/>
          <w:szCs w:val="18"/>
          <w:color w:val="auto"/>
        </w:rPr>
        <w:t xml:space="preserve"> D</w:t>
      </w:r>
      <w:r>
        <w:rPr>
          <w:rFonts w:ascii="Arial" w:cs="Arial" w:eastAsia="Arial" w:hAnsi="Arial"/>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-1905</wp:posOffset>
            </wp:positionV>
            <wp:extent cx="34886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left="5760"/>
        <w:spacing w:after="0"/>
        <w:rPr>
          <w:sz w:val="20"/>
          <w:szCs w:val="20"/>
          <w:color w:val="auto"/>
        </w:rPr>
      </w:pPr>
      <w:r>
        <w:rPr>
          <w:rFonts w:ascii="Arial" w:cs="Arial" w:eastAsia="Arial" w:hAnsi="Arial"/>
          <w:sz w:val="18"/>
          <w:szCs w:val="18"/>
          <w:color w:val="auto"/>
        </w:rPr>
        <w:t>Shawn Duffy</w:t>
      </w:r>
    </w:p>
    <w:p>
      <w:pPr>
        <w:ind w:left="5760"/>
        <w:spacing w:after="0" w:line="234" w:lineRule="auto"/>
        <w:rPr>
          <w:sz w:val="20"/>
          <w:szCs w:val="20"/>
          <w:color w:val="auto"/>
        </w:rPr>
      </w:pPr>
      <w:r>
        <w:rPr>
          <w:rFonts w:ascii="Arial" w:cs="Arial" w:eastAsia="Arial" w:hAnsi="Arial"/>
          <w:sz w:val="18"/>
          <w:szCs w:val="18"/>
          <w:color w:val="auto"/>
        </w:rPr>
        <w:t>Senior Vice President and Chief Financial Officer</w:t>
      </w:r>
    </w:p>
    <w:p>
      <w:pPr>
        <w:spacing w:after="0" w:line="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1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319" w:right="7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10.2</w:t>
      </w:r>
    </w:p>
    <w:p>
      <w:pPr>
        <w:spacing w:after="0" w:line="18" w:lineRule="exact"/>
        <w:rPr>
          <w:sz w:val="20"/>
          <w:szCs w:val="20"/>
          <w:color w:val="auto"/>
        </w:rPr>
      </w:pPr>
    </w:p>
    <w:p>
      <w:pPr>
        <w:jc w:val="center"/>
        <w:ind w:left="740"/>
        <w:spacing w:after="0"/>
        <w:rPr>
          <w:sz w:val="20"/>
          <w:szCs w:val="20"/>
          <w:color w:val="auto"/>
        </w:rPr>
      </w:pPr>
      <w:r>
        <w:rPr>
          <w:rFonts w:ascii="Arial" w:cs="Arial" w:eastAsia="Arial" w:hAnsi="Arial"/>
          <w:sz w:val="18"/>
          <w:szCs w:val="18"/>
          <w:b w:val="1"/>
          <w:bCs w:val="1"/>
          <w:color w:val="auto"/>
        </w:rPr>
        <w:t>SIXTH AMENDMENT TO CREDIT AGREEMENT</w:t>
      </w:r>
    </w:p>
    <w:p>
      <w:pPr>
        <w:spacing w:after="0" w:line="21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This Sixth Amendment to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entered into as of August 3, 2022 by any among Viasat Technologies Limited, a company incorporated under the laws of England (the “</w:t>
      </w:r>
      <w:r>
        <w:rPr>
          <w:rFonts w:ascii="Arial" w:cs="Arial" w:eastAsia="Arial" w:hAnsi="Arial"/>
          <w:sz w:val="18"/>
          <w:szCs w:val="18"/>
          <w:u w:val="single" w:color="auto"/>
          <w:color w:val="auto"/>
        </w:rPr>
        <w:t>Borrower</w:t>
      </w:r>
      <w:r>
        <w:rPr>
          <w:rFonts w:ascii="Arial" w:cs="Arial" w:eastAsia="Arial" w:hAnsi="Arial"/>
          <w:sz w:val="18"/>
          <w:szCs w:val="18"/>
          <w:color w:val="auto"/>
        </w:rPr>
        <w:t>”), Viasat, Inc., a Delaware corporation (the “</w:t>
      </w:r>
      <w:r>
        <w:rPr>
          <w:rFonts w:ascii="Arial" w:cs="Arial" w:eastAsia="Arial" w:hAnsi="Arial"/>
          <w:sz w:val="18"/>
          <w:szCs w:val="18"/>
          <w:u w:val="single" w:color="auto"/>
          <w:color w:val="auto"/>
        </w:rPr>
        <w:t>Guarantor</w:t>
      </w:r>
      <w:r>
        <w:rPr>
          <w:rFonts w:ascii="Arial" w:cs="Arial" w:eastAsia="Arial" w:hAnsi="Arial"/>
          <w:sz w:val="18"/>
          <w:szCs w:val="18"/>
          <w:color w:val="auto"/>
        </w:rPr>
        <w:t>”), JPMorgan Chase Bank, National Association, a national association organized and existing under the laws of the United States of America (in its capacity as agent for Ex-Im Bank, the “</w:t>
      </w:r>
      <w:r>
        <w:rPr>
          <w:rFonts w:ascii="Arial" w:cs="Arial" w:eastAsia="Arial" w:hAnsi="Arial"/>
          <w:sz w:val="18"/>
          <w:szCs w:val="18"/>
          <w:u w:val="single" w:color="auto"/>
          <w:color w:val="auto"/>
        </w:rPr>
        <w:t>Ex-Im Facility Agent</w:t>
      </w:r>
      <w:r>
        <w:rPr>
          <w:rFonts w:ascii="Arial" w:cs="Arial" w:eastAsia="Arial" w:hAnsi="Arial"/>
          <w:sz w:val="18"/>
          <w:szCs w:val="18"/>
          <w:color w:val="auto"/>
        </w:rPr>
        <w:t>”), and the Export-Import Bank of the United States (“</w:t>
      </w:r>
      <w:r>
        <w:rPr>
          <w:rFonts w:ascii="Arial" w:cs="Arial" w:eastAsia="Arial" w:hAnsi="Arial"/>
          <w:sz w:val="18"/>
          <w:szCs w:val="18"/>
          <w:u w:val="single" w:color="auto"/>
          <w:color w:val="auto"/>
        </w:rPr>
        <w:t>Ex-Im</w:t>
      </w:r>
      <w:r>
        <w:rPr>
          <w:rFonts w:ascii="Arial" w:cs="Arial" w:eastAsia="Arial" w:hAnsi="Arial"/>
          <w:sz w:val="18"/>
          <w:szCs w:val="18"/>
          <w:color w:val="auto"/>
        </w:rPr>
        <w:t xml:space="preserve"> </w:t>
      </w:r>
      <w:r>
        <w:rPr>
          <w:rFonts w:ascii="Arial" w:cs="Arial" w:eastAsia="Arial" w:hAnsi="Arial"/>
          <w:sz w:val="18"/>
          <w:szCs w:val="18"/>
          <w:u w:val="single" w:color="auto"/>
          <w:color w:val="auto"/>
        </w:rPr>
        <w:t>Bank</w:t>
      </w:r>
      <w:r>
        <w:rPr>
          <w:rFonts w:ascii="Arial" w:cs="Arial" w:eastAsia="Arial" w:hAnsi="Arial"/>
          <w:sz w:val="18"/>
          <w:szCs w:val="18"/>
          <w:color w:val="auto"/>
        </w:rPr>
        <w:t>”) and is made with reference to that certain Credit Agreement, dated as of March 12, 2015 (as amended, restated, amended and restated, modified or supplemented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by and among the Borrower, the Guarantor, the Ex-Im Facility Agent and Ex-Im Bank. Capitalized terms used herein and not defined shall have the meanings assigned to them in the Credit Agreement.</w:t>
      </w:r>
    </w:p>
    <w:p>
      <w:pPr>
        <w:spacing w:after="0" w:line="203" w:lineRule="exact"/>
        <w:rPr>
          <w:sz w:val="20"/>
          <w:szCs w:val="20"/>
          <w:color w:val="auto"/>
        </w:rPr>
      </w:pPr>
    </w:p>
    <w:p>
      <w:pPr>
        <w:jc w:val="center"/>
        <w:ind w:left="740"/>
        <w:spacing w:after="0"/>
        <w:rPr>
          <w:sz w:val="20"/>
          <w:szCs w:val="20"/>
          <w:color w:val="auto"/>
        </w:rPr>
      </w:pPr>
      <w:r>
        <w:rPr>
          <w:rFonts w:ascii="Arial" w:cs="Arial" w:eastAsia="Arial" w:hAnsi="Arial"/>
          <w:sz w:val="18"/>
          <w:szCs w:val="18"/>
          <w:color w:val="auto"/>
        </w:rPr>
        <w:t>RECITALS</w:t>
      </w:r>
    </w:p>
    <w:p>
      <w:pPr>
        <w:spacing w:after="0" w:line="21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WHEREAS, the Guarantor intends to acquire, directly or indirectly, 100% of the issued share capital in Connect Topco Limited, a private company limited by shares and incorporated in Guernsey (“</w:t>
      </w:r>
      <w:r>
        <w:rPr>
          <w:rFonts w:ascii="Arial" w:cs="Arial" w:eastAsia="Arial" w:hAnsi="Arial"/>
          <w:sz w:val="18"/>
          <w:szCs w:val="18"/>
          <w:u w:val="single" w:color="auto"/>
          <w:color w:val="auto"/>
        </w:rPr>
        <w:t>Inmarsat</w:t>
      </w:r>
      <w:r>
        <w:rPr>
          <w:rFonts w:ascii="Arial" w:cs="Arial" w:eastAsia="Arial" w:hAnsi="Arial"/>
          <w:sz w:val="18"/>
          <w:szCs w:val="18"/>
          <w:color w:val="auto"/>
        </w:rPr>
        <w:t>”; such acquisition the “</w:t>
      </w:r>
      <w:r>
        <w:rPr>
          <w:rFonts w:ascii="Arial" w:cs="Arial" w:eastAsia="Arial" w:hAnsi="Arial"/>
          <w:sz w:val="18"/>
          <w:szCs w:val="18"/>
          <w:u w:val="single" w:color="auto"/>
          <w:color w:val="auto"/>
        </w:rPr>
        <w:t>Inmarsat Acquisition</w:t>
      </w:r>
      <w:r>
        <w:rPr>
          <w:rFonts w:ascii="Arial" w:cs="Arial" w:eastAsia="Arial" w:hAnsi="Arial"/>
          <w:sz w:val="18"/>
          <w:szCs w:val="18"/>
          <w:color w:val="auto"/>
        </w:rPr>
        <w:t>”), pursuant to that certain Share Purchase Agreement, dated as of November 8, 2021, by the shareholders of Inmarsat, the Guarantor and the other parties party thereto (together with all schedules, exhibits and annexes thereto, the “</w:t>
      </w:r>
      <w:r>
        <w:rPr>
          <w:rFonts w:ascii="Arial" w:cs="Arial" w:eastAsia="Arial" w:hAnsi="Arial"/>
          <w:sz w:val="18"/>
          <w:szCs w:val="18"/>
          <w:u w:val="single" w:color="auto"/>
          <w:color w:val="auto"/>
        </w:rPr>
        <w:t>Inmarsat Acquisition Agreement</w:t>
      </w:r>
      <w:r>
        <w:rPr>
          <w:rFonts w:ascii="Arial" w:cs="Arial" w:eastAsia="Arial" w:hAnsi="Arial"/>
          <w:sz w:val="18"/>
          <w:szCs w:val="18"/>
          <w:color w:val="auto"/>
        </w:rPr>
        <w:t>”); and</w:t>
      </w:r>
    </w:p>
    <w:p>
      <w:pPr>
        <w:spacing w:after="0" w:line="20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8"/>
          <w:szCs w:val="18"/>
          <w:color w:val="auto"/>
        </w:rPr>
        <w:t>WHEREAS, the Borrower has requested to amend the Credit Agreement in certain respects in accordance with the terms of this Amendment.</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NOW, THEREFORE, in consideration of the premises and the mutual covenants herein contained, the parties hereto agree as</w:t>
      </w:r>
    </w:p>
    <w:p>
      <w:pPr>
        <w:spacing w:after="0"/>
        <w:rPr>
          <w:sz w:val="20"/>
          <w:szCs w:val="20"/>
          <w:color w:val="auto"/>
        </w:rPr>
      </w:pPr>
      <w:r>
        <w:rPr>
          <w:rFonts w:ascii="Arial" w:cs="Arial" w:eastAsia="Arial" w:hAnsi="Arial"/>
          <w:sz w:val="18"/>
          <w:szCs w:val="18"/>
          <w:color w:val="auto"/>
        </w:rPr>
        <w:t>follows:</w:t>
      </w:r>
    </w:p>
    <w:p>
      <w:pPr>
        <w:spacing w:after="0" w:line="212" w:lineRule="exact"/>
        <w:rPr>
          <w:sz w:val="20"/>
          <w:szCs w:val="20"/>
          <w:color w:val="auto"/>
        </w:rPr>
      </w:pPr>
    </w:p>
    <w:p>
      <w:pPr>
        <w:ind w:left="100" w:firstLine="563"/>
        <w:spacing w:after="0" w:line="246" w:lineRule="auto"/>
        <w:tabs>
          <w:tab w:leader="none" w:pos="140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Initial Amendment Effective Date Amendments</w:t>
      </w:r>
      <w:r>
        <w:rPr>
          <w:rFonts w:ascii="Arial" w:cs="Arial" w:eastAsia="Arial" w:hAnsi="Arial"/>
          <w:sz w:val="18"/>
          <w:szCs w:val="18"/>
          <w:color w:val="auto"/>
        </w:rPr>
        <w:t>. Effective as of the Initial Amendment Effective Date, the Credit Agreement shall be amended as follows:</w:t>
      </w:r>
    </w:p>
    <w:p>
      <w:pPr>
        <w:spacing w:after="0" w:line="192" w:lineRule="exact"/>
        <w:rPr>
          <w:rFonts w:ascii="Arial" w:cs="Arial" w:eastAsia="Arial" w:hAnsi="Arial"/>
          <w:sz w:val="18"/>
          <w:szCs w:val="18"/>
          <w:color w:val="auto"/>
        </w:rPr>
      </w:pPr>
    </w:p>
    <w:p>
      <w:pPr>
        <w:ind w:left="3000" w:hanging="1495"/>
        <w:spacing w:after="0"/>
        <w:tabs>
          <w:tab w:leader="none" w:pos="3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The definition of “ECA Assets”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Annex F</w:t>
      </w:r>
      <w:r>
        <w:rPr>
          <w:rFonts w:ascii="Arial" w:cs="Arial" w:eastAsia="Arial" w:hAnsi="Arial"/>
          <w:sz w:val="18"/>
          <w:szCs w:val="18"/>
          <w:color w:val="auto"/>
        </w:rPr>
        <w:t xml:space="preserve"> to the Credit Agreement is hereby amended and</w:t>
      </w:r>
    </w:p>
    <w:p>
      <w:pPr>
        <w:spacing w:after="0"/>
        <w:rPr>
          <w:rFonts w:ascii="Arial" w:cs="Arial" w:eastAsia="Arial" w:hAnsi="Arial"/>
          <w:sz w:val="18"/>
          <w:szCs w:val="18"/>
          <w:color w:val="auto"/>
        </w:rPr>
      </w:pPr>
      <w:r>
        <w:rPr>
          <w:rFonts w:ascii="Arial" w:cs="Arial" w:eastAsia="Arial" w:hAnsi="Arial"/>
          <w:sz w:val="18"/>
          <w:szCs w:val="18"/>
          <w:color w:val="auto"/>
        </w:rPr>
        <w:t>restated in its entirety as follows:</w:t>
      </w:r>
    </w:p>
    <w:p>
      <w:pPr>
        <w:spacing w:after="0" w:line="212" w:lineRule="exact"/>
        <w:rPr>
          <w:sz w:val="20"/>
          <w:szCs w:val="20"/>
          <w:color w:val="auto"/>
        </w:rPr>
      </w:pPr>
    </w:p>
    <w:p>
      <w:pPr>
        <w:jc w:val="both"/>
        <w:ind w:left="150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ECA Assets</w:t>
      </w:r>
      <w:r>
        <w:rPr>
          <w:rFonts w:ascii="Arial" w:cs="Arial" w:eastAsia="Arial" w:hAnsi="Arial"/>
          <w:sz w:val="18"/>
          <w:szCs w:val="18"/>
          <w:color w:val="auto"/>
        </w:rPr>
        <w:t>” means, collectively, (a) assets or services purchased by any ECA Borrower or ECA Guarantor with the proceeds of Permitted ECA Financing and relating to the design, installation, testing, launch, manufacture or operation of the ECA Project that is the subject of such Permitted ECA Financing and insurance relating thereto, (b) assets or services required or used to launch or operate the assets referenced in the foregoing clause (a), (c) project and construction contracts and Communications Licenses and other contracts, insurance policies, licenses, consents, permits and authorizations related to the assets or services referenced in the foregoing clause (a) (in each case in clauses (a), (b) and</w:t>
      </w:r>
    </w:p>
    <w:p>
      <w:pPr>
        <w:spacing w:after="0" w:line="4" w:lineRule="exact"/>
        <w:rPr>
          <w:sz w:val="20"/>
          <w:szCs w:val="20"/>
          <w:color w:val="auto"/>
        </w:rPr>
      </w:pPr>
    </w:p>
    <w:p>
      <w:pPr>
        <w:jc w:val="both"/>
        <w:ind w:left="1500" w:firstLine="5"/>
        <w:spacing w:after="0" w:line="238" w:lineRule="auto"/>
        <w:tabs>
          <w:tab w:leader="none" w:pos="177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the extent such assets or services are required by the definitive documentation with respect to any Permitted ECA Financing to be collateral for such Permitted ECA Financing), (d) Equity Interests in ECA Borrowers and ECA Guarantors and (e) any of the foregoing assets, services or Equity Interests, to the extent such assets, services and/or Equity Interests are required by the definitive documentation with respect to any subsequent Permitted ECA Financing to be collateral for such Permitted ECA Financing (whether or not such Permitted ECA Financing is for the same ECA Project).”</w:t>
      </w:r>
    </w:p>
    <w:p>
      <w:pPr>
        <w:spacing w:after="0" w:line="198"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u w:val="single" w:color="auto"/>
          <w:color w:val="auto"/>
        </w:rPr>
        <w:t>Clause C.9(i)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Annex F</w:t>
      </w:r>
      <w:r>
        <w:rPr>
          <w:rFonts w:ascii="Arial" w:cs="Arial" w:eastAsia="Arial" w:hAnsi="Arial"/>
          <w:sz w:val="18"/>
          <w:szCs w:val="18"/>
          <w:color w:val="auto"/>
        </w:rPr>
        <w:t xml:space="preserve"> to the Credit Agreement is hereby amended and restated in its entirety as</w:t>
      </w:r>
    </w:p>
    <w:p>
      <w:pPr>
        <w:spacing w:after="0"/>
        <w:rPr>
          <w:sz w:val="20"/>
          <w:szCs w:val="20"/>
          <w:color w:val="auto"/>
        </w:rPr>
      </w:pPr>
      <w:r>
        <w:rPr>
          <w:rFonts w:ascii="Arial" w:cs="Arial" w:eastAsia="Arial" w:hAnsi="Arial"/>
          <w:sz w:val="18"/>
          <w:szCs w:val="18"/>
          <w:color w:val="auto"/>
        </w:rPr>
        <w:t>follows:</w:t>
      </w:r>
    </w:p>
    <w:p>
      <w:pPr>
        <w:spacing w:after="0" w:line="212" w:lineRule="exact"/>
        <w:rPr>
          <w:sz w:val="20"/>
          <w:szCs w:val="20"/>
          <w:color w:val="auto"/>
        </w:rPr>
      </w:pPr>
    </w:p>
    <w:p>
      <w:pPr>
        <w:jc w:val="both"/>
        <w:ind w:left="1500"/>
        <w:spacing w:after="0" w:line="238" w:lineRule="auto"/>
        <w:rPr>
          <w:sz w:val="20"/>
          <w:szCs w:val="20"/>
          <w:color w:val="auto"/>
        </w:rPr>
      </w:pPr>
      <w:r>
        <w:rPr>
          <w:rFonts w:ascii="Arial" w:cs="Arial" w:eastAsia="Arial" w:hAnsi="Arial"/>
          <w:sz w:val="18"/>
          <w:szCs w:val="18"/>
          <w:color w:val="auto"/>
        </w:rPr>
        <w:t xml:space="preserve">“Liens securing Permitted Additional Indebtedness (and any related banking services or cash management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Senior Secured Leverage Ratio (calculated on a Pro Forma Basis after giving effect to the incurrence of such Indebtedness (assuming the borrowing of the maximum credit thereunder) and the application of the proceeds therefrom) shall be no greater than 4.00 to 1.00;”</w:t>
      </w:r>
    </w:p>
    <w:p>
      <w:pPr>
        <w:spacing w:after="0" w:line="200"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u w:val="single" w:color="auto"/>
          <w:color w:val="auto"/>
        </w:rPr>
        <w:t>Clause C.13</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Annex F</w:t>
      </w:r>
      <w:r>
        <w:rPr>
          <w:rFonts w:ascii="Arial" w:cs="Arial" w:eastAsia="Arial" w:hAnsi="Arial"/>
          <w:sz w:val="18"/>
          <w:szCs w:val="18"/>
          <w:color w:val="auto"/>
        </w:rPr>
        <w:t xml:space="preserve"> to the Credit Agreement is hereby amended and restated in its entirety as</w:t>
      </w:r>
    </w:p>
    <w:p>
      <w:pPr>
        <w:spacing w:after="0"/>
        <w:rPr>
          <w:sz w:val="20"/>
          <w:szCs w:val="20"/>
          <w:color w:val="auto"/>
        </w:rPr>
      </w:pPr>
      <w:r>
        <w:rPr>
          <w:rFonts w:ascii="Arial" w:cs="Arial" w:eastAsia="Arial" w:hAnsi="Arial"/>
          <w:sz w:val="18"/>
          <w:szCs w:val="18"/>
          <w:color w:val="auto"/>
        </w:rPr>
        <w:t>follows: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55" w:name="page56"/>
    <w:bookmarkEnd w:id="55"/>
    <w:p>
      <w:pPr>
        <w:jc w:val="both"/>
        <w:ind w:left="1500"/>
        <w:spacing w:after="0" w:line="236" w:lineRule="auto"/>
        <w:rPr>
          <w:sz w:val="20"/>
          <w:szCs w:val="20"/>
          <w:color w:val="auto"/>
        </w:rPr>
      </w:pPr>
      <w:r>
        <w:rPr>
          <w:rFonts w:ascii="Arial" w:cs="Arial" w:eastAsia="Arial" w:hAnsi="Arial"/>
          <w:sz w:val="18"/>
          <w:szCs w:val="18"/>
          <w:color w:val="auto"/>
        </w:rPr>
        <w:t>“Except with the consent of Ex-Im Bank, permit the Total Leverage Ratio as of the last day of any Fiscal Quarter (i) ending on or prior to December 31, 2023 to be greater than 6.50 to 1.00, (ii) ending after December 31, 2023 and on or prior to December 31, 2024 to be greater than 6.00 to 1.00 or (iii) ending after December 31, 2024 to be greater than 5.75 to 1.00; provided, however, that (a) in the event of (x) any Permitted Acquisition for which the aggregate purchase consideration exceeds $400,000,000 and/or (y) any Satellite Trigger, in either case occurring after December 31, 2024, the maximum permitted Total Leverage Ratio shall increase by 0.50 above the applicable covenant level for the six consecutive Fiscal Quarter period beginning with the Fiscal Quarter in which each such Permitted Acquisition or Satellite Trigger occurs, so long as Guarantor is in compliance on a Pro Forma Basis with this Clause C.13 at such increased level after giving effect to such Permitted Acquisition or Satellite Trigger (the aforementioned increase in such level, the “</w:t>
      </w:r>
      <w:r>
        <w:rPr>
          <w:rFonts w:ascii="Arial" w:cs="Arial" w:eastAsia="Arial" w:hAnsi="Arial"/>
          <w:sz w:val="18"/>
          <w:szCs w:val="18"/>
          <w:u w:val="single" w:color="auto"/>
          <w:color w:val="auto"/>
        </w:rPr>
        <w:t>Temporary Leverage</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Increase</w:t>
      </w:r>
      <w:r>
        <w:rPr>
          <w:rFonts w:ascii="Arial" w:cs="Arial" w:eastAsia="Arial" w:hAnsi="Arial"/>
          <w:sz w:val="18"/>
          <w:szCs w:val="18"/>
          <w:color w:val="auto"/>
        </w:rPr>
        <w:t>”).”</w:t>
      </w:r>
    </w:p>
    <w:p>
      <w:pPr>
        <w:spacing w:after="0" w:line="205" w:lineRule="exact"/>
        <w:rPr>
          <w:sz w:val="20"/>
          <w:szCs w:val="20"/>
          <w:color w:val="auto"/>
        </w:rPr>
      </w:pPr>
    </w:p>
    <w:p>
      <w:pPr>
        <w:ind w:firstLine="757"/>
        <w:spacing w:after="0" w:line="246" w:lineRule="auto"/>
        <w:tabs>
          <w:tab w:leader="none" w:pos="1498"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Subsequent Amendment Effective Date Amendments</w:t>
      </w:r>
      <w:r>
        <w:rPr>
          <w:rFonts w:ascii="Arial" w:cs="Arial" w:eastAsia="Arial" w:hAnsi="Arial"/>
          <w:sz w:val="18"/>
          <w:szCs w:val="18"/>
          <w:color w:val="auto"/>
        </w:rPr>
        <w:t>. Effective as of the Subsequent Amendment Effective Date, the Credit Agreement shall be amended as follows:</w:t>
      </w:r>
    </w:p>
    <w:p>
      <w:pPr>
        <w:spacing w:after="0" w:line="192" w:lineRule="exact"/>
        <w:rPr>
          <w:rFonts w:ascii="Arial" w:cs="Arial" w:eastAsia="Arial" w:hAnsi="Arial"/>
          <w:sz w:val="18"/>
          <w:szCs w:val="18"/>
          <w:color w:val="auto"/>
        </w:rPr>
      </w:pPr>
    </w:p>
    <w:p>
      <w:pPr>
        <w:ind w:left="3000" w:hanging="1495"/>
        <w:spacing w:after="0"/>
        <w:tabs>
          <w:tab w:leader="none" w:pos="3000"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Clause C.6(e)</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Annex F</w:t>
      </w:r>
      <w:r>
        <w:rPr>
          <w:rFonts w:ascii="Arial" w:cs="Arial" w:eastAsia="Arial" w:hAnsi="Arial"/>
          <w:sz w:val="18"/>
          <w:szCs w:val="18"/>
          <w:color w:val="auto"/>
        </w:rPr>
        <w:t xml:space="preserve"> to the Credit Agreement is hereby amended and restated in its entirety as</w:t>
      </w:r>
    </w:p>
    <w:p>
      <w:pPr>
        <w:spacing w:after="0"/>
        <w:rPr>
          <w:rFonts w:ascii="Arial" w:cs="Arial" w:eastAsia="Arial" w:hAnsi="Arial"/>
          <w:sz w:val="18"/>
          <w:szCs w:val="18"/>
          <w:color w:val="auto"/>
        </w:rPr>
      </w:pPr>
      <w:r>
        <w:rPr>
          <w:rFonts w:ascii="Arial" w:cs="Arial" w:eastAsia="Arial" w:hAnsi="Arial"/>
          <w:sz w:val="18"/>
          <w:szCs w:val="18"/>
          <w:color w:val="auto"/>
        </w:rPr>
        <w:t>follows:</w:t>
      </w:r>
    </w:p>
    <w:p>
      <w:pPr>
        <w:spacing w:after="0" w:line="212" w:lineRule="exact"/>
        <w:rPr>
          <w:sz w:val="20"/>
          <w:szCs w:val="20"/>
          <w:color w:val="auto"/>
        </w:rPr>
      </w:pPr>
    </w:p>
    <w:p>
      <w:pPr>
        <w:jc w:val="both"/>
        <w:ind w:left="1500"/>
        <w:spacing w:after="0" w:line="238" w:lineRule="auto"/>
        <w:rPr>
          <w:sz w:val="20"/>
          <w:szCs w:val="20"/>
          <w:color w:val="auto"/>
        </w:rPr>
      </w:pPr>
      <w:r>
        <w:rPr>
          <w:rFonts w:ascii="Arial" w:cs="Arial" w:eastAsia="Arial" w:hAnsi="Arial"/>
          <w:sz w:val="18"/>
          <w:szCs w:val="18"/>
          <w:color w:val="auto"/>
        </w:rPr>
        <w:t xml:space="preserve">“Distributions made with the Available Basket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Distributions made with the Available Basket Amount, such Distributions shall only be permitted pursuant to this clause (e) so long as both immediately before and after giving effect to such payment on a Pro Forma Basis, the Senior Secured Leverage Ratio does not exceed 4.00 to 1.00 and no Event of Default exists.”</w:t>
      </w:r>
    </w:p>
    <w:p>
      <w:pPr>
        <w:spacing w:after="0" w:line="205" w:lineRule="exact"/>
        <w:rPr>
          <w:sz w:val="20"/>
          <w:szCs w:val="20"/>
          <w:color w:val="auto"/>
        </w:rPr>
      </w:pPr>
    </w:p>
    <w:p>
      <w:pPr>
        <w:ind w:firstLine="1505"/>
        <w:spacing w:after="0" w:line="246" w:lineRule="auto"/>
        <w:tabs>
          <w:tab w:leader="none" w:pos="29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Each reference to “3.50 to 1.00” in </w:t>
      </w:r>
      <w:r>
        <w:rPr>
          <w:rFonts w:ascii="Arial" w:cs="Arial" w:eastAsia="Arial" w:hAnsi="Arial"/>
          <w:sz w:val="18"/>
          <w:szCs w:val="18"/>
          <w:u w:val="single" w:color="auto"/>
          <w:color w:val="auto"/>
        </w:rPr>
        <w:t>Clause C.10(d)</w:t>
      </w:r>
      <w:r>
        <w:rPr>
          <w:rFonts w:ascii="Arial" w:cs="Arial" w:eastAsia="Arial" w:hAnsi="Arial"/>
          <w:sz w:val="18"/>
          <w:szCs w:val="18"/>
          <w:color w:val="auto"/>
        </w:rPr>
        <w:t xml:space="preserve">, </w:t>
      </w:r>
      <w:r>
        <w:rPr>
          <w:rFonts w:ascii="Arial" w:cs="Arial" w:eastAsia="Arial" w:hAnsi="Arial"/>
          <w:sz w:val="18"/>
          <w:szCs w:val="18"/>
          <w:u w:val="single" w:color="auto"/>
          <w:color w:val="auto"/>
        </w:rPr>
        <w:t>Clause C.10(m)</w:t>
      </w:r>
      <w:r>
        <w:rPr>
          <w:rFonts w:ascii="Arial" w:cs="Arial" w:eastAsia="Arial" w:hAnsi="Arial"/>
          <w:sz w:val="18"/>
          <w:szCs w:val="18"/>
          <w:color w:val="auto"/>
        </w:rPr>
        <w:t xml:space="preserve">, </w:t>
      </w:r>
      <w:r>
        <w:rPr>
          <w:rFonts w:ascii="Arial" w:cs="Arial" w:eastAsia="Arial" w:hAnsi="Arial"/>
          <w:sz w:val="18"/>
          <w:szCs w:val="18"/>
          <w:u w:val="single" w:color="auto"/>
          <w:color w:val="auto"/>
        </w:rPr>
        <w:t>Clause C.16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Clause C.17</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Annex F</w:t>
      </w:r>
      <w:r>
        <w:rPr>
          <w:rFonts w:ascii="Arial" w:cs="Arial" w:eastAsia="Arial" w:hAnsi="Arial"/>
          <w:sz w:val="18"/>
          <w:szCs w:val="18"/>
          <w:color w:val="auto"/>
        </w:rPr>
        <w:t xml:space="preserve"> to the Credit Agreement shall be replaced with a reference to “4.00 to 1.00”.</w:t>
      </w:r>
    </w:p>
    <w:p>
      <w:pPr>
        <w:spacing w:after="0" w:line="192" w:lineRule="exact"/>
        <w:rPr>
          <w:rFonts w:ascii="Arial" w:cs="Arial" w:eastAsia="Arial" w:hAnsi="Arial"/>
          <w:sz w:val="18"/>
          <w:szCs w:val="18"/>
          <w:color w:val="auto"/>
        </w:rPr>
      </w:pPr>
    </w:p>
    <w:p>
      <w:pPr>
        <w:ind w:left="3000" w:hanging="1495"/>
        <w:spacing w:after="0"/>
        <w:tabs>
          <w:tab w:leader="none" w:pos="30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Clause C.14</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Annex F</w:t>
      </w:r>
      <w:r>
        <w:rPr>
          <w:rFonts w:ascii="Arial" w:cs="Arial" w:eastAsia="Arial" w:hAnsi="Arial"/>
          <w:sz w:val="18"/>
          <w:szCs w:val="18"/>
          <w:color w:val="auto"/>
        </w:rPr>
        <w:t xml:space="preserve"> to the Credit Agreement is hereby amended and restated in its entirety as</w:t>
      </w:r>
    </w:p>
    <w:p>
      <w:pPr>
        <w:spacing w:after="0"/>
        <w:rPr>
          <w:rFonts w:ascii="Arial" w:cs="Arial" w:eastAsia="Arial" w:hAnsi="Arial"/>
          <w:sz w:val="18"/>
          <w:szCs w:val="18"/>
          <w:color w:val="auto"/>
        </w:rPr>
      </w:pPr>
      <w:r>
        <w:rPr>
          <w:rFonts w:ascii="Arial" w:cs="Arial" w:eastAsia="Arial" w:hAnsi="Arial"/>
          <w:sz w:val="18"/>
          <w:szCs w:val="18"/>
          <w:color w:val="auto"/>
        </w:rPr>
        <w:t>follows:</w:t>
      </w:r>
    </w:p>
    <w:p>
      <w:pPr>
        <w:spacing w:after="0" w:line="212" w:lineRule="exact"/>
        <w:rPr>
          <w:sz w:val="20"/>
          <w:szCs w:val="20"/>
          <w:color w:val="auto"/>
        </w:rPr>
      </w:pPr>
    </w:p>
    <w:p>
      <w:pPr>
        <w:jc w:val="both"/>
        <w:ind w:left="1500"/>
        <w:spacing w:after="0" w:line="237" w:lineRule="auto"/>
        <w:rPr>
          <w:sz w:val="20"/>
          <w:szCs w:val="20"/>
          <w:color w:val="auto"/>
        </w:rPr>
      </w:pPr>
      <w:r>
        <w:rPr>
          <w:rFonts w:ascii="Arial" w:cs="Arial" w:eastAsia="Arial" w:hAnsi="Arial"/>
          <w:sz w:val="18"/>
          <w:szCs w:val="18"/>
          <w:color w:val="auto"/>
        </w:rPr>
        <w:t>“Permit the Interest Coverage Ratio as of the last day of any Fiscal Quarter to be less than 3.25 to 1.00 (the “</w:t>
      </w:r>
      <w:r>
        <w:rPr>
          <w:rFonts w:ascii="Arial" w:cs="Arial" w:eastAsia="Arial" w:hAnsi="Arial"/>
          <w:sz w:val="18"/>
          <w:szCs w:val="18"/>
          <w:u w:val="single" w:color="auto"/>
          <w:color w:val="auto"/>
        </w:rPr>
        <w:t>Minimum</w:t>
      </w:r>
      <w:r>
        <w:rPr>
          <w:rFonts w:ascii="Arial" w:cs="Arial" w:eastAsia="Arial" w:hAnsi="Arial"/>
          <w:sz w:val="18"/>
          <w:szCs w:val="18"/>
          <w:color w:val="auto"/>
        </w:rPr>
        <w:t xml:space="preserve"> </w:t>
      </w:r>
      <w:r>
        <w:rPr>
          <w:rFonts w:ascii="Arial" w:cs="Arial" w:eastAsia="Arial" w:hAnsi="Arial"/>
          <w:sz w:val="18"/>
          <w:szCs w:val="18"/>
          <w:u w:val="single" w:color="auto"/>
          <w:color w:val="auto"/>
        </w:rPr>
        <w:t>Required Interest Coverage Ratio</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event of (a) any Permitted Acquisition for which the aggregate purchase consideration exceeds $400,000,000 and/or (b) any Satellite Trigger, the Minimum Required Interest Coverage Ratio shall be 3.00 to 1.00 for the six consecutive Fiscal Quarter period beginning with the Fiscal Quarter in which each such Permitted Acquisition or Satellite Trigger occurs, so long as Guarantor is in compliance on a Pro Forma Basis with this </w:t>
      </w:r>
      <w:r>
        <w:rPr>
          <w:rFonts w:ascii="Arial" w:cs="Arial" w:eastAsia="Arial" w:hAnsi="Arial"/>
          <w:sz w:val="18"/>
          <w:szCs w:val="18"/>
          <w:u w:val="single" w:color="auto"/>
          <w:color w:val="auto"/>
        </w:rPr>
        <w:t>Clause C.14</w:t>
      </w:r>
      <w:r>
        <w:rPr>
          <w:rFonts w:ascii="Arial" w:cs="Arial" w:eastAsia="Arial" w:hAnsi="Arial"/>
          <w:sz w:val="18"/>
          <w:szCs w:val="18"/>
          <w:color w:val="auto"/>
        </w:rPr>
        <w:t xml:space="preserve"> at such decreased Minimum Required Interest Coverage Ratio after giving effect to such Permitted Acquisition or Satellite Trigger.”</w:t>
      </w:r>
    </w:p>
    <w:p>
      <w:pPr>
        <w:spacing w:after="0" w:line="198" w:lineRule="exact"/>
        <w:rPr>
          <w:sz w:val="20"/>
          <w:szCs w:val="20"/>
          <w:color w:val="auto"/>
        </w:rPr>
      </w:pPr>
    </w:p>
    <w:p>
      <w:pPr>
        <w:ind w:left="3000" w:hanging="1495"/>
        <w:spacing w:after="0"/>
        <w:tabs>
          <w:tab w:leader="none" w:pos="30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Clause 1.01</w:t>
      </w:r>
      <w:r>
        <w:rPr>
          <w:rFonts w:ascii="Arial" w:cs="Arial" w:eastAsia="Arial" w:hAnsi="Arial"/>
          <w:sz w:val="18"/>
          <w:szCs w:val="18"/>
          <w:color w:val="auto"/>
        </w:rPr>
        <w:t xml:space="preserve"> of the Credit Agreement is hereby amended by inserting the following new defined term in</w:t>
      </w:r>
    </w:p>
    <w:p>
      <w:pPr>
        <w:spacing w:after="0"/>
        <w:rPr>
          <w:rFonts w:ascii="Arial" w:cs="Arial" w:eastAsia="Arial" w:hAnsi="Arial"/>
          <w:sz w:val="18"/>
          <w:szCs w:val="18"/>
          <w:color w:val="auto"/>
        </w:rPr>
      </w:pPr>
      <w:r>
        <w:rPr>
          <w:rFonts w:ascii="Arial" w:cs="Arial" w:eastAsia="Arial" w:hAnsi="Arial"/>
          <w:sz w:val="18"/>
          <w:szCs w:val="18"/>
          <w:color w:val="auto"/>
        </w:rPr>
        <w:t>the proper alphabetical order thereto:</w:t>
      </w:r>
    </w:p>
    <w:p>
      <w:pPr>
        <w:spacing w:after="0" w:line="21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Inmarsat</w:t>
      </w:r>
      <w:r>
        <w:rPr>
          <w:rFonts w:ascii="Arial" w:cs="Arial" w:eastAsia="Arial" w:hAnsi="Arial"/>
          <w:sz w:val="18"/>
          <w:szCs w:val="18"/>
          <w:color w:val="auto"/>
        </w:rPr>
        <w:t>” shall mean Connect Topco Limited, a private company limited by shares and incorporated in Guernsey.”</w:t>
      </w:r>
    </w:p>
    <w:p>
      <w:pPr>
        <w:spacing w:after="0" w:line="212" w:lineRule="exact"/>
        <w:rPr>
          <w:sz w:val="20"/>
          <w:szCs w:val="20"/>
          <w:color w:val="auto"/>
        </w:rPr>
      </w:pPr>
    </w:p>
    <w:p>
      <w:pPr>
        <w:ind w:left="3000" w:hanging="1495"/>
        <w:spacing w:after="0"/>
        <w:tabs>
          <w:tab w:leader="none" w:pos="3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Add a new </w:t>
      </w:r>
      <w:r>
        <w:rPr>
          <w:rFonts w:ascii="Arial" w:cs="Arial" w:eastAsia="Arial" w:hAnsi="Arial"/>
          <w:sz w:val="18"/>
          <w:szCs w:val="18"/>
          <w:u w:val="single" w:color="auto"/>
          <w:color w:val="auto"/>
        </w:rPr>
        <w:t>Clause 1.02(g)</w:t>
      </w:r>
      <w:r>
        <w:rPr>
          <w:rFonts w:ascii="Arial" w:cs="Arial" w:eastAsia="Arial" w:hAnsi="Arial"/>
          <w:sz w:val="18"/>
          <w:szCs w:val="18"/>
          <w:color w:val="auto"/>
        </w:rPr>
        <w:t xml:space="preserve"> to the Credit Agreement which reads as follows:</w:t>
      </w:r>
    </w:p>
    <w:p>
      <w:pPr>
        <w:spacing w:after="0" w:line="212" w:lineRule="exact"/>
        <w:rPr>
          <w:sz w:val="20"/>
          <w:szCs w:val="20"/>
          <w:color w:val="auto"/>
        </w:rPr>
      </w:pPr>
    </w:p>
    <w:p>
      <w:pPr>
        <w:ind w:left="1500"/>
        <w:spacing w:after="0" w:line="246" w:lineRule="auto"/>
        <w:rPr>
          <w:sz w:val="20"/>
          <w:szCs w:val="20"/>
          <w:color w:val="auto"/>
        </w:rPr>
      </w:pPr>
      <w:r>
        <w:rPr>
          <w:rFonts w:ascii="Arial" w:cs="Arial" w:eastAsia="Arial" w:hAnsi="Arial"/>
          <w:sz w:val="18"/>
          <w:szCs w:val="18"/>
          <w:color w:val="auto"/>
        </w:rPr>
        <w:t>“For purposes of any financial calculation, leases of Inmarsat and its subsidiaries shall be accounted for in a manner consistent with the Guarantor’s lease accounting (and without regard to IFRS 16).”</w:t>
      </w:r>
    </w:p>
    <w:p>
      <w:pPr>
        <w:spacing w:after="0" w:line="197" w:lineRule="exact"/>
        <w:rPr>
          <w:sz w:val="20"/>
          <w:szCs w:val="20"/>
          <w:color w:val="auto"/>
        </w:rPr>
      </w:pPr>
    </w:p>
    <w:p>
      <w:pPr>
        <w:ind w:right="20" w:firstLine="1505"/>
        <w:spacing w:after="0" w:line="246" w:lineRule="auto"/>
        <w:tabs>
          <w:tab w:leader="none" w:pos="2995"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Amend </w:t>
      </w:r>
      <w:r>
        <w:rPr>
          <w:rFonts w:ascii="Arial" w:cs="Arial" w:eastAsia="Arial" w:hAnsi="Arial"/>
          <w:sz w:val="18"/>
          <w:szCs w:val="18"/>
          <w:u w:val="single" w:color="auto"/>
          <w:color w:val="auto"/>
        </w:rPr>
        <w:t>Clauses 11.03(a)(vi)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11.03(a)(ix)</w:t>
      </w:r>
      <w:r>
        <w:rPr>
          <w:rFonts w:ascii="Arial" w:cs="Arial" w:eastAsia="Arial" w:hAnsi="Arial"/>
          <w:sz w:val="18"/>
          <w:szCs w:val="18"/>
          <w:color w:val="auto"/>
        </w:rPr>
        <w:t xml:space="preserve"> of the Credit Agreement to replace each reference therein to “$25,000,000” with a reference to “$100,000,000”.</w:t>
      </w:r>
    </w:p>
    <w:p>
      <w:pPr>
        <w:spacing w:after="0" w:line="196" w:lineRule="exact"/>
        <w:rPr>
          <w:rFonts w:ascii="Arial" w:cs="Arial" w:eastAsia="Arial" w:hAnsi="Arial"/>
          <w:sz w:val="18"/>
          <w:szCs w:val="18"/>
          <w:color w:val="auto"/>
        </w:rPr>
      </w:pPr>
    </w:p>
    <w:p>
      <w:pPr>
        <w:ind w:left="1500" w:hanging="743"/>
        <w:spacing w:after="0"/>
        <w:tabs>
          <w:tab w:leader="none" w:pos="15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Effectiveness of Amendments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1505"/>
        <w:spacing w:after="0" w:line="238" w:lineRule="auto"/>
        <w:tabs>
          <w:tab w:leader="none" w:pos="2995"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The amendments to the Credit Agreement set forth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this Amendment (but not, for the avoidance of doubt, the amendments to the Credit Agreement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Amendment, which amendments shall only become effective and binding in accordance with </w:t>
      </w:r>
      <w:r>
        <w:rPr>
          <w:rFonts w:ascii="Arial" w:cs="Arial" w:eastAsia="Arial" w:hAnsi="Arial"/>
          <w:sz w:val="18"/>
          <w:szCs w:val="18"/>
          <w:u w:val="single" w:color="auto"/>
          <w:color w:val="auto"/>
        </w:rPr>
        <w:t>Section 3(b)</w:t>
      </w:r>
      <w:r>
        <w:rPr>
          <w:rFonts w:ascii="Arial" w:cs="Arial" w:eastAsia="Arial" w:hAnsi="Arial"/>
          <w:sz w:val="18"/>
          <w:szCs w:val="18"/>
          <w:color w:val="auto"/>
        </w:rPr>
        <w:t xml:space="preserve"> of this Amendment to the extent the conditions described therein have been satisfied) shall become effective and binding upon the parties hereto, subject to satisfaction of each of the following conditions precedent (the “</w:t>
      </w:r>
      <w:r>
        <w:rPr>
          <w:rFonts w:ascii="Arial" w:cs="Arial" w:eastAsia="Arial" w:hAnsi="Arial"/>
          <w:sz w:val="18"/>
          <w:szCs w:val="18"/>
          <w:u w:val="single" w:color="auto"/>
          <w:color w:val="auto"/>
        </w:rPr>
        <w:t>Initial Amendment Effective Date</w:t>
      </w:r>
      <w:r>
        <w:rPr>
          <w:rFonts w:ascii="Arial" w:cs="Arial" w:eastAsia="Arial" w:hAnsi="Arial"/>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ind w:left="760" w:firstLine="1872"/>
        <w:spacing w:after="0" w:line="245" w:lineRule="auto"/>
        <w:rPr>
          <w:sz w:val="20"/>
          <w:szCs w:val="20"/>
          <w:color w:val="auto"/>
        </w:rPr>
      </w:pPr>
      <w:r>
        <w:rPr>
          <w:rFonts w:ascii="Arial" w:cs="Arial" w:eastAsia="Arial" w:hAnsi="Arial"/>
          <w:sz w:val="18"/>
          <w:szCs w:val="18"/>
          <w:color w:val="auto"/>
        </w:rPr>
        <w:t>(i) the Ex-Im Facility Agent shall have received a copy of this Amendment, duly executed by the Borrower, the Guarantor, the Ex-Im Facility Agent and Ex-Im Bank; and</w:t>
      </w:r>
    </w:p>
    <w:p>
      <w:pPr>
        <w:spacing w:after="0" w:line="193" w:lineRule="exact"/>
        <w:rPr>
          <w:sz w:val="20"/>
          <w:szCs w:val="20"/>
          <w:color w:val="auto"/>
        </w:rPr>
      </w:pPr>
    </w:p>
    <w:p>
      <w:pPr>
        <w:ind w:left="2620"/>
        <w:spacing w:after="0"/>
        <w:tabs>
          <w:tab w:leader="none" w:pos="448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the Ex-Im Facility Agent shall have received a certificate of a Responsible Officer of</w:t>
      </w:r>
    </w:p>
    <w:p>
      <w:pPr>
        <w:ind w:left="760"/>
        <w:spacing w:after="0"/>
        <w:rPr>
          <w:sz w:val="20"/>
          <w:szCs w:val="20"/>
          <w:color w:val="auto"/>
        </w:rPr>
      </w:pPr>
      <w:r>
        <w:rPr>
          <w:rFonts w:ascii="Arial" w:cs="Arial" w:eastAsia="Arial" w:hAnsi="Arial"/>
          <w:sz w:val="18"/>
          <w:szCs w:val="18"/>
          <w:color w:val="auto"/>
        </w:rPr>
        <w:t>the Guarantor certifying on behalf of the Guarantor that:</w:t>
      </w:r>
    </w:p>
    <w:p>
      <w:pPr>
        <w:spacing w:after="0" w:line="212" w:lineRule="exact"/>
        <w:rPr>
          <w:sz w:val="20"/>
          <w:szCs w:val="20"/>
          <w:color w:val="auto"/>
        </w:rPr>
      </w:pPr>
    </w:p>
    <w:p>
      <w:pPr>
        <w:ind w:left="1880" w:firstLine="1123"/>
        <w:spacing w:after="0" w:line="246" w:lineRule="auto"/>
        <w:tabs>
          <w:tab w:leader="none" w:pos="3538" w:val="left"/>
        </w:tabs>
        <w:numPr>
          <w:ilvl w:val="1"/>
          <w:numId w:val="28"/>
        </w:numPr>
        <w:rPr>
          <w:rFonts w:ascii="Arial" w:cs="Arial" w:eastAsia="Arial" w:hAnsi="Arial"/>
          <w:sz w:val="18"/>
          <w:szCs w:val="18"/>
          <w:color w:val="auto"/>
        </w:rPr>
      </w:pPr>
      <w:r>
        <w:rPr>
          <w:rFonts w:ascii="Arial" w:cs="Arial" w:eastAsia="Arial" w:hAnsi="Arial"/>
          <w:sz w:val="18"/>
          <w:szCs w:val="18"/>
          <w:color w:val="auto"/>
        </w:rPr>
        <w:t>no Potential Default or Event of Default has occurred that is continuing on the Initial Amendment Effective Date or would exist immediately after giving effect to this Amendment;</w:t>
      </w:r>
    </w:p>
    <w:p>
      <w:pPr>
        <w:spacing w:after="0" w:line="196" w:lineRule="exact"/>
        <w:rPr>
          <w:rFonts w:ascii="Arial" w:cs="Arial" w:eastAsia="Arial" w:hAnsi="Arial"/>
          <w:sz w:val="18"/>
          <w:szCs w:val="18"/>
          <w:color w:val="auto"/>
        </w:rPr>
      </w:pPr>
    </w:p>
    <w:p>
      <w:pPr>
        <w:ind w:left="1880" w:firstLine="1123"/>
        <w:spacing w:after="0" w:line="246" w:lineRule="auto"/>
        <w:tabs>
          <w:tab w:leader="none" w:pos="3538"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this Amendment are true and correct in all material respects as of the Initial Amendment Effective Date;</w:t>
      </w:r>
    </w:p>
    <w:p>
      <w:pPr>
        <w:spacing w:after="0" w:line="196" w:lineRule="exact"/>
        <w:rPr>
          <w:rFonts w:ascii="Arial" w:cs="Arial" w:eastAsia="Arial" w:hAnsi="Arial"/>
          <w:sz w:val="18"/>
          <w:szCs w:val="18"/>
          <w:color w:val="auto"/>
        </w:rPr>
      </w:pPr>
    </w:p>
    <w:p>
      <w:pPr>
        <w:jc w:val="both"/>
        <w:ind w:left="1880" w:firstLine="1123"/>
        <w:spacing w:after="0" w:line="238" w:lineRule="auto"/>
        <w:tabs>
          <w:tab w:leader="none" w:pos="3538"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Senior Secured Leverage Ratio as of the last day of the Fiscal Quarter ended March 31, 2022 (calculated on a Pro Forma Basis as if the Inmarsat Acquisition had been consummated on the first day of the four Fiscal Quarter period ending on such date and all contemplated Indebtedness to be incurred in connection therewith had been incurred on such date) is not greater than 4.00 to 1.00;</w:t>
      </w:r>
    </w:p>
    <w:p>
      <w:pPr>
        <w:spacing w:after="0" w:line="204" w:lineRule="exact"/>
        <w:rPr>
          <w:rFonts w:ascii="Arial" w:cs="Arial" w:eastAsia="Arial" w:hAnsi="Arial"/>
          <w:sz w:val="18"/>
          <w:szCs w:val="18"/>
          <w:color w:val="auto"/>
        </w:rPr>
      </w:pPr>
    </w:p>
    <w:p>
      <w:pPr>
        <w:jc w:val="both"/>
        <w:ind w:left="1880" w:firstLine="1123"/>
        <w:spacing w:after="0" w:line="238" w:lineRule="auto"/>
        <w:tabs>
          <w:tab w:leader="none" w:pos="3538"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Total Leverage Ratio as of the last day of the Fiscal Quarter ended March 31, 2022 (calculated on a Pro Forma Basis as if the Inmarsat Acquisition had been consummated on the first day of the four Fiscal Quarter period ending on such date and all contemplated Indebtedness to be incurred in connection therewith had been incurred on such date) is not greater than 6.50 to 1.00; and</w:t>
      </w:r>
    </w:p>
    <w:p>
      <w:pPr>
        <w:spacing w:after="0" w:line="204" w:lineRule="exact"/>
        <w:rPr>
          <w:rFonts w:ascii="Arial" w:cs="Arial" w:eastAsia="Arial" w:hAnsi="Arial"/>
          <w:sz w:val="18"/>
          <w:szCs w:val="18"/>
          <w:color w:val="auto"/>
        </w:rPr>
      </w:pPr>
    </w:p>
    <w:p>
      <w:pPr>
        <w:jc w:val="both"/>
        <w:ind w:left="1880" w:firstLine="1123"/>
        <w:spacing w:after="0" w:line="238" w:lineRule="auto"/>
        <w:tabs>
          <w:tab w:leader="none" w:pos="3538"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Interest Coverage Ratio as of the last day of the Fiscal Quarter ended March 31, 2022 (calculated on a Pro Forma Basis as if the Inmarsat Acquisition had been consummated on the first day of the four Fiscal Quarter period ending on such date and all contemplated Indebtedness to be incurred in connection therewith had been incurred on such date) is greater than or equal to 3.25 to 1.00.</w:t>
      </w:r>
    </w:p>
    <w:p>
      <w:pPr>
        <w:spacing w:after="0" w:line="204" w:lineRule="exact"/>
        <w:rPr>
          <w:rFonts w:ascii="Arial" w:cs="Arial" w:eastAsia="Arial" w:hAnsi="Arial"/>
          <w:sz w:val="18"/>
          <w:szCs w:val="18"/>
          <w:color w:val="auto"/>
        </w:rPr>
      </w:pPr>
    </w:p>
    <w:p>
      <w:pPr>
        <w:jc w:val="both"/>
        <w:ind w:firstLine="1505"/>
        <w:spacing w:after="0"/>
        <w:tabs>
          <w:tab w:leader="none" w:pos="29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amendments to the Credit Agreement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Amendment shall become effective and binding upon the parties hereto, subject to satisfaction, in a manner satisfactory to Ex-Im Bank, of each of the following conditions precedent (the “</w:t>
      </w:r>
      <w:r>
        <w:rPr>
          <w:rFonts w:ascii="Arial" w:cs="Arial" w:eastAsia="Arial" w:hAnsi="Arial"/>
          <w:sz w:val="18"/>
          <w:szCs w:val="18"/>
          <w:u w:val="single" w:color="auto"/>
          <w:color w:val="auto"/>
        </w:rPr>
        <w:t>Subsequent Amendment Effective Date</w:t>
      </w:r>
      <w:r>
        <w:rPr>
          <w:rFonts w:ascii="Arial" w:cs="Arial" w:eastAsia="Arial" w:hAnsi="Arial"/>
          <w:sz w:val="18"/>
          <w:szCs w:val="18"/>
          <w:color w:val="auto"/>
        </w:rPr>
        <w:t>”):</w:t>
      </w:r>
    </w:p>
    <w:p>
      <w:pPr>
        <w:spacing w:after="0" w:line="203" w:lineRule="exact"/>
        <w:rPr>
          <w:sz w:val="20"/>
          <w:szCs w:val="20"/>
          <w:color w:val="auto"/>
        </w:rPr>
      </w:pPr>
    </w:p>
    <w:p>
      <w:pPr>
        <w:jc w:val="both"/>
        <w:ind w:left="760" w:firstLine="1872"/>
        <w:spacing w:after="0"/>
        <w:rPr>
          <w:sz w:val="20"/>
          <w:szCs w:val="20"/>
          <w:color w:val="auto"/>
        </w:rPr>
      </w:pPr>
      <w:r>
        <w:rPr>
          <w:rFonts w:ascii="Arial" w:cs="Arial" w:eastAsia="Arial" w:hAnsi="Arial"/>
          <w:sz w:val="18"/>
          <w:szCs w:val="18"/>
          <w:color w:val="auto"/>
        </w:rPr>
        <w:t>(i) the Inmarsat Acquisition shall have been consummated on or prior to earlier of (x) the date of the termination of the Inmarsat Acquisition Agreement in accordance with its terms and (y) May 30, 2023 (such earlier date, the “</w:t>
      </w:r>
      <w:r>
        <w:rPr>
          <w:rFonts w:ascii="Arial" w:cs="Arial" w:eastAsia="Arial" w:hAnsi="Arial"/>
          <w:sz w:val="18"/>
          <w:szCs w:val="18"/>
          <w:u w:val="single" w:color="auto"/>
          <w:color w:val="auto"/>
        </w:rPr>
        <w:t>Inmarsat Acquisition Outside Date</w:t>
      </w:r>
      <w:r>
        <w:rPr>
          <w:rFonts w:ascii="Arial" w:cs="Arial" w:eastAsia="Arial" w:hAnsi="Arial"/>
          <w:sz w:val="18"/>
          <w:szCs w:val="18"/>
          <w:color w:val="auto"/>
        </w:rPr>
        <w:t>”);</w:t>
      </w:r>
    </w:p>
    <w:p>
      <w:pPr>
        <w:spacing w:after="0" w:line="203" w:lineRule="exact"/>
        <w:rPr>
          <w:sz w:val="20"/>
          <w:szCs w:val="20"/>
          <w:color w:val="auto"/>
        </w:rPr>
      </w:pPr>
    </w:p>
    <w:p>
      <w:pPr>
        <w:jc w:val="both"/>
        <w:ind w:left="760" w:firstLine="1872"/>
        <w:spacing w:after="0"/>
        <w:rPr>
          <w:sz w:val="20"/>
          <w:szCs w:val="20"/>
          <w:color w:val="auto"/>
        </w:rPr>
      </w:pPr>
      <w:r>
        <w:rPr>
          <w:rFonts w:ascii="Arial" w:cs="Arial" w:eastAsia="Arial" w:hAnsi="Arial"/>
          <w:sz w:val="18"/>
          <w:szCs w:val="18"/>
          <w:color w:val="auto"/>
        </w:rPr>
        <w:t xml:space="preserve">(ii) no Potential Default or Event of Default has occurred that is continuing on the Subsequent Amendment Effective Date or would exist immediately after giving effect to the amendments to the Credit Agreement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Amendment;</w:t>
      </w:r>
    </w:p>
    <w:p>
      <w:pPr>
        <w:spacing w:after="0" w:line="172"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2920" w:type="dxa"/>
            <w:vAlign w:val="bottom"/>
          </w:tcPr>
          <w:p>
            <w:pPr>
              <w:ind w:left="1860"/>
              <w:spacing w:after="0"/>
              <w:rPr>
                <w:sz w:val="20"/>
                <w:szCs w:val="20"/>
                <w:color w:val="auto"/>
              </w:rPr>
            </w:pPr>
            <w:r>
              <w:rPr>
                <w:rFonts w:ascii="Arial" w:cs="Arial" w:eastAsia="Arial" w:hAnsi="Arial"/>
                <w:sz w:val="18"/>
                <w:szCs w:val="18"/>
                <w:color w:val="auto"/>
              </w:rPr>
              <w:t>(iii)</w:t>
            </w:r>
          </w:p>
        </w:tc>
        <w:tc>
          <w:tcPr>
            <w:tcW w:w="7560" w:type="dxa"/>
            <w:vAlign w:val="bottom"/>
            <w:gridSpan w:val="3"/>
          </w:tcPr>
          <w:p>
            <w:pPr>
              <w:ind w:left="820"/>
              <w:spacing w:after="0"/>
              <w:rPr>
                <w:sz w:val="20"/>
                <w:szCs w:val="20"/>
                <w:color w:val="auto"/>
              </w:rPr>
            </w:pPr>
            <w:r>
              <w:rPr>
                <w:rFonts w:ascii="Arial" w:cs="Arial" w:eastAsia="Arial" w:hAnsi="Arial"/>
                <w:sz w:val="18"/>
                <w:szCs w:val="18"/>
                <w:color w:val="auto"/>
              </w:rPr>
              <w:t>the representations and warranties set forth in Section 6 of this Amendment are true</w:t>
            </w: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color w:val="auto"/>
              </w:rPr>
              <w:t>and correct in all material respects as of the Subsequent Amendment Effective Date;</w:t>
            </w:r>
          </w:p>
        </w:tc>
        <w:tc>
          <w:tcPr>
            <w:tcW w:w="740" w:type="dxa"/>
            <w:vAlign w:val="bottom"/>
            <w:tcBorders>
              <w:top w:val="single" w:sz="8" w:color="auto"/>
            </w:tcBorders>
          </w:tcPr>
          <w:p>
            <w:pPr>
              <w:spacing w:after="0"/>
              <w:rPr>
                <w:sz w:val="19"/>
                <w:szCs w:val="19"/>
                <w:color w:val="auto"/>
              </w:rPr>
            </w:pPr>
          </w:p>
        </w:tc>
        <w:tc>
          <w:tcPr>
            <w:tcW w:w="2260" w:type="dxa"/>
            <w:vAlign w:val="bottom"/>
          </w:tcPr>
          <w:p>
            <w:pPr>
              <w:spacing w:after="0"/>
              <w:rPr>
                <w:sz w:val="19"/>
                <w:szCs w:val="19"/>
                <w:color w:val="auto"/>
              </w:rPr>
            </w:pPr>
          </w:p>
        </w:tc>
      </w:tr>
      <w:tr>
        <w:trPr>
          <w:trHeight w:val="404"/>
        </w:trPr>
        <w:tc>
          <w:tcPr>
            <w:tcW w:w="2920" w:type="dxa"/>
            <w:vAlign w:val="bottom"/>
          </w:tcPr>
          <w:p>
            <w:pPr>
              <w:ind w:left="1860"/>
              <w:spacing w:after="0"/>
              <w:rPr>
                <w:sz w:val="20"/>
                <w:szCs w:val="20"/>
                <w:color w:val="auto"/>
              </w:rPr>
            </w:pPr>
            <w:r>
              <w:rPr>
                <w:rFonts w:ascii="Arial" w:cs="Arial" w:eastAsia="Arial" w:hAnsi="Arial"/>
                <w:sz w:val="18"/>
                <w:szCs w:val="18"/>
                <w:color w:val="auto"/>
              </w:rPr>
              <w:t>(iv)</w:t>
            </w:r>
          </w:p>
        </w:tc>
        <w:tc>
          <w:tcPr>
            <w:tcW w:w="7560" w:type="dxa"/>
            <w:vAlign w:val="bottom"/>
            <w:gridSpan w:val="3"/>
          </w:tcPr>
          <w:p>
            <w:pPr>
              <w:ind w:left="820"/>
              <w:spacing w:after="0"/>
              <w:rPr>
                <w:sz w:val="20"/>
                <w:szCs w:val="20"/>
                <w:color w:val="auto"/>
              </w:rPr>
            </w:pPr>
            <w:r>
              <w:rPr>
                <w:rFonts w:ascii="Arial" w:cs="Arial" w:eastAsia="Arial" w:hAnsi="Arial"/>
                <w:sz w:val="18"/>
                <w:szCs w:val="18"/>
                <w:color w:val="auto"/>
              </w:rPr>
              <w:t>the Ex-Im Facility Agent shall have received a certificate of a Responsible Officer of</w:t>
            </w:r>
          </w:p>
        </w:tc>
      </w:tr>
    </w:tbl>
    <w:p>
      <w:pPr>
        <w:jc w:val="both"/>
        <w:ind w:left="760"/>
        <w:spacing w:after="0" w:line="237" w:lineRule="auto"/>
        <w:rPr>
          <w:sz w:val="20"/>
          <w:szCs w:val="20"/>
          <w:color w:val="auto"/>
        </w:rPr>
      </w:pPr>
      <w:r>
        <w:rPr>
          <w:rFonts w:ascii="Arial" w:cs="Arial" w:eastAsia="Arial" w:hAnsi="Arial"/>
          <w:sz w:val="18"/>
          <w:szCs w:val="18"/>
          <w:color w:val="auto"/>
        </w:rPr>
        <w:t xml:space="preserve">the Guarantor (x) attaching a detailed calculation of the Senior Secured Leverage Ratio as of the last day of the Fiscal Quarter most recently ended prior to the Subsequent Amendment Effective Date (which, to the extent the Inmarsat Acquisition was not consummated prior to such last day of such Fiscal Quarter, shall be calculated on a Pro Forma Basis as if the Inmarsat Acquisition had been consummated on the first day of the four Fiscal Quarter period ending on such date and all contemplated Indebtedness to be incurred in connection therewith had been incurred on such date) and (y) certifying on behalf of the Guarantor as to the conditions set forth in </w:t>
      </w:r>
      <w:r>
        <w:rPr>
          <w:rFonts w:ascii="Arial" w:cs="Arial" w:eastAsia="Arial" w:hAnsi="Arial"/>
          <w:sz w:val="18"/>
          <w:szCs w:val="18"/>
          <w:u w:val="single" w:color="auto"/>
          <w:color w:val="auto"/>
        </w:rPr>
        <w:t>Section 3(b)(ii)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3(b)(iii)</w:t>
      </w:r>
      <w:r>
        <w:rPr>
          <w:rFonts w:ascii="Arial" w:cs="Arial" w:eastAsia="Arial" w:hAnsi="Arial"/>
          <w:sz w:val="18"/>
          <w:szCs w:val="18"/>
          <w:color w:val="auto"/>
        </w:rPr>
        <w:t xml:space="preserve"> of this Amendment; and</w:t>
      </w:r>
    </w:p>
    <w:p>
      <w:pPr>
        <w:spacing w:after="0" w:line="205" w:lineRule="exact"/>
        <w:rPr>
          <w:sz w:val="20"/>
          <w:szCs w:val="20"/>
          <w:color w:val="auto"/>
        </w:rPr>
      </w:pPr>
    </w:p>
    <w:p>
      <w:pPr>
        <w:jc w:val="both"/>
        <w:ind w:left="760" w:firstLine="1872"/>
        <w:spacing w:after="0" w:line="237" w:lineRule="auto"/>
        <w:rPr>
          <w:sz w:val="20"/>
          <w:szCs w:val="20"/>
          <w:color w:val="auto"/>
        </w:rPr>
      </w:pPr>
      <w:r>
        <w:rPr>
          <w:rFonts w:ascii="Arial" w:cs="Arial" w:eastAsia="Arial" w:hAnsi="Arial"/>
          <w:sz w:val="18"/>
          <w:szCs w:val="18"/>
          <w:color w:val="auto"/>
        </w:rPr>
        <w:t>(v) the Guarantor shall have provided Ex-Im Bank and the Ex-Im Facility Agent on a date occurring not more than 60 days, nor less than 10 Business Days prior the consummation of the Inmarsat Acquisition prior written notice of date of the Inmarsat Acquisition, together with (A) at least one (1) year of historical financial information relating to Inmarsat (including the most recent audited annual consolidated financial statements of Inmarsat), (B) the Inmarsat Acquisition Agreement, (C) quarterly projections prepared on a Pro Forma Basis and (D) such other documentation pertaining to the Inmarsat Acquisition as Ex-Im Bank may reasonably request;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line="26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no event shall the amendments to the Credit Agreement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Amendment become effective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binding if the Inmarsat Acquisition is not consummated on or prior to the Inmarsat Acquisition Outside Date.</w:t>
      </w:r>
    </w:p>
    <w:p>
      <w:pPr>
        <w:spacing w:after="0" w:line="178" w:lineRule="exact"/>
        <w:rPr>
          <w:sz w:val="20"/>
          <w:szCs w:val="20"/>
          <w:color w:val="auto"/>
        </w:rPr>
      </w:pPr>
    </w:p>
    <w:p>
      <w:pPr>
        <w:jc w:val="both"/>
        <w:ind w:firstLine="757"/>
        <w:spacing w:after="0"/>
        <w:tabs>
          <w:tab w:leader="none" w:pos="1498"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Certain Section 1 Amendments</w:t>
      </w:r>
      <w:r>
        <w:rPr>
          <w:rFonts w:ascii="Arial" w:cs="Arial" w:eastAsia="Arial" w:hAnsi="Arial"/>
          <w:sz w:val="18"/>
          <w:szCs w:val="18"/>
          <w:color w:val="auto"/>
        </w:rPr>
        <w:t>. To the extent the Inmarsat Acquisition is not consummated on or prior to the Inmarsat Acquisition Outside Date, the Credit Agreement shall be automatically amended, without the requirement for any consent or action by any Person, with effect from the Inmarsat Acquisition Outside Date, as follows:</w:t>
      </w:r>
    </w:p>
    <w:p>
      <w:pPr>
        <w:spacing w:after="0" w:line="198" w:lineRule="exact"/>
        <w:rPr>
          <w:rFonts w:ascii="Arial" w:cs="Arial" w:eastAsia="Arial" w:hAnsi="Arial"/>
          <w:sz w:val="18"/>
          <w:szCs w:val="18"/>
          <w:color w:val="auto"/>
        </w:rPr>
      </w:pPr>
    </w:p>
    <w:p>
      <w:pPr>
        <w:ind w:left="3000" w:hanging="1495"/>
        <w:spacing w:after="0"/>
        <w:tabs>
          <w:tab w:leader="none" w:pos="3000"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Clause C.9(i)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Annex F</w:t>
      </w:r>
      <w:r>
        <w:rPr>
          <w:rFonts w:ascii="Arial" w:cs="Arial" w:eastAsia="Arial" w:hAnsi="Arial"/>
          <w:sz w:val="18"/>
          <w:szCs w:val="18"/>
          <w:color w:val="auto"/>
        </w:rPr>
        <w:t xml:space="preserve"> to the Credit Agreement is hereby amended and restated in its entirety as</w:t>
      </w:r>
    </w:p>
    <w:p>
      <w:pPr>
        <w:spacing w:after="0"/>
        <w:rPr>
          <w:rFonts w:ascii="Arial" w:cs="Arial" w:eastAsia="Arial" w:hAnsi="Arial"/>
          <w:sz w:val="18"/>
          <w:szCs w:val="18"/>
          <w:color w:val="auto"/>
        </w:rPr>
      </w:pPr>
      <w:r>
        <w:rPr>
          <w:rFonts w:ascii="Arial" w:cs="Arial" w:eastAsia="Arial" w:hAnsi="Arial"/>
          <w:sz w:val="18"/>
          <w:szCs w:val="18"/>
          <w:color w:val="auto"/>
        </w:rPr>
        <w:t>follows:</w:t>
      </w:r>
    </w:p>
    <w:p>
      <w:pPr>
        <w:spacing w:after="0" w:line="212" w:lineRule="exact"/>
        <w:rPr>
          <w:sz w:val="20"/>
          <w:szCs w:val="20"/>
          <w:color w:val="auto"/>
        </w:rPr>
      </w:pPr>
    </w:p>
    <w:p>
      <w:pPr>
        <w:jc w:val="both"/>
        <w:ind w:left="1500"/>
        <w:spacing w:after="0" w:line="238" w:lineRule="auto"/>
        <w:rPr>
          <w:sz w:val="20"/>
          <w:szCs w:val="20"/>
          <w:color w:val="auto"/>
        </w:rPr>
      </w:pPr>
      <w:r>
        <w:rPr>
          <w:rFonts w:ascii="Arial" w:cs="Arial" w:eastAsia="Arial" w:hAnsi="Arial"/>
          <w:sz w:val="18"/>
          <w:szCs w:val="18"/>
          <w:color w:val="auto"/>
        </w:rPr>
        <w:t>“(i) Liens securing Permitted Additional Indebtedness (and any related banking services or cash management obligations); provided that the Senior Secured Leverage Ratio (calculated on a Pro Forma Basis after giving effect to the incurrence of such Indebtedness (assuming the borrowing of the maximum credit thereunder) and the application of the proceeds therefrom) shall be no greater than 3.50 to 1.00;”</w:t>
      </w:r>
    </w:p>
    <w:p>
      <w:pPr>
        <w:spacing w:after="0" w:line="200"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u w:val="single" w:color="auto"/>
          <w:color w:val="auto"/>
        </w:rPr>
        <w:t>Clause C.13</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Annex F</w:t>
      </w:r>
      <w:r>
        <w:rPr>
          <w:rFonts w:ascii="Arial" w:cs="Arial" w:eastAsia="Arial" w:hAnsi="Arial"/>
          <w:sz w:val="18"/>
          <w:szCs w:val="18"/>
          <w:color w:val="auto"/>
        </w:rPr>
        <w:t xml:space="preserve"> to the Credit Agreement is hereby amended and restated in its entirety as</w:t>
      </w:r>
    </w:p>
    <w:p>
      <w:pPr>
        <w:spacing w:after="0"/>
        <w:rPr>
          <w:sz w:val="20"/>
          <w:szCs w:val="20"/>
          <w:color w:val="auto"/>
        </w:rPr>
      </w:pPr>
      <w:r>
        <w:rPr>
          <w:rFonts w:ascii="Arial" w:cs="Arial" w:eastAsia="Arial" w:hAnsi="Arial"/>
          <w:sz w:val="18"/>
          <w:szCs w:val="18"/>
          <w:color w:val="auto"/>
        </w:rPr>
        <w:t>follows:</w:t>
      </w:r>
    </w:p>
    <w:p>
      <w:pPr>
        <w:spacing w:after="0" w:line="212" w:lineRule="exact"/>
        <w:rPr>
          <w:sz w:val="20"/>
          <w:szCs w:val="20"/>
          <w:color w:val="auto"/>
        </w:rPr>
      </w:pPr>
    </w:p>
    <w:p>
      <w:pPr>
        <w:jc w:val="both"/>
        <w:ind w:left="1500"/>
        <w:spacing w:after="0" w:line="237" w:lineRule="auto"/>
        <w:rPr>
          <w:sz w:val="20"/>
          <w:szCs w:val="20"/>
          <w:color w:val="auto"/>
        </w:rPr>
      </w:pPr>
      <w:r>
        <w:rPr>
          <w:rFonts w:ascii="Arial" w:cs="Arial" w:eastAsia="Arial" w:hAnsi="Arial"/>
          <w:sz w:val="18"/>
          <w:szCs w:val="18"/>
          <w:color w:val="auto"/>
        </w:rPr>
        <w:t xml:space="preserve">“Except with the consent of Ex-Im Bank, permit the Total Leverage Ratio as of the last day of any Fiscal Quarter to be greater than 4.75 to 1.00; provided, however, that in the event of (a) any Permitted Acquisition for which the aggregate purchase consideration exceeds $ 200,000,000 and/or (b) any Satellite Trigger, the maximum permitted Total Leverage Ratio shall increase to 5.25 to 1.00 for the six consecutive Fiscal Quarter period beginning with the Fiscal Quarter in which each such Permitted Acquisition or Satellite Trigger occurs, so long as the Guarantor is in compliance on a Pro Forma Basis with this </w:t>
      </w:r>
      <w:r>
        <w:rPr>
          <w:rFonts w:ascii="Arial" w:cs="Arial" w:eastAsia="Arial" w:hAnsi="Arial"/>
          <w:sz w:val="18"/>
          <w:szCs w:val="18"/>
          <w:u w:val="single" w:color="auto"/>
          <w:color w:val="auto"/>
        </w:rPr>
        <w:t>Clause C.13</w:t>
      </w:r>
      <w:r>
        <w:rPr>
          <w:rFonts w:ascii="Arial" w:cs="Arial" w:eastAsia="Arial" w:hAnsi="Arial"/>
          <w:sz w:val="18"/>
          <w:szCs w:val="18"/>
          <w:color w:val="auto"/>
        </w:rPr>
        <w:t xml:space="preserve"> at such 5.25 to 1.00 level after giving effect to such Permitted Acquisition or Satellite Trigger (the aforementioned increase in such level, the “</w:t>
      </w:r>
      <w:r>
        <w:rPr>
          <w:rFonts w:ascii="Arial" w:cs="Arial" w:eastAsia="Arial" w:hAnsi="Arial"/>
          <w:sz w:val="18"/>
          <w:szCs w:val="18"/>
          <w:u w:val="single" w:color="auto"/>
          <w:color w:val="auto"/>
        </w:rPr>
        <w:t>Temporary Leverage Increase</w:t>
      </w:r>
      <w:r>
        <w:rPr>
          <w:rFonts w:ascii="Arial" w:cs="Arial" w:eastAsia="Arial" w:hAnsi="Arial"/>
          <w:sz w:val="18"/>
          <w:szCs w:val="18"/>
          <w:color w:val="auto"/>
        </w:rPr>
        <w:t>”).”</w:t>
      </w:r>
    </w:p>
    <w:p>
      <w:pPr>
        <w:spacing w:after="0" w:line="203" w:lineRule="exact"/>
        <w:rPr>
          <w:sz w:val="20"/>
          <w:szCs w:val="20"/>
          <w:color w:val="auto"/>
        </w:rPr>
      </w:pPr>
    </w:p>
    <w:p>
      <w:pPr>
        <w:ind w:firstLine="757"/>
        <w:spacing w:after="0" w:line="246" w:lineRule="auto"/>
        <w:tabs>
          <w:tab w:leader="none" w:pos="1498"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Covenant</w:t>
      </w:r>
      <w:r>
        <w:rPr>
          <w:rFonts w:ascii="Arial" w:cs="Arial" w:eastAsia="Arial" w:hAnsi="Arial"/>
          <w:sz w:val="18"/>
          <w:szCs w:val="18"/>
          <w:color w:val="auto"/>
        </w:rPr>
        <w:t>. The Borrower shall promptly, and in any event within ten (10) Business Days after the occurrence thereof, provide written notice to the Ex-Im Facility Agent and Ex-Im Bank of the consummation of the Inmarsat Acquisition.</w:t>
      </w:r>
    </w:p>
    <w:p>
      <w:pPr>
        <w:spacing w:after="0" w:line="196" w:lineRule="exact"/>
        <w:rPr>
          <w:rFonts w:ascii="Arial" w:cs="Arial" w:eastAsia="Arial" w:hAnsi="Arial"/>
          <w:sz w:val="18"/>
          <w:szCs w:val="18"/>
          <w:color w:val="auto"/>
        </w:rPr>
      </w:pPr>
    </w:p>
    <w:p>
      <w:pPr>
        <w:jc w:val="both"/>
        <w:ind w:firstLine="757"/>
        <w:spacing w:after="0" w:line="237" w:lineRule="auto"/>
        <w:tabs>
          <w:tab w:leader="none" w:pos="1498"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of the Borrower and the Guarantor represents and warrants to Ex-Im Bank and the Ex-Im Bank Facility Agent that except for representations and warranties which expressly speak as of a particular date or are no longer true and correct as a result of a change which is permitted by the Credit Agreement, the representations and warranties made by it contained in the Credit Agreement or in any other document or documents relating thereto are true and correct in all material respects (except that any representation and warranty that is qualified by materiality shall be true and correct in all respects) on and as of the date hereof as though made on the date hereof, and all such representations and warranties shall survive the execution and delivery of this Amendment.</w:t>
      </w:r>
    </w:p>
    <w:p>
      <w:pPr>
        <w:spacing w:after="0" w:line="204" w:lineRule="exact"/>
        <w:rPr>
          <w:rFonts w:ascii="Arial" w:cs="Arial" w:eastAsia="Arial" w:hAnsi="Arial"/>
          <w:sz w:val="18"/>
          <w:szCs w:val="18"/>
          <w:color w:val="auto"/>
        </w:rPr>
      </w:pPr>
    </w:p>
    <w:p>
      <w:pPr>
        <w:ind w:left="1420" w:hanging="756"/>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1505"/>
        <w:spacing w:after="0" w:line="237" w:lineRule="auto"/>
        <w:tabs>
          <w:tab w:leader="none" w:pos="2995" w:val="left"/>
        </w:tabs>
        <w:numPr>
          <w:ilvl w:val="2"/>
          <w:numId w:val="32"/>
        </w:numPr>
        <w:rPr>
          <w:rFonts w:ascii="Arial" w:cs="Arial" w:eastAsia="Arial" w:hAnsi="Arial"/>
          <w:sz w:val="18"/>
          <w:szCs w:val="18"/>
          <w:color w:val="auto"/>
        </w:rPr>
      </w:pPr>
      <w:r>
        <w:rPr>
          <w:rFonts w:ascii="Arial" w:cs="Arial" w:eastAsia="Arial" w:hAnsi="Arial"/>
          <w:sz w:val="18"/>
          <w:szCs w:val="18"/>
          <w:u w:val="single" w:color="auto"/>
          <w:color w:val="auto"/>
        </w:rPr>
        <w:t>Reference to and Effect on the Finance Documents</w:t>
      </w:r>
      <w:r>
        <w:rPr>
          <w:rFonts w:ascii="Arial" w:cs="Arial" w:eastAsia="Arial" w:hAnsi="Arial"/>
          <w:sz w:val="18"/>
          <w:szCs w:val="18"/>
          <w:color w:val="auto"/>
        </w:rPr>
        <w:t>. Except as amended hereby, all of the provisions of the Credit Agreement and the other Finance Documents shall remain unmodified and in full force and effect except that each reference to the “Agreement” in the Credit Agreement or words of like import in any Finance Document shall mean and be a reference to the Credit Agreement as amended hereby and this Amendment shall be designated as a Finance Document for all purposes of the Finance Documents. Except as expressly set forth herein, the execution, delivery, and performance of this Amendment shall not operate as a waiver of, or as an amendment of, any right, power, or remedy of Ex-Im Bank or the Ex-Im Bank Facility Agent under the Credit Agreement or any other Finance Document, as in effect prior to the date hereof.</w:t>
      </w:r>
    </w:p>
    <w:p>
      <w:pPr>
        <w:spacing w:after="0" w:line="184" w:lineRule="exact"/>
        <w:rPr>
          <w:rFonts w:ascii="Arial" w:cs="Arial" w:eastAsia="Arial" w:hAnsi="Arial"/>
          <w:sz w:val="18"/>
          <w:szCs w:val="18"/>
          <w:color w:val="auto"/>
        </w:rPr>
      </w:pPr>
    </w:p>
    <w:p>
      <w:pPr>
        <w:ind w:firstLine="1505"/>
        <w:spacing w:after="0" w:line="267" w:lineRule="auto"/>
        <w:tabs>
          <w:tab w:leader="none" w:pos="2995" w:val="left"/>
        </w:tabs>
        <w:numPr>
          <w:ilvl w:val="2"/>
          <w:numId w:val="32"/>
        </w:numPr>
        <w:rPr>
          <w:rFonts w:ascii="Arial" w:cs="Arial" w:eastAsia="Arial" w:hAnsi="Arial"/>
          <w:sz w:val="18"/>
          <w:szCs w:val="18"/>
          <w:color w:val="auto"/>
        </w:rPr>
      </w:pPr>
      <w:r>
        <w:rPr>
          <w:rFonts w:ascii="Arial" w:cs="Arial" w:eastAsia="Arial" w:hAnsi="Arial"/>
          <w:sz w:val="18"/>
          <w:szCs w:val="18"/>
          <w:u w:val="single" w:color="auto"/>
          <w:color w:val="auto"/>
        </w:rPr>
        <w:t>Governing Law and Jurisdiction</w:t>
      </w:r>
      <w:r>
        <w:rPr>
          <w:rFonts w:ascii="Arial" w:cs="Arial" w:eastAsia="Arial" w:hAnsi="Arial"/>
          <w:sz w:val="18"/>
          <w:szCs w:val="18"/>
          <w:color w:val="auto"/>
        </w:rPr>
        <w:t>. The provisions of Section 12 (</w:t>
      </w:r>
      <w:r>
        <w:rPr>
          <w:rFonts w:ascii="Arial" w:cs="Arial" w:eastAsia="Arial" w:hAnsi="Arial"/>
          <w:sz w:val="18"/>
          <w:szCs w:val="18"/>
          <w:i w:val="1"/>
          <w:iCs w:val="1"/>
          <w:color w:val="auto"/>
        </w:rPr>
        <w:t>Governing Law and Jurisdiction</w:t>
      </w:r>
      <w:r>
        <w:rPr>
          <w:rFonts w:ascii="Arial" w:cs="Arial" w:eastAsia="Arial" w:hAnsi="Arial"/>
          <w:sz w:val="18"/>
          <w:szCs w:val="18"/>
          <w:color w:val="auto"/>
        </w:rPr>
        <w:t xml:space="preserve">) of the Credit Agreement are incorporated herein by this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78" w:lineRule="exact"/>
        <w:rPr>
          <w:rFonts w:ascii="Arial" w:cs="Arial" w:eastAsia="Arial" w:hAnsi="Arial"/>
          <w:sz w:val="18"/>
          <w:szCs w:val="18"/>
          <w:color w:val="auto"/>
        </w:rPr>
      </w:pPr>
    </w:p>
    <w:p>
      <w:pPr>
        <w:jc w:val="both"/>
        <w:ind w:firstLine="1505"/>
        <w:spacing w:after="0"/>
        <w:tabs>
          <w:tab w:leader="none" w:pos="2995" w:val="left"/>
        </w:tabs>
        <w:numPr>
          <w:ilvl w:val="2"/>
          <w:numId w:val="3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two or more counterparts, each of which shall be deemed an original, but all of which together shall constitute one instrument. Delivery of an executed counterpart hereof by facsimile or electronic transmission shall be effective as delivery of a manually executed counterpart.</w:t>
      </w:r>
    </w:p>
    <w:p>
      <w:pPr>
        <w:spacing w:after="0" w:line="202" w:lineRule="exact"/>
        <w:rPr>
          <w:rFonts w:ascii="Arial" w:cs="Arial" w:eastAsia="Arial" w:hAnsi="Arial"/>
          <w:sz w:val="18"/>
          <w:szCs w:val="18"/>
          <w:color w:val="auto"/>
        </w:rPr>
      </w:pPr>
    </w:p>
    <w:p>
      <w:pPr>
        <w:jc w:val="both"/>
        <w:ind w:right="20" w:firstLine="1505"/>
        <w:spacing w:after="0"/>
        <w:tabs>
          <w:tab w:leader="none" w:pos="2995" w:val="left"/>
        </w:tabs>
        <w:numPr>
          <w:ilvl w:val="2"/>
          <w:numId w:val="32"/>
        </w:numPr>
        <w:rPr>
          <w:rFonts w:ascii="Arial" w:cs="Arial" w:eastAsia="Arial" w:hAnsi="Arial"/>
          <w:sz w:val="18"/>
          <w:szCs w:val="18"/>
          <w:color w:val="auto"/>
        </w:rPr>
      </w:pPr>
      <w:r>
        <w:rPr>
          <w:rFonts w:ascii="Arial" w:cs="Arial" w:eastAsia="Arial" w:hAnsi="Arial"/>
          <w:sz w:val="18"/>
          <w:szCs w:val="18"/>
          <w:u w:val="single" w:color="auto"/>
          <w:color w:val="auto"/>
        </w:rPr>
        <w:t>Ex-Im Bank Instruction</w:t>
      </w:r>
      <w:r>
        <w:rPr>
          <w:rFonts w:ascii="Arial" w:cs="Arial" w:eastAsia="Arial" w:hAnsi="Arial"/>
          <w:sz w:val="18"/>
          <w:szCs w:val="18"/>
          <w:color w:val="auto"/>
        </w:rPr>
        <w:t>. By countersigning this Amendment, Ex-Im Bank hereby authorizes and instructs the Ex-Im Facility Agent to execute and deliver this Agreement (including, without limitation, to agree to the amendments provided for herein).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8" w:name="page59"/>
    <w:bookmarkEnd w:id="58"/>
    <w:p>
      <w:pPr>
        <w:ind w:firstLine="749"/>
        <w:spacing w:after="0" w:line="246" w:lineRule="auto"/>
        <w:rPr>
          <w:sz w:val="20"/>
          <w:szCs w:val="20"/>
          <w:color w:val="auto"/>
        </w:rPr>
      </w:pPr>
      <w:r>
        <w:rPr>
          <w:rFonts w:ascii="Arial" w:cs="Arial" w:eastAsia="Arial" w:hAnsi="Arial"/>
          <w:sz w:val="18"/>
          <w:szCs w:val="18"/>
          <w:color w:val="auto"/>
        </w:rPr>
        <w:t>IN WITNESS WHEREOF, the parties hereto have caused this Amendment to be executed and delivered by their respective duly authorized representatives on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VIASAT TECHNOLOGIES LIMITED</w:t>
      </w:r>
    </w:p>
    <w:p>
      <w:pPr>
        <w:spacing w:after="0" w:line="200" w:lineRule="exact"/>
        <w:rPr>
          <w:sz w:val="20"/>
          <w:szCs w:val="20"/>
          <w:color w:val="auto"/>
        </w:rPr>
      </w:pPr>
    </w:p>
    <w:p>
      <w:pPr>
        <w:spacing w:after="0" w:line="2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Paul Froelich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3054350</wp:posOffset>
            </wp:positionH>
            <wp:positionV relativeFrom="paragraph">
              <wp:posOffset>-15875</wp:posOffset>
            </wp:positionV>
            <wp:extent cx="132651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4480"/>
        <w:spacing w:after="0" w:line="234" w:lineRule="auto"/>
        <w:rPr>
          <w:sz w:val="20"/>
          <w:szCs w:val="20"/>
          <w:color w:val="auto"/>
        </w:rPr>
      </w:pPr>
      <w:r>
        <w:rPr>
          <w:rFonts w:ascii="Arial" w:cs="Arial" w:eastAsia="Arial" w:hAnsi="Arial"/>
          <w:sz w:val="18"/>
          <w:szCs w:val="18"/>
          <w:color w:val="auto"/>
        </w:rPr>
        <w:t>Name: Paul Froelich</w:t>
      </w:r>
    </w:p>
    <w:p>
      <w:pPr>
        <w:spacing w:after="0" w:line="1" w:lineRule="exact"/>
        <w:rPr>
          <w:sz w:val="20"/>
          <w:szCs w:val="20"/>
          <w:color w:val="auto"/>
        </w:rPr>
      </w:pPr>
    </w:p>
    <w:p>
      <w:pPr>
        <w:ind w:left="4480"/>
        <w:spacing w:after="0"/>
        <w:tabs>
          <w:tab w:leader="none" w:pos="50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VIASAT, INC.</w:t>
      </w:r>
    </w:p>
    <w:p>
      <w:pPr>
        <w:spacing w:after="0" w:line="200" w:lineRule="exact"/>
        <w:rPr>
          <w:sz w:val="20"/>
          <w:szCs w:val="20"/>
          <w:color w:val="auto"/>
        </w:rPr>
      </w:pPr>
    </w:p>
    <w:p>
      <w:pPr>
        <w:spacing w:after="0" w:line="2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Shawn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-15875</wp:posOffset>
            </wp:positionV>
            <wp:extent cx="107251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072515" cy="8890"/>
                    </a:xfrm>
                    <a:prstGeom prst="rect">
                      <a:avLst/>
                    </a:prstGeom>
                    <a:noFill/>
                  </pic:spPr>
                </pic:pic>
              </a:graphicData>
            </a:graphic>
          </wp:anchor>
        </w:drawing>
      </w:r>
    </w:p>
    <w:p>
      <w:pPr>
        <w:ind w:left="4480"/>
        <w:spacing w:after="0" w:line="234" w:lineRule="auto"/>
        <w:rPr>
          <w:sz w:val="20"/>
          <w:szCs w:val="20"/>
          <w:color w:val="auto"/>
        </w:rPr>
      </w:pPr>
      <w:r>
        <w:rPr>
          <w:rFonts w:ascii="Arial" w:cs="Arial" w:eastAsia="Arial" w:hAnsi="Arial"/>
          <w:sz w:val="18"/>
          <w:szCs w:val="18"/>
          <w:color w:val="auto"/>
        </w:rPr>
        <w:t>Name: Shawn Duffy</w:t>
      </w:r>
    </w:p>
    <w:p>
      <w:pPr>
        <w:spacing w:after="0" w:line="1" w:lineRule="exact"/>
        <w:rPr>
          <w:sz w:val="20"/>
          <w:szCs w:val="20"/>
          <w:color w:val="auto"/>
        </w:rPr>
      </w:pPr>
    </w:p>
    <w:p>
      <w:pPr>
        <w:ind w:left="4480"/>
        <w:spacing w:after="0"/>
        <w:tabs>
          <w:tab w:leader="none" w:pos="50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Senior Vice President and Chief Financial Officer</w:t>
      </w:r>
    </w:p>
    <w:p>
      <w:pPr>
        <w:spacing w:after="0" w:line="38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[Signature Page to Sixth Amendment to Ex-Im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544" w:right="65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JPMORGAN CHASE BANK, NATIONAL ASSOCIATION, as</w:t>
      </w:r>
    </w:p>
    <w:p>
      <w:pPr>
        <w:spacing w:after="0"/>
        <w:rPr>
          <w:sz w:val="20"/>
          <w:szCs w:val="20"/>
          <w:color w:val="auto"/>
        </w:rPr>
      </w:pPr>
      <w:r>
        <w:rPr>
          <w:rFonts w:ascii="Arial" w:cs="Arial" w:eastAsia="Arial" w:hAnsi="Arial"/>
          <w:sz w:val="18"/>
          <w:szCs w:val="18"/>
          <w:color w:val="auto"/>
        </w:rPr>
        <w:t>Ex-Im Facility Agent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Paul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-15875</wp:posOffset>
            </wp:positionV>
            <wp:extent cx="107251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Name: Paul Coleman</w:t>
      </w:r>
    </w:p>
    <w:p>
      <w:pPr>
        <w:spacing w:after="0" w:line="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Vice President</w:t>
      </w:r>
    </w:p>
    <w:p>
      <w:pPr>
        <w:spacing w:after="0" w:line="387" w:lineRule="exact"/>
        <w:rPr>
          <w:sz w:val="20"/>
          <w:szCs w:val="20"/>
          <w:color w:val="auto"/>
        </w:rPr>
      </w:pPr>
    </w:p>
    <w:p>
      <w:pPr>
        <w:jc w:val="right"/>
        <w:ind w:right="2119"/>
        <w:spacing w:after="0"/>
        <w:rPr>
          <w:sz w:val="20"/>
          <w:szCs w:val="20"/>
          <w:color w:val="auto"/>
        </w:rPr>
      </w:pPr>
      <w:r>
        <w:rPr>
          <w:rFonts w:ascii="Arial" w:cs="Arial" w:eastAsia="Arial" w:hAnsi="Arial"/>
          <w:sz w:val="18"/>
          <w:szCs w:val="18"/>
          <w:color w:val="auto"/>
        </w:rPr>
        <w:t>[Signature Page to Sixth Amendment to Ex-Im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4" w:right="1440"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EXPORT-IMPORT BANK OF THE UNITED STATES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Jadranka Gerrety</w:t>
      </w:r>
    </w:p>
    <w:p>
      <w:pPr>
        <w:spacing w:after="0" w:line="234" w:lineRule="auto"/>
        <w:rPr>
          <w:sz w:val="20"/>
          <w:szCs w:val="20"/>
          <w:color w:val="auto"/>
        </w:rPr>
      </w:pPr>
      <w:r>
        <w:rPr>
          <w:rFonts w:ascii="Arial" w:cs="Arial" w:eastAsia="Arial" w:hAnsi="Arial"/>
          <w:sz w:val="18"/>
          <w:szCs w:val="18"/>
          <w:color w:val="auto"/>
        </w:rPr>
        <w:t>Name: Jadranka Gerrety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Title: Authorized Signatory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Ex-Im Bank Transaction No. AP088346XX - United Kingdom</w:t>
      </w:r>
    </w:p>
    <w:p>
      <w:pPr>
        <w:jc w:val="right"/>
        <w:ind w:right="2119"/>
        <w:spacing w:after="0"/>
        <w:rPr>
          <w:sz w:val="20"/>
          <w:szCs w:val="20"/>
          <w:color w:val="auto"/>
        </w:rPr>
      </w:pPr>
      <w:r>
        <w:rPr>
          <w:rFonts w:ascii="Arial" w:cs="Arial" w:eastAsia="Arial" w:hAnsi="Arial"/>
          <w:sz w:val="18"/>
          <w:szCs w:val="18"/>
          <w:color w:val="auto"/>
        </w:rPr>
        <w:t>[Signature Page to Sixth Amendment to Ex-Im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61" w:name="page62"/>
    <w:bookmarkEnd w:id="61"/>
    <w:p>
      <w:pPr>
        <w:ind w:left="1020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CERTIFICATION OF CHIEF EXECUTIVE OFFICER PURSUANT</w:t>
      </w:r>
    </w:p>
    <w:p>
      <w:pPr>
        <w:jc w:val="center"/>
        <w:ind w:right="20"/>
        <w:spacing w:after="0"/>
        <w:rPr>
          <w:sz w:val="20"/>
          <w:szCs w:val="20"/>
          <w:color w:val="auto"/>
        </w:rPr>
      </w:pPr>
      <w:r>
        <w:rPr>
          <w:rFonts w:ascii="Arial" w:cs="Arial" w:eastAsia="Arial" w:hAnsi="Arial"/>
          <w:sz w:val="18"/>
          <w:szCs w:val="18"/>
          <w:color w:val="auto"/>
        </w:rPr>
        <w:t>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104"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03" w:lineRule="exact"/>
        <w:rPr>
          <w:rFonts w:ascii="Arial" w:cs="Arial" w:eastAsia="Arial" w:hAnsi="Arial"/>
          <w:sz w:val="18"/>
          <w:szCs w:val="18"/>
          <w:color w:val="auto"/>
        </w:rPr>
      </w:pPr>
    </w:p>
    <w:p>
      <w:pPr>
        <w:ind w:left="520" w:right="6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20" w:right="24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ind w:left="520" w:right="4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1020" w:right="260" w:hanging="503"/>
        <w:spacing w:after="0"/>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020" w:right="260" w:hanging="503"/>
        <w:spacing w:after="0"/>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jc w:val="both"/>
        <w:ind w:left="1020" w:right="180" w:hanging="503"/>
        <w:spacing w:after="0"/>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020" w:hanging="503"/>
        <w:spacing w:after="0"/>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20" w:right="24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020" w:right="180" w:hanging="503"/>
        <w:spacing w:after="0"/>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8"/>
          <w:szCs w:val="18"/>
          <w:color w:val="auto"/>
        </w:rPr>
      </w:pPr>
    </w:p>
    <w:p>
      <w:pPr>
        <w:ind w:left="1020" w:right="100" w:hanging="503"/>
        <w:spacing w:after="0" w:line="246" w:lineRule="auto"/>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20"/>
        <w:spacing w:after="0"/>
        <w:tabs>
          <w:tab w:leader="none" w:pos="6860" w:val="left"/>
        </w:tabs>
        <w:rPr>
          <w:sz w:val="20"/>
          <w:szCs w:val="20"/>
          <w:color w:val="auto"/>
        </w:rPr>
      </w:pPr>
      <w:r>
        <w:rPr>
          <w:rFonts w:ascii="Arial" w:cs="Arial" w:eastAsia="Arial" w:hAnsi="Arial"/>
          <w:sz w:val="18"/>
          <w:szCs w:val="18"/>
          <w:color w:val="auto"/>
        </w:rPr>
        <w:t>Date: August 9, 2022</w:t>
      </w:r>
      <w:r>
        <w:rPr>
          <w:sz w:val="20"/>
          <w:szCs w:val="20"/>
          <w:color w:val="auto"/>
        </w:rPr>
        <w:tab/>
      </w: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-1905</wp:posOffset>
            </wp:positionV>
            <wp:extent cx="27774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6880"/>
        <w:spacing w:after="0"/>
        <w:rPr>
          <w:sz w:val="20"/>
          <w:szCs w:val="20"/>
          <w:color w:val="auto"/>
        </w:rPr>
      </w:pPr>
      <w:r>
        <w:rPr>
          <w:rFonts w:ascii="Arial" w:cs="Arial" w:eastAsia="Arial" w:hAnsi="Arial"/>
          <w:sz w:val="18"/>
          <w:szCs w:val="18"/>
          <w:color w:val="auto"/>
        </w:rPr>
        <w:t>Mark Dankberg</w:t>
      </w:r>
    </w:p>
    <w:p>
      <w:pPr>
        <w:ind w:left="68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62" w:name="page63"/>
    <w:bookmarkEnd w:id="62"/>
    <w:p>
      <w:pPr>
        <w:ind w:left="1020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CERTIFICATION OF CHIEF FINANCIAL OFFICER PURSUANT</w:t>
      </w:r>
    </w:p>
    <w:p>
      <w:pPr>
        <w:ind w:left="3100"/>
        <w:spacing w:after="0"/>
        <w:rPr>
          <w:sz w:val="20"/>
          <w:szCs w:val="20"/>
          <w:color w:val="auto"/>
        </w:rPr>
      </w:pPr>
      <w:r>
        <w:rPr>
          <w:rFonts w:ascii="Arial" w:cs="Arial" w:eastAsia="Arial" w:hAnsi="Arial"/>
          <w:sz w:val="18"/>
          <w:szCs w:val="18"/>
          <w:color w:val="auto"/>
        </w:rPr>
        <w:t>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104"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03" w:lineRule="exact"/>
        <w:rPr>
          <w:rFonts w:ascii="Arial" w:cs="Arial" w:eastAsia="Arial" w:hAnsi="Arial"/>
          <w:sz w:val="18"/>
          <w:szCs w:val="18"/>
          <w:color w:val="auto"/>
        </w:rPr>
      </w:pPr>
    </w:p>
    <w:p>
      <w:pPr>
        <w:ind w:left="520" w:right="6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20" w:right="24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ind w:left="520" w:right="4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1020" w:right="260" w:hanging="503"/>
        <w:spacing w:after="0"/>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020" w:right="260" w:hanging="503"/>
        <w:spacing w:after="0"/>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jc w:val="both"/>
        <w:ind w:left="1020" w:right="180" w:hanging="503"/>
        <w:spacing w:after="0"/>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020" w:hanging="503"/>
        <w:spacing w:after="0"/>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20" w:right="24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020" w:right="180" w:hanging="503"/>
        <w:spacing w:after="0"/>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8"/>
          <w:szCs w:val="18"/>
          <w:color w:val="auto"/>
        </w:rPr>
      </w:pPr>
    </w:p>
    <w:p>
      <w:pPr>
        <w:ind w:left="1020" w:right="100" w:hanging="503"/>
        <w:spacing w:after="0" w:line="246" w:lineRule="auto"/>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20"/>
        <w:spacing w:after="0"/>
        <w:tabs>
          <w:tab w:leader="none" w:pos="6860" w:val="left"/>
        </w:tabs>
        <w:rPr>
          <w:sz w:val="20"/>
          <w:szCs w:val="20"/>
          <w:color w:val="auto"/>
        </w:rPr>
      </w:pPr>
      <w:r>
        <w:rPr>
          <w:rFonts w:ascii="Arial" w:cs="Arial" w:eastAsia="Arial" w:hAnsi="Arial"/>
          <w:sz w:val="18"/>
          <w:szCs w:val="18"/>
          <w:color w:val="auto"/>
        </w:rPr>
        <w:t>Date: August 9, 2022</w:t>
      </w:r>
      <w:r>
        <w:rPr>
          <w:sz w:val="20"/>
          <w:szCs w:val="20"/>
          <w:color w:val="auto"/>
        </w:rPr>
        <w:tab/>
      </w:r>
      <w:r>
        <w:rPr>
          <w:rFonts w:ascii="Arial" w:cs="Arial" w:eastAsia="Arial" w:hAnsi="Arial"/>
          <w:sz w:val="18"/>
          <w:szCs w:val="18"/>
          <w:color w:val="auto"/>
        </w:rPr>
        <w:t>/s/ S</w:t>
      </w:r>
      <w:r>
        <w:rPr>
          <w:rFonts w:ascii="Arial" w:cs="Arial" w:eastAsia="Arial" w:hAnsi="Arial"/>
          <w:sz w:val="14"/>
          <w:szCs w:val="14"/>
          <w:color w:val="auto"/>
        </w:rPr>
        <w:t>HAWN</w:t>
      </w:r>
      <w:r>
        <w:rPr>
          <w:rFonts w:ascii="Arial" w:cs="Arial" w:eastAsia="Arial" w:hAnsi="Arial"/>
          <w:sz w:val="18"/>
          <w:szCs w:val="18"/>
          <w:color w:val="auto"/>
        </w:rPr>
        <w:t xml:space="preserve"> D</w:t>
      </w:r>
      <w:r>
        <w:rPr>
          <w:rFonts w:ascii="Arial" w:cs="Arial" w:eastAsia="Arial" w:hAnsi="Arial"/>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-1905</wp:posOffset>
            </wp:positionV>
            <wp:extent cx="27774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ind w:left="6880"/>
        <w:spacing w:after="0"/>
        <w:rPr>
          <w:sz w:val="20"/>
          <w:szCs w:val="20"/>
          <w:color w:val="auto"/>
        </w:rPr>
      </w:pPr>
      <w:r>
        <w:rPr>
          <w:rFonts w:ascii="Arial" w:cs="Arial" w:eastAsia="Arial" w:hAnsi="Arial"/>
          <w:sz w:val="18"/>
          <w:szCs w:val="18"/>
          <w:color w:val="auto"/>
        </w:rPr>
        <w:t>Shawn Duffy</w:t>
      </w:r>
    </w:p>
    <w:p>
      <w:pPr>
        <w:ind w:left="68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63" w:name="page64"/>
    <w:bookmarkEnd w:id="63"/>
    <w:p>
      <w:pPr>
        <w:ind w:left="10200"/>
        <w:spacing w:after="0"/>
        <w:rPr>
          <w:sz w:val="20"/>
          <w:szCs w:val="20"/>
          <w:color w:val="auto"/>
        </w:rPr>
      </w:pPr>
      <w:r>
        <w:rPr>
          <w:rFonts w:ascii="Arial" w:cs="Arial" w:eastAsia="Arial" w:hAnsi="Arial"/>
          <w:sz w:val="18"/>
          <w:szCs w:val="18"/>
          <w:b w:val="1"/>
          <w:bCs w:val="1"/>
          <w:color w:val="auto"/>
        </w:rPr>
        <w:t>Exhibit 32.1</w:t>
      </w: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CERTIFICATION OF CHIEF EXECUTIVE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 the undersigned officer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104" w:lineRule="exact"/>
        <w:rPr>
          <w:sz w:val="20"/>
          <w:szCs w:val="20"/>
          <w:color w:val="auto"/>
        </w:rPr>
      </w:pPr>
    </w:p>
    <w:p>
      <w:pPr>
        <w:ind w:left="1020" w:right="8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30, 2022 (the “Report”) fully complies with the requirements of Section 13(a) or Section 15(d), as applicable, of the Securities Exchange Act of 1934, as amended; and</w:t>
      </w:r>
    </w:p>
    <w:p>
      <w:pPr>
        <w:spacing w:after="0" w:line="94"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left="20"/>
        <w:spacing w:after="0"/>
        <w:tabs>
          <w:tab w:leader="none" w:pos="6860" w:val="left"/>
        </w:tabs>
        <w:rPr>
          <w:sz w:val="20"/>
          <w:szCs w:val="20"/>
          <w:color w:val="auto"/>
        </w:rPr>
      </w:pPr>
      <w:r>
        <w:rPr>
          <w:rFonts w:ascii="Arial" w:cs="Arial" w:eastAsia="Arial" w:hAnsi="Arial"/>
          <w:sz w:val="18"/>
          <w:szCs w:val="18"/>
          <w:color w:val="auto"/>
        </w:rPr>
        <w:t>Date: August 9, 2022</w:t>
      </w:r>
      <w:r>
        <w:rPr>
          <w:sz w:val="20"/>
          <w:szCs w:val="20"/>
          <w:color w:val="auto"/>
        </w:rPr>
        <w:tab/>
      </w: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-1905</wp:posOffset>
            </wp:positionV>
            <wp:extent cx="27774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6880"/>
        <w:spacing w:after="0"/>
        <w:rPr>
          <w:sz w:val="20"/>
          <w:szCs w:val="20"/>
          <w:color w:val="auto"/>
        </w:rPr>
      </w:pPr>
      <w:r>
        <w:rPr>
          <w:rFonts w:ascii="Arial" w:cs="Arial" w:eastAsia="Arial" w:hAnsi="Arial"/>
          <w:sz w:val="18"/>
          <w:szCs w:val="18"/>
          <w:color w:val="auto"/>
        </w:rPr>
        <w:t>Mark Dankberg</w:t>
      </w:r>
    </w:p>
    <w:p>
      <w:pPr>
        <w:ind w:left="6880"/>
        <w:spacing w:after="0"/>
        <w:rPr>
          <w:sz w:val="20"/>
          <w:szCs w:val="20"/>
          <w:color w:val="auto"/>
        </w:rPr>
      </w:pPr>
      <w:r>
        <w:rPr>
          <w:rFonts w:ascii="Arial" w:cs="Arial" w:eastAsia="Arial" w:hAnsi="Arial"/>
          <w:sz w:val="18"/>
          <w:szCs w:val="18"/>
          <w:color w:val="auto"/>
        </w:rPr>
        <w:t>Chief Executive Officer</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CERTIFICATION OF CHIEF FINANCIAL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 the undersigned officer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104" w:lineRule="exact"/>
        <w:rPr>
          <w:sz w:val="20"/>
          <w:szCs w:val="20"/>
          <w:color w:val="auto"/>
        </w:rPr>
      </w:pPr>
    </w:p>
    <w:p>
      <w:pPr>
        <w:ind w:left="1020" w:right="8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30, 2022 (the “Report”) fully complies with the requirements of Section 13(a) or Section 15(d), as applicable, of the Securities Exchange Act of 1934, as amended; and</w:t>
      </w:r>
    </w:p>
    <w:p>
      <w:pPr>
        <w:spacing w:after="0" w:line="94"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left="20"/>
        <w:spacing w:after="0"/>
        <w:tabs>
          <w:tab w:leader="none" w:pos="6860" w:val="left"/>
        </w:tabs>
        <w:rPr>
          <w:sz w:val="20"/>
          <w:szCs w:val="20"/>
          <w:color w:val="auto"/>
        </w:rPr>
      </w:pPr>
      <w:r>
        <w:rPr>
          <w:rFonts w:ascii="Arial" w:cs="Arial" w:eastAsia="Arial" w:hAnsi="Arial"/>
          <w:sz w:val="18"/>
          <w:szCs w:val="18"/>
          <w:color w:val="auto"/>
        </w:rPr>
        <w:t>Date: August 9, 2022</w:t>
      </w:r>
      <w:r>
        <w:rPr>
          <w:sz w:val="20"/>
          <w:szCs w:val="20"/>
          <w:color w:val="auto"/>
        </w:rPr>
        <w:tab/>
      </w:r>
      <w:r>
        <w:rPr>
          <w:rFonts w:ascii="Arial" w:cs="Arial" w:eastAsia="Arial" w:hAnsi="Arial"/>
          <w:sz w:val="18"/>
          <w:szCs w:val="18"/>
          <w:color w:val="auto"/>
        </w:rPr>
        <w:t>/s/ S</w:t>
      </w:r>
      <w:r>
        <w:rPr>
          <w:rFonts w:ascii="Arial" w:cs="Arial" w:eastAsia="Arial" w:hAnsi="Arial"/>
          <w:sz w:val="14"/>
          <w:szCs w:val="14"/>
          <w:color w:val="auto"/>
        </w:rPr>
        <w:t>HAWN</w:t>
      </w:r>
      <w:r>
        <w:rPr>
          <w:rFonts w:ascii="Arial" w:cs="Arial" w:eastAsia="Arial" w:hAnsi="Arial"/>
          <w:sz w:val="18"/>
          <w:szCs w:val="18"/>
          <w:color w:val="auto"/>
        </w:rPr>
        <w:t xml:space="preserve"> D</w:t>
      </w:r>
      <w:r>
        <w:rPr>
          <w:rFonts w:ascii="Arial" w:cs="Arial" w:eastAsia="Arial" w:hAnsi="Arial"/>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-1905</wp:posOffset>
            </wp:positionV>
            <wp:extent cx="27774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6880"/>
        <w:spacing w:after="0"/>
        <w:rPr>
          <w:sz w:val="20"/>
          <w:szCs w:val="20"/>
          <w:color w:val="auto"/>
        </w:rPr>
      </w:pPr>
      <w:r>
        <w:rPr>
          <w:rFonts w:ascii="Arial" w:cs="Arial" w:eastAsia="Arial" w:hAnsi="Arial"/>
          <w:sz w:val="18"/>
          <w:szCs w:val="18"/>
          <w:color w:val="auto"/>
        </w:rPr>
        <w:t>Shawn Duffy</w:t>
      </w:r>
    </w:p>
    <w:p>
      <w:pPr>
        <w:ind w:left="68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4" w:name="page65"/>
    <w:bookmarkEnd w:id="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842"/>
    </w:lvl>
  </w:abstractNum>
  <w:abstractNum w:abstractNumId="3">
    <w:nsid w:val="62BBD95A"/>
    <w:multiLevelType w:val="hybridMultilevel"/>
    <w:lvl w:ilvl="0">
      <w:lvlJc w:val="left"/>
      <w:lvlText w:val="(%1)"/>
      <w:numFmt w:val="decimal"/>
      <w:start w:val="2"/>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1)"/>
      <w:numFmt w:val="decimal"/>
      <w:start w:val="2"/>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
      <w:numFmt w:val="bullet"/>
      <w:start w:val="1"/>
    </w:lvl>
    <w:lvl w:ilvl="1">
      <w:lvlJc w:val="left"/>
      <w:lvlText w:val="%2"/>
      <w:numFmt w:val="decimal"/>
      <w:start w:val="104"/>
    </w:lvl>
  </w:abstractNum>
  <w:abstractNum w:abstractNumId="19">
    <w:nsid w:val="2CA88611"/>
    <w:multiLevelType w:val="hybridMultilevel"/>
    <w:lvl w:ilvl="0">
      <w:lvlJc w:val="left"/>
      <w:lvlText w:val="%1."/>
      <w:numFmt w:val="decimal"/>
      <w:start w:val="1"/>
    </w:lvl>
    <w:lvl w:ilvl="1">
      <w:lvlJc w:val="left"/>
      <w:lvlText w:val="(%2)"/>
      <w:numFmt w:val="lowerLetter"/>
      <w:start w:val="1"/>
    </w:lvl>
  </w:abstractNum>
  <w:abstractNum w:abstractNumId="20">
    <w:nsid w:val="836C40E"/>
    <w:multiLevelType w:val="hybridMultilevel"/>
    <w:lvl w:ilvl="0">
      <w:lvlJc w:val="left"/>
      <w:lvlText w:val="(%1)"/>
      <w:numFmt w:val="lowerLetter"/>
      <w:start w:val="3"/>
    </w:lvl>
  </w:abstractNum>
  <w:abstractNum w:abstractNumId="21">
    <w:nsid w:val="2901D82"/>
    <w:multiLevelType w:val="hybridMultilevel"/>
    <w:lvl w:ilvl="0">
      <w:lvlJc w:val="left"/>
      <w:lvlText w:val="%1."/>
      <w:numFmt w:val="decimal"/>
      <w:start w:val="2"/>
    </w:lvl>
    <w:lvl w:ilvl="1">
      <w:lvlJc w:val="left"/>
      <w:lvlText w:val="(%2)"/>
      <w:numFmt w:val="lowerLetter"/>
      <w:start w:val="1"/>
    </w:lvl>
  </w:abstractNum>
  <w:abstractNum w:abstractNumId="22">
    <w:nsid w:val="3A95F874"/>
    <w:multiLevelType w:val="hybridMultilevel"/>
    <w:lvl w:ilvl="0">
      <w:lvlJc w:val="left"/>
      <w:lvlText w:val="(%1)"/>
      <w:numFmt w:val="lowerLetter"/>
      <w:start w:val="2"/>
    </w:lvl>
  </w:abstractNum>
  <w:abstractNum w:abstractNumId="23">
    <w:nsid w:val="8138641"/>
    <w:multiLevelType w:val="hybridMultilevel"/>
    <w:lvl w:ilvl="0">
      <w:lvlJc w:val="left"/>
      <w:lvlText w:val="(%1)"/>
      <w:numFmt w:val="lowerLetter"/>
      <w:start w:val="4"/>
    </w:lvl>
  </w:abstractNum>
  <w:abstractNum w:abstractNumId="24">
    <w:nsid w:val="1E7FF521"/>
    <w:multiLevelType w:val="hybridMultilevel"/>
    <w:lvl w:ilvl="0">
      <w:lvlJc w:val="left"/>
      <w:lvlText w:val="(%1)"/>
      <w:numFmt w:val="lowerLetter"/>
      <w:start w:val="5"/>
    </w:lvl>
  </w:abstractNum>
  <w:abstractNum w:abstractNumId="25">
    <w:nsid w:val="7C3DBD3D"/>
    <w:multiLevelType w:val="hybridMultilevel"/>
    <w:lvl w:ilvl="0">
      <w:lvlJc w:val="left"/>
      <w:lvlText w:val="%1"/>
      <w:numFmt w:val="decimal"/>
      <w:start w:val="1"/>
    </w:lvl>
    <w:lvl w:ilvl="1">
      <w:lvlJc w:val="left"/>
      <w:lvlText w:val="(%2)"/>
      <w:numFmt w:val="lowerLetter"/>
      <w:start w:val="6"/>
    </w:lvl>
  </w:abstractNum>
  <w:abstractNum w:abstractNumId="26">
    <w:nsid w:val="737B8DDC"/>
    <w:multiLevelType w:val="hybridMultilevel"/>
    <w:lvl w:ilvl="0">
      <w:lvlJc w:val="left"/>
      <w:lvlText w:val="%1."/>
      <w:numFmt w:val="decimal"/>
      <w:start w:val="3"/>
    </w:lvl>
    <w:lvl w:ilvl="1">
      <w:lvlJc w:val="left"/>
      <w:lvlText w:val="(%2)"/>
      <w:numFmt w:val="lowerLetter"/>
      <w:start w:val="1"/>
    </w:lvl>
  </w:abstractNum>
  <w:abstractNum w:abstractNumId="27">
    <w:nsid w:val="6CEAF087"/>
    <w:multiLevelType w:val="hybridMultilevel"/>
    <w:lvl w:ilvl="0">
      <w:lvlJc w:val="left"/>
      <w:lvlText w:val="%1"/>
      <w:numFmt w:val="lowerLetter"/>
      <w:start w:val="1"/>
    </w:lvl>
    <w:lvl w:ilvl="1">
      <w:lvlJc w:val="left"/>
      <w:lvlText w:val="%2."/>
      <w:numFmt w:val="upperLetter"/>
      <w:start w:val="1"/>
    </w:lvl>
  </w:abstractNum>
  <w:abstractNum w:abstractNumId="28">
    <w:nsid w:val="22221A70"/>
    <w:multiLevelType w:val="hybridMultilevel"/>
    <w:lvl w:ilvl="0">
      <w:lvlJc w:val="left"/>
      <w:lvlText w:val="(%1)"/>
      <w:numFmt w:val="lowerLetter"/>
      <w:start w:val="2"/>
    </w:lvl>
    <w:lvl w:ilvl="1">
      <w:lvlJc w:val="left"/>
      <w:lvlText w:val="%2"/>
      <w:numFmt w:val="upperLetter"/>
      <w:start w:val="1"/>
    </w:lvl>
  </w:abstractNum>
  <w:abstractNum w:abstractNumId="29">
    <w:nsid w:val="4516DDE9"/>
    <w:multiLevelType w:val="hybridMultilevel"/>
    <w:lvl w:ilvl="0">
      <w:lvlJc w:val="left"/>
      <w:lvlText w:val="%1."/>
      <w:numFmt w:val="decimal"/>
      <w:start w:val="4"/>
    </w:lvl>
    <w:lvl w:ilvl="1">
      <w:lvlJc w:val="left"/>
      <w:lvlText w:val="(%2)"/>
      <w:numFmt w:val="lowerLetter"/>
      <w:start w:val="1"/>
    </w:lvl>
  </w:abstractNum>
  <w:abstractNum w:abstractNumId="30">
    <w:nsid w:val="3006C83E"/>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31">
    <w:nsid w:val="614FD4A1"/>
    <w:multiLevelType w:val="hybridMultilevel"/>
    <w:lvl w:ilvl="0">
      <w:lvlJc w:val="left"/>
      <w:lvlText w:val="%1."/>
      <w:numFmt w:val="decimal"/>
      <w:start w:val="7"/>
    </w:lvl>
    <w:lvl w:ilvl="1">
      <w:lvlJc w:val="left"/>
      <w:lvlText w:val="%2"/>
      <w:numFmt w:val="decimal"/>
      <w:start w:val="1"/>
    </w:lvl>
    <w:lvl w:ilvl="2">
      <w:lvlJc w:val="left"/>
      <w:lvlText w:val="(%3)"/>
      <w:numFmt w:val="lowerLetter"/>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lowerLetter"/>
      <w:start w:val="1"/>
    </w:lvl>
  </w:abstractNum>
  <w:abstractNum w:abstractNumId="35">
    <w:nsid w:val="507236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56" Type="http://schemas.openxmlformats.org/officeDocument/2006/relationships/hyperlink" Target="https://www.sec.gov/ix?doc=/Archives/edgar/data/797721/000095017022010881/vsat-202203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2022-08-09T10:39:53Z</dcterms:created>
  <dcterms:modified xsi:type="dcterms:W3CDTF">2022-08-09T10:39:53Z</dcterms:modified>
</cp:coreProperties>
</file>